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255270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3580" w:hanging="3464"/>
        <w:spacing w:after="0" w:line="441" w:lineRule="auto"/>
        <w:tabs>
          <w:tab w:leader="none" w:pos="54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22"/>
          <w:szCs w:val="22"/>
          <w:color w:val="auto"/>
        </w:rPr>
      </w:pPr>
    </w:p>
    <w:p>
      <w:pPr>
        <w:ind w:left="5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540" w:right="4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9" w:lineRule="exact"/>
        <w:rPr>
          <w:sz w:val="24"/>
          <w:szCs w:val="24"/>
          <w:color w:val="auto"/>
        </w:rPr>
      </w:pPr>
    </w:p>
    <w:tbl>
      <w:tblPr>
        <w:tblLayout w:type="fixed"/>
        <w:tblInd w:w="2980" w:type="dxa"/>
        <w:tblCellMar>
          <w:top w:w="0" w:type="dxa"/>
          <w:left w:w="0" w:type="dxa"/>
          <w:bottom w:w="0" w:type="dxa"/>
          <w:right w:w="0" w:type="dxa"/>
        </w:tblCellMar>
      </w:tblPr>
      <w:tr>
        <w:trPr>
          <w:trHeight w:val="253"/>
        </w:trPr>
        <w:tc>
          <w:tcPr>
            <w:tcW w:w="2840" w:type="dxa"/>
            <w:vAlign w:val="bottom"/>
          </w:tcPr>
          <w:p>
            <w:pPr>
              <w:spacing w:after="0"/>
              <w:rPr>
                <w:sz w:val="20"/>
                <w:szCs w:val="20"/>
                <w:color w:val="auto"/>
              </w:rPr>
            </w:pPr>
            <w:r>
              <w:rPr>
                <w:rFonts w:ascii="Arial" w:cs="Arial" w:eastAsia="Arial" w:hAnsi="Arial"/>
                <w:sz w:val="22"/>
                <w:szCs w:val="22"/>
                <w:b w:val="1"/>
                <w:bCs w:val="1"/>
                <w:color w:val="auto"/>
                <w:w w:val="91"/>
              </w:rPr>
              <w:t>For the transition period from</w:t>
            </w:r>
          </w:p>
        </w:tc>
        <w:tc>
          <w:tcPr>
            <w:tcW w:w="10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22"/>
                <w:szCs w:val="22"/>
                <w:b w:val="1"/>
                <w:bCs w:val="1"/>
                <w:color w:val="auto"/>
              </w:rPr>
              <w:t>to</w:t>
            </w:r>
          </w:p>
        </w:tc>
        <w:tc>
          <w:tcPr>
            <w:tcW w:w="1140" w:type="dxa"/>
            <w:vAlign w:val="bottom"/>
            <w:gridSpan w:val="2"/>
          </w:tcPr>
          <w:p>
            <w:pPr>
              <w:jc w:val="right"/>
              <w:spacing w:after="0"/>
              <w:rPr>
                <w:sz w:val="20"/>
                <w:szCs w:val="20"/>
                <w:color w:val="auto"/>
              </w:rPr>
            </w:pPr>
            <w:r>
              <w:rPr>
                <w:rFonts w:ascii="Arial" w:cs="Arial" w:eastAsia="Arial" w:hAnsi="Arial"/>
                <w:sz w:val="22"/>
                <w:szCs w:val="22"/>
                <w:b w:val="1"/>
                <w:bCs w:val="1"/>
                <w:color w:val="auto"/>
              </w:rPr>
              <w:t>.</w:t>
            </w:r>
          </w:p>
        </w:tc>
      </w:tr>
      <w:tr>
        <w:trPr>
          <w:trHeight w:val="490"/>
        </w:trPr>
        <w:tc>
          <w:tcPr>
            <w:tcW w:w="2840" w:type="dxa"/>
            <w:vAlign w:val="bottom"/>
          </w:tcPr>
          <w:p>
            <w:pPr>
              <w:ind w:left="2480"/>
              <w:spacing w:after="0"/>
              <w:rPr>
                <w:sz w:val="20"/>
                <w:szCs w:val="20"/>
                <w:color w:val="auto"/>
              </w:rPr>
            </w:pPr>
            <w:r>
              <w:rPr>
                <w:rFonts w:ascii="Arial" w:cs="Arial" w:eastAsia="Arial" w:hAnsi="Arial"/>
                <w:sz w:val="22"/>
                <w:szCs w:val="22"/>
                <w:b w:val="1"/>
                <w:bCs w:val="1"/>
                <w:color w:val="auto"/>
              </w:rPr>
              <w:t>OR</w:t>
            </w: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6" w:lineRule="exact"/>
        <w:rPr>
          <w:sz w:val="24"/>
          <w:szCs w:val="24"/>
          <w:color w:val="auto"/>
        </w:rPr>
      </w:pPr>
    </w:p>
    <w:p>
      <w:pPr>
        <w:ind w:left="540" w:right="40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62" w:lineRule="exact"/>
        <w:rPr>
          <w:sz w:val="24"/>
          <w:szCs w:val="24"/>
          <w:color w:val="auto"/>
        </w:rPr>
      </w:pPr>
    </w:p>
    <w:p>
      <w:pPr>
        <w:jc w:val="right"/>
        <w:ind w:right="3780"/>
        <w:spacing w:after="0"/>
        <w:rPr>
          <w:sz w:val="20"/>
          <w:szCs w:val="20"/>
          <w:color w:val="auto"/>
        </w:rPr>
      </w:pPr>
      <w:r>
        <w:rPr>
          <w:rFonts w:ascii="Arial" w:cs="Arial" w:eastAsia="Arial" w:hAnsi="Arial"/>
          <w:sz w:val="22"/>
          <w:szCs w:val="22"/>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4685030</wp:posOffset>
            </wp:positionH>
            <wp:positionV relativeFrom="paragraph">
              <wp:posOffset>-13970</wp:posOffset>
            </wp:positionV>
            <wp:extent cx="685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4"/>
          <w:szCs w:val="24"/>
          <w:color w:val="auto"/>
        </w:rPr>
      </w:pPr>
    </w:p>
    <w:p>
      <w:pPr>
        <w:jc w:val="right"/>
        <w:ind w:right="3820"/>
        <w:spacing w:after="0"/>
        <w:rPr>
          <w:sz w:val="20"/>
          <w:szCs w:val="20"/>
          <w:color w:val="auto"/>
        </w:rPr>
      </w:pPr>
      <w:r>
        <w:rPr>
          <w:rFonts w:ascii="Arial" w:cs="Arial" w:eastAsia="Arial" w:hAnsi="Arial"/>
          <w:sz w:val="22"/>
          <w:szCs w:val="22"/>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MEREO BIOPHARMA GROUP PLC</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England and Wales</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One Cavendish Place</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4th Floor</w:t>
      </w:r>
    </w:p>
    <w:p>
      <w:pPr>
        <w:jc w:val="center"/>
        <w:ind w:right="-159"/>
        <w:spacing w:after="0" w:line="230" w:lineRule="auto"/>
        <w:rPr>
          <w:sz w:val="20"/>
          <w:szCs w:val="20"/>
          <w:color w:val="auto"/>
        </w:rPr>
      </w:pPr>
      <w:r>
        <w:rPr>
          <w:rFonts w:ascii="Arial" w:cs="Arial" w:eastAsia="Arial" w:hAnsi="Arial"/>
          <w:sz w:val="22"/>
          <w:szCs w:val="22"/>
          <w:b w:val="1"/>
          <w:bCs w:val="1"/>
          <w:color w:val="auto"/>
        </w:rPr>
        <w:t>London, W1G 0QF</w:t>
      </w:r>
    </w:p>
    <w:p>
      <w:pPr>
        <w:jc w:val="center"/>
        <w:ind w:right="-159"/>
        <w:spacing w:after="0" w:line="231" w:lineRule="auto"/>
        <w:rPr>
          <w:sz w:val="20"/>
          <w:szCs w:val="20"/>
          <w:color w:val="auto"/>
        </w:rPr>
      </w:pPr>
      <w:r>
        <w:rPr>
          <w:rFonts w:ascii="Arial" w:cs="Arial" w:eastAsia="Arial" w:hAnsi="Arial"/>
          <w:sz w:val="22"/>
          <w:szCs w:val="22"/>
          <w:b w:val="1"/>
          <w:bCs w:val="1"/>
          <w:color w:val="auto"/>
        </w:rPr>
        <w:t>United Kingdom</w:t>
      </w:r>
    </w:p>
    <w:p>
      <w:pPr>
        <w:jc w:val="center"/>
        <w:ind w:right="-159"/>
        <w:spacing w:after="0" w:line="227" w:lineRule="auto"/>
        <w:rPr>
          <w:sz w:val="20"/>
          <w:szCs w:val="20"/>
          <w:color w:val="auto"/>
        </w:rPr>
      </w:pPr>
      <w:r>
        <w:rPr>
          <w:rFonts w:ascii="Arial" w:cs="Arial" w:eastAsia="Arial" w:hAnsi="Arial"/>
          <w:sz w:val="22"/>
          <w:szCs w:val="22"/>
          <w:b w:val="1"/>
          <w:bCs w:val="1"/>
          <w:color w:val="auto"/>
        </w:rPr>
        <w:t>Tel: +44-333-023-7300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Charles Sermon, General Counsel</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Tel: +44-333-023-7300</w:t>
      </w:r>
    </w:p>
    <w:p>
      <w:pPr>
        <w:jc w:val="center"/>
        <w:ind w:right="-159"/>
        <w:spacing w:after="0" w:line="230" w:lineRule="auto"/>
        <w:rPr>
          <w:sz w:val="20"/>
          <w:szCs w:val="20"/>
          <w:color w:val="auto"/>
        </w:rPr>
      </w:pPr>
      <w:r>
        <w:rPr>
          <w:rFonts w:ascii="Arial" w:cs="Arial" w:eastAsia="Arial" w:hAnsi="Arial"/>
          <w:sz w:val="22"/>
          <w:szCs w:val="22"/>
          <w:b w:val="1"/>
          <w:bCs w:val="1"/>
          <w:color w:val="auto"/>
        </w:rPr>
        <w:t>Email: cs@mereobiopharma.com</w:t>
      </w:r>
    </w:p>
    <w:p>
      <w:pPr>
        <w:jc w:val="center"/>
        <w:ind w:right="-159"/>
        <w:spacing w:after="0" w:line="231" w:lineRule="auto"/>
        <w:rPr>
          <w:sz w:val="20"/>
          <w:szCs w:val="20"/>
          <w:color w:val="auto"/>
        </w:rPr>
      </w:pPr>
      <w:r>
        <w:rPr>
          <w:rFonts w:ascii="Arial" w:cs="Arial" w:eastAsia="Arial" w:hAnsi="Arial"/>
          <w:sz w:val="22"/>
          <w:szCs w:val="22"/>
          <w:b w:val="1"/>
          <w:bCs w:val="1"/>
          <w:color w:val="auto"/>
        </w:rPr>
        <w:t>1 Cavendish Place</w:t>
      </w:r>
    </w:p>
    <w:p>
      <w:pPr>
        <w:jc w:val="center"/>
        <w:ind w:right="-159"/>
        <w:spacing w:after="0" w:line="230" w:lineRule="auto"/>
        <w:rPr>
          <w:sz w:val="20"/>
          <w:szCs w:val="20"/>
          <w:color w:val="auto"/>
        </w:rPr>
      </w:pPr>
      <w:r>
        <w:rPr>
          <w:rFonts w:ascii="Arial" w:cs="Arial" w:eastAsia="Arial" w:hAnsi="Arial"/>
          <w:sz w:val="22"/>
          <w:szCs w:val="22"/>
          <w:b w:val="1"/>
          <w:bCs w:val="1"/>
          <w:color w:val="auto"/>
        </w:rPr>
        <w:t>4th Floor</w:t>
      </w:r>
    </w:p>
    <w:p>
      <w:pPr>
        <w:jc w:val="center"/>
        <w:ind w:right="-159"/>
        <w:spacing w:after="0" w:line="231" w:lineRule="auto"/>
        <w:rPr>
          <w:sz w:val="20"/>
          <w:szCs w:val="20"/>
          <w:color w:val="auto"/>
        </w:rPr>
      </w:pPr>
      <w:r>
        <w:rPr>
          <w:rFonts w:ascii="Arial" w:cs="Arial" w:eastAsia="Arial" w:hAnsi="Arial"/>
          <w:sz w:val="22"/>
          <w:szCs w:val="22"/>
          <w:b w:val="1"/>
          <w:bCs w:val="1"/>
          <w:color w:val="auto"/>
        </w:rPr>
        <w:t>London, W1G 0QF</w:t>
      </w:r>
    </w:p>
    <w:p>
      <w:pPr>
        <w:jc w:val="center"/>
        <w:ind w:right="-159"/>
        <w:spacing w:after="0" w:line="227" w:lineRule="auto"/>
        <w:rPr>
          <w:sz w:val="20"/>
          <w:szCs w:val="20"/>
          <w:color w:val="auto"/>
        </w:rPr>
      </w:pPr>
      <w:r>
        <w:rPr>
          <w:rFonts w:ascii="Arial" w:cs="Arial" w:eastAsia="Arial" w:hAnsi="Arial"/>
          <w:sz w:val="22"/>
          <w:szCs w:val="22"/>
          <w:b w:val="1"/>
          <w:bCs w:val="1"/>
          <w:color w:val="auto"/>
        </w:rPr>
        <w:t>United Kingdom</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registered or to be registered pursuant to Section 12(b) of the Act:</w:t>
      </w:r>
    </w:p>
    <w:p>
      <w:pPr>
        <w:sectPr>
          <w:pgSz w:w="11900" w:h="16838" w:orient="portrait"/>
          <w:cols w:equalWidth="0" w:num="1">
            <w:col w:w="11100"/>
          </w:cols>
          <w:pgMar w:left="320" w:top="230" w:right="479" w:bottom="0" w:gutter="0" w:footer="0" w:header="0"/>
        </w:sectPr>
      </w:pPr>
    </w:p>
    <w:p>
      <w:pPr>
        <w:spacing w:after="0" w:line="225"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4780" w:type="dxa"/>
            <w:vAlign w:val="bottom"/>
            <w:gridSpan w:val="3"/>
          </w:tcPr>
          <w:p>
            <w:pPr>
              <w:ind w:left="2960"/>
              <w:spacing w:after="0"/>
              <w:rPr>
                <w:sz w:val="20"/>
                <w:szCs w:val="20"/>
                <w:color w:val="auto"/>
              </w:rPr>
            </w:pPr>
            <w:r>
              <w:rPr>
                <w:rFonts w:ascii="Arial" w:cs="Arial" w:eastAsia="Arial" w:hAnsi="Arial"/>
                <w:sz w:val="14"/>
                <w:szCs w:val="14"/>
                <w:b w:val="1"/>
                <w:bCs w:val="1"/>
                <w:color w:val="auto"/>
              </w:rPr>
              <w:t>Trading</w:t>
            </w:r>
          </w:p>
        </w:tc>
        <w:tc>
          <w:tcPr>
            <w:tcW w:w="2760" w:type="dxa"/>
            <w:vAlign w:val="bottom"/>
            <w:gridSpan w:val="3"/>
          </w:tcPr>
          <w:p>
            <w:pPr>
              <w:jc w:val="center"/>
              <w:ind w:left="1268"/>
              <w:spacing w:after="0"/>
              <w:rPr>
                <w:sz w:val="20"/>
                <w:szCs w:val="20"/>
                <w:color w:val="auto"/>
              </w:rPr>
            </w:pPr>
            <w:r>
              <w:rPr>
                <w:rFonts w:ascii="Arial" w:cs="Arial" w:eastAsia="Arial" w:hAnsi="Arial"/>
                <w:sz w:val="14"/>
                <w:szCs w:val="14"/>
                <w:b w:val="1"/>
                <w:bCs w:val="1"/>
                <w:color w:val="auto"/>
                <w:w w:val="88"/>
              </w:rPr>
              <w:t>Name of each exchange</w:t>
            </w:r>
          </w:p>
        </w:tc>
      </w:tr>
      <w:tr>
        <w:trPr>
          <w:trHeight w:val="185"/>
        </w:trPr>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296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Symbol</w:t>
            </w:r>
          </w:p>
        </w:tc>
        <w:tc>
          <w:tcPr>
            <w:tcW w:w="2760" w:type="dxa"/>
            <w:vAlign w:val="bottom"/>
            <w:gridSpan w:val="3"/>
          </w:tcPr>
          <w:p>
            <w:pPr>
              <w:jc w:val="center"/>
              <w:ind w:left="1268"/>
              <w:spacing w:after="0"/>
              <w:rPr>
                <w:sz w:val="20"/>
                <w:szCs w:val="20"/>
                <w:color w:val="auto"/>
              </w:rPr>
            </w:pPr>
            <w:r>
              <w:rPr>
                <w:rFonts w:ascii="Arial" w:cs="Arial" w:eastAsia="Arial" w:hAnsi="Arial"/>
                <w:sz w:val="14"/>
                <w:szCs w:val="14"/>
                <w:b w:val="1"/>
                <w:bCs w:val="1"/>
                <w:color w:val="auto"/>
                <w:w w:val="92"/>
              </w:rPr>
              <w:t>on which registered</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100"/>
          </w:cols>
          <w:pgMar w:left="320" w:top="230" w:right="479" w:bottom="0" w:gutter="0" w:footer="0" w:header="0"/>
          <w:type w:val="continuous"/>
        </w:sectPr>
      </w:pPr>
    </w:p>
    <w:bookmarkStart w:id="1" w:name="page2"/>
    <w:bookmarkEnd w:id="1"/>
    <w:p>
      <w:pPr>
        <w:ind w:left="44"/>
        <w:spacing w:after="0"/>
        <w:rPr>
          <w:sz w:val="20"/>
          <w:szCs w:val="20"/>
          <w:color w:val="auto"/>
        </w:rPr>
      </w:pPr>
      <w:r>
        <w:rPr>
          <w:rFonts w:ascii="Arial" w:cs="Arial" w:eastAsia="Arial" w:hAnsi="Arial"/>
          <w:sz w:val="16"/>
          <w:szCs w:val="16"/>
          <w:b w:val="1"/>
          <w:bCs w:val="1"/>
          <w:color w:val="auto"/>
        </w:rPr>
        <w:t>American Depositary Shares, each representing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MREO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49" w:lineRule="exact"/>
        <w:rPr>
          <w:sz w:val="20"/>
          <w:szCs w:val="20"/>
          <w:color w:val="auto"/>
        </w:rPr>
      </w:pPr>
    </w:p>
    <w:p>
      <w:pPr>
        <w:sectPr>
          <w:pgSz w:w="11900" w:h="16838" w:orient="portrait"/>
          <w:cols w:equalWidth="0" w:num="3">
            <w:col w:w="4624" w:space="720"/>
            <w:col w:w="1980" w:space="720"/>
            <w:col w:w="2960"/>
          </w:cols>
          <w:pgMar w:left="436" w:top="121" w:right="459" w:bottom="548" w:gutter="0" w:footer="0" w:header="0"/>
        </w:sectPr>
      </w:pPr>
    </w:p>
    <w:p>
      <w:pPr>
        <w:jc w:val="center"/>
        <w:ind w:right="7276"/>
        <w:spacing w:after="0"/>
        <w:rPr>
          <w:sz w:val="20"/>
          <w:szCs w:val="20"/>
          <w:color w:val="auto"/>
        </w:rPr>
      </w:pPr>
      <w:r>
        <w:rPr>
          <w:rFonts w:ascii="Arial" w:cs="Arial" w:eastAsia="Arial" w:hAnsi="Arial"/>
          <w:sz w:val="16"/>
          <w:szCs w:val="16"/>
          <w:b w:val="1"/>
          <w:bCs w:val="1"/>
          <w:color w:val="auto"/>
        </w:rPr>
        <w:t>five ordinary shares, nominal value of £0.003</w:t>
      </w:r>
    </w:p>
    <w:p>
      <w:pPr>
        <w:spacing w:after="0" w:line="32" w:lineRule="exact"/>
        <w:rPr>
          <w:sz w:val="20"/>
          <w:szCs w:val="20"/>
          <w:color w:val="auto"/>
        </w:rPr>
      </w:pPr>
    </w:p>
    <w:p>
      <w:pPr>
        <w:jc w:val="center"/>
        <w:ind w:right="7276"/>
        <w:spacing w:after="0"/>
        <w:rPr>
          <w:sz w:val="20"/>
          <w:szCs w:val="20"/>
          <w:color w:val="auto"/>
        </w:rPr>
      </w:pPr>
      <w:r>
        <w:rPr>
          <w:rFonts w:ascii="Arial" w:cs="Arial" w:eastAsia="Arial" w:hAnsi="Arial"/>
          <w:sz w:val="18"/>
          <w:szCs w:val="18"/>
          <w:b w:val="1"/>
          <w:bCs w:val="1"/>
          <w:color w:val="auto"/>
        </w:rPr>
        <w:t>per share</w:t>
      </w:r>
    </w:p>
    <w:p>
      <w:pPr>
        <w:sectPr>
          <w:pgSz w:w="11900" w:h="16838" w:orient="portrait"/>
          <w:cols w:equalWidth="0" w:num="1">
            <w:col w:w="11004"/>
          </w:cols>
          <w:pgMar w:left="436" w:top="121" w:right="459" w:bottom="548" w:gutter="0" w:footer="0" w:header="0"/>
          <w:type w:val="continuous"/>
        </w:sectPr>
      </w:pPr>
    </w:p>
    <w:p>
      <w:pPr>
        <w:spacing w:after="0" w:line="9" w:lineRule="exact"/>
        <w:rPr>
          <w:sz w:val="20"/>
          <w:szCs w:val="20"/>
          <w:color w:val="auto"/>
        </w:rPr>
      </w:pPr>
    </w:p>
    <w:p>
      <w:pPr>
        <w:ind w:left="124"/>
        <w:spacing w:after="0"/>
        <w:rPr>
          <w:sz w:val="20"/>
          <w:szCs w:val="20"/>
          <w:color w:val="auto"/>
        </w:rPr>
      </w:pPr>
      <w:r>
        <w:rPr>
          <w:rFonts w:ascii="Arial" w:cs="Arial" w:eastAsia="Arial" w:hAnsi="Arial"/>
          <w:sz w:val="16"/>
          <w:szCs w:val="16"/>
          <w:b w:val="1"/>
          <w:bCs w:val="1"/>
          <w:color w:val="auto"/>
        </w:rPr>
        <w:t>Ordinary Shares, nominal value of £0.003 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34" w:lineRule="exact"/>
        <w:rPr>
          <w:sz w:val="20"/>
          <w:szCs w:val="20"/>
          <w:color w:val="auto"/>
        </w:rPr>
      </w:pPr>
    </w:p>
    <w:p>
      <w:pPr>
        <w:sectPr>
          <w:pgSz w:w="11900" w:h="16838" w:orient="portrait"/>
          <w:cols w:equalWidth="0" w:num="2">
            <w:col w:w="7264" w:space="720"/>
            <w:col w:w="3020"/>
          </w:cols>
          <w:pgMar w:left="436" w:top="121" w:right="459" w:bottom="548" w:gutter="0" w:footer="0" w:header="0"/>
          <w:type w:val="continuous"/>
        </w:sectPr>
      </w:pPr>
    </w:p>
    <w:p>
      <w:pPr>
        <w:ind w:left="1664"/>
        <w:spacing w:after="0"/>
        <w:rPr>
          <w:sz w:val="20"/>
          <w:szCs w:val="20"/>
          <w:color w:val="auto"/>
        </w:rPr>
      </w:pPr>
      <w:r>
        <w:rPr>
          <w:rFonts w:ascii="Arial" w:cs="Arial" w:eastAsia="Arial" w:hAnsi="Arial"/>
          <w:sz w:val="15"/>
          <w:szCs w:val="15"/>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04"/>
          </w:cols>
          <w:pgMar w:left="436" w:top="121" w:right="459" w:bottom="548"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324" w:right="360" w:hanging="324"/>
        <w:spacing w:after="0" w:line="250" w:lineRule="auto"/>
        <w:tabs>
          <w:tab w:leader="none" w:pos="324" w:val="left"/>
        </w:tabs>
        <w:numPr>
          <w:ilvl w:val="0"/>
          <w:numId w:val="5"/>
        </w:numPr>
        <w:rPr>
          <w:rFonts w:ascii="Arial" w:cs="Arial" w:eastAsia="Arial" w:hAnsi="Arial"/>
          <w:sz w:val="22"/>
          <w:szCs w:val="22"/>
          <w:color w:val="auto"/>
        </w:rPr>
      </w:pPr>
      <w:r>
        <w:rPr>
          <w:rFonts w:ascii="Arial" w:cs="Arial" w:eastAsia="Arial" w:hAnsi="Arial"/>
          <w:sz w:val="22"/>
          <w:szCs w:val="22"/>
          <w:color w:val="auto"/>
        </w:rPr>
        <w:t>Not for trading, but only in connection with the registration of American Depositary Shares representing such Ordinary Shares pursuant to the requirements of the U.S. Securities and Exchange Commission.</w:t>
      </w:r>
    </w:p>
    <w:p>
      <w:pPr>
        <w:spacing w:after="0" w:line="169"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Securities registered or to be registered pursuant to Section 12(g) of the Act: None</w:t>
      </w:r>
    </w:p>
    <w:p>
      <w:pPr>
        <w:spacing w:after="0" w:line="206"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4" w:right="540"/>
        <w:spacing w:after="0" w:line="250" w:lineRule="auto"/>
        <w:rPr>
          <w:sz w:val="20"/>
          <w:szCs w:val="20"/>
          <w:color w:val="auto"/>
        </w:rPr>
      </w:pPr>
      <w:r>
        <w:rPr>
          <w:rFonts w:ascii="Arial" w:cs="Arial" w:eastAsia="Arial" w:hAnsi="Arial"/>
          <w:sz w:val="22"/>
          <w:szCs w:val="22"/>
          <w:color w:val="auto"/>
        </w:rPr>
        <w:t>Indicate the number of outstanding shares of each of the issuer’s classes of capital or common stock as of the close of the period covered by the annual report.</w:t>
      </w:r>
    </w:p>
    <w:p>
      <w:pPr>
        <w:spacing w:after="0" w:line="175" w:lineRule="exact"/>
        <w:rPr>
          <w:sz w:val="20"/>
          <w:szCs w:val="20"/>
          <w:color w:val="auto"/>
        </w:rPr>
      </w:pPr>
    </w:p>
    <w:p>
      <w:pPr>
        <w:ind w:left="544"/>
        <w:spacing w:after="0"/>
        <w:rPr>
          <w:sz w:val="20"/>
          <w:szCs w:val="20"/>
          <w:color w:val="auto"/>
        </w:rPr>
      </w:pPr>
      <w:r>
        <w:rPr>
          <w:rFonts w:ascii="Arial" w:cs="Arial" w:eastAsia="Arial" w:hAnsi="Arial"/>
          <w:sz w:val="22"/>
          <w:szCs w:val="22"/>
          <w:color w:val="auto"/>
        </w:rPr>
        <w:t>The number of outstanding shares as of December 31, 2021 was:</w:t>
      </w:r>
    </w:p>
    <w:p>
      <w:pPr>
        <w:spacing w:after="0" w:line="232" w:lineRule="exact"/>
        <w:rPr>
          <w:sz w:val="20"/>
          <w:szCs w:val="20"/>
          <w:color w:val="auto"/>
        </w:rPr>
      </w:pPr>
    </w:p>
    <w:tbl>
      <w:tblPr>
        <w:tblLayout w:type="fixed"/>
        <w:tblInd w:w="564" w:type="dxa"/>
        <w:tblCellMar>
          <w:top w:w="0" w:type="dxa"/>
          <w:left w:w="0" w:type="dxa"/>
          <w:bottom w:w="0" w:type="dxa"/>
          <w:right w:w="0" w:type="dxa"/>
        </w:tblCellMar>
      </w:tblPr>
      <w:tr>
        <w:trPr>
          <w:trHeight w:val="163"/>
        </w:trPr>
        <w:tc>
          <w:tcPr>
            <w:tcW w:w="168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4140" w:type="dxa"/>
            <w:vAlign w:val="bottom"/>
            <w:gridSpan w:val="2"/>
          </w:tcPr>
          <w:p>
            <w:pPr>
              <w:jc w:val="center"/>
              <w:ind w:left="770"/>
              <w:spacing w:after="0"/>
              <w:rPr>
                <w:sz w:val="20"/>
                <w:szCs w:val="20"/>
                <w:color w:val="auto"/>
              </w:rPr>
            </w:pPr>
            <w:r>
              <w:rPr>
                <w:rFonts w:ascii="Arial" w:cs="Arial" w:eastAsia="Arial" w:hAnsi="Arial"/>
                <w:sz w:val="14"/>
                <w:szCs w:val="14"/>
                <w:b w:val="1"/>
                <w:bCs w:val="1"/>
                <w:color w:val="auto"/>
                <w:w w:val="92"/>
              </w:rPr>
              <w:t>Number of Shares Outstanding at December 31, 2021</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520" w:type="dxa"/>
            <w:vAlign w:val="bottom"/>
            <w:vMerge w:val="restart"/>
          </w:tcPr>
          <w:p>
            <w:pPr>
              <w:spacing w:after="0"/>
              <w:rPr>
                <w:sz w:val="20"/>
                <w:szCs w:val="20"/>
                <w:color w:val="auto"/>
              </w:rPr>
            </w:pPr>
            <w:r>
              <w:rPr>
                <w:rFonts w:ascii="Arial" w:cs="Arial" w:eastAsia="Arial" w:hAnsi="Arial"/>
                <w:sz w:val="22"/>
                <w:szCs w:val="22"/>
                <w:color w:val="auto"/>
              </w:rPr>
              <w:t>of £0.003 per share</w:t>
            </w:r>
          </w:p>
        </w:tc>
        <w:tc>
          <w:tcPr>
            <w:tcW w:w="86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760" w:type="dxa"/>
            <w:vAlign w:val="bottom"/>
            <w:gridSpan w:val="2"/>
          </w:tcPr>
          <w:p>
            <w:pPr>
              <w:spacing w:after="0"/>
              <w:rPr>
                <w:sz w:val="20"/>
                <w:szCs w:val="20"/>
                <w:color w:val="auto"/>
              </w:rPr>
            </w:pPr>
            <w:r>
              <w:rPr>
                <w:rFonts w:ascii="Arial" w:cs="Arial" w:eastAsia="Arial" w:hAnsi="Arial"/>
                <w:sz w:val="22"/>
                <w:szCs w:val="22"/>
                <w:color w:val="auto"/>
                <w:w w:val="89"/>
              </w:rPr>
              <w:t>Ordinary shares, nominal value</w:t>
            </w:r>
          </w:p>
        </w:tc>
        <w:tc>
          <w:tcPr>
            <w:tcW w:w="2520" w:type="dxa"/>
            <w:vAlign w:val="bottom"/>
            <w:vMerge w:val="continue"/>
          </w:tcPr>
          <w:p>
            <w:pPr>
              <w:spacing w:after="0"/>
              <w:rPr>
                <w:sz w:val="23"/>
                <w:szCs w:val="23"/>
                <w:color w:val="auto"/>
              </w:rPr>
            </w:pPr>
          </w:p>
        </w:tc>
        <w:tc>
          <w:tcPr>
            <w:tcW w:w="4140" w:type="dxa"/>
            <w:vAlign w:val="bottom"/>
            <w:gridSpan w:val="2"/>
          </w:tcPr>
          <w:p>
            <w:pPr>
              <w:jc w:val="right"/>
              <w:ind w:right="1100"/>
              <w:spacing w:after="0"/>
              <w:rPr>
                <w:sz w:val="20"/>
                <w:szCs w:val="20"/>
                <w:color w:val="auto"/>
              </w:rPr>
            </w:pPr>
            <w:r>
              <w:rPr>
                <w:rFonts w:ascii="Arial" w:cs="Arial" w:eastAsia="Arial" w:hAnsi="Arial"/>
                <w:sz w:val="22"/>
                <w:szCs w:val="22"/>
                <w:color w:val="auto"/>
              </w:rPr>
              <w:t>584,908,239</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 w:right="1280"/>
        <w:spacing w:after="0" w:line="27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1" w:lineRule="exact"/>
        <w:rPr>
          <w:sz w:val="20"/>
          <w:szCs w:val="20"/>
          <w:color w:val="auto"/>
        </w:rPr>
      </w:pPr>
    </w:p>
    <w:p>
      <w:pPr>
        <w:ind w:left="4" w:right="140"/>
        <w:spacing w:after="0" w:line="278" w:lineRule="exact"/>
        <w:rPr>
          <w:sz w:val="20"/>
          <w:szCs w:val="20"/>
          <w:color w:val="auto"/>
        </w:rPr>
      </w:pPr>
      <w:r>
        <w:rPr>
          <w:rFonts w:ascii="Arial" w:cs="Arial" w:eastAsia="Arial" w:hAnsi="Arial"/>
          <w:sz w:val="22"/>
          <w:szCs w:val="22"/>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1" w:lineRule="exact"/>
        <w:rPr>
          <w:sz w:val="20"/>
          <w:szCs w:val="20"/>
          <w:color w:val="auto"/>
        </w:rPr>
      </w:pPr>
    </w:p>
    <w:p>
      <w:pPr>
        <w:ind w:left="4" w:right="8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62" w:lineRule="exact"/>
        <w:rPr>
          <w:sz w:val="20"/>
          <w:szCs w:val="20"/>
          <w:color w:val="auto"/>
        </w:rPr>
      </w:pPr>
    </w:p>
    <w:p>
      <w:pPr>
        <w:ind w:left="4" w:right="40"/>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2" w:lineRule="exact"/>
        <w:rPr>
          <w:sz w:val="20"/>
          <w:szCs w:val="20"/>
          <w:color w:val="auto"/>
        </w:rPr>
      </w:pPr>
    </w:p>
    <w:p>
      <w:pPr>
        <w:ind w:left="4" w:right="520"/>
        <w:spacing w:after="0" w:line="250" w:lineRule="auto"/>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an emerging growth company (as defined in Rule 12b-2 of the Exchange Act).</w:t>
      </w:r>
    </w:p>
    <w:p>
      <w:pPr>
        <w:spacing w:after="0" w:line="175" w:lineRule="exact"/>
        <w:rPr>
          <w:sz w:val="20"/>
          <w:szCs w:val="20"/>
          <w:color w:val="auto"/>
        </w:rPr>
      </w:pPr>
    </w:p>
    <w:p>
      <w:pPr>
        <w:jc w:val="right"/>
        <w:ind w:left="4" w:right="20"/>
        <w:spacing w:after="0" w:line="351" w:lineRule="exact"/>
        <w:rPr>
          <w:sz w:val="20"/>
          <w:szCs w:val="20"/>
          <w:color w:val="auto"/>
        </w:rPr>
      </w:pPr>
      <w:r>
        <w:rPr>
          <w:rFonts w:ascii="Arial" w:cs="Arial" w:eastAsia="Arial" w:hAnsi="Arial"/>
          <w:sz w:val="22"/>
          <w:szCs w:val="22"/>
          <w:color w:val="auto"/>
        </w:rPr>
        <w:t xml:space="preserve">Large 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Non-accelerated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Emerging growth company </w:t>
      </w:r>
      <w:r>
        <w:rPr>
          <w:rFonts w:ascii="MS PGothic" w:cs="MS PGothic" w:eastAsia="MS PGothic" w:hAnsi="MS PGothic"/>
          <w:sz w:val="22"/>
          <w:szCs w:val="22"/>
          <w:color w:val="auto"/>
        </w:rPr>
        <w:t>☒</w:t>
      </w:r>
    </w:p>
    <w:p>
      <w:pPr>
        <w:spacing w:after="0" w:line="162" w:lineRule="exact"/>
        <w:rPr>
          <w:sz w:val="20"/>
          <w:szCs w:val="20"/>
          <w:color w:val="auto"/>
        </w:rPr>
      </w:pPr>
    </w:p>
    <w:p>
      <w:pPr>
        <w:ind w:left="4" w:right="160"/>
        <w:spacing w:after="0" w:line="266" w:lineRule="exact"/>
        <w:rPr>
          <w:sz w:val="20"/>
          <w:szCs w:val="20"/>
          <w:color w:val="auto"/>
        </w:rPr>
      </w:pPr>
      <w:r>
        <w:rPr>
          <w:rFonts w:ascii="Arial" w:cs="Arial" w:eastAsia="Arial" w:hAnsi="Arial"/>
          <w:sz w:val="22"/>
          <w:szCs w:val="2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22"/>
          <w:szCs w:val="22"/>
          <w:color w:val="auto"/>
        </w:rPr>
        <w:t>☐</w:t>
      </w:r>
    </w:p>
    <w:p>
      <w:pPr>
        <w:spacing w:after="0" w:line="189" w:lineRule="exact"/>
        <w:rPr>
          <w:sz w:val="20"/>
          <w:szCs w:val="20"/>
          <w:color w:val="auto"/>
        </w:rPr>
      </w:pPr>
    </w:p>
    <w:p>
      <w:pPr>
        <w:ind w:left="324" w:hanging="324"/>
        <w:spacing w:after="0" w:line="250" w:lineRule="auto"/>
        <w:tabs>
          <w:tab w:leader="none" w:pos="324"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term “new or revised financial accounting standard” refers to any update issued by the Financial Accounting Standards Board to its Accounting Standards Codification after April 5, 2012.</w:t>
      </w:r>
    </w:p>
    <w:p>
      <w:pPr>
        <w:spacing w:after="0" w:line="175" w:lineRule="exact"/>
        <w:rPr>
          <w:sz w:val="20"/>
          <w:szCs w:val="20"/>
          <w:color w:val="auto"/>
        </w:rPr>
      </w:pPr>
    </w:p>
    <w:p>
      <w:pPr>
        <w:jc w:val="both"/>
        <w:ind w:left="4" w:right="600"/>
        <w:spacing w:after="0" w:line="266" w:lineRule="exact"/>
        <w:rPr>
          <w:sz w:val="20"/>
          <w:szCs w:val="20"/>
          <w:color w:val="auto"/>
        </w:rPr>
      </w:pPr>
      <w:r>
        <w:rPr>
          <w:rFonts w:ascii="Arial" w:cs="Arial" w:eastAsia="Arial" w:hAnsi="Arial"/>
          <w:sz w:val="19"/>
          <w:szCs w:val="19"/>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9"/>
          <w:szCs w:val="19"/>
          <w:color w:val="auto"/>
        </w:rPr>
        <w:t>☐</w:t>
      </w:r>
    </w:p>
    <w:p>
      <w:pPr>
        <w:spacing w:after="0" w:line="161" w:lineRule="exact"/>
        <w:rPr>
          <w:sz w:val="20"/>
          <w:szCs w:val="20"/>
          <w:color w:val="auto"/>
        </w:rPr>
      </w:pPr>
    </w:p>
    <w:p>
      <w:pPr>
        <w:ind w:left="4" w:right="300"/>
        <w:spacing w:after="0" w:line="250" w:lineRule="auto"/>
        <w:rPr>
          <w:sz w:val="20"/>
          <w:szCs w:val="20"/>
          <w:color w:val="auto"/>
        </w:rPr>
      </w:pPr>
      <w:r>
        <w:rPr>
          <w:rFonts w:ascii="Arial" w:cs="Arial" w:eastAsia="Arial" w:hAnsi="Arial"/>
          <w:sz w:val="22"/>
          <w:szCs w:val="22"/>
          <w:color w:val="auto"/>
        </w:rPr>
        <w:t>Indicate by check mark which basis of accounting the registrant has used to prepare the financial statements included in this filing:</w:t>
      </w:r>
    </w:p>
    <w:p>
      <w:pPr>
        <w:spacing w:after="0" w:line="173" w:lineRule="exact"/>
        <w:rPr>
          <w:sz w:val="20"/>
          <w:szCs w:val="20"/>
          <w:color w:val="auto"/>
        </w:rPr>
      </w:pPr>
    </w:p>
    <w:tbl>
      <w:tblPr>
        <w:tblLayout w:type="fixed"/>
        <w:tblInd w:w="1164" w:type="dxa"/>
        <w:tblCellMar>
          <w:top w:w="0" w:type="dxa"/>
          <w:left w:w="0" w:type="dxa"/>
          <w:bottom w:w="0" w:type="dxa"/>
          <w:right w:w="0" w:type="dxa"/>
        </w:tblCellMar>
      </w:tblPr>
      <w:tr>
        <w:trPr>
          <w:trHeight w:val="253"/>
        </w:trPr>
        <w:tc>
          <w:tcPr>
            <w:tcW w:w="1300" w:type="dxa"/>
            <w:vAlign w:val="bottom"/>
          </w:tcPr>
          <w:p>
            <w:pPr>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5920" w:type="dxa"/>
            <w:vAlign w:val="bottom"/>
          </w:tcPr>
          <w:p>
            <w:pPr>
              <w:ind w:left="200"/>
              <w:spacing w:after="0"/>
              <w:rPr>
                <w:sz w:val="20"/>
                <w:szCs w:val="20"/>
                <w:color w:val="auto"/>
              </w:rPr>
            </w:pPr>
            <w:r>
              <w:rPr>
                <w:rFonts w:ascii="Arial" w:cs="Arial" w:eastAsia="Arial" w:hAnsi="Arial"/>
                <w:sz w:val="22"/>
                <w:szCs w:val="22"/>
                <w:color w:val="auto"/>
                <w:w w:val="96"/>
              </w:rPr>
              <w:t>International Financial Reporting Standards as issued by the</w:t>
            </w:r>
          </w:p>
        </w:tc>
        <w:tc>
          <w:tcPr>
            <w:tcW w:w="1340" w:type="dxa"/>
            <w:vAlign w:val="bottom"/>
          </w:tcPr>
          <w:p>
            <w:pPr>
              <w:ind w:left="540"/>
              <w:spacing w:after="0" w:line="253" w:lineRule="exact"/>
              <w:rPr>
                <w:sz w:val="20"/>
                <w:szCs w:val="20"/>
                <w:color w:val="auto"/>
              </w:rPr>
            </w:pPr>
            <w:r>
              <w:rPr>
                <w:rFonts w:ascii="Arial" w:cs="Arial" w:eastAsia="Arial" w:hAnsi="Arial"/>
                <w:sz w:val="22"/>
                <w:szCs w:val="22"/>
                <w:color w:val="auto"/>
                <w:w w:val="93"/>
              </w:rPr>
              <w:t xml:space="preserve">Other </w:t>
            </w:r>
            <w:r>
              <w:rPr>
                <w:rFonts w:ascii="MS PGothic" w:cs="MS PGothic" w:eastAsia="MS PGothic" w:hAnsi="MS PGothic"/>
                <w:sz w:val="22"/>
                <w:szCs w:val="22"/>
                <w:color w:val="auto"/>
                <w:w w:val="93"/>
              </w:rPr>
              <w:t>☐</w:t>
            </w:r>
          </w:p>
        </w:tc>
      </w:tr>
      <w:tr>
        <w:trPr>
          <w:trHeight w:val="338"/>
        </w:trPr>
        <w:tc>
          <w:tcPr>
            <w:tcW w:w="1300" w:type="dxa"/>
            <w:vAlign w:val="bottom"/>
          </w:tcPr>
          <w:p>
            <w:pPr>
              <w:spacing w:after="0"/>
              <w:rPr>
                <w:sz w:val="24"/>
                <w:szCs w:val="24"/>
                <w:color w:val="auto"/>
              </w:rPr>
            </w:pPr>
          </w:p>
        </w:tc>
        <w:tc>
          <w:tcPr>
            <w:tcW w:w="5920" w:type="dxa"/>
            <w:vAlign w:val="bottom"/>
          </w:tcPr>
          <w:p>
            <w:pPr>
              <w:ind w:left="200"/>
              <w:spacing w:after="0" w:line="253" w:lineRule="exact"/>
              <w:rPr>
                <w:sz w:val="20"/>
                <w:szCs w:val="20"/>
                <w:color w:val="auto"/>
              </w:rPr>
            </w:pPr>
            <w:r>
              <w:rPr>
                <w:rFonts w:ascii="Arial" w:cs="Arial" w:eastAsia="Arial" w:hAnsi="Arial"/>
                <w:sz w:val="22"/>
                <w:szCs w:val="22"/>
                <w:color w:val="auto"/>
              </w:rPr>
              <w:t xml:space="preserve">International Accounting Standards Board  </w:t>
            </w:r>
            <w:r>
              <w:rPr>
                <w:rFonts w:ascii="MS PGothic" w:cs="MS PGothic" w:eastAsia="MS PGothic" w:hAnsi="MS PGothic"/>
                <w:sz w:val="22"/>
                <w:szCs w:val="22"/>
                <w:color w:val="auto"/>
              </w:rPr>
              <w:t>☒</w:t>
            </w:r>
          </w:p>
        </w:tc>
        <w:tc>
          <w:tcPr>
            <w:tcW w:w="1340" w:type="dxa"/>
            <w:vAlign w:val="bottom"/>
          </w:tcPr>
          <w:p>
            <w:pPr>
              <w:spacing w:after="0"/>
              <w:rPr>
                <w:sz w:val="24"/>
                <w:szCs w:val="24"/>
                <w:color w:val="auto"/>
              </w:rPr>
            </w:pPr>
          </w:p>
        </w:tc>
      </w:tr>
    </w:tbl>
    <w:p>
      <w:pPr>
        <w:spacing w:after="0" w:line="153" w:lineRule="exact"/>
        <w:rPr>
          <w:sz w:val="20"/>
          <w:szCs w:val="20"/>
          <w:color w:val="auto"/>
        </w:rPr>
      </w:pPr>
    </w:p>
    <w:p>
      <w:pPr>
        <w:ind w:left="4" w:right="260"/>
        <w:spacing w:after="0" w:line="278" w:lineRule="exact"/>
        <w:rPr>
          <w:sz w:val="20"/>
          <w:szCs w:val="20"/>
          <w:color w:val="auto"/>
        </w:rPr>
      </w:pPr>
      <w:r>
        <w:rPr>
          <w:rFonts w:ascii="Arial" w:cs="Arial" w:eastAsia="Arial" w:hAnsi="Arial"/>
          <w:sz w:val="22"/>
          <w:szCs w:val="22"/>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22"/>
          <w:szCs w:val="22"/>
          <w:color w:val="auto"/>
        </w:rPr>
        <w:t>☐</w:t>
      </w:r>
      <w:r>
        <w:rPr>
          <w:rFonts w:ascii="Arial" w:cs="Arial" w:eastAsia="Arial" w:hAnsi="Arial"/>
          <w:sz w:val="22"/>
          <w:szCs w:val="22"/>
          <w:color w:val="auto"/>
        </w:rPr>
        <w:t xml:space="preserve"> Item 17 </w:t>
      </w:r>
      <w:r>
        <w:rPr>
          <w:rFonts w:ascii="MS PGothic" w:cs="MS PGothic" w:eastAsia="MS PGothic" w:hAnsi="MS PGothic"/>
          <w:sz w:val="22"/>
          <w:szCs w:val="22"/>
          <w:color w:val="auto"/>
        </w:rPr>
        <w:t>☐</w:t>
      </w:r>
      <w:r>
        <w:rPr>
          <w:rFonts w:ascii="Arial" w:cs="Arial" w:eastAsia="Arial" w:hAnsi="Arial"/>
          <w:sz w:val="22"/>
          <w:szCs w:val="22"/>
          <w:color w:val="auto"/>
        </w:rPr>
        <w:t xml:space="preserve"> Item 18</w:t>
      </w:r>
    </w:p>
    <w:p>
      <w:pPr>
        <w:spacing w:after="0" w:line="161" w:lineRule="exact"/>
        <w:rPr>
          <w:sz w:val="20"/>
          <w:szCs w:val="20"/>
          <w:color w:val="auto"/>
        </w:rPr>
      </w:pPr>
    </w:p>
    <w:p>
      <w:pPr>
        <w:ind w:left="4" w:right="320"/>
        <w:spacing w:after="0" w:line="278" w:lineRule="exact"/>
        <w:rPr>
          <w:sz w:val="20"/>
          <w:szCs w:val="20"/>
          <w:color w:val="auto"/>
        </w:rPr>
      </w:pPr>
      <w:r>
        <w:rPr>
          <w:rFonts w:ascii="Arial" w:cs="Arial" w:eastAsia="Arial" w:hAnsi="Arial"/>
          <w:sz w:val="22"/>
          <w:szCs w:val="22"/>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21" w:right="459" w:bottom="548"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16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1"/>
        </w:trPr>
        <w:tc>
          <w:tcPr>
            <w:tcW w:w="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18"/>
          </w:tcPr>
          <w:p>
            <w:pPr>
              <w:ind w:left="100"/>
              <w:spacing w:after="0"/>
              <w:rPr>
                <w:sz w:val="20"/>
                <w:szCs w:val="20"/>
                <w:color w:val="auto"/>
              </w:rPr>
            </w:pPr>
            <w:r>
              <w:rPr>
                <w:rFonts w:ascii="Arial" w:cs="Arial" w:eastAsia="Arial" w:hAnsi="Arial"/>
                <w:sz w:val="22"/>
                <w:szCs w:val="22"/>
                <w:b w:val="1"/>
                <w:bCs w:val="1"/>
                <w:color w:val="auto"/>
              </w:rPr>
              <w:t>TABLE OF CONTENTS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20" w:type="dxa"/>
            <w:vAlign w:val="bottom"/>
          </w:tcPr>
          <w:p>
            <w:pPr>
              <w:spacing w:after="0"/>
              <w:rPr>
                <w:sz w:val="24"/>
                <w:szCs w:val="24"/>
                <w:color w:val="auto"/>
              </w:rPr>
            </w:pPr>
          </w:p>
        </w:tc>
        <w:tc>
          <w:tcPr>
            <w:tcW w:w="1020" w:type="dxa"/>
            <w:vAlign w:val="bottom"/>
            <w:tcBorders>
              <w:bottom w:val="single" w:sz="8" w:color="0000EE"/>
            </w:tcBorders>
          </w:tcPr>
          <w:p>
            <w:pPr>
              <w:spacing w:after="0"/>
              <w:rPr>
                <w:rFonts w:ascii="Arial" w:cs="Arial" w:eastAsia="Arial" w:hAnsi="Arial"/>
                <w:sz w:val="22"/>
                <w:szCs w:val="22"/>
                <w:color w:val="0000EE"/>
                <w:w w:val="88"/>
              </w:rPr>
            </w:pPr>
            <w:hyperlink w:anchor="page8">
              <w:r>
                <w:rPr>
                  <w:rFonts w:ascii="Arial" w:cs="Arial" w:eastAsia="Arial" w:hAnsi="Arial"/>
                  <w:sz w:val="22"/>
                  <w:szCs w:val="22"/>
                  <w:color w:val="0000EE"/>
                  <w:w w:val="88"/>
                </w:rPr>
                <w:t>PART ONE</w:t>
              </w:r>
            </w:hyperlink>
          </w:p>
        </w:tc>
        <w:tc>
          <w:tcPr>
            <w:tcW w:w="102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2040" w:type="dxa"/>
            <w:vAlign w:val="bottom"/>
            <w:gridSpan w:val="5"/>
          </w:tcPr>
          <w:p>
            <w:pPr>
              <w:ind w:left="420"/>
              <w:spacing w:after="0"/>
              <w:rPr>
                <w:sz w:val="20"/>
                <w:szCs w:val="20"/>
                <w:color w:val="auto"/>
              </w:rPr>
            </w:pPr>
            <w:r>
              <w:rPr>
                <w:rFonts w:ascii="Arial" w:cs="Arial" w:eastAsia="Arial" w:hAnsi="Arial"/>
                <w:sz w:val="22"/>
                <w:szCs w:val="22"/>
                <w:color w:val="auto"/>
              </w:rPr>
              <w:t>Item 1.</w:t>
            </w:r>
          </w:p>
        </w:tc>
        <w:tc>
          <w:tcPr>
            <w:tcW w:w="4880" w:type="dxa"/>
            <w:vAlign w:val="bottom"/>
            <w:tcBorders>
              <w:bottom w:val="single" w:sz="8" w:color="0000EE"/>
            </w:tcBorders>
            <w:gridSpan w:val="23"/>
          </w:tcPr>
          <w:p>
            <w:pPr>
              <w:spacing w:after="0"/>
              <w:rPr>
                <w:rFonts w:ascii="Arial" w:cs="Arial" w:eastAsia="Arial" w:hAnsi="Arial"/>
                <w:sz w:val="22"/>
                <w:szCs w:val="22"/>
                <w:color w:val="0000EE"/>
                <w:w w:val="90"/>
              </w:rPr>
            </w:pPr>
            <w:hyperlink w:anchor="page8">
              <w:r>
                <w:rPr>
                  <w:rFonts w:ascii="Arial" w:cs="Arial" w:eastAsia="Arial" w:hAnsi="Arial"/>
                  <w:sz w:val="22"/>
                  <w:szCs w:val="22"/>
                  <w:color w:val="0000EE"/>
                  <w:w w:val="90"/>
                </w:rPr>
                <w:t>Identity of Directors, Senior Management And Advisers</w:t>
              </w:r>
            </w:hyperlink>
          </w:p>
        </w:tc>
        <w:tc>
          <w:tcPr>
            <w:tcW w:w="29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2.</w:t>
            </w:r>
          </w:p>
        </w:tc>
        <w:tc>
          <w:tcPr>
            <w:tcW w:w="3460" w:type="dxa"/>
            <w:vAlign w:val="bottom"/>
            <w:tcBorders>
              <w:bottom w:val="single" w:sz="8" w:color="0000EE"/>
            </w:tcBorders>
            <w:gridSpan w:val="16"/>
          </w:tcPr>
          <w:p>
            <w:pPr>
              <w:spacing w:after="0" w:line="223" w:lineRule="exact"/>
              <w:rPr>
                <w:rFonts w:ascii="Arial" w:cs="Arial" w:eastAsia="Arial" w:hAnsi="Arial"/>
                <w:sz w:val="22"/>
                <w:szCs w:val="22"/>
                <w:color w:val="0000EE"/>
                <w:w w:val="89"/>
              </w:rPr>
            </w:pPr>
            <w:hyperlink w:anchor="page8">
              <w:r>
                <w:rPr>
                  <w:rFonts w:ascii="Arial" w:cs="Arial" w:eastAsia="Arial" w:hAnsi="Arial"/>
                  <w:sz w:val="22"/>
                  <w:szCs w:val="22"/>
                  <w:color w:val="0000EE"/>
                  <w:w w:val="89"/>
                </w:rPr>
                <w:t>Offer Statistics and Expected Timetable</w:t>
              </w:r>
            </w:hyperlink>
          </w:p>
        </w:tc>
        <w:tc>
          <w:tcPr>
            <w:tcW w:w="4340" w:type="dxa"/>
            <w:vAlign w:val="bottom"/>
            <w:gridSpan w:val="13"/>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3.</w:t>
            </w:r>
          </w:p>
        </w:tc>
        <w:tc>
          <w:tcPr>
            <w:tcW w:w="1460" w:type="dxa"/>
            <w:vAlign w:val="bottom"/>
            <w:tcBorders>
              <w:bottom w:val="single" w:sz="8" w:color="0000EE"/>
            </w:tcBorders>
            <w:gridSpan w:val="4"/>
          </w:tcPr>
          <w:p>
            <w:pPr>
              <w:spacing w:after="0" w:line="223" w:lineRule="exact"/>
              <w:rPr>
                <w:rFonts w:ascii="Arial" w:cs="Arial" w:eastAsia="Arial" w:hAnsi="Arial"/>
                <w:sz w:val="22"/>
                <w:szCs w:val="22"/>
                <w:color w:val="0000EE"/>
                <w:w w:val="93"/>
              </w:rPr>
            </w:pPr>
            <w:hyperlink w:anchor="page8">
              <w:r>
                <w:rPr>
                  <w:rFonts w:ascii="Arial" w:cs="Arial" w:eastAsia="Arial" w:hAnsi="Arial"/>
                  <w:sz w:val="22"/>
                  <w:szCs w:val="22"/>
                  <w:color w:val="0000EE"/>
                  <w:w w:val="93"/>
                </w:rPr>
                <w:t>Key Information</w:t>
              </w:r>
            </w:hyperlink>
          </w:p>
        </w:tc>
        <w:tc>
          <w:tcPr>
            <w:tcW w:w="6340" w:type="dxa"/>
            <w:vAlign w:val="bottom"/>
            <w:gridSpan w:val="25"/>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4.</w:t>
            </w:r>
          </w:p>
        </w:tc>
        <w:tc>
          <w:tcPr>
            <w:tcW w:w="7800" w:type="dxa"/>
            <w:vAlign w:val="bottom"/>
            <w:gridSpan w:val="29"/>
          </w:tcPr>
          <w:p>
            <w:pPr>
              <w:spacing w:after="0" w:line="223" w:lineRule="exact"/>
              <w:rPr>
                <w:rFonts w:ascii="Arial" w:cs="Arial" w:eastAsia="Arial" w:hAnsi="Arial"/>
                <w:sz w:val="22"/>
                <w:szCs w:val="22"/>
                <w:color w:val="0000EE"/>
              </w:rPr>
            </w:pPr>
            <w:hyperlink w:anchor="page56">
              <w:r>
                <w:rPr>
                  <w:rFonts w:ascii="Arial" w:cs="Arial" w:eastAsia="Arial" w:hAnsi="Arial"/>
                  <w:sz w:val="22"/>
                  <w:szCs w:val="22"/>
                  <w:color w:val="0000EE"/>
                </w:rPr>
                <w:t>Information On The Company</w:t>
              </w:r>
            </w:hyperlink>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4A.</w:t>
            </w:r>
          </w:p>
        </w:tc>
        <w:tc>
          <w:tcPr>
            <w:tcW w:w="2640" w:type="dxa"/>
            <w:vAlign w:val="bottom"/>
            <w:tcBorders>
              <w:top w:val="single" w:sz="8" w:color="0000EE"/>
            </w:tcBorders>
            <w:gridSpan w:val="13"/>
          </w:tcPr>
          <w:p>
            <w:pPr>
              <w:spacing w:after="0" w:line="223" w:lineRule="exact"/>
              <w:rPr>
                <w:rFonts w:ascii="Arial" w:cs="Arial" w:eastAsia="Arial" w:hAnsi="Arial"/>
                <w:sz w:val="22"/>
                <w:szCs w:val="22"/>
                <w:color w:val="0000EE"/>
                <w:w w:val="95"/>
              </w:rPr>
            </w:pPr>
            <w:hyperlink w:anchor="page95">
              <w:r>
                <w:rPr>
                  <w:rFonts w:ascii="Arial" w:cs="Arial" w:eastAsia="Arial" w:hAnsi="Arial"/>
                  <w:sz w:val="22"/>
                  <w:szCs w:val="22"/>
                  <w:color w:val="0000EE"/>
                  <w:w w:val="95"/>
                </w:rPr>
                <w:t>Unresolved Staff Comments</w:t>
              </w:r>
            </w:hyperlink>
          </w:p>
        </w:tc>
        <w:tc>
          <w:tcPr>
            <w:tcW w:w="5160" w:type="dxa"/>
            <w:vAlign w:val="bottom"/>
            <w:gridSpan w:val="16"/>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5"/>
            <w:vMerge w:val="restart"/>
          </w:tcPr>
          <w:p>
            <w:pPr>
              <w:ind w:left="420"/>
              <w:spacing w:after="0" w:line="243" w:lineRule="exact"/>
              <w:rPr>
                <w:sz w:val="20"/>
                <w:szCs w:val="20"/>
                <w:color w:val="auto"/>
              </w:rPr>
            </w:pPr>
            <w:r>
              <w:rPr>
                <w:rFonts w:ascii="Arial" w:cs="Arial" w:eastAsia="Arial" w:hAnsi="Arial"/>
                <w:sz w:val="22"/>
                <w:szCs w:val="22"/>
                <w:color w:val="auto"/>
              </w:rPr>
              <w:t>Item 5.</w:t>
            </w: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83</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4180" w:type="dxa"/>
            <w:vAlign w:val="bottom"/>
            <w:tcBorders>
              <w:bottom w:val="single" w:sz="8" w:color="0000EE"/>
            </w:tcBorders>
            <w:gridSpan w:val="19"/>
          </w:tcPr>
          <w:p>
            <w:pPr>
              <w:spacing w:after="0" w:line="223" w:lineRule="exact"/>
              <w:rPr>
                <w:rFonts w:ascii="Arial" w:cs="Arial" w:eastAsia="Arial" w:hAnsi="Arial"/>
                <w:sz w:val="22"/>
                <w:szCs w:val="22"/>
                <w:color w:val="0000EE"/>
                <w:w w:val="89"/>
              </w:rPr>
            </w:pPr>
            <w:hyperlink w:anchor="page95">
              <w:r>
                <w:rPr>
                  <w:rFonts w:ascii="Arial" w:cs="Arial" w:eastAsia="Arial" w:hAnsi="Arial"/>
                  <w:sz w:val="22"/>
                  <w:szCs w:val="22"/>
                  <w:color w:val="0000EE"/>
                  <w:w w:val="89"/>
                </w:rPr>
                <w:t>Operating And Financial Review And Prospects</w:t>
              </w:r>
            </w:hyperlink>
          </w:p>
        </w:tc>
        <w:tc>
          <w:tcPr>
            <w:tcW w:w="3620" w:type="dxa"/>
            <w:vAlign w:val="bottom"/>
            <w:gridSpan w:val="10"/>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6.</w:t>
            </w:r>
          </w:p>
        </w:tc>
        <w:tc>
          <w:tcPr>
            <w:tcW w:w="7800" w:type="dxa"/>
            <w:vAlign w:val="bottom"/>
            <w:gridSpan w:val="29"/>
          </w:tcPr>
          <w:p>
            <w:pPr>
              <w:spacing w:after="0" w:line="223" w:lineRule="exact"/>
              <w:rPr>
                <w:rFonts w:ascii="Arial" w:cs="Arial" w:eastAsia="Arial" w:hAnsi="Arial"/>
                <w:sz w:val="22"/>
                <w:szCs w:val="22"/>
                <w:color w:val="0000EE"/>
              </w:rPr>
            </w:pPr>
            <w:hyperlink w:anchor="page111">
              <w:r>
                <w:rPr>
                  <w:rFonts w:ascii="Arial" w:cs="Arial" w:eastAsia="Arial" w:hAnsi="Arial"/>
                  <w:sz w:val="22"/>
                  <w:szCs w:val="22"/>
                  <w:color w:val="0000EE"/>
                </w:rPr>
                <w:t>Directors, Senior Management And Employees</w:t>
              </w:r>
            </w:hyperlink>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5"/>
            <w:vMerge w:val="restart"/>
          </w:tcPr>
          <w:p>
            <w:pPr>
              <w:ind w:left="420"/>
              <w:spacing w:after="0" w:line="243" w:lineRule="exact"/>
              <w:rPr>
                <w:sz w:val="20"/>
                <w:szCs w:val="20"/>
                <w:color w:val="auto"/>
              </w:rPr>
            </w:pPr>
            <w:r>
              <w:rPr>
                <w:rFonts w:ascii="Arial" w:cs="Arial" w:eastAsia="Arial" w:hAnsi="Arial"/>
                <w:sz w:val="22"/>
                <w:szCs w:val="22"/>
                <w:color w:val="auto"/>
              </w:rPr>
              <w:t>Item 7.</w:t>
            </w: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114</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4520" w:type="dxa"/>
            <w:vAlign w:val="bottom"/>
            <w:tcBorders>
              <w:bottom w:val="single" w:sz="8" w:color="0000EE"/>
            </w:tcBorders>
            <w:gridSpan w:val="21"/>
          </w:tcPr>
          <w:p>
            <w:pPr>
              <w:spacing w:after="0" w:line="223" w:lineRule="exact"/>
              <w:rPr>
                <w:rFonts w:ascii="Arial" w:cs="Arial" w:eastAsia="Arial" w:hAnsi="Arial"/>
                <w:sz w:val="22"/>
                <w:szCs w:val="22"/>
                <w:color w:val="0000EE"/>
                <w:w w:val="88"/>
              </w:rPr>
            </w:pPr>
            <w:hyperlink w:anchor="page133">
              <w:r>
                <w:rPr>
                  <w:rFonts w:ascii="Arial" w:cs="Arial" w:eastAsia="Arial" w:hAnsi="Arial"/>
                  <w:sz w:val="22"/>
                  <w:szCs w:val="22"/>
                  <w:color w:val="0000EE"/>
                  <w:w w:val="88"/>
                </w:rPr>
                <w:t>Major Shareholders And Related Party Transactions</w:t>
              </w:r>
            </w:hyperlink>
          </w:p>
        </w:tc>
        <w:tc>
          <w:tcPr>
            <w:tcW w:w="3280" w:type="dxa"/>
            <w:vAlign w:val="bottom"/>
            <w:gridSpan w:val="8"/>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8.</w:t>
            </w:r>
          </w:p>
        </w:tc>
        <w:tc>
          <w:tcPr>
            <w:tcW w:w="1900" w:type="dxa"/>
            <w:vAlign w:val="bottom"/>
            <w:tcBorders>
              <w:bottom w:val="single" w:sz="8" w:color="0000EE"/>
            </w:tcBorders>
            <w:gridSpan w:val="7"/>
          </w:tcPr>
          <w:p>
            <w:pPr>
              <w:spacing w:after="0" w:line="223" w:lineRule="exact"/>
              <w:rPr>
                <w:rFonts w:ascii="Arial" w:cs="Arial" w:eastAsia="Arial" w:hAnsi="Arial"/>
                <w:sz w:val="22"/>
                <w:szCs w:val="22"/>
                <w:color w:val="0000EE"/>
                <w:w w:val="92"/>
              </w:rPr>
            </w:pPr>
            <w:hyperlink w:anchor="page136">
              <w:r>
                <w:rPr>
                  <w:rFonts w:ascii="Arial" w:cs="Arial" w:eastAsia="Arial" w:hAnsi="Arial"/>
                  <w:sz w:val="22"/>
                  <w:szCs w:val="22"/>
                  <w:color w:val="0000EE"/>
                  <w:w w:val="92"/>
                </w:rPr>
                <w:t>Financial Information</w:t>
              </w:r>
            </w:hyperlink>
          </w:p>
        </w:tc>
        <w:tc>
          <w:tcPr>
            <w:tcW w:w="5900" w:type="dxa"/>
            <w:vAlign w:val="bottom"/>
            <w:gridSpan w:val="22"/>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9.</w:t>
            </w:r>
          </w:p>
        </w:tc>
        <w:tc>
          <w:tcPr>
            <w:tcW w:w="1960" w:type="dxa"/>
            <w:vAlign w:val="bottom"/>
            <w:tcBorders>
              <w:bottom w:val="single" w:sz="8" w:color="0000EE"/>
            </w:tcBorders>
            <w:gridSpan w:val="8"/>
          </w:tcPr>
          <w:p>
            <w:pPr>
              <w:spacing w:after="0" w:line="223" w:lineRule="exact"/>
              <w:rPr>
                <w:rFonts w:ascii="Arial" w:cs="Arial" w:eastAsia="Arial" w:hAnsi="Arial"/>
                <w:sz w:val="22"/>
                <w:szCs w:val="22"/>
                <w:color w:val="0000EE"/>
                <w:w w:val="93"/>
              </w:rPr>
            </w:pPr>
            <w:hyperlink w:anchor="page137">
              <w:r>
                <w:rPr>
                  <w:rFonts w:ascii="Arial" w:cs="Arial" w:eastAsia="Arial" w:hAnsi="Arial"/>
                  <w:sz w:val="22"/>
                  <w:szCs w:val="22"/>
                  <w:color w:val="0000EE"/>
                  <w:w w:val="93"/>
                </w:rPr>
                <w:t>The Offer And Listing</w:t>
              </w:r>
            </w:hyperlink>
          </w:p>
        </w:tc>
        <w:tc>
          <w:tcPr>
            <w:tcW w:w="5840" w:type="dxa"/>
            <w:vAlign w:val="bottom"/>
            <w:gridSpan w:val="21"/>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10.</w:t>
            </w:r>
          </w:p>
        </w:tc>
        <w:tc>
          <w:tcPr>
            <w:tcW w:w="2020" w:type="dxa"/>
            <w:vAlign w:val="bottom"/>
            <w:tcBorders>
              <w:bottom w:val="single" w:sz="8" w:color="0000EE"/>
            </w:tcBorders>
            <w:gridSpan w:val="9"/>
          </w:tcPr>
          <w:p>
            <w:pPr>
              <w:spacing w:after="0" w:line="223" w:lineRule="exact"/>
              <w:rPr>
                <w:rFonts w:ascii="Arial" w:cs="Arial" w:eastAsia="Arial" w:hAnsi="Arial"/>
                <w:sz w:val="22"/>
                <w:szCs w:val="22"/>
                <w:color w:val="0000EE"/>
                <w:w w:val="93"/>
              </w:rPr>
            </w:pPr>
            <w:hyperlink w:anchor="page137">
              <w:r>
                <w:rPr>
                  <w:rFonts w:ascii="Arial" w:cs="Arial" w:eastAsia="Arial" w:hAnsi="Arial"/>
                  <w:sz w:val="22"/>
                  <w:szCs w:val="22"/>
                  <w:color w:val="0000EE"/>
                  <w:w w:val="93"/>
                </w:rPr>
                <w:t>Additional Information</w:t>
              </w:r>
            </w:hyperlink>
          </w:p>
        </w:tc>
        <w:tc>
          <w:tcPr>
            <w:tcW w:w="5780" w:type="dxa"/>
            <w:vAlign w:val="bottom"/>
            <w:gridSpan w:val="20"/>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11.</w:t>
            </w:r>
          </w:p>
        </w:tc>
        <w:tc>
          <w:tcPr>
            <w:tcW w:w="5300" w:type="dxa"/>
            <w:vAlign w:val="bottom"/>
            <w:tcBorders>
              <w:bottom w:val="single" w:sz="8" w:color="0000EE"/>
            </w:tcBorders>
            <w:gridSpan w:val="24"/>
          </w:tcPr>
          <w:p>
            <w:pPr>
              <w:spacing w:after="0" w:line="223" w:lineRule="exact"/>
              <w:rPr>
                <w:rFonts w:ascii="Arial" w:cs="Arial" w:eastAsia="Arial" w:hAnsi="Arial"/>
                <w:sz w:val="22"/>
                <w:szCs w:val="22"/>
                <w:color w:val="0000EE"/>
                <w:w w:val="91"/>
              </w:rPr>
            </w:pPr>
            <w:hyperlink w:anchor="page144">
              <w:r>
                <w:rPr>
                  <w:rFonts w:ascii="Arial" w:cs="Arial" w:eastAsia="Arial" w:hAnsi="Arial"/>
                  <w:sz w:val="22"/>
                  <w:szCs w:val="22"/>
                  <w:color w:val="0000EE"/>
                  <w:w w:val="91"/>
                </w:rPr>
                <w:t>Quantitative And Qualitative Disclosures About Market Risk</w:t>
              </w:r>
            </w:hyperlink>
          </w:p>
        </w:tc>
        <w:tc>
          <w:tcPr>
            <w:tcW w:w="2500" w:type="dxa"/>
            <w:vAlign w:val="bottom"/>
            <w:gridSpan w:val="5"/>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12.</w:t>
            </w:r>
          </w:p>
        </w:tc>
        <w:tc>
          <w:tcPr>
            <w:tcW w:w="7800" w:type="dxa"/>
            <w:vAlign w:val="bottom"/>
            <w:gridSpan w:val="29"/>
          </w:tcPr>
          <w:p>
            <w:pPr>
              <w:spacing w:after="0" w:line="223" w:lineRule="exact"/>
              <w:rPr>
                <w:rFonts w:ascii="Arial" w:cs="Arial" w:eastAsia="Arial" w:hAnsi="Arial"/>
                <w:sz w:val="22"/>
                <w:szCs w:val="22"/>
                <w:color w:val="0000EE"/>
              </w:rPr>
            </w:pPr>
            <w:hyperlink w:anchor="page145">
              <w:r>
                <w:rPr>
                  <w:rFonts w:ascii="Arial" w:cs="Arial" w:eastAsia="Arial" w:hAnsi="Arial"/>
                  <w:sz w:val="22"/>
                  <w:szCs w:val="22"/>
                  <w:color w:val="0000EE"/>
                </w:rPr>
                <w:t>Description of Securities Other Than Equity Securities</w:t>
              </w:r>
            </w:hyperlink>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1060" w:type="dxa"/>
            <w:vAlign w:val="bottom"/>
            <w:tcBorders>
              <w:bottom w:val="single" w:sz="8" w:color="0000EE"/>
            </w:tcBorders>
            <w:gridSpan w:val="2"/>
          </w:tcPr>
          <w:p>
            <w:pPr>
              <w:spacing w:after="0"/>
              <w:rPr>
                <w:rFonts w:ascii="Arial" w:cs="Arial" w:eastAsia="Arial" w:hAnsi="Arial"/>
                <w:sz w:val="22"/>
                <w:szCs w:val="22"/>
                <w:color w:val="0000EE"/>
                <w:w w:val="89"/>
              </w:rPr>
            </w:pPr>
            <w:hyperlink w:anchor="page148">
              <w:r>
                <w:rPr>
                  <w:rFonts w:ascii="Arial" w:cs="Arial" w:eastAsia="Arial" w:hAnsi="Arial"/>
                  <w:sz w:val="22"/>
                  <w:szCs w:val="22"/>
                  <w:color w:val="0000EE"/>
                  <w:w w:val="89"/>
                </w:rPr>
                <w:t>PART TWO</w:t>
              </w:r>
            </w:hyperlink>
          </w:p>
        </w:tc>
        <w:tc>
          <w:tcPr>
            <w:tcW w:w="980" w:type="dxa"/>
            <w:vAlign w:val="bottom"/>
            <w:gridSpan w:val="3"/>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2040" w:type="dxa"/>
            <w:vAlign w:val="bottom"/>
            <w:gridSpan w:val="5"/>
          </w:tcPr>
          <w:p>
            <w:pPr>
              <w:ind w:left="420"/>
              <w:spacing w:after="0"/>
              <w:rPr>
                <w:sz w:val="20"/>
                <w:szCs w:val="20"/>
                <w:color w:val="auto"/>
              </w:rPr>
            </w:pPr>
            <w:r>
              <w:rPr>
                <w:rFonts w:ascii="Arial" w:cs="Arial" w:eastAsia="Arial" w:hAnsi="Arial"/>
                <w:sz w:val="22"/>
                <w:szCs w:val="22"/>
                <w:color w:val="auto"/>
              </w:rPr>
              <w:t>Item 13.</w:t>
            </w:r>
          </w:p>
        </w:tc>
        <w:tc>
          <w:tcPr>
            <w:tcW w:w="7800" w:type="dxa"/>
            <w:vAlign w:val="bottom"/>
            <w:gridSpan w:val="29"/>
          </w:tcPr>
          <w:p>
            <w:pPr>
              <w:spacing w:after="0"/>
              <w:rPr>
                <w:rFonts w:ascii="Arial" w:cs="Arial" w:eastAsia="Arial" w:hAnsi="Arial"/>
                <w:sz w:val="22"/>
                <w:szCs w:val="22"/>
                <w:color w:val="0000EE"/>
              </w:rPr>
            </w:pPr>
            <w:hyperlink w:anchor="page148">
              <w:r>
                <w:rPr>
                  <w:rFonts w:ascii="Arial" w:cs="Arial" w:eastAsia="Arial" w:hAnsi="Arial"/>
                  <w:sz w:val="22"/>
                  <w:szCs w:val="22"/>
                  <w:color w:val="0000EE"/>
                </w:rPr>
                <w:t>Defaults, Dividend Arrearages And Delinquencies</w:t>
              </w:r>
            </w:hyperlink>
          </w:p>
        </w:tc>
        <w:tc>
          <w:tcPr>
            <w:tcW w:w="1120" w:type="dxa"/>
            <w:vAlign w:val="bottom"/>
          </w:tcPr>
          <w:p>
            <w:pPr>
              <w:jc w:val="right"/>
              <w:spacing w:after="0"/>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5"/>
            <w:vMerge w:val="restart"/>
          </w:tcPr>
          <w:p>
            <w:pPr>
              <w:ind w:left="420"/>
              <w:spacing w:after="0" w:line="243" w:lineRule="exact"/>
              <w:rPr>
                <w:sz w:val="20"/>
                <w:szCs w:val="20"/>
                <w:color w:val="auto"/>
              </w:rPr>
            </w:pPr>
            <w:r>
              <w:rPr>
                <w:rFonts w:ascii="Arial" w:cs="Arial" w:eastAsia="Arial" w:hAnsi="Arial"/>
                <w:sz w:val="22"/>
                <w:szCs w:val="22"/>
                <w:color w:val="auto"/>
              </w:rPr>
              <w:t>Item 14.</w:t>
            </w: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127</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7020" w:type="dxa"/>
            <w:vAlign w:val="bottom"/>
            <w:tcBorders>
              <w:bottom w:val="single" w:sz="8" w:color="0000EE"/>
            </w:tcBorders>
            <w:gridSpan w:val="28"/>
          </w:tcPr>
          <w:p>
            <w:pPr>
              <w:spacing w:after="0" w:line="223" w:lineRule="exact"/>
              <w:rPr>
                <w:rFonts w:ascii="Arial" w:cs="Arial" w:eastAsia="Arial" w:hAnsi="Arial"/>
                <w:sz w:val="22"/>
                <w:szCs w:val="22"/>
                <w:color w:val="0000EE"/>
                <w:w w:val="90"/>
              </w:rPr>
            </w:pPr>
            <w:hyperlink w:anchor="page148">
              <w:r>
                <w:rPr>
                  <w:rFonts w:ascii="Arial" w:cs="Arial" w:eastAsia="Arial" w:hAnsi="Arial"/>
                  <w:sz w:val="22"/>
                  <w:szCs w:val="22"/>
                  <w:color w:val="0000EE"/>
                  <w:w w:val="90"/>
                </w:rPr>
                <w:t>Material Modifications To The Rights Of Security Holders And Use Of Proceeds</w:t>
              </w:r>
            </w:hyperlink>
          </w:p>
        </w:tc>
        <w:tc>
          <w:tcPr>
            <w:tcW w:w="7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15.</w:t>
            </w:r>
          </w:p>
        </w:tc>
        <w:tc>
          <w:tcPr>
            <w:tcW w:w="2200" w:type="dxa"/>
            <w:vAlign w:val="bottom"/>
            <w:tcBorders>
              <w:bottom w:val="single" w:sz="8" w:color="0000EE"/>
            </w:tcBorders>
            <w:gridSpan w:val="11"/>
          </w:tcPr>
          <w:p>
            <w:pPr>
              <w:spacing w:after="0" w:line="223" w:lineRule="exact"/>
              <w:rPr>
                <w:rFonts w:ascii="Arial" w:cs="Arial" w:eastAsia="Arial" w:hAnsi="Arial"/>
                <w:sz w:val="22"/>
                <w:szCs w:val="22"/>
                <w:color w:val="0000EE"/>
                <w:w w:val="88"/>
              </w:rPr>
            </w:pPr>
            <w:hyperlink w:anchor="page148">
              <w:r>
                <w:rPr>
                  <w:rFonts w:ascii="Arial" w:cs="Arial" w:eastAsia="Arial" w:hAnsi="Arial"/>
                  <w:sz w:val="22"/>
                  <w:szCs w:val="22"/>
                  <w:color w:val="0000EE"/>
                  <w:w w:val="88"/>
                </w:rPr>
                <w:t>Controls And Procedures</w:t>
              </w:r>
            </w:hyperlink>
          </w:p>
        </w:tc>
        <w:tc>
          <w:tcPr>
            <w:tcW w:w="5600" w:type="dxa"/>
            <w:vAlign w:val="bottom"/>
            <w:gridSpan w:val="18"/>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16.</w:t>
            </w:r>
          </w:p>
        </w:tc>
        <w:tc>
          <w:tcPr>
            <w:tcW w:w="820" w:type="dxa"/>
            <w:vAlign w:val="bottom"/>
            <w:tcBorders>
              <w:bottom w:val="single" w:sz="8" w:color="0000EE"/>
            </w:tcBorders>
            <w:gridSpan w:val="2"/>
          </w:tcPr>
          <w:p>
            <w:pPr>
              <w:spacing w:after="0" w:line="223" w:lineRule="exact"/>
              <w:rPr>
                <w:rFonts w:ascii="Arial" w:cs="Arial" w:eastAsia="Arial" w:hAnsi="Arial"/>
                <w:sz w:val="22"/>
                <w:szCs w:val="22"/>
                <w:color w:val="0000EE"/>
                <w:w w:val="84"/>
              </w:rPr>
            </w:pPr>
            <w:hyperlink w:anchor="page149">
              <w:r>
                <w:rPr>
                  <w:rFonts w:ascii="Arial" w:cs="Arial" w:eastAsia="Arial" w:hAnsi="Arial"/>
                  <w:sz w:val="22"/>
                  <w:szCs w:val="22"/>
                  <w:color w:val="0000EE"/>
                  <w:w w:val="84"/>
                </w:rPr>
                <w:t>Reserved</w:t>
              </w:r>
            </w:hyperlink>
          </w:p>
        </w:tc>
        <w:tc>
          <w:tcPr>
            <w:tcW w:w="6980" w:type="dxa"/>
            <w:vAlign w:val="bottom"/>
            <w:gridSpan w:val="27"/>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16A.</w:t>
            </w:r>
          </w:p>
        </w:tc>
        <w:tc>
          <w:tcPr>
            <w:tcW w:w="7800" w:type="dxa"/>
            <w:vAlign w:val="bottom"/>
            <w:gridSpan w:val="29"/>
          </w:tcPr>
          <w:p>
            <w:pPr>
              <w:spacing w:after="0" w:line="223" w:lineRule="exact"/>
              <w:rPr>
                <w:rFonts w:ascii="Arial" w:cs="Arial" w:eastAsia="Arial" w:hAnsi="Arial"/>
                <w:sz w:val="22"/>
                <w:szCs w:val="22"/>
                <w:color w:val="0000EE"/>
              </w:rPr>
            </w:pPr>
            <w:hyperlink w:anchor="page149">
              <w:r>
                <w:rPr>
                  <w:rFonts w:ascii="Arial" w:cs="Arial" w:eastAsia="Arial" w:hAnsi="Arial"/>
                  <w:sz w:val="22"/>
                  <w:szCs w:val="22"/>
                  <w:color w:val="0000EE"/>
                </w:rPr>
                <w:t>Audit Committee Financial Expert</w:t>
              </w:r>
            </w:hyperlink>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16B.</w:t>
            </w:r>
          </w:p>
        </w:tc>
        <w:tc>
          <w:tcPr>
            <w:tcW w:w="130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9"/>
              </w:rPr>
            </w:pPr>
            <w:hyperlink w:anchor="page149">
              <w:r>
                <w:rPr>
                  <w:rFonts w:ascii="Arial" w:cs="Arial" w:eastAsia="Arial" w:hAnsi="Arial"/>
                  <w:sz w:val="22"/>
                  <w:szCs w:val="22"/>
                  <w:color w:val="0000EE"/>
                  <w:w w:val="89"/>
                </w:rPr>
                <w:t>Code of Ethics</w:t>
              </w:r>
            </w:hyperlink>
          </w:p>
        </w:tc>
        <w:tc>
          <w:tcPr>
            <w:tcW w:w="1700" w:type="dxa"/>
            <w:vAlign w:val="bottom"/>
            <w:tcBorders>
              <w:top w:val="single" w:sz="8" w:color="0000EE"/>
            </w:tcBorders>
            <w:gridSpan w:val="11"/>
          </w:tcPr>
          <w:p>
            <w:pPr>
              <w:spacing w:after="0"/>
              <w:rPr>
                <w:sz w:val="19"/>
                <w:szCs w:val="19"/>
                <w:color w:val="auto"/>
              </w:rPr>
            </w:pPr>
          </w:p>
        </w:tc>
        <w:tc>
          <w:tcPr>
            <w:tcW w:w="4800" w:type="dxa"/>
            <w:vAlign w:val="bottom"/>
            <w:gridSpan w:val="15"/>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16C.</w:t>
            </w:r>
          </w:p>
        </w:tc>
        <w:tc>
          <w:tcPr>
            <w:tcW w:w="3440" w:type="dxa"/>
            <w:vAlign w:val="bottom"/>
            <w:tcBorders>
              <w:bottom w:val="single" w:sz="8" w:color="0000EE"/>
            </w:tcBorders>
            <w:gridSpan w:val="15"/>
          </w:tcPr>
          <w:p>
            <w:pPr>
              <w:spacing w:after="0" w:line="223" w:lineRule="exact"/>
              <w:rPr>
                <w:rFonts w:ascii="Arial" w:cs="Arial" w:eastAsia="Arial" w:hAnsi="Arial"/>
                <w:sz w:val="22"/>
                <w:szCs w:val="22"/>
                <w:color w:val="0000EE"/>
                <w:w w:val="87"/>
              </w:rPr>
            </w:pPr>
            <w:hyperlink w:anchor="page149">
              <w:r>
                <w:rPr>
                  <w:rFonts w:ascii="Arial" w:cs="Arial" w:eastAsia="Arial" w:hAnsi="Arial"/>
                  <w:sz w:val="22"/>
                  <w:szCs w:val="22"/>
                  <w:color w:val="0000EE"/>
                  <w:w w:val="87"/>
                </w:rPr>
                <w:t>Principal Accountant Fees and Services</w:t>
              </w:r>
            </w:hyperlink>
          </w:p>
        </w:tc>
        <w:tc>
          <w:tcPr>
            <w:tcW w:w="4360" w:type="dxa"/>
            <w:vAlign w:val="bottom"/>
            <w:gridSpan w:val="14"/>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16D.</w:t>
            </w:r>
          </w:p>
        </w:tc>
        <w:tc>
          <w:tcPr>
            <w:tcW w:w="7800" w:type="dxa"/>
            <w:vAlign w:val="bottom"/>
            <w:gridSpan w:val="29"/>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Exemptions From The Listing Standards For Audit Committees</w:t>
              </w:r>
            </w:hyperlink>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5"/>
            <w:vMerge w:val="restart"/>
          </w:tcPr>
          <w:p>
            <w:pPr>
              <w:ind w:left="420"/>
              <w:spacing w:after="0" w:line="243" w:lineRule="exact"/>
              <w:rPr>
                <w:sz w:val="20"/>
                <w:szCs w:val="20"/>
                <w:color w:val="auto"/>
              </w:rPr>
            </w:pPr>
            <w:r>
              <w:rPr>
                <w:rFonts w:ascii="Arial" w:cs="Arial" w:eastAsia="Arial" w:hAnsi="Arial"/>
                <w:sz w:val="22"/>
                <w:szCs w:val="22"/>
                <w:color w:val="auto"/>
              </w:rPr>
              <w:t>Item 16E.</w:t>
            </w:r>
          </w:p>
        </w:tc>
        <w:tc>
          <w:tcPr>
            <w:tcW w:w="7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129</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6220" w:type="dxa"/>
            <w:vAlign w:val="bottom"/>
            <w:tcBorders>
              <w:bottom w:val="single" w:sz="8" w:color="0000EE"/>
            </w:tcBorders>
            <w:gridSpan w:val="27"/>
          </w:tcPr>
          <w:p>
            <w:pPr>
              <w:spacing w:after="0" w:line="223" w:lineRule="exact"/>
              <w:rPr>
                <w:rFonts w:ascii="Arial" w:cs="Arial" w:eastAsia="Arial" w:hAnsi="Arial"/>
                <w:sz w:val="22"/>
                <w:szCs w:val="22"/>
                <w:color w:val="0000EE"/>
                <w:w w:val="89"/>
              </w:rPr>
            </w:pPr>
            <w:hyperlink w:anchor="page150">
              <w:r>
                <w:rPr>
                  <w:rFonts w:ascii="Arial" w:cs="Arial" w:eastAsia="Arial" w:hAnsi="Arial"/>
                  <w:sz w:val="22"/>
                  <w:szCs w:val="22"/>
                  <w:color w:val="0000EE"/>
                  <w:w w:val="89"/>
                </w:rPr>
                <w:t>Purchases of Equity Securities By The Issuer And Affiliated Purchasers</w:t>
              </w:r>
            </w:hyperlink>
          </w:p>
        </w:tc>
        <w:tc>
          <w:tcPr>
            <w:tcW w:w="1580" w:type="dxa"/>
            <w:vAlign w:val="bottom"/>
            <w:gridSpan w:val="2"/>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16F.</w:t>
            </w:r>
          </w:p>
        </w:tc>
        <w:tc>
          <w:tcPr>
            <w:tcW w:w="3980" w:type="dxa"/>
            <w:vAlign w:val="bottom"/>
            <w:tcBorders>
              <w:bottom w:val="single" w:sz="8" w:color="0000EE"/>
            </w:tcBorders>
            <w:gridSpan w:val="17"/>
          </w:tcPr>
          <w:p>
            <w:pPr>
              <w:spacing w:after="0" w:line="223" w:lineRule="exact"/>
              <w:rPr>
                <w:rFonts w:ascii="Arial" w:cs="Arial" w:eastAsia="Arial" w:hAnsi="Arial"/>
                <w:sz w:val="22"/>
                <w:szCs w:val="22"/>
                <w:color w:val="0000EE"/>
                <w:w w:val="90"/>
              </w:rPr>
            </w:pPr>
            <w:hyperlink w:anchor="page150">
              <w:r>
                <w:rPr>
                  <w:rFonts w:ascii="Arial" w:cs="Arial" w:eastAsia="Arial" w:hAnsi="Arial"/>
                  <w:sz w:val="22"/>
                  <w:szCs w:val="22"/>
                  <w:color w:val="0000EE"/>
                  <w:w w:val="90"/>
                </w:rPr>
                <w:t>Change In Registrant’s Certifying Accountant</w:t>
              </w:r>
            </w:hyperlink>
          </w:p>
        </w:tc>
        <w:tc>
          <w:tcPr>
            <w:tcW w:w="3820" w:type="dxa"/>
            <w:vAlign w:val="bottom"/>
            <w:gridSpan w:val="12"/>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16G.</w:t>
            </w:r>
          </w:p>
        </w:tc>
        <w:tc>
          <w:tcPr>
            <w:tcW w:w="7800" w:type="dxa"/>
            <w:vAlign w:val="bottom"/>
            <w:gridSpan w:val="29"/>
          </w:tcPr>
          <w:p>
            <w:pPr>
              <w:spacing w:after="0" w:line="223" w:lineRule="exact"/>
              <w:rPr>
                <w:rFonts w:ascii="Arial" w:cs="Arial" w:eastAsia="Arial" w:hAnsi="Arial"/>
                <w:sz w:val="22"/>
                <w:szCs w:val="22"/>
                <w:color w:val="0000EE"/>
              </w:rPr>
            </w:pPr>
            <w:hyperlink w:anchor="page150">
              <w:r>
                <w:rPr>
                  <w:rFonts w:ascii="Arial" w:cs="Arial" w:eastAsia="Arial" w:hAnsi="Arial"/>
                  <w:sz w:val="22"/>
                  <w:szCs w:val="22"/>
                  <w:color w:val="0000EE"/>
                </w:rPr>
                <w:t>Corporate Governance</w:t>
              </w:r>
            </w:hyperlink>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5"/>
            <w:vMerge w:val="restart"/>
          </w:tcPr>
          <w:p>
            <w:pPr>
              <w:ind w:left="420"/>
              <w:spacing w:after="0" w:line="243" w:lineRule="exact"/>
              <w:rPr>
                <w:sz w:val="20"/>
                <w:szCs w:val="20"/>
                <w:color w:val="auto"/>
              </w:rPr>
            </w:pPr>
            <w:r>
              <w:rPr>
                <w:rFonts w:ascii="Arial" w:cs="Arial" w:eastAsia="Arial" w:hAnsi="Arial"/>
                <w:sz w:val="22"/>
                <w:szCs w:val="22"/>
                <w:color w:val="auto"/>
              </w:rPr>
              <w:t>Item 16H.</w:t>
            </w:r>
          </w:p>
        </w:tc>
        <w:tc>
          <w:tcPr>
            <w:tcW w:w="7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40" w:type="dxa"/>
            <w:vAlign w:val="bottom"/>
            <w:gridSpan w:val="16"/>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133</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7800" w:type="dxa"/>
            <w:vAlign w:val="bottom"/>
            <w:gridSpan w:val="29"/>
          </w:tcPr>
          <w:p>
            <w:pPr>
              <w:spacing w:after="0" w:line="223" w:lineRule="exact"/>
              <w:rPr>
                <w:rFonts w:ascii="Arial" w:cs="Arial" w:eastAsia="Arial" w:hAnsi="Arial"/>
                <w:sz w:val="22"/>
                <w:szCs w:val="22"/>
                <w:color w:val="0000EE"/>
              </w:rPr>
            </w:pPr>
            <w:hyperlink w:anchor="page155">
              <w:r>
                <w:rPr>
                  <w:rFonts w:ascii="Arial" w:cs="Arial" w:eastAsia="Arial" w:hAnsi="Arial"/>
                  <w:sz w:val="22"/>
                  <w:szCs w:val="22"/>
                  <w:color w:val="0000EE"/>
                </w:rPr>
                <w:t>Mine Safety Disclosure</w:t>
              </w:r>
            </w:hyperlink>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5"/>
            <w:vMerge w:val="restart"/>
          </w:tcPr>
          <w:p>
            <w:pPr>
              <w:ind w:left="420"/>
              <w:spacing w:after="0" w:line="243" w:lineRule="exact"/>
              <w:rPr>
                <w:sz w:val="20"/>
                <w:szCs w:val="20"/>
                <w:color w:val="auto"/>
              </w:rPr>
            </w:pPr>
            <w:r>
              <w:rPr>
                <w:rFonts w:ascii="Arial" w:cs="Arial" w:eastAsia="Arial" w:hAnsi="Arial"/>
                <w:sz w:val="22"/>
                <w:szCs w:val="22"/>
                <w:color w:val="auto"/>
              </w:rPr>
              <w:t>Item 16I.</w:t>
            </w:r>
          </w:p>
        </w:tc>
        <w:tc>
          <w:tcPr>
            <w:tcW w:w="7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840" w:type="dxa"/>
            <w:vAlign w:val="bottom"/>
            <w:gridSpan w:val="16"/>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133</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7800" w:type="dxa"/>
            <w:vAlign w:val="bottom"/>
            <w:gridSpan w:val="29"/>
          </w:tcPr>
          <w:p>
            <w:pPr>
              <w:spacing w:after="0" w:line="223" w:lineRule="exact"/>
              <w:rPr>
                <w:rFonts w:ascii="Arial" w:cs="Arial" w:eastAsia="Arial" w:hAnsi="Arial"/>
                <w:sz w:val="22"/>
                <w:szCs w:val="22"/>
                <w:color w:val="0000EE"/>
              </w:rPr>
            </w:pPr>
            <w:hyperlink w:anchor="page155">
              <w:r>
                <w:rPr>
                  <w:rFonts w:ascii="Arial" w:cs="Arial" w:eastAsia="Arial" w:hAnsi="Arial"/>
                  <w:sz w:val="22"/>
                  <w:szCs w:val="22"/>
                  <w:color w:val="0000EE"/>
                </w:rPr>
                <w:t>Disclosure Regarding Foreign Jurisdictions that Prevent Inspections</w:t>
              </w:r>
            </w:hyperlink>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22"/>
                <w:szCs w:val="22"/>
                <w:color w:val="0000EE"/>
                <w:w w:val="88"/>
              </w:rPr>
            </w:pPr>
            <w:hyperlink w:anchor="page156">
              <w:r>
                <w:rPr>
                  <w:rFonts w:ascii="Arial" w:cs="Arial" w:eastAsia="Arial" w:hAnsi="Arial"/>
                  <w:sz w:val="22"/>
                  <w:szCs w:val="22"/>
                  <w:color w:val="0000EE"/>
                  <w:w w:val="88"/>
                </w:rPr>
                <w:t>PART THREE</w:t>
              </w:r>
            </w:hyperlink>
          </w:p>
        </w:tc>
        <w:tc>
          <w:tcPr>
            <w:tcW w:w="78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2040" w:type="dxa"/>
            <w:vAlign w:val="bottom"/>
            <w:gridSpan w:val="5"/>
          </w:tcPr>
          <w:p>
            <w:pPr>
              <w:ind w:left="420"/>
              <w:spacing w:after="0"/>
              <w:rPr>
                <w:sz w:val="20"/>
                <w:szCs w:val="20"/>
                <w:color w:val="auto"/>
              </w:rPr>
            </w:pPr>
            <w:r>
              <w:rPr>
                <w:rFonts w:ascii="Arial" w:cs="Arial" w:eastAsia="Arial" w:hAnsi="Arial"/>
                <w:sz w:val="22"/>
                <w:szCs w:val="22"/>
                <w:color w:val="auto"/>
              </w:rPr>
              <w:t>Item 17.</w:t>
            </w:r>
          </w:p>
        </w:tc>
        <w:tc>
          <w:tcPr>
            <w:tcW w:w="184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156">
              <w:r>
                <w:rPr>
                  <w:rFonts w:ascii="Arial" w:cs="Arial" w:eastAsia="Arial" w:hAnsi="Arial"/>
                  <w:sz w:val="22"/>
                  <w:szCs w:val="22"/>
                  <w:color w:val="0000EE"/>
                  <w:w w:val="88"/>
                </w:rPr>
                <w:t>Financial Statements</w:t>
              </w:r>
            </w:hyperlink>
          </w:p>
        </w:tc>
        <w:tc>
          <w:tcPr>
            <w:tcW w:w="5960" w:type="dxa"/>
            <w:vAlign w:val="bottom"/>
            <w:gridSpan w:val="2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18.</w:t>
            </w:r>
          </w:p>
        </w:tc>
        <w:tc>
          <w:tcPr>
            <w:tcW w:w="1820" w:type="dxa"/>
            <w:vAlign w:val="bottom"/>
            <w:tcBorders>
              <w:bottom w:val="single" w:sz="8" w:color="0000EE"/>
            </w:tcBorders>
            <w:gridSpan w:val="5"/>
          </w:tcPr>
          <w:p>
            <w:pPr>
              <w:spacing w:after="0" w:line="223" w:lineRule="exact"/>
              <w:rPr>
                <w:rFonts w:ascii="Arial" w:cs="Arial" w:eastAsia="Arial" w:hAnsi="Arial"/>
                <w:sz w:val="22"/>
                <w:szCs w:val="22"/>
                <w:color w:val="0000EE"/>
                <w:w w:val="87"/>
              </w:rPr>
            </w:pPr>
            <w:hyperlink w:anchor="page156">
              <w:r>
                <w:rPr>
                  <w:rFonts w:ascii="Arial" w:cs="Arial" w:eastAsia="Arial" w:hAnsi="Arial"/>
                  <w:sz w:val="22"/>
                  <w:szCs w:val="22"/>
                  <w:color w:val="0000EE"/>
                  <w:w w:val="87"/>
                </w:rPr>
                <w:t>Financial Statements</w:t>
              </w:r>
            </w:hyperlink>
          </w:p>
        </w:tc>
        <w:tc>
          <w:tcPr>
            <w:tcW w:w="5980" w:type="dxa"/>
            <w:vAlign w:val="bottom"/>
            <w:gridSpan w:val="24"/>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040" w:type="dxa"/>
            <w:vAlign w:val="bottom"/>
            <w:gridSpan w:val="5"/>
          </w:tcPr>
          <w:p>
            <w:pPr>
              <w:ind w:left="420"/>
              <w:spacing w:after="0" w:line="223" w:lineRule="exact"/>
              <w:rPr>
                <w:sz w:val="20"/>
                <w:szCs w:val="20"/>
                <w:color w:val="auto"/>
              </w:rPr>
            </w:pPr>
            <w:r>
              <w:rPr>
                <w:rFonts w:ascii="Arial" w:cs="Arial" w:eastAsia="Arial" w:hAnsi="Arial"/>
                <w:sz w:val="22"/>
                <w:szCs w:val="22"/>
                <w:color w:val="auto"/>
              </w:rPr>
              <w:t>Item 19.</w:t>
            </w:r>
          </w:p>
        </w:tc>
        <w:tc>
          <w:tcPr>
            <w:tcW w:w="7800" w:type="dxa"/>
            <w:vAlign w:val="bottom"/>
            <w:gridSpan w:val="29"/>
          </w:tcPr>
          <w:p>
            <w:pPr>
              <w:spacing w:after="0" w:line="223" w:lineRule="exact"/>
              <w:rPr>
                <w:rFonts w:ascii="Arial" w:cs="Arial" w:eastAsia="Arial" w:hAnsi="Arial"/>
                <w:sz w:val="22"/>
                <w:szCs w:val="22"/>
                <w:color w:val="0000EE"/>
              </w:rPr>
            </w:pPr>
            <w:hyperlink w:anchor="page156">
              <w:r>
                <w:rPr>
                  <w:rFonts w:ascii="Arial" w:cs="Arial" w:eastAsia="Arial" w:hAnsi="Arial"/>
                  <w:sz w:val="22"/>
                  <w:szCs w:val="22"/>
                  <w:color w:val="0000EE"/>
                </w:rPr>
                <w:t>Exhibits</w:t>
              </w:r>
            </w:hyperlink>
          </w:p>
        </w:tc>
        <w:tc>
          <w:tcPr>
            <w:tcW w:w="1120" w:type="dxa"/>
            <w:vAlign w:val="bottom"/>
          </w:tcPr>
          <w:p>
            <w:pPr>
              <w:jc w:val="right"/>
              <w:spacing w:after="0" w:line="223" w:lineRule="exact"/>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CERTAIN DEFINITIONS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Unless otherwise indicated and except where the context otherwise requires, references in this annual report on Form 20-</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 to:</w:t>
      </w:r>
    </w:p>
    <w:p>
      <w:pPr>
        <w:spacing w:after="0" w:line="94" w:lineRule="exact"/>
        <w:rPr>
          <w:sz w:val="20"/>
          <w:szCs w:val="20"/>
          <w:color w:val="auto"/>
        </w:rPr>
      </w:pPr>
    </w:p>
    <w:p>
      <w:pPr>
        <w:ind w:left="1420" w:right="100" w:hanging="764"/>
        <w:spacing w:after="0" w:line="328"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“AATD” are to alpha-1 antitrypsin deficiency, a lack of alpha 1 anti-trypsin protein, a protein made by the liver that’s released into the bloodstream to protect the body from neutrophil serine proteases damaging the lungs;</w:t>
      </w:r>
    </w:p>
    <w:p>
      <w:pPr>
        <w:spacing w:after="0" w:line="10" w:lineRule="exact"/>
        <w:rPr>
          <w:rFonts w:ascii="Arial" w:cs="Arial" w:eastAsia="Arial" w:hAnsi="Arial"/>
          <w:sz w:val="19"/>
          <w:szCs w:val="19"/>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“Acumapimod” are to an oral p38 MAP kinase inhibitor for potential treatment of AECOPD;</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“Alvelestat” are to an oral neutrophil elastase inhibitor for potential treatment of AATD;</w:t>
      </w:r>
    </w:p>
    <w:p>
      <w:pPr>
        <w:spacing w:after="0" w:line="111" w:lineRule="exact"/>
        <w:rPr>
          <w:rFonts w:ascii="Arial" w:cs="Arial" w:eastAsia="Arial" w:hAnsi="Arial"/>
          <w:sz w:val="22"/>
          <w:szCs w:val="22"/>
          <w:color w:val="auto"/>
        </w:rPr>
      </w:pPr>
    </w:p>
    <w:p>
      <w:pPr>
        <w:ind w:left="1420" w:right="720" w:hanging="764"/>
        <w:spacing w:after="0" w:line="250" w:lineRule="auto"/>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“ADSs” are to our American Depositary Shares, each of which represents five ordinary shares of Mereo BioPharma Group plc;</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“ADRs” are to the American Depositary Receipts that evidence our ADSs;</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“AECOPD” are to acute exacerbation of chronic obstructive pulmonary disease;</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“BLA” are to Biologics License Application;</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“CMA” are to Conditional Marketing Authorization;</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“CMO” are to contract manufacturing organization;</w:t>
      </w:r>
    </w:p>
    <w:p>
      <w:pPr>
        <w:spacing w:after="0" w:line="111" w:lineRule="exact"/>
        <w:rPr>
          <w:rFonts w:ascii="Arial" w:cs="Arial" w:eastAsia="Arial" w:hAnsi="Arial"/>
          <w:sz w:val="22"/>
          <w:szCs w:val="22"/>
          <w:color w:val="auto"/>
        </w:rPr>
      </w:pPr>
    </w:p>
    <w:p>
      <w:pPr>
        <w:ind w:left="1420" w:right="580" w:hanging="764"/>
        <w:spacing w:after="0" w:line="250" w:lineRule="auto"/>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“COPD” are to chronic obstructive pulmonary disease, the name for a group of lung conditions that cause breathing difficulties;</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“CRO” are to contract research organization;</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“EMA” are to European Medicines Agency;</w:t>
      </w:r>
    </w:p>
    <w:p>
      <w:pPr>
        <w:spacing w:after="0" w:line="111" w:lineRule="exact"/>
        <w:rPr>
          <w:rFonts w:ascii="Arial" w:cs="Arial" w:eastAsia="Arial" w:hAnsi="Arial"/>
          <w:sz w:val="22"/>
          <w:szCs w:val="22"/>
          <w:color w:val="auto"/>
        </w:rPr>
      </w:pPr>
    </w:p>
    <w:p>
      <w:pPr>
        <w:ind w:left="1420" w:right="660" w:hanging="764"/>
        <w:spacing w:after="0" w:line="250" w:lineRule="auto"/>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“Etigilimab” are to an anti-TIGIT therapeutic candidate designed to activate the immune system through multiple mechanisms and enable anti-tumor activity;</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“FDA” are to the United States Food and Drug Administration;</w:t>
      </w:r>
    </w:p>
    <w:p>
      <w:pPr>
        <w:spacing w:after="0" w:line="111" w:lineRule="exact"/>
        <w:rPr>
          <w:rFonts w:ascii="Arial" w:cs="Arial" w:eastAsia="Arial" w:hAnsi="Arial"/>
          <w:sz w:val="22"/>
          <w:szCs w:val="22"/>
          <w:color w:val="auto"/>
        </w:rPr>
      </w:pPr>
    </w:p>
    <w:p>
      <w:pPr>
        <w:ind w:left="1420" w:right="640" w:hanging="764"/>
        <w:spacing w:after="0" w:line="250" w:lineRule="auto"/>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“HH” are to hypogonadotropic hypogonadism, a condition in which the male testes or the female ovaries produce little or no sex hormones;</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“Leflutrozole” are to an oral aromatase inhibitor for potential treatment of male infertility associated with HH;</w:t>
      </w:r>
    </w:p>
    <w:p>
      <w:pPr>
        <w:spacing w:after="0" w:line="146" w:lineRule="exact"/>
        <w:rPr>
          <w:rFonts w:ascii="Arial" w:cs="Arial" w:eastAsia="Arial" w:hAnsi="Arial"/>
          <w:sz w:val="19"/>
          <w:szCs w:val="19"/>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“MAA” are to Marketing Authorization Application;</w:t>
      </w:r>
    </w:p>
    <w:p>
      <w:pPr>
        <w:spacing w:after="0" w:line="111" w:lineRule="exact"/>
        <w:rPr>
          <w:rFonts w:ascii="Arial" w:cs="Arial" w:eastAsia="Arial" w:hAnsi="Arial"/>
          <w:sz w:val="22"/>
          <w:szCs w:val="22"/>
          <w:color w:val="auto"/>
        </w:rPr>
      </w:pPr>
    </w:p>
    <w:p>
      <w:pPr>
        <w:ind w:left="1420" w:right="440" w:hanging="764"/>
        <w:spacing w:after="0" w:line="250" w:lineRule="auto"/>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“Mereo,” the “Company,” the “Group,” “we,” “our,” “ours,” “us” or similar terms are to Mereo BioPharma Group plc, together with its subsidiaries;</w:t>
      </w:r>
    </w:p>
    <w:p>
      <w:pPr>
        <w:spacing w:after="0" w:line="80" w:lineRule="exact"/>
        <w:rPr>
          <w:rFonts w:ascii="Arial" w:cs="Arial" w:eastAsia="Arial" w:hAnsi="Arial"/>
          <w:sz w:val="22"/>
          <w:szCs w:val="22"/>
          <w:color w:val="auto"/>
        </w:rPr>
      </w:pPr>
    </w:p>
    <w:p>
      <w:pPr>
        <w:ind w:left="1420" w:right="280" w:hanging="764"/>
        <w:spacing w:after="0" w:line="238" w:lineRule="auto"/>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w:t>
      </w:r>
    </w:p>
    <w:p>
      <w:pPr>
        <w:spacing w:after="0" w:line="90" w:lineRule="exact"/>
        <w:rPr>
          <w:rFonts w:ascii="Arial" w:cs="Arial" w:eastAsia="Arial" w:hAnsi="Arial"/>
          <w:sz w:val="22"/>
          <w:szCs w:val="22"/>
          <w:color w:val="auto"/>
        </w:rPr>
      </w:pPr>
    </w:p>
    <w:p>
      <w:pPr>
        <w:ind w:left="1420" w:right="38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“Merger Agreement” are to the Agreement and Plan of Merger and Reorganization, dated December 5, 2018, by and among Mereo BioPharma Group plc, Mereo US Holdings Inc., Mereo MergerCo One Inc. and OncoMed;</w:t>
      </w:r>
    </w:p>
    <w:p>
      <w:pPr>
        <w:spacing w:after="0" w:line="9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“Navi” are to Navicixizumab;</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“NDA” are to New Drug Application;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20"/>
          </w:cols>
          <w:pgMar w:left="320" w:top="48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“NE” neutrophil elastase, a serine protease and a major constituent of lung elastoytic activity;</w:t>
      </w:r>
    </w:p>
    <w:p>
      <w:pPr>
        <w:spacing w:after="0" w:line="111" w:lineRule="exact"/>
        <w:rPr>
          <w:rFonts w:ascii="Arial" w:cs="Arial" w:eastAsia="Arial" w:hAnsi="Arial"/>
          <w:sz w:val="22"/>
          <w:szCs w:val="22"/>
          <w:color w:val="auto"/>
        </w:rPr>
      </w:pPr>
    </w:p>
    <w:p>
      <w:pPr>
        <w:ind w:left="1420" w:right="20" w:hanging="764"/>
        <w:spacing w:after="0" w:line="250" w:lineRule="auto"/>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“OI” are to osteogenesis imperfecta a rare genetic bone disorder characterized by fragile bones that break easily, also known as brittle bone disease;</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“OncXerna” are to OncXerna Therapeutics, Inc.</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“ordinary shares” are to our ordinary shares, each of £0.003 nominal value;</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are to the United States Securities and Exchange Commission;</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“Setrusumab” are to a fully human monoclonal antibody for potential treatment of OI;</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“USD,” “US$” and “U.S. dollar” are to the United States dollar;</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“TIGIT” are to T-cell immunoreceptor with Ig and ITIM domains;</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“Ultragenyx” are to Ultragenyx Pharmaceutical, Inc.;</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112" w:lineRule="exact"/>
        <w:rPr>
          <w:sz w:val="20"/>
          <w:szCs w:val="20"/>
          <w:color w:val="auto"/>
        </w:rPr>
      </w:pPr>
    </w:p>
    <w:p>
      <w:pPr>
        <w:ind w:left="1420" w:hanging="764"/>
        <w:spacing w:after="0"/>
        <w:tabs>
          <w:tab w:leader="none" w:pos="1420" w:val="left"/>
        </w:tabs>
        <w:numPr>
          <w:ilvl w:val="0"/>
          <w:numId w:val="9"/>
        </w:numPr>
        <w:rPr>
          <w:rFonts w:ascii="Arial" w:cs="Arial" w:eastAsia="Arial" w:hAnsi="Arial"/>
          <w:sz w:val="22"/>
          <w:szCs w:val="22"/>
          <w:color w:val="auto"/>
        </w:rPr>
      </w:pPr>
      <w:r>
        <w:rPr>
          <w:rFonts w:ascii="Arial" w:cs="Arial" w:eastAsia="Arial" w:hAnsi="Arial"/>
          <w:sz w:val="22"/>
          <w:szCs w:val="22"/>
          <w:color w:val="auto"/>
        </w:rPr>
        <w:t>“£,” “GBP,” “pound sterling,” “pence” and “p” are to the British pound sterling (or units thereof).</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PRESENTATION OF FINANCIAL INFORMATION</w:t>
      </w:r>
    </w:p>
    <w:p>
      <w:pPr>
        <w:spacing w:after="0" w:line="212" w:lineRule="exact"/>
        <w:rPr>
          <w:sz w:val="20"/>
          <w:szCs w:val="20"/>
          <w:color w:val="auto"/>
        </w:rPr>
      </w:pPr>
    </w:p>
    <w:p>
      <w:pPr>
        <w:jc w:val="both"/>
        <w:ind w:left="120" w:firstLine="551"/>
        <w:spacing w:after="0" w:line="273" w:lineRule="auto"/>
        <w:rPr>
          <w:sz w:val="20"/>
          <w:szCs w:val="20"/>
          <w:color w:val="auto"/>
        </w:rPr>
      </w:pPr>
      <w:r>
        <w:rPr>
          <w:rFonts w:ascii="Arial" w:cs="Arial" w:eastAsia="Arial" w:hAnsi="Arial"/>
          <w:sz w:val="19"/>
          <w:szCs w:val="19"/>
          <w:color w:val="auto"/>
        </w:rPr>
        <w:t>This annual report contains our audited consolidated financial statements as of December 31, 2021 and 2020 and for the years ended December 31, 2021, 2020 and 2019 (our “audited consolidated financial statements”), prepared in accordance with International Financial Reporting Standards (“IFRS”), as issued by the International Accounting Standards Board (“IASB”).</w:t>
      </w:r>
    </w:p>
    <w:p>
      <w:pPr>
        <w:spacing w:after="0" w:line="1" w:lineRule="exact"/>
        <w:rPr>
          <w:sz w:val="20"/>
          <w:szCs w:val="20"/>
          <w:color w:val="auto"/>
        </w:rPr>
      </w:pPr>
    </w:p>
    <w:p>
      <w:pPr>
        <w:ind w:left="120" w:right="300"/>
        <w:spacing w:after="0" w:line="236" w:lineRule="auto"/>
        <w:rPr>
          <w:sz w:val="20"/>
          <w:szCs w:val="20"/>
          <w:color w:val="auto"/>
        </w:rPr>
      </w:pPr>
      <w:r>
        <w:rPr>
          <w:rFonts w:ascii="Arial" w:cs="Arial" w:eastAsia="Arial" w:hAnsi="Arial"/>
          <w:sz w:val="22"/>
          <w:szCs w:val="22"/>
          <w:color w:val="auto"/>
        </w:rPr>
        <w:t>Our financial information is presented in pound sterling. None of our financial statements were prepared in accordance with generally accepted accounting principles in the United States (“U.S.”).</w:t>
      </w:r>
    </w:p>
    <w:p>
      <w:pPr>
        <w:spacing w:after="0" w:line="187" w:lineRule="exact"/>
        <w:rPr>
          <w:sz w:val="20"/>
          <w:szCs w:val="20"/>
          <w:color w:val="auto"/>
        </w:rPr>
      </w:pPr>
    </w:p>
    <w:p>
      <w:pPr>
        <w:ind w:left="120" w:right="220" w:firstLine="551"/>
        <w:spacing w:after="0" w:line="249" w:lineRule="auto"/>
        <w:rPr>
          <w:sz w:val="20"/>
          <w:szCs w:val="20"/>
          <w:color w:val="auto"/>
        </w:rPr>
      </w:pPr>
      <w:r>
        <w:rPr>
          <w:rFonts w:ascii="Arial" w:cs="Arial" w:eastAsia="Arial" w:hAnsi="Arial"/>
          <w:sz w:val="21"/>
          <w:szCs w:val="21"/>
          <w:color w:val="auto"/>
        </w:rPr>
        <w:t>This annual report contains translations of certain pound sterling amounts into U.S. dollars at specified rates solely for the convenience of the reader. These translations should not be construed as representations that the pound sterling amounts actually represent such U.S. dollar amounts or could be converted into U.S. dollars at the rate indicated. Unless otherwise indicated, such U.S. dollar amounts have been translated from pound sterling at an exchange rate of £0.7402 to US$1.00, the exchange rate for pound sterling on December 31, 2021.</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USE OF TRADEMARKS, SERVICE MARKS AND TRADENAMES</w:t>
      </w:r>
    </w:p>
    <w:p>
      <w:pPr>
        <w:spacing w:after="0" w:line="212" w:lineRule="exact"/>
        <w:rPr>
          <w:sz w:val="20"/>
          <w:szCs w:val="20"/>
          <w:color w:val="auto"/>
        </w:rPr>
      </w:pPr>
    </w:p>
    <w:p>
      <w:pPr>
        <w:ind w:left="120" w:right="220" w:firstLine="551"/>
        <w:spacing w:after="0" w:line="287" w:lineRule="auto"/>
        <w:rPr>
          <w:sz w:val="20"/>
          <w:szCs w:val="20"/>
          <w:color w:val="auto"/>
        </w:rPr>
      </w:pPr>
      <w:r>
        <w:rPr>
          <w:rFonts w:ascii="Arial" w:cs="Arial" w:eastAsia="Arial" w:hAnsi="Arial"/>
          <w:sz w:val="19"/>
          <w:szCs w:val="19"/>
          <w:color w:val="auto"/>
        </w:rPr>
        <w:t>“Mereo,” the Mereo logo and other trademarks, trade names or service marks of Mereo appearing in this annual report are the property of Mereo. This Form 20-F also contains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143"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22"/>
          <w:szCs w:val="22"/>
          <w:color w:val="auto"/>
        </w:rPr>
        <w:t>This annual report contains additional trademarks, service marks, and trade names of others, which are the property of their respective owners. All trademarks, service marks, and trade names appearing in this annual report are, to Mereo’s knowledge, the property of their respective owners. Mereo does not intend its use or display of other companies’ trademarks, service marks, copyrights or trade names to imply a relationship with, or endorsement or sponsorship of Mereo by, any other companies.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12" w:lineRule="exact"/>
        <w:rPr>
          <w:sz w:val="20"/>
          <w:szCs w:val="20"/>
          <w:color w:val="auto"/>
        </w:rPr>
      </w:pPr>
    </w:p>
    <w:p>
      <w:pPr>
        <w:ind w:left="120" w:right="80" w:firstLine="551"/>
        <w:spacing w:after="0" w:line="274" w:lineRule="auto"/>
        <w:rPr>
          <w:sz w:val="20"/>
          <w:szCs w:val="20"/>
          <w:color w:val="auto"/>
        </w:rPr>
      </w:pPr>
      <w:r>
        <w:rPr>
          <w:rFonts w:ascii="Arial" w:cs="Arial" w:eastAsia="Arial" w:hAnsi="Arial"/>
          <w:sz w:val="19"/>
          <w:szCs w:val="19"/>
          <w:color w:val="auto"/>
        </w:rPr>
        <w:t>This annual report contains statements that constitute forward-looking statements within the meaning of Section 27A of the U.S. Securities Act of 1933, as amended (the “Securities Act”), Section 21E of the U.S. Securities Exchange Act of 1934, as amended (the “Exchange Act”) and the safe harbor provisions of the U.S. Private Securities Litigation Reform Act of 1995. The forward-looking statements in this annual report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“anticipate,” “believe,” “could,” “expect,” “foresee,” “should,” “plan,” “intend,” “estimate,” “would,” “may,” “outlook,” and “potential,” among others. The absence of these words, however, does not mean that the statements are not forward-looking. The statements we make regarding the following matters are forward-looking by their nature:</w:t>
      </w:r>
    </w:p>
    <w:p>
      <w:pPr>
        <w:sectPr>
          <w:pgSz w:w="11900" w:h="16838" w:orient="portrait"/>
          <w:cols w:equalWidth="0" w:num="1">
            <w:col w:w="11120"/>
          </w:cols>
          <w:pgMar w:left="320" w:top="486" w:right="459" w:bottom="907" w:gutter="0" w:footer="0" w:header="0"/>
        </w:sectPr>
      </w:pP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20"/>
          </w:cols>
          <w:pgMar w:left="320" w:top="486" w:right="459" w:bottom="907"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Forward-looking statements appear in a number of places in this annual report and include, but are not limited to, statements regarding intent, belief or current expectations. Forward-looking statements are based on the current beliefs and assumptions of the management of Mereo and on information currently available to such management. While the management of Mereo believes that these forward-looking statements are reasonable as and when made, there can be no assurance that future developments will be as anticipated. Such statements are subject to risks and uncertainties, and actual results may differ materially from those expressed or implied in the forward-looking statements due to of various factors, including, but not limited to, those identified under the section “Item 3. Key Information—D. Risk Factors” in this annual report. These risks and uncertainties include factors relating to:</w:t>
      </w:r>
    </w:p>
    <w:p>
      <w:pPr>
        <w:spacing w:after="0" w:line="85" w:lineRule="exact"/>
        <w:rPr>
          <w:sz w:val="20"/>
          <w:szCs w:val="20"/>
          <w:color w:val="auto"/>
        </w:rPr>
      </w:pPr>
    </w:p>
    <w:p>
      <w:pPr>
        <w:ind w:left="1420" w:right="500" w:hanging="764"/>
        <w:spacing w:after="0" w:line="250" w:lineRule="auto"/>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development of our product candidates, including statements regarding the expected initiation, timing, progress, and availability of data from our clinical trials;</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potential attributes and benefits of our product candidates and their competitive position;</w:t>
      </w:r>
    </w:p>
    <w:p>
      <w:pPr>
        <w:spacing w:after="0" w:line="111" w:lineRule="exact"/>
        <w:rPr>
          <w:rFonts w:ascii="Arial" w:cs="Arial" w:eastAsia="Arial" w:hAnsi="Arial"/>
          <w:sz w:val="22"/>
          <w:szCs w:val="22"/>
          <w:color w:val="auto"/>
        </w:rPr>
      </w:pPr>
    </w:p>
    <w:p>
      <w:pPr>
        <w:ind w:left="1420" w:right="220" w:hanging="764"/>
        <w:spacing w:after="0" w:line="250" w:lineRule="auto"/>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ability to partner or sell our non-core product candidates, acumapimod for the treatment of AECOPD and leflutrozole for the treatment of male infertility on attractive terms or at all;</w:t>
      </w:r>
    </w:p>
    <w:p>
      <w:pPr>
        <w:spacing w:after="0" w:line="80" w:lineRule="exact"/>
        <w:rPr>
          <w:rFonts w:ascii="Arial" w:cs="Arial" w:eastAsia="Arial" w:hAnsi="Arial"/>
          <w:sz w:val="22"/>
          <w:szCs w:val="22"/>
          <w:color w:val="auto"/>
        </w:rPr>
      </w:pPr>
    </w:p>
    <w:p>
      <w:pPr>
        <w:ind w:left="1420" w:right="1260" w:hanging="764"/>
        <w:spacing w:after="0" w:line="250" w:lineRule="auto"/>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ability to successfully commercialize, or enter into strategic relationships with third parties to commercialize, our product candidates, if approved;</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estimates regarding expenses, future revenues, capital requirements, and our need for additional financing;</w:t>
      </w:r>
    </w:p>
    <w:p>
      <w:pPr>
        <w:spacing w:after="0" w:line="146" w:lineRule="exact"/>
        <w:rPr>
          <w:rFonts w:ascii="Arial" w:cs="Arial" w:eastAsia="Arial" w:hAnsi="Arial"/>
          <w:sz w:val="19"/>
          <w:szCs w:val="19"/>
          <w:color w:val="auto"/>
        </w:rPr>
      </w:pPr>
    </w:p>
    <w:p>
      <w:pPr>
        <w:ind w:left="1420" w:hanging="764"/>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being subject to ongoing regulatory obligations if our products secure regulatory approval;</w:t>
      </w:r>
    </w:p>
    <w:p>
      <w:pPr>
        <w:spacing w:after="0" w:line="111" w:lineRule="exact"/>
        <w:rPr>
          <w:rFonts w:ascii="Arial" w:cs="Arial" w:eastAsia="Arial" w:hAnsi="Arial"/>
          <w:sz w:val="22"/>
          <w:szCs w:val="22"/>
          <w:color w:val="auto"/>
        </w:rPr>
      </w:pPr>
    </w:p>
    <w:p>
      <w:pPr>
        <w:ind w:left="1420" w:right="180" w:hanging="764"/>
        <w:spacing w:after="0" w:line="250" w:lineRule="auto"/>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reliance on third parties to conduct our clinical trials and on third-party suppliers to supply or produce our product candidates;</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patient market size of any diseases and market adoption of our products by physicians and patients;</w:t>
      </w:r>
    </w:p>
    <w:p>
      <w:pPr>
        <w:spacing w:after="0" w:line="123" w:lineRule="exact"/>
        <w:rPr>
          <w:rFonts w:ascii="Arial" w:cs="Arial" w:eastAsia="Arial" w:hAnsi="Arial"/>
          <w:sz w:val="21"/>
          <w:szCs w:val="21"/>
          <w:color w:val="auto"/>
        </w:rPr>
      </w:pPr>
    </w:p>
    <w:p>
      <w:pPr>
        <w:ind w:left="1420" w:right="80" w:hanging="764"/>
        <w:spacing w:after="0" w:line="250" w:lineRule="auto"/>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ability to obtain and maintain adequate intellectual property rights and adequately protect and enforce such rights;</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duration of our patent portfolio;</w:t>
      </w:r>
    </w:p>
    <w:p>
      <w:pPr>
        <w:spacing w:after="0" w:line="111" w:lineRule="exact"/>
        <w:rPr>
          <w:rFonts w:ascii="Arial" w:cs="Arial" w:eastAsia="Arial" w:hAnsi="Arial"/>
          <w:sz w:val="22"/>
          <w:szCs w:val="22"/>
          <w:color w:val="auto"/>
        </w:rPr>
      </w:pPr>
    </w:p>
    <w:p>
      <w:pPr>
        <w:jc w:val="both"/>
        <w:ind w:left="1420" w:right="360" w:hanging="764"/>
        <w:spacing w:after="0" w:line="297" w:lineRule="auto"/>
        <w:tabs>
          <w:tab w:leader="none" w:pos="14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COVID-19 pandemic and the associated disruptions during and after the pandemic that could materially impact our business, including, delays to enrollment of patients in clinical trials for our product candidates, delays to clinical trial supplies, planned clinical developments and our ongoing or future clinical studies;</w:t>
      </w:r>
    </w:p>
    <w:p>
      <w:pPr>
        <w:spacing w:after="0" w:line="39" w:lineRule="exact"/>
        <w:rPr>
          <w:rFonts w:ascii="Arial" w:cs="Arial" w:eastAsia="Arial" w:hAnsi="Arial"/>
          <w:sz w:val="19"/>
          <w:szCs w:val="19"/>
          <w:color w:val="auto"/>
        </w:rPr>
      </w:pPr>
    </w:p>
    <w:p>
      <w:pPr>
        <w:ind w:left="1420" w:right="620" w:hanging="764"/>
        <w:spacing w:after="0" w:line="328" w:lineRule="auto"/>
        <w:tabs>
          <w:tab w:leader="none" w:pos="14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United Kingdom’s withdrawal from the European Union could increase our cost of doing business or otherwise negatively impact our business, results of operations and financial condition;</w:t>
      </w:r>
    </w:p>
    <w:p>
      <w:pPr>
        <w:spacing w:after="0" w:line="10" w:lineRule="exact"/>
        <w:rPr>
          <w:rFonts w:ascii="Arial" w:cs="Arial" w:eastAsia="Arial" w:hAnsi="Arial"/>
          <w:sz w:val="19"/>
          <w:szCs w:val="19"/>
          <w:color w:val="auto"/>
        </w:rPr>
      </w:pPr>
    </w:p>
    <w:p>
      <w:pPr>
        <w:ind w:left="1420" w:hanging="764"/>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ability to retain key personnel and recruit additional qualified personnel;</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ability to manage growth; and</w:t>
      </w:r>
    </w:p>
    <w:p>
      <w:pPr>
        <w:spacing w:after="0" w:line="111" w:lineRule="exact"/>
        <w:rPr>
          <w:rFonts w:ascii="Arial" w:cs="Arial" w:eastAsia="Arial" w:hAnsi="Arial"/>
          <w:sz w:val="22"/>
          <w:szCs w:val="22"/>
          <w:color w:val="auto"/>
        </w:rPr>
      </w:pPr>
    </w:p>
    <w:p>
      <w:pPr>
        <w:ind w:left="1420" w:right="700" w:hanging="764"/>
        <w:spacing w:after="0" w:line="250" w:lineRule="auto"/>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our ability to successfully integrate and realize the benefits of our past or future strategic acquisitions or investments.</w:t>
      </w:r>
    </w:p>
    <w:p>
      <w:pPr>
        <w:spacing w:after="0" w:line="175" w:lineRule="exact"/>
        <w:rPr>
          <w:sz w:val="20"/>
          <w:szCs w:val="20"/>
          <w:color w:val="auto"/>
        </w:rPr>
      </w:pPr>
    </w:p>
    <w:p>
      <w:pPr>
        <w:ind w:left="120" w:firstLine="551"/>
        <w:spacing w:after="0" w:line="274" w:lineRule="auto"/>
        <w:rPr>
          <w:sz w:val="20"/>
          <w:szCs w:val="20"/>
          <w:color w:val="auto"/>
        </w:rPr>
      </w:pPr>
      <w:r>
        <w:rPr>
          <w:rFonts w:ascii="Arial" w:cs="Arial" w:eastAsia="Arial" w:hAnsi="Arial"/>
          <w:sz w:val="19"/>
          <w:szCs w:val="19"/>
          <w:color w:val="auto"/>
        </w:rPr>
        <w:t>You should refer to the section titled “Item 3.D Risk Factors”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80"/>
          </w:cols>
          <w:pgMar w:left="320" w:top="48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SUMMARY RISK FACTORS</w:t>
      </w:r>
    </w:p>
    <w:p>
      <w:pPr>
        <w:spacing w:after="0" w:line="212" w:lineRule="exact"/>
        <w:rPr>
          <w:sz w:val="20"/>
          <w:szCs w:val="20"/>
          <w:color w:val="auto"/>
        </w:rPr>
      </w:pPr>
    </w:p>
    <w:p>
      <w:pPr>
        <w:ind w:left="120" w:firstLine="551"/>
        <w:spacing w:after="0" w:line="248" w:lineRule="auto"/>
        <w:rPr>
          <w:sz w:val="20"/>
          <w:szCs w:val="20"/>
          <w:color w:val="auto"/>
        </w:rPr>
      </w:pPr>
      <w:r>
        <w:rPr>
          <w:rFonts w:ascii="Arial" w:cs="Arial" w:eastAsia="Arial" w:hAnsi="Arial"/>
          <w:sz w:val="21"/>
          <w:szCs w:val="21"/>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82" w:lineRule="exact"/>
        <w:rPr>
          <w:sz w:val="20"/>
          <w:szCs w:val="20"/>
          <w:color w:val="auto"/>
        </w:rPr>
      </w:pPr>
    </w:p>
    <w:p>
      <w:pPr>
        <w:ind w:left="1420" w:hanging="764"/>
        <w:spacing w:after="0"/>
        <w:tabs>
          <w:tab w:leader="none" w:pos="14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We have a limited operating history and have never generated any revenue from product sales.</w:t>
      </w:r>
    </w:p>
    <w:p>
      <w:pPr>
        <w:spacing w:after="0" w:line="111" w:lineRule="exact"/>
        <w:rPr>
          <w:rFonts w:ascii="Arial" w:cs="Arial" w:eastAsia="Arial" w:hAnsi="Arial"/>
          <w:sz w:val="22"/>
          <w:szCs w:val="22"/>
          <w:color w:val="auto"/>
        </w:rPr>
      </w:pPr>
    </w:p>
    <w:p>
      <w:pPr>
        <w:ind w:left="1420" w:hanging="764"/>
        <w:spacing w:after="0" w:line="287" w:lineRule="auto"/>
        <w:tabs>
          <w:tab w:leader="none" w:pos="14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48" w:lineRule="exact"/>
        <w:rPr>
          <w:rFonts w:ascii="Arial" w:cs="Arial" w:eastAsia="Arial" w:hAnsi="Arial"/>
          <w:sz w:val="19"/>
          <w:szCs w:val="19"/>
          <w:color w:val="auto"/>
        </w:rPr>
      </w:pPr>
    </w:p>
    <w:p>
      <w:pPr>
        <w:ind w:left="1420" w:right="160" w:hanging="764"/>
        <w:spacing w:after="0" w:line="282" w:lineRule="auto"/>
        <w:tabs>
          <w:tab w:leader="none" w:pos="14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depend heavily on the success of etigilimab, alvelestat and setrusumab. We cannot give any assurance that any of these product candidates or therapeutic candidates will receive regulatory approval, which is necessary before they can be commercialized. If we are unable to commercialize etigilimab, alvelestat and setrusumab, whether on our own or through agreements with third parties, or experience significant delays in doing so, our ability to generate revenue and our financial condition will be adversely affected.</w:t>
      </w:r>
    </w:p>
    <w:p>
      <w:pPr>
        <w:spacing w:after="0" w:line="52" w:lineRule="exact"/>
        <w:rPr>
          <w:rFonts w:ascii="Arial" w:cs="Arial" w:eastAsia="Arial" w:hAnsi="Arial"/>
          <w:sz w:val="19"/>
          <w:szCs w:val="19"/>
          <w:color w:val="auto"/>
        </w:rPr>
      </w:pPr>
    </w:p>
    <w:p>
      <w:pPr>
        <w:ind w:left="1420" w:right="220" w:hanging="764"/>
        <w:spacing w:after="0" w:line="252" w:lineRule="auto"/>
        <w:tabs>
          <w:tab w:leader="none" w:pos="14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COVID-19 pandemic may continue to impact our business or any other similar pandemic may materially impact our business, including, delays to enrollment of patients in clinical trials for our product candidates, delays in engagement with or responses from regulatory authorities, delays to clinical trial supplies, planned clinical developments and our ongoing or future clinical studies.</w:t>
      </w:r>
    </w:p>
    <w:p>
      <w:pPr>
        <w:spacing w:after="0" w:line="79" w:lineRule="exact"/>
        <w:rPr>
          <w:rFonts w:ascii="Arial" w:cs="Arial" w:eastAsia="Arial" w:hAnsi="Arial"/>
          <w:sz w:val="21"/>
          <w:szCs w:val="21"/>
          <w:color w:val="auto"/>
        </w:rPr>
      </w:pPr>
    </w:p>
    <w:p>
      <w:pPr>
        <w:ind w:left="1420" w:right="160" w:hanging="764"/>
        <w:spacing w:after="0" w:line="297" w:lineRule="auto"/>
        <w:tabs>
          <w:tab w:leader="none" w:pos="14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39" w:lineRule="exact"/>
        <w:rPr>
          <w:rFonts w:ascii="Arial" w:cs="Arial" w:eastAsia="Arial" w:hAnsi="Arial"/>
          <w:sz w:val="19"/>
          <w:szCs w:val="19"/>
          <w:color w:val="auto"/>
        </w:rPr>
      </w:pPr>
    </w:p>
    <w:p>
      <w:pPr>
        <w:ind w:left="1420" w:right="80" w:hanging="764"/>
        <w:spacing w:after="0"/>
        <w:tabs>
          <w:tab w:leader="none" w:pos="14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91" w:lineRule="exact"/>
        <w:rPr>
          <w:rFonts w:ascii="Arial" w:cs="Arial" w:eastAsia="Arial" w:hAnsi="Arial"/>
          <w:sz w:val="22"/>
          <w:szCs w:val="22"/>
          <w:color w:val="auto"/>
        </w:rPr>
      </w:pPr>
    </w:p>
    <w:p>
      <w:pPr>
        <w:ind w:left="1420" w:right="740" w:hanging="764"/>
        <w:spacing w:after="0" w:line="328" w:lineRule="auto"/>
        <w:tabs>
          <w:tab w:leader="none" w:pos="14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Enacted and future healthcare legislation may increase the difficulty and cost for us to obtain marketing approval of and commercialize our product candidates and may affect the prices we may set.</w:t>
      </w:r>
    </w:p>
    <w:p>
      <w:pPr>
        <w:spacing w:after="0" w:line="10" w:lineRule="exact"/>
        <w:rPr>
          <w:rFonts w:ascii="Arial" w:cs="Arial" w:eastAsia="Arial" w:hAnsi="Arial"/>
          <w:sz w:val="19"/>
          <w:szCs w:val="19"/>
          <w:color w:val="auto"/>
        </w:rPr>
      </w:pPr>
    </w:p>
    <w:p>
      <w:pPr>
        <w:jc w:val="both"/>
        <w:ind w:left="1420" w:right="720" w:hanging="764"/>
        <w:spacing w:after="0" w:line="328" w:lineRule="auto"/>
        <w:tabs>
          <w:tab w:leader="none" w:pos="14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operate in a highly competitive and rapidly changing industry, which may result in others acquiring, developing, or commercializing competing product candidates before or more successfully than we do.</w:t>
      </w:r>
    </w:p>
    <w:p>
      <w:pPr>
        <w:spacing w:after="0" w:line="10" w:lineRule="exact"/>
        <w:rPr>
          <w:rFonts w:ascii="Arial" w:cs="Arial" w:eastAsia="Arial" w:hAnsi="Arial"/>
          <w:sz w:val="19"/>
          <w:szCs w:val="19"/>
          <w:color w:val="auto"/>
        </w:rPr>
      </w:pPr>
    </w:p>
    <w:p>
      <w:pPr>
        <w:ind w:left="1420" w:right="100" w:hanging="764"/>
        <w:spacing w:after="0" w:line="252" w:lineRule="auto"/>
        <w:tabs>
          <w:tab w:leader="none" w:pos="14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79" w:lineRule="exact"/>
        <w:rPr>
          <w:rFonts w:ascii="Arial" w:cs="Arial" w:eastAsia="Arial" w:hAnsi="Arial"/>
          <w:sz w:val="21"/>
          <w:szCs w:val="21"/>
          <w:color w:val="auto"/>
        </w:rPr>
      </w:pPr>
    </w:p>
    <w:p>
      <w:pPr>
        <w:ind w:left="1420" w:right="340" w:hanging="764"/>
        <w:spacing w:after="0" w:line="236" w:lineRule="auto"/>
        <w:tabs>
          <w:tab w:leader="none" w:pos="14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92" w:lineRule="exact"/>
        <w:rPr>
          <w:rFonts w:ascii="Arial" w:cs="Arial" w:eastAsia="Arial" w:hAnsi="Arial"/>
          <w:sz w:val="22"/>
          <w:szCs w:val="22"/>
          <w:color w:val="auto"/>
        </w:rPr>
      </w:pPr>
    </w:p>
    <w:p>
      <w:pPr>
        <w:ind w:left="1420" w:right="700" w:hanging="764"/>
        <w:spacing w:after="0" w:line="250" w:lineRule="auto"/>
        <w:tabs>
          <w:tab w:leader="none" w:pos="14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Our existing and future product candidates may not gain market acceptance, in which case our ability to generate revenues from product sales will be compromised.</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00"/>
          </w:cols>
          <w:pgMar w:left="320" w:top="486"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40" w:hanging="764"/>
        <w:spacing w:after="0" w:line="287" w:lineRule="auto"/>
        <w:tabs>
          <w:tab w:leader="none" w:pos="14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48" w:lineRule="exact"/>
        <w:rPr>
          <w:rFonts w:ascii="Arial" w:cs="Arial" w:eastAsia="Arial" w:hAnsi="Arial"/>
          <w:sz w:val="19"/>
          <w:szCs w:val="19"/>
          <w:color w:val="auto"/>
        </w:rPr>
      </w:pPr>
    </w:p>
    <w:p>
      <w:pPr>
        <w:ind w:left="1420" w:right="260" w:hanging="764"/>
        <w:spacing w:after="0" w:line="236" w:lineRule="auto"/>
        <w:tabs>
          <w:tab w:leader="none" w:pos="14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92" w:lineRule="exact"/>
        <w:rPr>
          <w:rFonts w:ascii="Arial" w:cs="Arial" w:eastAsia="Arial" w:hAnsi="Arial"/>
          <w:sz w:val="22"/>
          <w:szCs w:val="22"/>
          <w:color w:val="auto"/>
        </w:rPr>
      </w:pPr>
    </w:p>
    <w:p>
      <w:pPr>
        <w:ind w:left="1420" w:right="300" w:hanging="764"/>
        <w:spacing w:after="0" w:line="297" w:lineRule="auto"/>
        <w:tabs>
          <w:tab w:leader="none" w:pos="14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39" w:lineRule="exact"/>
        <w:rPr>
          <w:rFonts w:ascii="Arial" w:cs="Arial" w:eastAsia="Arial" w:hAnsi="Arial"/>
          <w:sz w:val="19"/>
          <w:szCs w:val="19"/>
          <w:color w:val="auto"/>
        </w:rPr>
      </w:pPr>
    </w:p>
    <w:p>
      <w:pPr>
        <w:ind w:left="1420" w:right="220" w:hanging="764"/>
        <w:spacing w:after="0" w:line="252" w:lineRule="auto"/>
        <w:tabs>
          <w:tab w:leader="none" w:pos="1420" w:val="left"/>
        </w:tabs>
        <w:numPr>
          <w:ilvl w:val="0"/>
          <w:numId w:val="12"/>
        </w:numPr>
        <w:rPr>
          <w:rFonts w:ascii="Arial" w:cs="Arial" w:eastAsia="Arial" w:hAnsi="Arial"/>
          <w:sz w:val="21"/>
          <w:szCs w:val="21"/>
          <w:color w:val="auto"/>
        </w:rPr>
      </w:pPr>
      <w:r>
        <w:rPr>
          <w:rFonts w:ascii="Arial" w:cs="Arial" w:eastAsia="Arial" w:hAnsi="Arial"/>
          <w:sz w:val="21"/>
          <w:szCs w:val="2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79" w:lineRule="exact"/>
        <w:rPr>
          <w:rFonts w:ascii="Arial" w:cs="Arial" w:eastAsia="Arial" w:hAnsi="Arial"/>
          <w:sz w:val="21"/>
          <w:szCs w:val="21"/>
          <w:color w:val="auto"/>
        </w:rPr>
      </w:pPr>
    </w:p>
    <w:p>
      <w:pPr>
        <w:ind w:left="1420" w:right="480" w:hanging="764"/>
        <w:spacing w:after="0" w:line="250" w:lineRule="auto"/>
        <w:tabs>
          <w:tab w:leader="none" w:pos="14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Our future growth and ability to compete depends on retaining our key personnel and recruiting additional qualified personnel.</w:t>
      </w:r>
    </w:p>
    <w:p>
      <w:pPr>
        <w:spacing w:after="0" w:line="80" w:lineRule="exact"/>
        <w:rPr>
          <w:rFonts w:ascii="Arial" w:cs="Arial" w:eastAsia="Arial" w:hAnsi="Arial"/>
          <w:sz w:val="22"/>
          <w:szCs w:val="22"/>
          <w:color w:val="auto"/>
        </w:rPr>
      </w:pPr>
    </w:p>
    <w:p>
      <w:pPr>
        <w:ind w:left="1420" w:right="20" w:hanging="764"/>
        <w:spacing w:after="0" w:line="250" w:lineRule="auto"/>
        <w:tabs>
          <w:tab w:leader="none" w:pos="14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Failure to establish and maintain effective internal controls could have a material adverse effect on our business and stock price.</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If our partners do not satisfy their obligations under our agreements with them, or if they terminate our licenses, partnerships or collaborations with them, we may not be able to develop or commercialize our licensed or partnered product candidates as planned.</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PART ONE</w:t>
      </w:r>
    </w:p>
    <w:p>
      <w:pPr>
        <w:spacing w:after="0" w:line="233"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Identity of Directors, Senior Management And Advisers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4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Offer Statistics and Expected Timetable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4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Key Information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3.A. [Reserved]</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3.B. Capitalization and Indebtedness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3.C. Reasons For the Offer and Use of Proceeds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320" w:top="48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3.D. Risk Factors</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21"/>
          <w:szCs w:val="21"/>
          <w:i w:val="1"/>
          <w:iCs w:val="1"/>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We have a limited operating history and have never generated any revenue from product sales.</w:t>
      </w:r>
    </w:p>
    <w:p>
      <w:pPr>
        <w:spacing w:after="0" w:line="206" w:lineRule="exact"/>
        <w:rPr>
          <w:sz w:val="20"/>
          <w:szCs w:val="20"/>
          <w:color w:val="auto"/>
        </w:rPr>
      </w:pPr>
    </w:p>
    <w:p>
      <w:pPr>
        <w:ind w:left="120" w:firstLine="551"/>
        <w:spacing w:after="0" w:line="245" w:lineRule="auto"/>
        <w:rPr>
          <w:sz w:val="20"/>
          <w:szCs w:val="20"/>
          <w:color w:val="auto"/>
        </w:rPr>
      </w:pPr>
      <w:r>
        <w:rPr>
          <w:rFonts w:ascii="Arial" w:cs="Arial" w:eastAsia="Arial" w:hAnsi="Arial"/>
          <w:sz w:val="21"/>
          <w:szCs w:val="21"/>
          <w:color w:val="auto"/>
        </w:rPr>
        <w:t>We are a multi-asset, clinical-stage biopharmaceutical company with a limited operating history, and have incurred significant operating losses since our formation. For the year-ended December 31, 2021 we had a net profit of £12.7 million and we had net losses of £163.6 million and £34.8 million, in the years ended December 31, 2020 and 2019, respectively. As of December 31, 2021, we had an accumulated net loss of £297.0 million (£309.7 million as of December 31, 2020).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potentially commercialize our product candidates. We anticipate that our expenses will increase substantially as we:</w:t>
      </w:r>
    </w:p>
    <w:p>
      <w:pPr>
        <w:spacing w:after="0" w:line="90" w:lineRule="exact"/>
        <w:rPr>
          <w:sz w:val="20"/>
          <w:szCs w:val="20"/>
          <w:color w:val="auto"/>
        </w:rPr>
      </w:pPr>
    </w:p>
    <w:p>
      <w:pPr>
        <w:ind w:left="1420" w:right="240" w:hanging="535"/>
        <w:spacing w:after="0" w:line="250" w:lineRule="auto"/>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conduct our Phase 1b/2 trial of etigilimab in a range of tumor types and potentially expand some of the initial cohorts in the study or add new cohorts and tumor types to the study;</w:t>
      </w:r>
    </w:p>
    <w:p>
      <w:pPr>
        <w:spacing w:after="0" w:line="80" w:lineRule="exact"/>
        <w:rPr>
          <w:rFonts w:ascii="Arial" w:cs="Arial" w:eastAsia="Arial" w:hAnsi="Arial"/>
          <w:sz w:val="22"/>
          <w:szCs w:val="22"/>
          <w:color w:val="auto"/>
        </w:rPr>
      </w:pPr>
    </w:p>
    <w:p>
      <w:pPr>
        <w:ind w:left="1420" w:right="340" w:hanging="535"/>
        <w:spacing w:after="0"/>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complete our Phase 2 clinical trial of alvelestat for the treatment of severe AATD and prepare for a potential Phase 3 clinical trial, and expand the investigator-sponsored study in Bronchiolitis Obliterans Syndrome (“BOS”) into Phase 2;</w:t>
      </w:r>
    </w:p>
    <w:p>
      <w:pPr>
        <w:spacing w:after="0" w:line="91" w:lineRule="exact"/>
        <w:rPr>
          <w:rFonts w:ascii="Arial" w:cs="Arial" w:eastAsia="Arial" w:hAnsi="Arial"/>
          <w:sz w:val="22"/>
          <w:szCs w:val="22"/>
          <w:color w:val="auto"/>
        </w:rPr>
      </w:pPr>
    </w:p>
    <w:p>
      <w:pPr>
        <w:ind w:left="1420" w:right="20" w:hanging="535"/>
        <w:spacing w:after="0" w:line="250" w:lineRule="auto"/>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undertake the activities required as part of our collaboration with Ultragenyx and eventual commercialization of setrusumab in Europe and the U.K.;</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undertake development of our product candidates in any additional disease indications;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seek regulatory approvals for our product candidates;</w:t>
      </w:r>
    </w:p>
    <w:p>
      <w:pPr>
        <w:spacing w:after="0" w:line="111" w:lineRule="exact"/>
        <w:rPr>
          <w:rFonts w:ascii="Arial" w:cs="Arial" w:eastAsia="Arial" w:hAnsi="Arial"/>
          <w:sz w:val="22"/>
          <w:szCs w:val="22"/>
          <w:color w:val="auto"/>
        </w:rPr>
      </w:pPr>
    </w:p>
    <w:p>
      <w:pPr>
        <w:ind w:left="1420" w:right="680" w:hanging="535"/>
        <w:spacing w:after="0" w:line="250" w:lineRule="auto"/>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potentially establish a commercial infrastructure to commercialize or co-commercialize selected product candidates, if approved;</w:t>
      </w:r>
    </w:p>
    <w:p>
      <w:pPr>
        <w:spacing w:after="0" w:line="80" w:lineRule="exact"/>
        <w:rPr>
          <w:rFonts w:ascii="Arial" w:cs="Arial" w:eastAsia="Arial" w:hAnsi="Arial"/>
          <w:sz w:val="22"/>
          <w:szCs w:val="22"/>
          <w:color w:val="auto"/>
        </w:rPr>
      </w:pPr>
    </w:p>
    <w:p>
      <w:pPr>
        <w:ind w:left="1420" w:right="1040" w:hanging="535"/>
        <w:spacing w:after="0" w:line="250" w:lineRule="auto"/>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work with CMOs to develop manufacturing processes and scale-up for Phase 3 studies and potential commercialization</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maintain, expand, and protect our intellectual property portfolio;</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secure, maintain, or obtain freedom to operate for our technologies and product candidates;</w:t>
      </w:r>
    </w:p>
    <w:p>
      <w:pPr>
        <w:spacing w:after="0" w:line="111" w:lineRule="exact"/>
        <w:rPr>
          <w:rFonts w:ascii="Arial" w:cs="Arial" w:eastAsia="Arial" w:hAnsi="Arial"/>
          <w:sz w:val="22"/>
          <w:szCs w:val="22"/>
          <w:color w:val="auto"/>
        </w:rPr>
      </w:pPr>
    </w:p>
    <w:p>
      <w:pPr>
        <w:ind w:left="1420" w:right="160" w:hanging="535"/>
        <w:spacing w:after="0"/>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add clinical, scientific, operational, financial, legal and management personnel, including personnel to support the development of our product candidates and potential future commercialization or co-commercialization efforts;</w:t>
      </w:r>
    </w:p>
    <w:p>
      <w:pPr>
        <w:spacing w:after="0" w:line="91" w:lineRule="exact"/>
        <w:rPr>
          <w:rFonts w:ascii="Arial" w:cs="Arial" w:eastAsia="Arial" w:hAnsi="Arial"/>
          <w:sz w:val="22"/>
          <w:szCs w:val="22"/>
          <w:color w:val="auto"/>
        </w:rPr>
      </w:pPr>
    </w:p>
    <w:p>
      <w:pPr>
        <w:ind w:left="1420" w:right="240" w:hanging="535"/>
        <w:spacing w:after="0" w:line="328" w:lineRule="auto"/>
        <w:tabs>
          <w:tab w:leader="none" w:pos="14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expand our operations and potentially hire additional employees in the United Kingdom, United States and in Europe, territories where we anticipate direct commercialization or commercialization with a partner; and</w:t>
      </w:r>
    </w:p>
    <w:p>
      <w:pPr>
        <w:spacing w:after="0" w:line="10" w:lineRule="exact"/>
        <w:rPr>
          <w:rFonts w:ascii="Arial" w:cs="Arial" w:eastAsia="Arial" w:hAnsi="Arial"/>
          <w:sz w:val="19"/>
          <w:szCs w:val="19"/>
          <w:color w:val="auto"/>
        </w:rPr>
      </w:pPr>
    </w:p>
    <w:p>
      <w:pPr>
        <w:ind w:left="1420" w:hanging="535"/>
        <w:spacing w:after="0"/>
        <w:tabs>
          <w:tab w:leader="none" w:pos="14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seek to acquire additional novel product candidates to treat rare diseases.</w:t>
      </w:r>
    </w:p>
    <w:p>
      <w:pPr>
        <w:spacing w:after="0" w:line="206" w:lineRule="exact"/>
        <w:rPr>
          <w:sz w:val="20"/>
          <w:szCs w:val="20"/>
          <w:color w:val="auto"/>
        </w:rPr>
      </w:pPr>
    </w:p>
    <w:p>
      <w:pPr>
        <w:ind w:left="120" w:right="40" w:firstLine="551"/>
        <w:spacing w:after="0" w:line="328" w:lineRule="auto"/>
        <w:rPr>
          <w:sz w:val="20"/>
          <w:szCs w:val="20"/>
          <w:color w:val="auto"/>
        </w:rPr>
      </w:pPr>
      <w:r>
        <w:rPr>
          <w:rFonts w:ascii="Arial" w:cs="Arial" w:eastAsia="Arial" w:hAnsi="Arial"/>
          <w:sz w:val="19"/>
          <w:szCs w:val="19"/>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05" w:lineRule="exact"/>
        <w:rPr>
          <w:sz w:val="20"/>
          <w:szCs w:val="20"/>
          <w:color w:val="auto"/>
        </w:rPr>
      </w:pPr>
    </w:p>
    <w:p>
      <w:pPr>
        <w:ind w:left="120" w:right="320" w:firstLine="551"/>
        <w:spacing w:after="0"/>
        <w:rPr>
          <w:sz w:val="20"/>
          <w:szCs w:val="20"/>
          <w:color w:val="auto"/>
        </w:rPr>
      </w:pPr>
      <w:r>
        <w:rPr>
          <w:rFonts w:ascii="Arial" w:cs="Arial" w:eastAsia="Arial" w:hAnsi="Arial"/>
          <w:sz w:val="22"/>
          <w:szCs w:val="22"/>
          <w:color w:val="auto"/>
        </w:rPr>
        <w:t>We have devoted substantially all of our financial resources and efforts to the acquisition and clinical development of our product candidates. We have not completed the clinical development of any product through approval and have never generated any revenue from product sales.</w:t>
      </w:r>
    </w:p>
    <w:p>
      <w:pPr>
        <w:spacing w:after="0" w:line="186"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if approved or entering into strategic relationships for our current and future product candidates. We are only in the preliminary stages of many of these activities. We may never succeed in these activities and, even if we do, we may never generate revenue that is significant enough to achieve profitability.</w:t>
      </w:r>
    </w:p>
    <w:p>
      <w:pPr>
        <w:sectPr>
          <w:pgSz w:w="11900" w:h="16838" w:orient="portrait"/>
          <w:cols w:equalWidth="0" w:num="1">
            <w:col w:w="11120"/>
          </w:cols>
          <w:pgMar w:left="320" w:top="486" w:right="459" w:bottom="0" w:gutter="0" w:footer="0" w:header="0"/>
        </w:sectPr>
      </w:pP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20"/>
          </w:cols>
          <w:pgMar w:left="320" w:top="486" w:right="459" w:bottom="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75" w:lineRule="auto"/>
        <w:rPr>
          <w:sz w:val="20"/>
          <w:szCs w:val="20"/>
          <w:color w:val="auto"/>
        </w:rPr>
      </w:pPr>
      <w:r>
        <w:rPr>
          <w:rFonts w:ascii="Arial" w:cs="Arial" w:eastAsia="Arial" w:hAnsi="Arial"/>
          <w:sz w:val="19"/>
          <w:szCs w:val="19"/>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157" w:lineRule="exact"/>
        <w:rPr>
          <w:sz w:val="20"/>
          <w:szCs w:val="20"/>
          <w:color w:val="auto"/>
        </w:rPr>
      </w:pPr>
    </w:p>
    <w:p>
      <w:pPr>
        <w:ind w:left="120" w:right="140" w:firstLine="551"/>
        <w:spacing w:after="0" w:line="274" w:lineRule="auto"/>
        <w:rPr>
          <w:sz w:val="20"/>
          <w:szCs w:val="20"/>
          <w:color w:val="auto"/>
        </w:rPr>
      </w:pPr>
      <w:r>
        <w:rPr>
          <w:rFonts w:ascii="Arial" w:cs="Arial" w:eastAsia="Arial" w:hAnsi="Arial"/>
          <w:sz w:val="19"/>
          <w:szCs w:val="19"/>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w:t>
      </w:r>
    </w:p>
    <w:p>
      <w:pPr>
        <w:spacing w:after="0" w:line="266" w:lineRule="exact"/>
        <w:rPr>
          <w:sz w:val="20"/>
          <w:szCs w:val="20"/>
          <w:color w:val="auto"/>
        </w:rPr>
      </w:pPr>
    </w:p>
    <w:p>
      <w:pPr>
        <w:ind w:left="120" w:right="360"/>
        <w:spacing w:after="0" w:line="287" w:lineRule="auto"/>
        <w:rPr>
          <w:sz w:val="20"/>
          <w:szCs w:val="20"/>
          <w:color w:val="auto"/>
        </w:rPr>
      </w:pPr>
      <w:r>
        <w:rPr>
          <w:rFonts w:ascii="Arial" w:cs="Arial" w:eastAsia="Arial" w:hAnsi="Arial"/>
          <w:sz w:val="19"/>
          <w:szCs w:val="19"/>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43" w:lineRule="exact"/>
        <w:rPr>
          <w:sz w:val="20"/>
          <w:szCs w:val="20"/>
          <w:color w:val="auto"/>
        </w:rPr>
      </w:pPr>
    </w:p>
    <w:p>
      <w:pPr>
        <w:ind w:left="120" w:right="60" w:firstLine="551"/>
        <w:spacing w:after="0" w:line="274" w:lineRule="auto"/>
        <w:rPr>
          <w:sz w:val="20"/>
          <w:szCs w:val="20"/>
          <w:color w:val="auto"/>
        </w:rPr>
      </w:pPr>
      <w:r>
        <w:rPr>
          <w:rFonts w:ascii="Arial" w:cs="Arial" w:eastAsia="Arial" w:hAnsi="Arial"/>
          <w:sz w:val="19"/>
          <w:szCs w:val="19"/>
          <w:color w:val="auto"/>
        </w:rPr>
        <w:t>While we raised $183 million (£137.9 million) in private placements of ordinary shares and convertible loan notes in 2020 and in a public offering of ADSs in February 2021, we expect our expenses to increase substantially in connection with our ongoing activities, particularly as we continue to advance our rare disease and oncology portfolio. In addition, if we obtain marketing approval for product candidates where we retain commercial rights, we expect to incur significant commercialization expenses related to product sales, marketing, distribution and manufacturing. Furthermore, we expect to continue to incur additional costs associated with operating as a publicly traded company in the United States and maintaining a listing on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5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22"/>
          <w:szCs w:val="22"/>
          <w:color w:val="auto"/>
        </w:rPr>
        <w:t>We believe that our existing cash and cash equivalents will be sufficient to enable us to fund our operating expenses and capital expenditure requirements into 2024 at which point we will require additional capital. Our failure to obtain sufficient funds on acceptable terms when needed could have a material adverse effect on our business, results of operations and financial condition.</w:t>
      </w:r>
    </w:p>
    <w:p>
      <w:pPr>
        <w:spacing w:after="0" w:line="185" w:lineRule="exact"/>
        <w:rPr>
          <w:sz w:val="20"/>
          <w:szCs w:val="20"/>
          <w:color w:val="auto"/>
        </w:rPr>
      </w:pPr>
    </w:p>
    <w:p>
      <w:pPr>
        <w:jc w:val="both"/>
        <w:ind w:left="120" w:right="100" w:firstLine="551"/>
        <w:spacing w:after="0" w:line="297" w:lineRule="auto"/>
        <w:rPr>
          <w:sz w:val="20"/>
          <w:szCs w:val="20"/>
          <w:color w:val="auto"/>
        </w:rPr>
      </w:pPr>
      <w:r>
        <w:rPr>
          <w:rFonts w:ascii="Arial" w:cs="Arial" w:eastAsia="Arial" w:hAnsi="Arial"/>
          <w:sz w:val="19"/>
          <w:szCs w:val="19"/>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future capital requirements will depend on many factors, including:</w:t>
      </w:r>
    </w:p>
    <w:p>
      <w:pPr>
        <w:spacing w:after="0" w:line="112" w:lineRule="exact"/>
        <w:rPr>
          <w:sz w:val="20"/>
          <w:szCs w:val="20"/>
          <w:color w:val="auto"/>
        </w:rPr>
      </w:pPr>
    </w:p>
    <w:p>
      <w:pPr>
        <w:ind w:left="1420" w:right="120" w:hanging="535"/>
        <w:spacing w:after="0" w:line="252" w:lineRule="auto"/>
        <w:tabs>
          <w:tab w:leader="none" w:pos="142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costs, timing and results of our ongoing Phase 1b/2 study for etigilimab, and our ongoing clinical trials for alvelestat in AATD and in patients with BOS; and the costs for our activities related to our ongoing collaboration with Ultragenyx for setrusumab for the treatment of adults and children with OI and the costs for our preparation for eventual commercialization of setrusumab in Europe and the U.K.;</w:t>
      </w:r>
    </w:p>
    <w:p>
      <w:pPr>
        <w:spacing w:after="0" w:line="79" w:lineRule="exact"/>
        <w:rPr>
          <w:rFonts w:ascii="Arial" w:cs="Arial" w:eastAsia="Arial" w:hAnsi="Arial"/>
          <w:sz w:val="21"/>
          <w:szCs w:val="21"/>
          <w:color w:val="auto"/>
        </w:rPr>
      </w:pPr>
    </w:p>
    <w:p>
      <w:pPr>
        <w:ind w:left="1420" w:hanging="535"/>
        <w:spacing w:after="0"/>
        <w:tabs>
          <w:tab w:leader="none" w:pos="14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costs and timing of manufacturing clinical supplies of our product candidates;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20" w:hanging="535"/>
        <w:spacing w:after="0" w:line="250" w:lineRule="auto"/>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costs, timing, and outcome of regulatory review of our product candidates, including post-marketing studies that could be required by regulatory authorities;</w:t>
      </w:r>
    </w:p>
    <w:p>
      <w:pPr>
        <w:spacing w:after="0" w:line="80" w:lineRule="exact"/>
        <w:rPr>
          <w:rFonts w:ascii="Arial" w:cs="Arial" w:eastAsia="Arial" w:hAnsi="Arial"/>
          <w:sz w:val="22"/>
          <w:szCs w:val="22"/>
          <w:color w:val="auto"/>
        </w:rPr>
      </w:pPr>
    </w:p>
    <w:p>
      <w:pPr>
        <w:ind w:left="1420" w:right="400" w:hanging="535"/>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costs, timing, and outcome of potential future commercialization activities, including manufacturing, marketing, sales, life cycle management and distribution, for our product candidates that we commercialize directly;</w:t>
      </w:r>
    </w:p>
    <w:p>
      <w:pPr>
        <w:spacing w:after="0" w:line="91" w:lineRule="exact"/>
        <w:rPr>
          <w:rFonts w:ascii="Arial" w:cs="Arial" w:eastAsia="Arial" w:hAnsi="Arial"/>
          <w:sz w:val="22"/>
          <w:szCs w:val="22"/>
          <w:color w:val="auto"/>
        </w:rPr>
      </w:pPr>
    </w:p>
    <w:p>
      <w:pPr>
        <w:ind w:left="1420" w:hanging="535"/>
        <w:spacing w:after="0"/>
        <w:tabs>
          <w:tab w:leader="none" w:pos="142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timing and amount of revenue, if any, received from commercial sales of our product candidates;</w:t>
      </w:r>
    </w:p>
    <w:p>
      <w:pPr>
        <w:spacing w:after="0" w:line="123" w:lineRule="exact"/>
        <w:rPr>
          <w:rFonts w:ascii="Arial" w:cs="Arial" w:eastAsia="Arial" w:hAnsi="Arial"/>
          <w:sz w:val="21"/>
          <w:szCs w:val="21"/>
          <w:color w:val="auto"/>
        </w:rPr>
      </w:pPr>
    </w:p>
    <w:p>
      <w:pPr>
        <w:ind w:left="1420" w:right="360" w:hanging="535"/>
        <w:spacing w:after="0" w:line="238" w:lineRule="auto"/>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90" w:lineRule="exact"/>
        <w:rPr>
          <w:rFonts w:ascii="Arial" w:cs="Arial" w:eastAsia="Arial" w:hAnsi="Arial"/>
          <w:sz w:val="22"/>
          <w:szCs w:val="22"/>
          <w:color w:val="auto"/>
        </w:rPr>
      </w:pPr>
    </w:p>
    <w:p>
      <w:pPr>
        <w:ind w:left="1420" w:hanging="535"/>
        <w:spacing w:after="0"/>
        <w:tabs>
          <w:tab w:leader="none" w:pos="14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sales price and availability of adequate third-party coverage and reimbursement for our product candidates;</w:t>
      </w:r>
    </w:p>
    <w:p>
      <w:pPr>
        <w:spacing w:after="0" w:line="146" w:lineRule="exact"/>
        <w:rPr>
          <w:rFonts w:ascii="Arial" w:cs="Arial" w:eastAsia="Arial" w:hAnsi="Arial"/>
          <w:sz w:val="19"/>
          <w:szCs w:val="19"/>
          <w:color w:val="auto"/>
        </w:rPr>
      </w:pPr>
    </w:p>
    <w:p>
      <w:pPr>
        <w:ind w:left="1420" w:hanging="535"/>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effect of competitors and market developments;</w:t>
      </w:r>
    </w:p>
    <w:p>
      <w:pPr>
        <w:spacing w:after="0" w:line="111" w:lineRule="exact"/>
        <w:rPr>
          <w:rFonts w:ascii="Arial" w:cs="Arial" w:eastAsia="Arial" w:hAnsi="Arial"/>
          <w:sz w:val="22"/>
          <w:szCs w:val="22"/>
          <w:color w:val="auto"/>
        </w:rPr>
      </w:pPr>
    </w:p>
    <w:p>
      <w:pPr>
        <w:ind w:left="1420" w:right="1080" w:hanging="535"/>
        <w:spacing w:after="0" w:line="250" w:lineRule="auto"/>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performance of our collaborators and partners under the existing agreements on setrusumab and navicixizumab;</w:t>
      </w:r>
    </w:p>
    <w:p>
      <w:pPr>
        <w:spacing w:after="0" w:line="80" w:lineRule="exact"/>
        <w:rPr>
          <w:rFonts w:ascii="Arial" w:cs="Arial" w:eastAsia="Arial" w:hAnsi="Arial"/>
          <w:sz w:val="22"/>
          <w:szCs w:val="22"/>
          <w:color w:val="auto"/>
        </w:rPr>
      </w:pPr>
    </w:p>
    <w:p>
      <w:pPr>
        <w:ind w:left="1420" w:right="620" w:hanging="535"/>
        <w:spacing w:after="0" w:line="250" w:lineRule="auto"/>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extent to which we are able to acquire new product candidates or enter into licensing or collaboration arrangements for our product candidates;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milestone and deferred payments under our license and option agreement with AstraZeneca; and</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tax liabilities or other assessments and our ability to claim R&amp;D tax credits or other reliefs.</w:t>
      </w:r>
    </w:p>
    <w:p>
      <w:pPr>
        <w:spacing w:after="0" w:line="206" w:lineRule="exact"/>
        <w:rPr>
          <w:sz w:val="20"/>
          <w:szCs w:val="20"/>
          <w:color w:val="auto"/>
        </w:rPr>
      </w:pPr>
    </w:p>
    <w:p>
      <w:pPr>
        <w:ind w:left="120" w:right="120" w:firstLine="551"/>
        <w:spacing w:after="0" w:line="287" w:lineRule="auto"/>
        <w:rPr>
          <w:sz w:val="20"/>
          <w:szCs w:val="20"/>
          <w:color w:val="auto"/>
        </w:rPr>
      </w:pPr>
      <w:r>
        <w:rPr>
          <w:rFonts w:ascii="Arial" w:cs="Arial" w:eastAsia="Arial" w:hAnsi="Arial"/>
          <w:sz w:val="19"/>
          <w:szCs w:val="19"/>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w:t>
      </w:r>
    </w:p>
    <w:p>
      <w:pPr>
        <w:spacing w:after="0" w:line="143"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22"/>
          <w:szCs w:val="22"/>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w:t>
      </w:r>
    </w:p>
    <w:p>
      <w:pPr>
        <w:spacing w:after="0" w:line="185" w:lineRule="exact"/>
        <w:rPr>
          <w:sz w:val="20"/>
          <w:szCs w:val="20"/>
          <w:color w:val="auto"/>
        </w:rPr>
      </w:pPr>
    </w:p>
    <w:p>
      <w:pPr>
        <w:ind w:left="120" w:right="100"/>
        <w:spacing w:after="0" w:line="250" w:lineRule="auto"/>
        <w:rPr>
          <w:sz w:val="20"/>
          <w:szCs w:val="20"/>
          <w:color w:val="auto"/>
        </w:rPr>
      </w:pPr>
      <w:r>
        <w:rPr>
          <w:rFonts w:ascii="Arial" w:cs="Arial" w:eastAsia="Arial" w:hAnsi="Arial"/>
          <w:sz w:val="22"/>
          <w:szCs w:val="22"/>
          <w:b w:val="1"/>
          <w:bCs w:val="1"/>
          <w:i w:val="1"/>
          <w:iCs w:val="1"/>
          <w:color w:val="auto"/>
        </w:rPr>
        <w:t>Our limited operating history may make it difficult for you to evaluate the success of our business to date and to assess our future viability.</w:t>
      </w:r>
    </w:p>
    <w:p>
      <w:pPr>
        <w:spacing w:after="0" w:line="175" w:lineRule="exact"/>
        <w:rPr>
          <w:sz w:val="20"/>
          <w:szCs w:val="20"/>
          <w:color w:val="auto"/>
        </w:rPr>
      </w:pPr>
    </w:p>
    <w:p>
      <w:pPr>
        <w:ind w:left="120" w:firstLine="551"/>
        <w:spacing w:after="0" w:line="244" w:lineRule="auto"/>
        <w:rPr>
          <w:sz w:val="20"/>
          <w:szCs w:val="20"/>
          <w:color w:val="auto"/>
        </w:rPr>
      </w:pPr>
      <w:r>
        <w:rPr>
          <w:rFonts w:ascii="Arial" w:cs="Arial" w:eastAsia="Arial" w:hAnsi="Arial"/>
          <w:sz w:val="21"/>
          <w:szCs w:val="21"/>
          <w:color w:val="auto"/>
        </w:rPr>
        <w:t>Since our formation, we have devoted substantially all of our resources to acquiring our product candidates and developing etigilimab, alvelestat, setrusumab, acumapimod and leflutrozole; building our intellectual property portfolio; developing our supply chain; planning our business; raising capital; and providing general and administrative support for these operations. Additionally, prior to our acquisition of etigilimab and navicixizumab in the Merger, Mereo BioPharma 5 (formerly OncoMed) had invested significant resources to developing both product candidates. We have not yet demonstrated our ability to successfully complete any Phase 3 or other pivotal clinical trials, obtain regulatory approval, arrange for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pharmaceutical and biotechnology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We may not be successful in our efforts to identify and acquire additional product candidates.</w:t>
      </w:r>
    </w:p>
    <w:p>
      <w:pPr>
        <w:spacing w:after="0" w:line="206" w:lineRule="exact"/>
        <w:rPr>
          <w:sz w:val="20"/>
          <w:szCs w:val="20"/>
          <w:color w:val="auto"/>
        </w:rPr>
      </w:pPr>
    </w:p>
    <w:p>
      <w:pPr>
        <w:ind w:left="120" w:right="320" w:firstLine="551"/>
        <w:spacing w:after="0" w:line="287" w:lineRule="auto"/>
        <w:rPr>
          <w:sz w:val="20"/>
          <w:szCs w:val="20"/>
          <w:color w:val="auto"/>
        </w:rPr>
      </w:pPr>
      <w:r>
        <w:rPr>
          <w:rFonts w:ascii="Arial" w:cs="Arial" w:eastAsia="Arial" w:hAnsi="Arial"/>
          <w:sz w:val="19"/>
          <w:szCs w:val="19"/>
          <w:color w:val="auto"/>
        </w:rPr>
        <w:t>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48" w:lineRule="exact"/>
        <w:rPr>
          <w:sz w:val="20"/>
          <w:szCs w:val="20"/>
          <w:color w:val="auto"/>
        </w:rPr>
      </w:pPr>
    </w:p>
    <w:p>
      <w:pPr>
        <w:ind w:left="1420" w:right="560" w:hanging="535"/>
        <w:spacing w:after="0" w:line="328" w:lineRule="auto"/>
        <w:tabs>
          <w:tab w:leader="none" w:pos="14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0" w:lineRule="exact"/>
        <w:rPr>
          <w:rFonts w:ascii="Arial" w:cs="Arial" w:eastAsia="Arial" w:hAnsi="Arial"/>
          <w:sz w:val="19"/>
          <w:szCs w:val="19"/>
          <w:color w:val="auto"/>
        </w:rPr>
      </w:pPr>
    </w:p>
    <w:p>
      <w:pPr>
        <w:ind w:left="1420" w:right="120" w:hanging="535"/>
        <w:spacing w:after="0"/>
        <w:tabs>
          <w:tab w:leader="none" w:pos="14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91" w:lineRule="exact"/>
        <w:rPr>
          <w:rFonts w:ascii="Arial" w:cs="Arial" w:eastAsia="Arial" w:hAnsi="Arial"/>
          <w:sz w:val="22"/>
          <w:szCs w:val="22"/>
          <w:color w:val="auto"/>
        </w:rPr>
      </w:pPr>
    </w:p>
    <w:p>
      <w:pPr>
        <w:ind w:left="1420" w:right="440" w:hanging="535"/>
        <w:spacing w:after="0" w:line="250" w:lineRule="auto"/>
        <w:tabs>
          <w:tab w:leader="none" w:pos="14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regulatory pathway for a potential product may be too complex and difficult to navigate successfully or economically; and</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there may be competitive bids for potential product candidates which we do not seek to or are unable to match.</w:t>
      </w:r>
    </w:p>
    <w:p>
      <w:pPr>
        <w:spacing w:after="0" w:line="241"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22"/>
          <w:szCs w:val="22"/>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87" w:lineRule="exact"/>
        <w:rPr>
          <w:sz w:val="20"/>
          <w:szCs w:val="20"/>
          <w:color w:val="auto"/>
        </w:rPr>
      </w:pPr>
    </w:p>
    <w:p>
      <w:pPr>
        <w:ind w:left="120" w:right="900"/>
        <w:spacing w:after="0" w:line="328" w:lineRule="auto"/>
        <w:rPr>
          <w:sz w:val="20"/>
          <w:szCs w:val="20"/>
          <w:color w:val="auto"/>
        </w:rPr>
      </w:pPr>
      <w:r>
        <w:rPr>
          <w:rFonts w:ascii="Arial" w:cs="Arial" w:eastAsia="Arial" w:hAnsi="Arial"/>
          <w:sz w:val="19"/>
          <w:szCs w:val="19"/>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105" w:lineRule="exact"/>
        <w:rPr>
          <w:sz w:val="20"/>
          <w:szCs w:val="20"/>
          <w:color w:val="auto"/>
        </w:rPr>
      </w:pPr>
    </w:p>
    <w:p>
      <w:pPr>
        <w:ind w:left="120" w:right="40" w:firstLine="551"/>
        <w:spacing w:after="0" w:line="272" w:lineRule="auto"/>
        <w:rPr>
          <w:sz w:val="20"/>
          <w:szCs w:val="20"/>
          <w:color w:val="auto"/>
        </w:rPr>
      </w:pPr>
      <w:r>
        <w:rPr>
          <w:rFonts w:ascii="Arial" w:cs="Arial" w:eastAsia="Arial" w:hAnsi="Arial"/>
          <w:sz w:val="19"/>
          <w:szCs w:val="19"/>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under the terms of our convertible loan notes we are required to seek consent for certain corporate transactions or to incur certain types of additional debt.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w:t>
      </w:r>
    </w:p>
    <w:p>
      <w:pPr>
        <w:spacing w:after="0" w:line="156" w:lineRule="exact"/>
        <w:rPr>
          <w:sz w:val="20"/>
          <w:szCs w:val="20"/>
          <w:color w:val="auto"/>
        </w:rPr>
      </w:pPr>
    </w:p>
    <w:p>
      <w:pPr>
        <w:ind w:left="120"/>
        <w:spacing w:after="0" w:line="249" w:lineRule="auto"/>
        <w:rPr>
          <w:sz w:val="20"/>
          <w:szCs w:val="20"/>
          <w:color w:val="auto"/>
        </w:rPr>
      </w:pPr>
      <w:r>
        <w:rPr>
          <w:rFonts w:ascii="Arial" w:cs="Arial" w:eastAsia="Arial" w:hAnsi="Arial"/>
          <w:sz w:val="21"/>
          <w:szCs w:val="21"/>
          <w:b w:val="1"/>
          <w:bCs w:val="1"/>
          <w:i w:val="1"/>
          <w:iCs w:val="1"/>
          <w:color w:val="auto"/>
        </w:rPr>
        <w:t>We depend heavily on the success of etigilimab, alvelestat and setrusumab. We cannot give any assurance that any of these product candidates or therapeutic candidates will receive regulatory approval, which is necessary before they can be commercialized. If we are unable to commercialize etigilimab, alvelestat and setrusumab, whether on our own or through agreements with third parties, or experience significant delays in doing so, our ability to generate revenue and our financial condition will be adversely affected.</w:t>
      </w:r>
    </w:p>
    <w:p>
      <w:pPr>
        <w:spacing w:after="0" w:line="178" w:lineRule="exact"/>
        <w:rPr>
          <w:sz w:val="20"/>
          <w:szCs w:val="20"/>
          <w:color w:val="auto"/>
        </w:rPr>
      </w:pPr>
    </w:p>
    <w:p>
      <w:pPr>
        <w:ind w:left="120" w:right="40" w:firstLine="551"/>
        <w:spacing w:after="0" w:line="274" w:lineRule="auto"/>
        <w:rPr>
          <w:sz w:val="20"/>
          <w:szCs w:val="20"/>
          <w:color w:val="auto"/>
        </w:rPr>
      </w:pPr>
      <w:r>
        <w:rPr>
          <w:rFonts w:ascii="Arial" w:cs="Arial" w:eastAsia="Arial" w:hAnsi="Arial"/>
          <w:sz w:val="19"/>
          <w:szCs w:val="19"/>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etigilimab, alvelestat and setrusumab, among other product candidates in our portfolio.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by us or our partners, and significant marketing efforts before we generate any revenue from product sales or royalties.</w:t>
      </w:r>
    </w:p>
    <w:p>
      <w:pPr>
        <w:sectPr>
          <w:pgSz w:w="11900" w:h="16838" w:orient="portrait"/>
          <w:cols w:equalWidth="0" w:num="1">
            <w:col w:w="11120"/>
          </w:cols>
          <w:pgMar w:left="320" w:top="486" w:right="459" w:bottom="1440" w:gutter="0" w:footer="0" w:header="0"/>
        </w:sectPr>
      </w:pP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20"/>
          </w:cols>
          <w:pgMar w:left="320" w:top="486"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22"/>
          <w:szCs w:val="22"/>
          <w:color w:val="auto"/>
        </w:rPr>
        <w:t>We are not permitted to market or promote any product candidates in the United States, United Kingdom, Europe, or other countries before we receive regulatory approval from the FDA, the EMA, or comparable U.K. or foreign regulatory authorities, and we may never receive such regulatory approval for our current product candidates. We have not submitted a BLA or a NDA to the FDA, an MAA or CMA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93" w:lineRule="exact"/>
        <w:rPr>
          <w:sz w:val="20"/>
          <w:szCs w:val="20"/>
          <w:color w:val="auto"/>
        </w:rPr>
      </w:pPr>
    </w:p>
    <w:p>
      <w:pPr>
        <w:ind w:left="1420" w:right="680" w:hanging="535"/>
        <w:spacing w:after="0" w:line="328" w:lineRule="auto"/>
        <w:tabs>
          <w:tab w:leader="none" w:pos="14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we may not be able to demonstrate that any of our current product candidates are safe and effective as a treatment for the targeted indications to the satisfaction of the applicable regulatory authorities;</w:t>
      </w:r>
    </w:p>
    <w:p>
      <w:pPr>
        <w:spacing w:after="0" w:line="10" w:lineRule="exact"/>
        <w:rPr>
          <w:rFonts w:ascii="Arial" w:cs="Arial" w:eastAsia="Arial" w:hAnsi="Arial"/>
          <w:sz w:val="19"/>
          <w:szCs w:val="19"/>
          <w:color w:val="auto"/>
        </w:rPr>
      </w:pPr>
    </w:p>
    <w:p>
      <w:pPr>
        <w:ind w:left="1420" w:right="360" w:hanging="535"/>
        <w:spacing w:after="0" w:line="250" w:lineRule="auto"/>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applicable regulatory authorities may require additional clinical trials of our current product candidates, which would increase our costs and prolong development;</w:t>
      </w:r>
    </w:p>
    <w:p>
      <w:pPr>
        <w:spacing w:after="0" w:line="80" w:lineRule="exact"/>
        <w:rPr>
          <w:rFonts w:ascii="Arial" w:cs="Arial" w:eastAsia="Arial" w:hAnsi="Arial"/>
          <w:sz w:val="22"/>
          <w:szCs w:val="22"/>
          <w:color w:val="auto"/>
        </w:rPr>
      </w:pPr>
    </w:p>
    <w:p>
      <w:pPr>
        <w:ind w:left="1420" w:right="380" w:hanging="535"/>
        <w:spacing w:after="0" w:line="274" w:lineRule="auto"/>
        <w:tabs>
          <w:tab w:leader="none" w:pos="142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results of clinical trials of our current product candidates may not meet the level of statistical or clinical significance required by the applicable regulatory authorities for marketing approval;</w:t>
      </w:r>
    </w:p>
    <w:p>
      <w:pPr>
        <w:spacing w:after="0" w:line="56" w:lineRule="exact"/>
        <w:rPr>
          <w:rFonts w:ascii="Arial" w:cs="Arial" w:eastAsia="Arial" w:hAnsi="Arial"/>
          <w:sz w:val="21"/>
          <w:szCs w:val="21"/>
          <w:color w:val="auto"/>
        </w:rPr>
      </w:pPr>
    </w:p>
    <w:p>
      <w:pPr>
        <w:ind w:left="1420" w:right="20" w:hanging="535"/>
        <w:spacing w:after="0" w:line="250" w:lineRule="auto"/>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applicable regulatory authorities may disagree with the number, design, size, conduct, or implementation of our planned and future clinical trials for our current product candidates;</w:t>
      </w:r>
    </w:p>
    <w:p>
      <w:pPr>
        <w:spacing w:after="0" w:line="80" w:lineRule="exact"/>
        <w:rPr>
          <w:rFonts w:ascii="Arial" w:cs="Arial" w:eastAsia="Arial" w:hAnsi="Arial"/>
          <w:sz w:val="22"/>
          <w:szCs w:val="22"/>
          <w:color w:val="auto"/>
        </w:rPr>
      </w:pPr>
    </w:p>
    <w:p>
      <w:pPr>
        <w:ind w:left="1420" w:right="640" w:hanging="535"/>
        <w:spacing w:after="0" w:line="250" w:lineRule="auto"/>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CROs, that we retain to conduct clinical trials may take actions outside of our control that materially adversely impact clinical trials for our current product candidates;</w:t>
      </w:r>
    </w:p>
    <w:p>
      <w:pPr>
        <w:spacing w:after="0" w:line="80" w:lineRule="exact"/>
        <w:rPr>
          <w:rFonts w:ascii="Arial" w:cs="Arial" w:eastAsia="Arial" w:hAnsi="Arial"/>
          <w:sz w:val="22"/>
          <w:szCs w:val="22"/>
          <w:color w:val="auto"/>
        </w:rPr>
      </w:pPr>
    </w:p>
    <w:p>
      <w:pPr>
        <w:ind w:left="1420" w:right="80" w:hanging="535"/>
        <w:spacing w:after="0" w:line="274" w:lineRule="auto"/>
        <w:tabs>
          <w:tab w:leader="none" w:pos="142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applicable regulatory authorities may not find the data from clinical trials sufficient to demonstrate that the clinical and other benefits of our current product candidates outweigh their safety risks;</w:t>
      </w:r>
    </w:p>
    <w:p>
      <w:pPr>
        <w:spacing w:after="0" w:line="56" w:lineRule="exact"/>
        <w:rPr>
          <w:rFonts w:ascii="Arial" w:cs="Arial" w:eastAsia="Arial" w:hAnsi="Arial"/>
          <w:sz w:val="21"/>
          <w:szCs w:val="21"/>
          <w:color w:val="auto"/>
        </w:rPr>
      </w:pPr>
    </w:p>
    <w:p>
      <w:pPr>
        <w:ind w:left="1420" w:right="20" w:hanging="535"/>
        <w:spacing w:after="0" w:line="250" w:lineRule="auto"/>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applicable regulatory authorities may disagree with our interpretation of data from our clinical trials or may require that we conduct additional trials;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applicable regulatory authorities may not accept data generated at our clinical trial sites;</w:t>
      </w:r>
    </w:p>
    <w:p>
      <w:pPr>
        <w:spacing w:after="0" w:line="111" w:lineRule="exact"/>
        <w:rPr>
          <w:rFonts w:ascii="Arial" w:cs="Arial" w:eastAsia="Arial" w:hAnsi="Arial"/>
          <w:sz w:val="22"/>
          <w:szCs w:val="22"/>
          <w:color w:val="auto"/>
        </w:rPr>
      </w:pPr>
    </w:p>
    <w:p>
      <w:pPr>
        <w:ind w:left="1420" w:right="200" w:hanging="535"/>
        <w:spacing w:after="0" w:line="236" w:lineRule="auto"/>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92" w:lineRule="exact"/>
        <w:rPr>
          <w:rFonts w:ascii="Arial" w:cs="Arial" w:eastAsia="Arial" w:hAnsi="Arial"/>
          <w:sz w:val="22"/>
          <w:szCs w:val="22"/>
          <w:color w:val="auto"/>
        </w:rPr>
      </w:pPr>
    </w:p>
    <w:p>
      <w:pPr>
        <w:ind w:left="1420" w:right="280" w:hanging="535"/>
        <w:spacing w:after="0" w:line="250" w:lineRule="auto"/>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applicable regulatory authorities may require development of a risk evaluation and mitigation strategy (a “REMS”) as a condition of approval;</w:t>
      </w:r>
    </w:p>
    <w:p>
      <w:pPr>
        <w:spacing w:after="0" w:line="80" w:lineRule="exact"/>
        <w:rPr>
          <w:rFonts w:ascii="Arial" w:cs="Arial" w:eastAsia="Arial" w:hAnsi="Arial"/>
          <w:sz w:val="22"/>
          <w:szCs w:val="22"/>
          <w:color w:val="auto"/>
        </w:rPr>
      </w:pPr>
    </w:p>
    <w:p>
      <w:pPr>
        <w:ind w:left="1420" w:right="260" w:hanging="535"/>
        <w:spacing w:after="0" w:line="328" w:lineRule="auto"/>
        <w:tabs>
          <w:tab w:leader="none" w:pos="14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applicable regulatory authorities may identify deficiencies in the product and process CMC development activities defining our manufacturing processes or facilities of our third-party manufacturers;</w:t>
      </w:r>
    </w:p>
    <w:p>
      <w:pPr>
        <w:spacing w:after="0" w:line="10" w:lineRule="exact"/>
        <w:rPr>
          <w:rFonts w:ascii="Arial" w:cs="Arial" w:eastAsia="Arial" w:hAnsi="Arial"/>
          <w:sz w:val="19"/>
          <w:szCs w:val="19"/>
          <w:color w:val="auto"/>
        </w:rPr>
      </w:pPr>
    </w:p>
    <w:p>
      <w:pPr>
        <w:ind w:left="1420" w:hanging="535"/>
        <w:spacing w:after="0"/>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applicable regulatory authorities may change their approval policies or adopt new regulations;</w:t>
      </w:r>
    </w:p>
    <w:p>
      <w:pPr>
        <w:spacing w:after="0" w:line="111" w:lineRule="exact"/>
        <w:rPr>
          <w:rFonts w:ascii="Arial" w:cs="Arial" w:eastAsia="Arial" w:hAnsi="Arial"/>
          <w:sz w:val="22"/>
          <w:szCs w:val="22"/>
          <w:color w:val="auto"/>
        </w:rPr>
      </w:pPr>
    </w:p>
    <w:p>
      <w:pPr>
        <w:ind w:left="1420" w:right="260" w:hanging="535"/>
        <w:spacing w:after="0" w:line="328" w:lineRule="auto"/>
        <w:tabs>
          <w:tab w:leader="none" w:pos="14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through our clinical trials, we may discover factors that limit the commercial viability of our current product candidates or make the commercialization of any of our current product candidates unfeasible; and</w:t>
      </w:r>
    </w:p>
    <w:p>
      <w:pPr>
        <w:spacing w:after="0" w:line="10" w:lineRule="exact"/>
        <w:rPr>
          <w:rFonts w:ascii="Arial" w:cs="Arial" w:eastAsia="Arial" w:hAnsi="Arial"/>
          <w:sz w:val="19"/>
          <w:szCs w:val="19"/>
          <w:color w:val="auto"/>
        </w:rPr>
      </w:pPr>
    </w:p>
    <w:p>
      <w:pPr>
        <w:ind w:left="1420" w:hanging="535"/>
        <w:spacing w:after="0" w:line="287" w:lineRule="auto"/>
        <w:tabs>
          <w:tab w:leader="none" w:pos="14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if approved, acceptance of our current product candidates by patients, the medical community, and third-party payors; our ability to compete with other therapies to treat certain oncology indications, and OI, AATD, or BOS; continued acceptable safety profiles following approval of our current product candidates; and our ability to qualify for, maintain, enforce, and defend our intellectual property rights and claims.</w:t>
      </w:r>
    </w:p>
    <w:p>
      <w:pPr>
        <w:spacing w:after="0" w:line="143" w:lineRule="exact"/>
        <w:rPr>
          <w:sz w:val="20"/>
          <w:szCs w:val="20"/>
          <w:color w:val="auto"/>
        </w:rPr>
      </w:pPr>
    </w:p>
    <w:p>
      <w:pPr>
        <w:ind w:left="120" w:right="760" w:firstLine="551"/>
        <w:spacing w:after="0" w:line="328" w:lineRule="auto"/>
        <w:rPr>
          <w:sz w:val="20"/>
          <w:szCs w:val="20"/>
          <w:color w:val="auto"/>
        </w:rPr>
      </w:pPr>
      <w:r>
        <w:rPr>
          <w:rFonts w:ascii="Arial" w:cs="Arial" w:eastAsia="Arial" w:hAnsi="Arial"/>
          <w:sz w:val="19"/>
          <w:szCs w:val="19"/>
          <w:color w:val="auto"/>
        </w:rPr>
        <w:t>If we do not successfully manage one or more of these factors in a timely manner or at all, we could experience significant delays or may not be able to successfully commercialize our current product candidates.</w:t>
      </w:r>
    </w:p>
    <w:p>
      <w:pPr>
        <w:spacing w:after="0" w:line="3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60"/>
          </w:cols>
          <w:pgMar w:left="320" w:top="486"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60" w:firstLine="551"/>
        <w:spacing w:after="0" w:line="277" w:lineRule="auto"/>
        <w:rPr>
          <w:sz w:val="20"/>
          <w:szCs w:val="20"/>
          <w:color w:val="auto"/>
        </w:rPr>
      </w:pPr>
      <w:r>
        <w:rPr>
          <w:rFonts w:ascii="Arial" w:cs="Arial" w:eastAsia="Arial" w:hAnsi="Arial"/>
          <w:sz w:val="19"/>
          <w:szCs w:val="19"/>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152"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22"/>
          <w:szCs w:val="22"/>
          <w:color w:val="auto"/>
        </w:rPr>
        <w:t>We plan to seek regulatory approval to commercialize, or co-commercialize, our current rare disease product candidates in the United States, United Kingdom and the European Union (“EU”),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Exchange rate fluctuations may materially affect our results of operations and financial condition.</w:t>
      </w:r>
    </w:p>
    <w:p>
      <w:pPr>
        <w:spacing w:after="0" w:line="206" w:lineRule="exact"/>
        <w:rPr>
          <w:sz w:val="20"/>
          <w:szCs w:val="20"/>
          <w:color w:val="auto"/>
        </w:rPr>
      </w:pPr>
    </w:p>
    <w:p>
      <w:pPr>
        <w:ind w:left="120" w:right="200" w:firstLine="551"/>
        <w:spacing w:after="0" w:line="279" w:lineRule="auto"/>
        <w:rPr>
          <w:sz w:val="20"/>
          <w:szCs w:val="20"/>
          <w:color w:val="auto"/>
        </w:rPr>
      </w:pPr>
      <w:r>
        <w:rPr>
          <w:rFonts w:ascii="Arial" w:cs="Arial" w:eastAsia="Arial" w:hAnsi="Arial"/>
          <w:sz w:val="19"/>
          <w:szCs w:val="19"/>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50" w:lineRule="exact"/>
        <w:rPr>
          <w:sz w:val="20"/>
          <w:szCs w:val="20"/>
          <w:color w:val="auto"/>
        </w:rPr>
      </w:pPr>
    </w:p>
    <w:p>
      <w:pPr>
        <w:ind w:left="120" w:right="40"/>
        <w:spacing w:after="0" w:line="250" w:lineRule="auto"/>
        <w:rPr>
          <w:sz w:val="20"/>
          <w:szCs w:val="20"/>
          <w:color w:val="auto"/>
        </w:rPr>
      </w:pPr>
      <w:r>
        <w:rPr>
          <w:rFonts w:ascii="Arial" w:cs="Arial" w:eastAsia="Arial" w:hAnsi="Arial"/>
          <w:sz w:val="22"/>
          <w:szCs w:val="22"/>
          <w:b w:val="1"/>
          <w:bCs w:val="1"/>
          <w:i w:val="1"/>
          <w:iCs w:val="1"/>
          <w:color w:val="auto"/>
        </w:rPr>
        <w:t>The COVID-19 pandemic has and may continue to materially impact our business including planned clinical developments and our ongoing clinical studies.</w:t>
      </w:r>
    </w:p>
    <w:p>
      <w:pPr>
        <w:spacing w:after="0" w:line="175" w:lineRule="exact"/>
        <w:rPr>
          <w:sz w:val="20"/>
          <w:szCs w:val="20"/>
          <w:color w:val="auto"/>
        </w:rPr>
      </w:pPr>
    </w:p>
    <w:p>
      <w:pPr>
        <w:ind w:left="120" w:firstLine="551"/>
        <w:spacing w:after="0" w:line="248" w:lineRule="auto"/>
        <w:rPr>
          <w:sz w:val="20"/>
          <w:szCs w:val="20"/>
          <w:color w:val="auto"/>
        </w:rPr>
      </w:pPr>
      <w:r>
        <w:rPr>
          <w:rFonts w:ascii="Arial" w:cs="Arial" w:eastAsia="Arial" w:hAnsi="Arial"/>
          <w:sz w:val="21"/>
          <w:szCs w:val="21"/>
          <w:color w:val="auto"/>
        </w:rPr>
        <w:t>Our business could be adversely affected by health epidemics in regions where we and/or our partners conducted clinical trials have concentrations of clinical trial sites or other business operations, and could cause significant disruption in the operations of third-parties upon whom we rely. To date, the COVID-19 pandemic and its related variants have resulted in delays in our ability to enroll and treat patients and obtain data from ongoing clinical trials and delayed our ability to recruit additional patients to our clinical trials and to screen new patients for eligibility for our clinical trials, particularly in our Phase 2 clinical trial of alvelestat for the treatment of severe AATD.</w:t>
      </w:r>
    </w:p>
    <w:p>
      <w:pPr>
        <w:spacing w:after="0" w:line="177" w:lineRule="exact"/>
        <w:rPr>
          <w:sz w:val="20"/>
          <w:szCs w:val="20"/>
          <w:color w:val="auto"/>
        </w:rPr>
      </w:pPr>
    </w:p>
    <w:p>
      <w:pPr>
        <w:ind w:left="120" w:right="180" w:firstLine="551"/>
        <w:spacing w:after="0" w:line="250" w:lineRule="auto"/>
        <w:rPr>
          <w:sz w:val="20"/>
          <w:szCs w:val="20"/>
          <w:color w:val="auto"/>
        </w:rPr>
      </w:pPr>
      <w:r>
        <w:rPr>
          <w:rFonts w:ascii="Arial" w:cs="Arial" w:eastAsia="Arial" w:hAnsi="Arial"/>
          <w:sz w:val="22"/>
          <w:szCs w:val="22"/>
          <w:color w:val="auto"/>
        </w:rPr>
        <w:t>The continued effects of the COVID-19 pandemic may also cause us to experience disruptions that would significantly impact our business including:</w:t>
      </w:r>
    </w:p>
    <w:p>
      <w:pPr>
        <w:spacing w:after="0" w:line="80" w:lineRule="exact"/>
        <w:rPr>
          <w:sz w:val="20"/>
          <w:szCs w:val="20"/>
          <w:color w:val="auto"/>
        </w:rPr>
      </w:pPr>
    </w:p>
    <w:p>
      <w:pPr>
        <w:ind w:left="1420" w:hanging="535"/>
        <w:spacing w:after="0"/>
        <w:tabs>
          <w:tab w:leader="none" w:pos="1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 delay or interruption in our ability to enroll and treat patients and to obtain data from ongoing clinical trials;</w:t>
      </w:r>
    </w:p>
    <w:p>
      <w:pPr>
        <w:spacing w:after="0" w:line="146" w:lineRule="exact"/>
        <w:rPr>
          <w:rFonts w:ascii="Arial" w:cs="Arial" w:eastAsia="Arial" w:hAnsi="Arial"/>
          <w:sz w:val="19"/>
          <w:szCs w:val="19"/>
          <w:color w:val="auto"/>
        </w:rPr>
      </w:pPr>
    </w:p>
    <w:p>
      <w:pPr>
        <w:ind w:left="1420" w:hanging="535"/>
        <w:spacing w:after="0"/>
        <w:tabs>
          <w:tab w:leader="none" w:pos="14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delay in our timelines for the initiation of new clinical trials;</w:t>
      </w:r>
    </w:p>
    <w:p>
      <w:pPr>
        <w:spacing w:after="0" w:line="111" w:lineRule="exact"/>
        <w:rPr>
          <w:rFonts w:ascii="Arial" w:cs="Arial" w:eastAsia="Arial" w:hAnsi="Arial"/>
          <w:sz w:val="22"/>
          <w:szCs w:val="22"/>
          <w:color w:val="auto"/>
        </w:rPr>
      </w:pPr>
    </w:p>
    <w:p>
      <w:pPr>
        <w:ind w:left="1420" w:right="140" w:hanging="535"/>
        <w:spacing w:after="0" w:line="250" w:lineRule="auto"/>
        <w:tabs>
          <w:tab w:leader="none" w:pos="14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delay in our ability to further recruit patients to our clinical trials and to screen patients for eligibility for our clinical trials;</w:t>
      </w:r>
    </w:p>
    <w:p>
      <w:pPr>
        <w:spacing w:after="0" w:line="80" w:lineRule="exact"/>
        <w:rPr>
          <w:rFonts w:ascii="Arial" w:cs="Arial" w:eastAsia="Arial" w:hAnsi="Arial"/>
          <w:sz w:val="22"/>
          <w:szCs w:val="22"/>
          <w:color w:val="auto"/>
        </w:rPr>
      </w:pPr>
    </w:p>
    <w:p>
      <w:pPr>
        <w:ind w:left="1420" w:right="20" w:hanging="535"/>
        <w:spacing w:after="0"/>
        <w:tabs>
          <w:tab w:leader="none" w:pos="14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Interruption to key clinical trial activities including monitoring of clinical sites, patient visits, inability to follow patients after they have received treatment and patient assessments and patients dropping out from trials early reduce the numbers impacting efficacy analysis;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780" w:hanging="535"/>
        <w:spacing w:after="0" w:line="250" w:lineRule="auto"/>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delay in availability of additional drug product for etigilimab, alvelestat or setrusumab due to lack of manufacturing capacity and/or raw materials at our third-party CMOs;</w:t>
      </w:r>
    </w:p>
    <w:p>
      <w:pPr>
        <w:spacing w:after="0" w:line="80" w:lineRule="exact"/>
        <w:rPr>
          <w:rFonts w:ascii="Arial" w:cs="Arial" w:eastAsia="Arial" w:hAnsi="Arial"/>
          <w:sz w:val="22"/>
          <w:szCs w:val="22"/>
          <w:color w:val="auto"/>
        </w:rPr>
      </w:pPr>
    </w:p>
    <w:p>
      <w:pPr>
        <w:ind w:left="1420" w:right="100" w:hanging="535"/>
        <w:spacing w:after="0" w:line="250" w:lineRule="auto"/>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 delay in our ability to close and negotiate third-party partnerships or collaborations or to progress third-party collaborations already in place;</w:t>
      </w:r>
    </w:p>
    <w:p>
      <w:pPr>
        <w:spacing w:after="0" w:line="80" w:lineRule="exact"/>
        <w:rPr>
          <w:rFonts w:ascii="Arial" w:cs="Arial" w:eastAsia="Arial" w:hAnsi="Arial"/>
          <w:sz w:val="22"/>
          <w:szCs w:val="22"/>
          <w:color w:val="auto"/>
        </w:rPr>
      </w:pPr>
    </w:p>
    <w:p>
      <w:pPr>
        <w:ind w:left="1420" w:right="500" w:hanging="535"/>
        <w:spacing w:after="0" w:line="274" w:lineRule="auto"/>
        <w:tabs>
          <w:tab w:leader="none" w:pos="14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Limitations on employee resources as a result of increased sickness, requirement for employees to care for family members or requirement for employees to self-isolate themselves;</w:t>
      </w:r>
    </w:p>
    <w:p>
      <w:pPr>
        <w:spacing w:after="0" w:line="56" w:lineRule="exact"/>
        <w:rPr>
          <w:rFonts w:ascii="Arial" w:cs="Arial" w:eastAsia="Arial" w:hAnsi="Arial"/>
          <w:sz w:val="21"/>
          <w:szCs w:val="21"/>
          <w:color w:val="auto"/>
        </w:rPr>
      </w:pPr>
    </w:p>
    <w:p>
      <w:pPr>
        <w:ind w:left="1420" w:right="300" w:hanging="535"/>
        <w:spacing w:after="0" w:line="250" w:lineRule="auto"/>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Interruptions and delays in our development programs as a result of the government required “stay-at-home” guidelines;</w:t>
      </w:r>
    </w:p>
    <w:p>
      <w:pPr>
        <w:spacing w:after="0" w:line="80" w:lineRule="exact"/>
        <w:rPr>
          <w:rFonts w:ascii="Arial" w:cs="Arial" w:eastAsia="Arial" w:hAnsi="Arial"/>
          <w:sz w:val="22"/>
          <w:szCs w:val="22"/>
          <w:color w:val="auto"/>
        </w:rPr>
      </w:pPr>
    </w:p>
    <w:p>
      <w:pPr>
        <w:ind w:left="1420" w:right="760" w:hanging="535"/>
        <w:spacing w:after="0" w:line="250" w:lineRule="auto"/>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Delay in responses from regulatory authorities in relation to approvals, amendments or other regulatory engagements required for our ongoing development activities;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Supply chain interruptions; or</w:t>
      </w:r>
    </w:p>
    <w:p>
      <w:pPr>
        <w:spacing w:after="0" w:line="111" w:lineRule="exact"/>
        <w:rPr>
          <w:rFonts w:ascii="Arial" w:cs="Arial" w:eastAsia="Arial" w:hAnsi="Arial"/>
          <w:sz w:val="22"/>
          <w:szCs w:val="22"/>
          <w:color w:val="auto"/>
        </w:rPr>
      </w:pPr>
    </w:p>
    <w:p>
      <w:pPr>
        <w:ind w:left="1420" w:right="600" w:hanging="535"/>
        <w:spacing w:after="0" w:line="250" w:lineRule="auto"/>
        <w:tabs>
          <w:tab w:leader="none" w:pos="14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Diversion of CMO activities and raw materials to COVID-19 products, including restrictions imposed by various governments, causing delays to clinical trial supplies.</w:t>
      </w:r>
    </w:p>
    <w:p>
      <w:pPr>
        <w:spacing w:after="0" w:line="175"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21"/>
          <w:szCs w:val="21"/>
          <w:color w:val="auto"/>
        </w:rPr>
        <w:t>The COVID-19 pandemic continues to evolve and the extent to which it may impact our future business is highly uncertain and difficult to predict. The ultimate impact of the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 To the extent the COVID-19 pandemic materially adversely affects our business and financial results, it may also have the effect of significantly heightening many of the other risks described in this Risk Factors section.</w:t>
      </w:r>
    </w:p>
    <w:p>
      <w:pPr>
        <w:spacing w:after="0" w:line="184" w:lineRule="exact"/>
        <w:rPr>
          <w:sz w:val="20"/>
          <w:szCs w:val="20"/>
          <w:color w:val="auto"/>
        </w:rPr>
      </w:pPr>
    </w:p>
    <w:p>
      <w:pPr>
        <w:ind w:left="120" w:right="40"/>
        <w:spacing w:after="0" w:line="250" w:lineRule="auto"/>
        <w:rPr>
          <w:sz w:val="20"/>
          <w:szCs w:val="20"/>
          <w:color w:val="auto"/>
        </w:rPr>
      </w:pPr>
      <w:r>
        <w:rPr>
          <w:rFonts w:ascii="Arial" w:cs="Arial" w:eastAsia="Arial" w:hAnsi="Arial"/>
          <w:sz w:val="22"/>
          <w:szCs w:val="22"/>
          <w:b w:val="1"/>
          <w:bCs w:val="1"/>
          <w:i w:val="1"/>
          <w:iCs w:val="1"/>
          <w:color w:val="auto"/>
        </w:rPr>
        <w:t>The U.K.’s withdrawal from the EU, commonly referred to as Brexit, could increase our cost of doing business or otherwise negatively impact our business, results of operations and financial condition.</w:t>
      </w:r>
    </w:p>
    <w:p>
      <w:pPr>
        <w:spacing w:after="0" w:line="175"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9"/>
          <w:szCs w:val="19"/>
          <w:color w:val="auto"/>
        </w:rPr>
        <w:t>Brexit could increase our cost of doing business or otherwise negatively impact our business, results of operations and financial condition. Brexit continues to create uncertainty concerning the future relationship between the U.K. and the EU, following the U.K. withdrawal from the EU in January 2020. Our principal office is located in the U.K. and together with our partners we conduct clinical trials in the EU. Since a significant portion of the regulatory framework in the U.K. is derived from EU laws, Brexit materially impacts the regulatory regime with respect to the development, manufacture, importation, approval and commercialization of our product candidates in the U.K. or the EU. In this regard, in December 2020, the EU and U.K. reached an agreement in principle on the framework for their future relationship, the EU-U.K. Trade and Cooperation Agreement, or TCA. Among the changes that have had a direct impact are that Great Britain (England, Scotland and Wales) will be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w:t>
      </w:r>
    </w:p>
    <w:p>
      <w:pPr>
        <w:spacing w:after="0" w:line="156"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22"/>
          <w:szCs w:val="22"/>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activities conducted by third parties and contract manufacturers on our behalf.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188" w:lineRule="exact"/>
        <w:rPr>
          <w:sz w:val="20"/>
          <w:szCs w:val="20"/>
          <w:color w:val="auto"/>
        </w:rPr>
      </w:pPr>
    </w:p>
    <w:p>
      <w:pPr>
        <w:ind w:left="120" w:firstLine="551"/>
        <w:spacing w:after="0" w:line="234" w:lineRule="auto"/>
        <w:rPr>
          <w:sz w:val="20"/>
          <w:szCs w:val="20"/>
          <w:color w:val="auto"/>
        </w:rPr>
      </w:pPr>
      <w:r>
        <w:rPr>
          <w:rFonts w:ascii="Arial" w:cs="Arial" w:eastAsia="Arial" w:hAnsi="Arial"/>
          <w:sz w:val="22"/>
          <w:szCs w:val="22"/>
          <w:color w:val="auto"/>
        </w:rPr>
        <w:t>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The uncertainty around the U.K.’s future relationship with the EU continues to cause economic uncertainty which could adversely affect our business, financial condition and results of operations and could adversely affect the market price of our ADSs.</w:t>
      </w:r>
    </w:p>
    <w:p>
      <w:pPr>
        <w:sectPr>
          <w:pgSz w:w="11900" w:h="16838" w:orient="portrait"/>
          <w:cols w:equalWidth="0" w:num="1">
            <w:col w:w="11120"/>
          </w:cols>
          <w:pgMar w:left="320" w:top="486" w:right="459" w:bottom="1440" w:gutter="0" w:footer="0" w:header="0"/>
        </w:sectPr>
      </w:pP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120"/>
          </w:cols>
          <w:pgMar w:left="320" w:top="486"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20" w:right="60"/>
        <w:spacing w:after="0"/>
        <w:rPr>
          <w:sz w:val="20"/>
          <w:szCs w:val="20"/>
          <w:color w:val="auto"/>
        </w:rPr>
      </w:pPr>
      <w:r>
        <w:rPr>
          <w:rFonts w:ascii="Arial" w:cs="Arial" w:eastAsia="Arial" w:hAnsi="Arial"/>
          <w:sz w:val="22"/>
          <w:szCs w:val="22"/>
          <w:b w:val="1"/>
          <w:bCs w:val="1"/>
          <w:i w:val="1"/>
          <w:iCs w:val="1"/>
          <w:color w:val="auto"/>
        </w:rPr>
        <w:t>Following the licensing agreement for navicixizumab and the completion of a strategic partnership for setrusumab, and if we out-license or sell our non-core product candidates or out-license any of our core or rare disease product candidates for any territories, we could be exposed to future liabilities.</w:t>
      </w:r>
    </w:p>
    <w:p>
      <w:pPr>
        <w:spacing w:after="0" w:line="186" w:lineRule="exact"/>
        <w:rPr>
          <w:sz w:val="20"/>
          <w:szCs w:val="20"/>
          <w:color w:val="auto"/>
        </w:rPr>
      </w:pPr>
    </w:p>
    <w:p>
      <w:pPr>
        <w:ind w:left="120" w:right="20" w:firstLine="551"/>
        <w:spacing w:after="0" w:line="287" w:lineRule="auto"/>
        <w:rPr>
          <w:sz w:val="20"/>
          <w:szCs w:val="20"/>
          <w:color w:val="auto"/>
        </w:rPr>
      </w:pPr>
      <w:r>
        <w:rPr>
          <w:rFonts w:ascii="Arial" w:cs="Arial" w:eastAsia="Arial" w:hAnsi="Arial"/>
          <w:sz w:val="19"/>
          <w:szCs w:val="19"/>
          <w:color w:val="auto"/>
        </w:rPr>
        <w:t>In January 2021, we completed a strategic partnership for setrusumab and completed the out-license of navicixizumab in January 2020. We plan to partner or sell or out-license our non-core product candidates acumapimod for the treatment of AECOPD and leflutrozole for the treatment of male infertility associated with HH, recognizing the need for a larger sales infrastructure and greater resources to take these product candidates to market.</w:t>
      </w:r>
    </w:p>
    <w:p>
      <w:pPr>
        <w:spacing w:after="0" w:line="143"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color w:val="auto"/>
        </w:rPr>
        <w:t>We may be exposed to future liabilities and/or obligations with respect to any such out-licensing or sale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161" w:lineRule="exact"/>
        <w:rPr>
          <w:sz w:val="20"/>
          <w:szCs w:val="20"/>
          <w:color w:val="auto"/>
        </w:rPr>
      </w:pPr>
    </w:p>
    <w:p>
      <w:pPr>
        <w:ind w:left="120" w:right="20" w:firstLine="551"/>
        <w:spacing w:after="0" w:line="297" w:lineRule="auto"/>
        <w:rPr>
          <w:sz w:val="20"/>
          <w:szCs w:val="20"/>
          <w:color w:val="auto"/>
        </w:rPr>
      </w:pPr>
      <w:r>
        <w:rPr>
          <w:rFonts w:ascii="Arial" w:cs="Arial" w:eastAsia="Arial" w:hAnsi="Arial"/>
          <w:sz w:val="19"/>
          <w:szCs w:val="19"/>
          <w:color w:val="auto"/>
        </w:rPr>
        <w:t>As a result of the above, the total amount of costs and expenses that may be incurred with respect to liabilities associated with an out-license or sale may exceed our expectations, and we may experience other unanticipated adverse effects, all of which could adversely affect our business, financial condition, results of operations, and prospects.</w:t>
      </w:r>
    </w:p>
    <w:p>
      <w:pPr>
        <w:spacing w:after="0" w:line="134" w:lineRule="exact"/>
        <w:rPr>
          <w:sz w:val="20"/>
          <w:szCs w:val="20"/>
          <w:color w:val="auto"/>
        </w:rPr>
      </w:pPr>
    </w:p>
    <w:p>
      <w:pPr>
        <w:ind w:left="120" w:right="580"/>
        <w:spacing w:after="0" w:line="274" w:lineRule="auto"/>
        <w:rPr>
          <w:sz w:val="20"/>
          <w:szCs w:val="20"/>
          <w:color w:val="auto"/>
        </w:rPr>
      </w:pPr>
      <w:r>
        <w:rPr>
          <w:rFonts w:ascii="Arial" w:cs="Arial" w:eastAsia="Arial" w:hAnsi="Arial"/>
          <w:sz w:val="21"/>
          <w:szCs w:val="21"/>
          <w:b w:val="1"/>
          <w:bCs w:val="1"/>
          <w:i w:val="1"/>
          <w:iCs w:val="1"/>
          <w:color w:val="auto"/>
        </w:rPr>
        <w:t>Our business is subject to economic, political, regulatory and other risks associated with international operations and business disruptions could seriously harm our financial condition and increase costs.</w:t>
      </w:r>
    </w:p>
    <w:p>
      <w:pPr>
        <w:spacing w:after="0" w:line="151" w:lineRule="exact"/>
        <w:rPr>
          <w:sz w:val="20"/>
          <w:szCs w:val="20"/>
          <w:color w:val="auto"/>
        </w:rPr>
      </w:pPr>
    </w:p>
    <w:p>
      <w:pPr>
        <w:ind w:left="120" w:right="180" w:firstLine="551"/>
        <w:spacing w:after="0" w:line="252" w:lineRule="auto"/>
        <w:rPr>
          <w:sz w:val="20"/>
          <w:szCs w:val="20"/>
          <w:color w:val="auto"/>
        </w:rPr>
      </w:pPr>
      <w:r>
        <w:rPr>
          <w:rFonts w:ascii="Arial" w:cs="Arial" w:eastAsia="Arial" w:hAnsi="Arial"/>
          <w:sz w:val="21"/>
          <w:szCs w:val="21"/>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79" w:lineRule="exact"/>
        <w:rPr>
          <w:sz w:val="20"/>
          <w:szCs w:val="20"/>
          <w:color w:val="auto"/>
        </w:rPr>
      </w:pPr>
    </w:p>
    <w:p>
      <w:pPr>
        <w:ind w:left="5520" w:right="180" w:hanging="4635"/>
        <w:spacing w:after="0" w:line="391" w:lineRule="auto"/>
        <w:tabs>
          <w:tab w:leader="none" w:pos="1429" w:val="left"/>
        </w:tabs>
        <w:numPr>
          <w:ilvl w:val="0"/>
          <w:numId w:val="20"/>
        </w:numPr>
        <w:rPr>
          <w:rFonts w:ascii="Arial" w:cs="Arial" w:eastAsia="Arial" w:hAnsi="Arial"/>
          <w:sz w:val="22"/>
          <w:szCs w:val="22"/>
          <w:color w:val="auto"/>
        </w:rPr>
      </w:pPr>
      <w:r>
        <w:rPr>
          <w:rFonts w:ascii="Arial" w:cs="Arial" w:eastAsia="Arial" w:hAnsi="Arial"/>
          <w:sz w:val="22"/>
          <w:szCs w:val="22"/>
          <w:color w:val="auto"/>
        </w:rPr>
        <w:t>economic weakness, including inflation, or political instability in particular non-U.K. economies and markets; 13</w:t>
      </w:r>
    </w:p>
    <w:p>
      <w:pPr>
        <w:sectPr>
          <w:pgSz w:w="11900" w:h="16838" w:orient="portrait"/>
          <w:cols w:equalWidth="0" w:num="1">
            <w:col w:w="11120"/>
          </w:cols>
          <w:pgMar w:left="320" w:top="486" w:right="459" w:bottom="1440" w:gutter="0" w:footer="0" w:header="0"/>
        </w:sectPr>
      </w:pPr>
    </w:p>
    <w:bookmarkStart w:id="16" w:name="page17"/>
    <w:bookmarkEnd w:id="1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differing regulatory requirements for drug approvals in non-U.K. countries;</w:t>
      </w:r>
    </w:p>
    <w:p>
      <w:pPr>
        <w:spacing w:after="0" w:line="111" w:lineRule="exact"/>
        <w:rPr>
          <w:rFonts w:ascii="Arial" w:cs="Arial" w:eastAsia="Arial" w:hAnsi="Arial"/>
          <w:sz w:val="22"/>
          <w:szCs w:val="22"/>
          <w:color w:val="auto"/>
        </w:rPr>
      </w:pPr>
    </w:p>
    <w:p>
      <w:pPr>
        <w:ind w:left="1420" w:right="160" w:hanging="535"/>
        <w:spacing w:after="0" w:line="250" w:lineRule="auto"/>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differing jurisdictions could present different issues for securing, maintaining, or obtaining freedom to operate for our intellectual property in such jurisdictions;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potentially reduced protection for intellectual property rights;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difficulties in compliance with non-U.K. laws and regulations;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changes in non-U.K. regulations and customs, tariffs, and trade barriers;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changes in non-U.K. currency exchange rates of the pound sterling and currency controls;</w:t>
      </w:r>
    </w:p>
    <w:p>
      <w:pPr>
        <w:spacing w:after="0" w:line="111" w:lineRule="exact"/>
        <w:rPr>
          <w:rFonts w:ascii="Arial" w:cs="Arial" w:eastAsia="Arial" w:hAnsi="Arial"/>
          <w:sz w:val="22"/>
          <w:szCs w:val="22"/>
          <w:color w:val="auto"/>
        </w:rPr>
      </w:pPr>
    </w:p>
    <w:p>
      <w:pPr>
        <w:ind w:left="1420" w:right="80" w:hanging="535"/>
        <w:spacing w:after="0" w:line="250" w:lineRule="auto"/>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changes in a specific country’s or region’s political or economic environment, including the implications of the United Kingdom’s withdrawal from the EU;</w:t>
      </w:r>
    </w:p>
    <w:p>
      <w:pPr>
        <w:spacing w:after="0" w:line="80" w:lineRule="exact"/>
        <w:rPr>
          <w:rFonts w:ascii="Arial" w:cs="Arial" w:eastAsia="Arial" w:hAnsi="Arial"/>
          <w:sz w:val="22"/>
          <w:szCs w:val="22"/>
          <w:color w:val="auto"/>
        </w:rPr>
      </w:pPr>
    </w:p>
    <w:p>
      <w:pPr>
        <w:ind w:left="1420" w:right="180" w:hanging="535"/>
        <w:spacing w:after="0" w:line="250" w:lineRule="auto"/>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trade protection measures, import or export licensing requirements or other restrictive actions by U.K. or non-U.K. governments;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differing reimbursement regimes and price controls in certain non-U.K. markets;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negative consequences from changes in tax laws;</w:t>
      </w:r>
    </w:p>
    <w:p>
      <w:pPr>
        <w:spacing w:after="0" w:line="111" w:lineRule="exact"/>
        <w:rPr>
          <w:rFonts w:ascii="Arial" w:cs="Arial" w:eastAsia="Arial" w:hAnsi="Arial"/>
          <w:sz w:val="22"/>
          <w:szCs w:val="22"/>
          <w:color w:val="auto"/>
        </w:rPr>
      </w:pPr>
    </w:p>
    <w:p>
      <w:pPr>
        <w:ind w:left="1420" w:right="60" w:hanging="535"/>
        <w:spacing w:after="0" w:line="250" w:lineRule="auto"/>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compliance with tax, employment, immigration, and labor laws for employees living or traveling outside of the United Kingdom;</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workforce uncertainty in countries where labor unrest is more common than in the United Kingdom;</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difficulties associated with staffing and managing international operations, including differing labor relations;</w:t>
      </w:r>
    </w:p>
    <w:p>
      <w:pPr>
        <w:spacing w:after="0" w:line="146" w:lineRule="exact"/>
        <w:rPr>
          <w:rFonts w:ascii="Arial" w:cs="Arial" w:eastAsia="Arial" w:hAnsi="Arial"/>
          <w:sz w:val="19"/>
          <w:szCs w:val="19"/>
          <w:color w:val="auto"/>
        </w:rPr>
      </w:pPr>
    </w:p>
    <w:p>
      <w:pPr>
        <w:ind w:left="1420" w:right="440" w:hanging="535"/>
        <w:spacing w:after="0" w:line="250" w:lineRule="auto"/>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production shortages resulting from any events affecting raw material supply or manufacturing capabilities abroad;</w:t>
      </w:r>
    </w:p>
    <w:p>
      <w:pPr>
        <w:spacing w:after="0" w:line="80" w:lineRule="exact"/>
        <w:rPr>
          <w:rFonts w:ascii="Arial" w:cs="Arial" w:eastAsia="Arial" w:hAnsi="Arial"/>
          <w:sz w:val="22"/>
          <w:szCs w:val="22"/>
          <w:color w:val="auto"/>
        </w:rPr>
      </w:pPr>
    </w:p>
    <w:p>
      <w:pPr>
        <w:ind w:left="1420" w:right="24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business interruptions resulting from geo-political actions, including war and terrorism, health epidemics and other widespread outbreaks of contagious disease, or natural disasters, including earthquakes, typhoons, hurricanes, floods and fires; and</w:t>
      </w:r>
    </w:p>
    <w:p>
      <w:pPr>
        <w:spacing w:after="0" w:line="91" w:lineRule="exact"/>
        <w:rPr>
          <w:rFonts w:ascii="Arial" w:cs="Arial" w:eastAsia="Arial" w:hAnsi="Arial"/>
          <w:sz w:val="22"/>
          <w:szCs w:val="22"/>
          <w:color w:val="auto"/>
        </w:rPr>
      </w:pPr>
    </w:p>
    <w:p>
      <w:pPr>
        <w:ind w:left="1420" w:hanging="535"/>
        <w:spacing w:after="0"/>
        <w:tabs>
          <w:tab w:leader="none" w:pos="1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business interruptions resulting from the pandemic or any other health epidemics.</w:t>
      </w:r>
    </w:p>
    <w:p>
      <w:pPr>
        <w:spacing w:after="0" w:line="206"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color w:val="auto"/>
        </w:rPr>
        <w:t>For example, the COVID-19 pandemic has resulted in delays in our ability to enroll and treat patients, obtaining data from ongoing clinical trials, our ability to recruit additional patients to our clinical trials and to screen new patients for eligibility for our clinical trials. Additionally, continued supply chains disruptions may impact our development activities. Moreover, in February 2022, tensions between the United States and Russia escalated when Russia invaded Ukraine. In response, The North Atlantic Treaty Organization, or NATO, has deployed additional military forces to Eastern Europe and the United States, United Kingdom and the European Union, among others, have announced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18" w:lineRule="exact"/>
        <w:rPr>
          <w:sz w:val="20"/>
          <w:szCs w:val="20"/>
          <w:color w:val="auto"/>
        </w:rPr>
      </w:pPr>
    </w:p>
    <w:p>
      <w:pPr>
        <w:ind w:left="120" w:right="20" w:firstLine="551"/>
        <w:spacing w:after="0" w:line="275" w:lineRule="auto"/>
        <w:rPr>
          <w:sz w:val="20"/>
          <w:szCs w:val="20"/>
          <w:color w:val="auto"/>
        </w:rPr>
      </w:pPr>
      <w:r>
        <w:rPr>
          <w:rFonts w:ascii="Arial" w:cs="Arial" w:eastAsia="Arial" w:hAnsi="Arial"/>
          <w:sz w:val="19"/>
          <w:szCs w:val="19"/>
          <w:color w:val="auto"/>
        </w:rPr>
        <w:t>Our success depends upon the continued contributions of our key management, including all of our senior management team, and scientific and technical personnel, many of whom have been instrumental for us and have substantial experience with 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57" w:lineRule="exact"/>
        <w:rPr>
          <w:sz w:val="20"/>
          <w:szCs w:val="20"/>
          <w:color w:val="auto"/>
        </w:rPr>
      </w:pPr>
    </w:p>
    <w:p>
      <w:pPr>
        <w:ind w:left="120" w:right="120" w:firstLine="551"/>
        <w:spacing w:after="0" w:line="250" w:lineRule="auto"/>
        <w:rPr>
          <w:sz w:val="20"/>
          <w:szCs w:val="20"/>
          <w:color w:val="auto"/>
        </w:rPr>
      </w:pPr>
      <w:r>
        <w:rPr>
          <w:rFonts w:ascii="Arial" w:cs="Arial" w:eastAsia="Arial" w:hAnsi="Arial"/>
          <w:sz w:val="22"/>
          <w:szCs w:val="22"/>
          <w:color w:val="auto"/>
        </w:rPr>
        <w:t>We aim to expand our development, regulatory, and sales and marketing capabilities, and as a result, we may encounter difficulties in managing our planned growth, which could disrupt our operations.</w:t>
      </w:r>
    </w:p>
    <w:p>
      <w:pPr>
        <w:spacing w:after="0" w:line="17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21"/>
          <w:szCs w:val="21"/>
          <w:color w:val="auto"/>
        </w:rPr>
        <w:t>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ectPr>
          <w:pgSz w:w="11900" w:h="16847" w:orient="portrait"/>
          <w:cols w:equalWidth="0" w:num="1">
            <w:col w:w="11100"/>
          </w:cols>
          <w:pgMar w:left="320" w:top="486" w:right="479" w:bottom="0" w:gutter="0" w:footer="0" w:header="0"/>
        </w:sectPr>
      </w:pPr>
    </w:p>
    <w:bookmarkStart w:id="17" w:name="page18"/>
    <w:bookmarkEnd w:id="17"/>
    <w:p>
      <w:pPr>
        <w:ind w:right="960"/>
        <w:spacing w:after="0" w:line="274" w:lineRule="auto"/>
        <w:rPr>
          <w:sz w:val="20"/>
          <w:szCs w:val="20"/>
          <w:color w:val="auto"/>
        </w:rPr>
      </w:pPr>
      <w:r>
        <w:rPr>
          <w:rFonts w:ascii="Arial" w:cs="Arial" w:eastAsia="Arial" w:hAnsi="Arial"/>
          <w:sz w:val="21"/>
          <w:szCs w:val="21"/>
          <w:b w:val="1"/>
          <w:bCs w:val="1"/>
          <w:i w:val="1"/>
          <w:iCs w:val="1"/>
          <w:color w:val="auto"/>
        </w:rPr>
        <w:t>Changes in our tax rates, unavailability of certain tax credits or reliefs, or exposure to additional tax liabilities or assessments could adversely affect our results of operations and financial condition.</w:t>
      </w:r>
    </w:p>
    <w:p>
      <w:pPr>
        <w:spacing w:after="0" w:line="43" w:lineRule="exact"/>
        <w:rPr>
          <w:sz w:val="20"/>
          <w:szCs w:val="20"/>
          <w:color w:val="auto"/>
        </w:rPr>
      </w:pPr>
    </w:p>
    <w:p>
      <w:pPr>
        <w:ind w:right="180" w:firstLine="551"/>
        <w:spacing w:after="0" w:line="252" w:lineRule="auto"/>
        <w:rPr>
          <w:sz w:val="20"/>
          <w:szCs w:val="20"/>
          <w:color w:val="auto"/>
        </w:rPr>
      </w:pPr>
      <w:r>
        <w:rPr>
          <w:rFonts w:ascii="Arial" w:cs="Arial" w:eastAsia="Arial" w:hAnsi="Arial"/>
          <w:sz w:val="21"/>
          <w:szCs w:val="21"/>
          <w:color w:val="auto"/>
        </w:rPr>
        <w:t>As a U.K. resident trading entity, we are subject to U.K. corporate taxation. Due to the nature of our business, we have generated operating losses since formation. As at December 31, 2021, 2020 and 2019, we had cumulative carry-forward tax losses of £122.6 million, £136.9 million and £70.2 million, respectively. The availability to carry forward and offset these tax loss carry-forwards against future operating profits is subject to certain restrictions.</w:t>
      </w:r>
    </w:p>
    <w:p>
      <w:pPr>
        <w:spacing w:after="0" w:line="174" w:lineRule="exact"/>
        <w:rPr>
          <w:sz w:val="20"/>
          <w:szCs w:val="20"/>
          <w:color w:val="auto"/>
        </w:rPr>
      </w:pPr>
    </w:p>
    <w:p>
      <w:pPr>
        <w:ind w:right="40" w:firstLine="551"/>
        <w:spacing w:after="0" w:line="272" w:lineRule="auto"/>
        <w:rPr>
          <w:sz w:val="20"/>
          <w:szCs w:val="20"/>
          <w:color w:val="auto"/>
        </w:rPr>
      </w:pPr>
      <w:r>
        <w:rPr>
          <w:rFonts w:ascii="Arial" w:cs="Arial" w:eastAsia="Arial" w:hAnsi="Arial"/>
          <w:sz w:val="19"/>
          <w:szCs w:val="19"/>
          <w:color w:val="auto"/>
        </w:rPr>
        <w:t>As a company that carries out extensive research and development (“R&amp;D”) activities, we benefit from the U.K. HM Revenue and Customs (“HMRC”) small and medium sized enterprises research and development relief, or SME R&amp;D Relief, which provides relief against U.K. Corporation Tax and enables us to surrender some of our trading losses that arise from our research and development activities for a cash rebate of up to 33.35% of eligible R&amp;D expenditure. Certain subcontracted qualifying research expenditures are eligible for a cash rebate of up to 21.67%. We may not be able to continue to claim payable R&amp;D tax credits in the future because we may no longer qualify as a small or medium-sized company. 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56" w:lineRule="exact"/>
        <w:rPr>
          <w:sz w:val="20"/>
          <w:szCs w:val="20"/>
          <w:color w:val="auto"/>
        </w:rPr>
      </w:pPr>
    </w:p>
    <w:p>
      <w:pPr>
        <w:ind w:right="40" w:firstLine="551"/>
        <w:spacing w:after="0" w:line="246" w:lineRule="auto"/>
        <w:rPr>
          <w:sz w:val="20"/>
          <w:szCs w:val="20"/>
          <w:color w:val="auto"/>
        </w:rPr>
      </w:pPr>
      <w:r>
        <w:rPr>
          <w:rFonts w:ascii="Arial" w:cs="Arial" w:eastAsia="Arial" w:hAnsi="Arial"/>
          <w:sz w:val="21"/>
          <w:szCs w:val="21"/>
          <w:color w:val="auto"/>
        </w:rPr>
        <w:t>New rules were introduced, effective for accounting periods starting after April 1, 2021, whereby the amount of SME payable R&amp;D tax credit that a business can receive in any one year will be capped at £20,000 plus three times the company’s total Pay As You Earn (PAYE) and National Insurance contributions (NIC) liability. Exemptions to the cap have been introduced which are available to companies that meet certain conditions. We are currently reviewing the impact these changes could have on our tax credit for the year ending December 31, 2022, which would be payable in 2023. If tax authorities challenge our determinations and/or audit prior periods there could be adverse tax consequences to us that could adversely affect our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Development, Clinical Testing, Manufacturing and Regulatory Approval</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b w:val="1"/>
          <w:bCs w:val="1"/>
          <w:i w:val="1"/>
          <w:iCs w:val="1"/>
          <w:color w:val="auto"/>
        </w:rPr>
        <w:t>Prior to our acquisition of etigilimab, alvelestat, setrusumab,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w:t>
      </w:r>
    </w:p>
    <w:p>
      <w:pPr>
        <w:spacing w:after="0" w:line="174" w:lineRule="exact"/>
        <w:rPr>
          <w:sz w:val="20"/>
          <w:szCs w:val="20"/>
          <w:color w:val="auto"/>
        </w:rPr>
      </w:pPr>
    </w:p>
    <w:p>
      <w:pPr>
        <w:ind w:firstLine="551"/>
        <w:spacing w:after="0" w:line="275" w:lineRule="auto"/>
        <w:rPr>
          <w:sz w:val="20"/>
          <w:szCs w:val="20"/>
          <w:color w:val="auto"/>
        </w:rPr>
      </w:pPr>
      <w:r>
        <w:rPr>
          <w:rFonts w:ascii="Arial" w:cs="Arial" w:eastAsia="Arial" w:hAnsi="Arial"/>
          <w:sz w:val="19"/>
          <w:szCs w:val="19"/>
          <w:color w:val="auto"/>
        </w:rPr>
        <w:t>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00"/>
          </w:cols>
          <w:pgMar w:left="440" w:top="118"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spacing w:after="0"/>
        <w:rPr>
          <w:sz w:val="20"/>
          <w:szCs w:val="20"/>
          <w:color w:val="auto"/>
        </w:rPr>
      </w:pPr>
      <w:r>
        <w:rPr>
          <w:rFonts w:ascii="Arial" w:cs="Arial" w:eastAsia="Arial" w:hAnsi="Arial"/>
          <w:sz w:val="22"/>
          <w:szCs w:val="22"/>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6"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50" w:lineRule="exact"/>
        <w:rPr>
          <w:sz w:val="20"/>
          <w:szCs w:val="20"/>
          <w:color w:val="auto"/>
        </w:rPr>
      </w:pPr>
    </w:p>
    <w:p>
      <w:pPr>
        <w:ind w:left="120"/>
        <w:spacing w:after="0" w:line="282" w:lineRule="auto"/>
        <w:rPr>
          <w:sz w:val="20"/>
          <w:szCs w:val="20"/>
          <w:color w:val="auto"/>
        </w:rPr>
      </w:pPr>
      <w:r>
        <w:rPr>
          <w:rFonts w:ascii="Arial" w:cs="Arial" w:eastAsia="Arial" w:hAnsi="Arial"/>
          <w:sz w:val="19"/>
          <w:szCs w:val="19"/>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147" w:lineRule="exact"/>
        <w:rPr>
          <w:sz w:val="20"/>
          <w:szCs w:val="20"/>
          <w:color w:val="auto"/>
        </w:rPr>
      </w:pPr>
    </w:p>
    <w:p>
      <w:pPr>
        <w:ind w:left="120" w:right="140" w:firstLine="551"/>
        <w:spacing w:after="0" w:line="249" w:lineRule="auto"/>
        <w:rPr>
          <w:sz w:val="20"/>
          <w:szCs w:val="20"/>
          <w:color w:val="auto"/>
        </w:rPr>
      </w:pPr>
      <w:r>
        <w:rPr>
          <w:rFonts w:ascii="Arial" w:cs="Arial" w:eastAsia="Arial" w:hAnsi="Arial"/>
          <w:sz w:val="21"/>
          <w:szCs w:val="21"/>
          <w:color w:val="auto"/>
        </w:rPr>
        <w:t>Undesirable side effects that may be caused by etigilimab, alvelestat, setrusumab, acumapimod and leflutrozole could cause us or regulatory authorities to interrupt, delay or halt clinical trials, and could result in a more restrictive label or the delay or denial of regulatory approval by the FDA, the EMA, or other comparable U.K. or foreign authorities. Each of our product candidates has completed one or more clinical trials. In the trials conducted prior to our ownership and following our ownership, adverse events observed have included the following:</w:t>
      </w:r>
    </w:p>
    <w:p>
      <w:pPr>
        <w:spacing w:after="0" w:line="84" w:lineRule="exact"/>
        <w:rPr>
          <w:sz w:val="20"/>
          <w:szCs w:val="20"/>
          <w:color w:val="auto"/>
        </w:rPr>
      </w:pPr>
    </w:p>
    <w:p>
      <w:pPr>
        <w:ind w:left="1420" w:hanging="535"/>
        <w:spacing w:after="0"/>
        <w:tabs>
          <w:tab w:leader="none" w:pos="14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etigilimab, rash, fatigue, nausea, pruritus and autoimmune hepatitis;</w:t>
      </w:r>
    </w:p>
    <w:p>
      <w:pPr>
        <w:spacing w:after="0" w:line="111" w:lineRule="exact"/>
        <w:rPr>
          <w:rFonts w:ascii="Arial" w:cs="Arial" w:eastAsia="Arial" w:hAnsi="Arial"/>
          <w:sz w:val="22"/>
          <w:szCs w:val="22"/>
          <w:color w:val="auto"/>
        </w:rPr>
      </w:pPr>
    </w:p>
    <w:p>
      <w:pPr>
        <w:ind w:left="1420" w:right="240" w:hanging="535"/>
        <w:spacing w:after="0" w:line="250" w:lineRule="auto"/>
        <w:tabs>
          <w:tab w:leader="none" w:pos="14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alvelestat, headache, nasopharyngitis, and elevated levels of the liver enzymes aspartate aminotransferase and alanine aminotransferase;</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setrusumab, headache, influenza, arthralgia and fatigue;</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acumapimod, a mild acne-like rash, tachycardia, dizziness and headache;</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leflutrozole, headache, increased hematocrit and small increases in blood pressure; and</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navicixizumab, hypertension, headache, fatigue, and pulmonary hypertension.</w:t>
      </w:r>
    </w:p>
    <w:p>
      <w:pPr>
        <w:spacing w:after="0" w:line="206"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22"/>
          <w:szCs w:val="22"/>
          <w:color w:val="auto"/>
        </w:rPr>
        <w:t>Clinical development for etigilimab, alvelestat and setrusumab is ongoing. Results of our ongoing and future clinical trials, or results from clinical trials for other similar product candidates,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our product candidates for any or all targeted indications.</w:t>
      </w:r>
    </w:p>
    <w:p>
      <w:pPr>
        <w:spacing w:after="0" w:line="18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22"/>
          <w:szCs w:val="22"/>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90" w:lineRule="exact"/>
        <w:rPr>
          <w:sz w:val="20"/>
          <w:szCs w:val="20"/>
          <w:color w:val="auto"/>
        </w:rPr>
      </w:pPr>
    </w:p>
    <w:p>
      <w:pPr>
        <w:ind w:left="1420" w:hanging="535"/>
        <w:spacing w:after="0"/>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regulatory authorities may withdraw approvals of any such product and require us to take it off the market;</w:t>
      </w:r>
    </w:p>
    <w:p>
      <w:pPr>
        <w:spacing w:after="0" w:line="146" w:lineRule="exact"/>
        <w:rPr>
          <w:rFonts w:ascii="Arial" w:cs="Arial" w:eastAsia="Arial" w:hAnsi="Arial"/>
          <w:sz w:val="19"/>
          <w:szCs w:val="19"/>
          <w:color w:val="auto"/>
        </w:rPr>
      </w:pPr>
    </w:p>
    <w:p>
      <w:pPr>
        <w:ind w:left="1420" w:right="160" w:hanging="535"/>
        <w:spacing w:after="0" w:line="250" w:lineRule="auto"/>
        <w:tabs>
          <w:tab w:leader="none" w:pos="1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regulatory authorities may require the addition of labeling statements, specific warnings, a contraindication or field alerts to physicians and pharmacies;</w:t>
      </w:r>
    </w:p>
    <w:p>
      <w:pPr>
        <w:spacing w:after="0" w:line="80" w:lineRule="exact"/>
        <w:rPr>
          <w:rFonts w:ascii="Arial" w:cs="Arial" w:eastAsia="Arial" w:hAnsi="Arial"/>
          <w:sz w:val="22"/>
          <w:szCs w:val="22"/>
          <w:color w:val="auto"/>
        </w:rPr>
      </w:pPr>
    </w:p>
    <w:p>
      <w:pPr>
        <w:ind w:left="1420" w:right="100" w:hanging="535"/>
        <w:spacing w:after="0" w:line="328" w:lineRule="auto"/>
        <w:tabs>
          <w:tab w:leader="none" w:pos="14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10" w:lineRule="exact"/>
        <w:rPr>
          <w:rFonts w:ascii="Arial" w:cs="Arial" w:eastAsia="Arial" w:hAnsi="Arial"/>
          <w:sz w:val="19"/>
          <w:szCs w:val="19"/>
          <w:color w:val="auto"/>
        </w:rPr>
      </w:pPr>
    </w:p>
    <w:p>
      <w:pPr>
        <w:ind w:left="1420" w:hanging="535"/>
        <w:spacing w:after="0" w:line="250" w:lineRule="auto"/>
        <w:tabs>
          <w:tab w:leader="none" w:pos="1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we may be required to change the way a product is administered, conduct additional clinical trials or change the labeling of a product;</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we may be subject to limitations on how we may promote the product;</w:t>
      </w:r>
    </w:p>
    <w:p>
      <w:pPr>
        <w:sectPr>
          <w:pgSz w:w="11900" w:h="16838" w:orient="portrait"/>
          <w:cols w:equalWidth="0" w:num="1">
            <w:col w:w="11080"/>
          </w:cols>
          <w:pgMar w:left="320" w:top="486" w:right="499" w:bottom="1440" w:gutter="0" w:footer="0" w:header="0"/>
        </w:sectPr>
      </w:pP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080"/>
          </w:cols>
          <w:pgMar w:left="320" w:top="486" w:right="4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hanging="535"/>
        <w:spacing w:after="0"/>
        <w:tabs>
          <w:tab w:leader="none" w:pos="1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sales of the product may decrease significantly;</w:t>
      </w:r>
    </w:p>
    <w:p>
      <w:pPr>
        <w:spacing w:after="0" w:line="111" w:lineRule="exact"/>
        <w:rPr>
          <w:rFonts w:ascii="Arial" w:cs="Arial" w:eastAsia="Arial" w:hAnsi="Arial"/>
          <w:sz w:val="22"/>
          <w:szCs w:val="22"/>
          <w:color w:val="auto"/>
        </w:rPr>
      </w:pPr>
    </w:p>
    <w:p>
      <w:pPr>
        <w:ind w:left="1420" w:right="260" w:hanging="535"/>
        <w:spacing w:after="0" w:line="328" w:lineRule="auto"/>
        <w:tabs>
          <w:tab w:leader="none" w:pos="1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third-party private or government payors may not offer, or may offer inadequate, reimbursement coverage for our product candidates, or reimbursement payments may be delayed or impossible to recover;</w:t>
      </w:r>
    </w:p>
    <w:p>
      <w:pPr>
        <w:spacing w:after="0" w:line="10" w:lineRule="exact"/>
        <w:rPr>
          <w:rFonts w:ascii="Arial" w:cs="Arial" w:eastAsia="Arial" w:hAnsi="Arial"/>
          <w:sz w:val="19"/>
          <w:szCs w:val="19"/>
          <w:color w:val="auto"/>
        </w:rPr>
      </w:pPr>
    </w:p>
    <w:p>
      <w:pPr>
        <w:ind w:left="1420" w:hanging="535"/>
        <w:spacing w:after="0"/>
        <w:tabs>
          <w:tab w:leader="none" w:pos="1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we may be subject to litigation or product liability claims; and</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reputation may suffer.</w:t>
      </w:r>
    </w:p>
    <w:p>
      <w:pPr>
        <w:spacing w:after="0" w:line="206" w:lineRule="exact"/>
        <w:rPr>
          <w:sz w:val="20"/>
          <w:szCs w:val="20"/>
          <w:color w:val="auto"/>
        </w:rPr>
      </w:pPr>
    </w:p>
    <w:p>
      <w:pPr>
        <w:ind w:left="120" w:right="120" w:firstLine="551"/>
        <w:spacing w:after="0" w:line="257" w:lineRule="auto"/>
        <w:rPr>
          <w:sz w:val="20"/>
          <w:szCs w:val="20"/>
          <w:color w:val="auto"/>
        </w:rPr>
      </w:pPr>
      <w:r>
        <w:rPr>
          <w:rFonts w:ascii="Arial" w:cs="Arial" w:eastAsia="Arial" w:hAnsi="Arial"/>
          <w:sz w:val="21"/>
          <w:szCs w:val="21"/>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69" w:lineRule="exact"/>
        <w:rPr>
          <w:sz w:val="20"/>
          <w:szCs w:val="20"/>
          <w:color w:val="auto"/>
        </w:rPr>
      </w:pPr>
    </w:p>
    <w:p>
      <w:pPr>
        <w:ind w:left="120" w:right="800"/>
        <w:spacing w:after="0" w:line="250" w:lineRule="auto"/>
        <w:rPr>
          <w:sz w:val="20"/>
          <w:szCs w:val="20"/>
          <w:color w:val="auto"/>
        </w:rPr>
      </w:pPr>
      <w:r>
        <w:rPr>
          <w:rFonts w:ascii="Arial" w:cs="Arial" w:eastAsia="Arial" w:hAnsi="Arial"/>
          <w:sz w:val="22"/>
          <w:szCs w:val="22"/>
          <w:b w:val="1"/>
          <w:bCs w:val="1"/>
          <w:i w:val="1"/>
          <w:iCs w:val="1"/>
          <w:color w:val="auto"/>
        </w:rPr>
        <w:t>Manufacturing tests of setrusumab have shown that it may cause an opalescence appearance to the liquid antibody formulation.</w:t>
      </w:r>
    </w:p>
    <w:p>
      <w:pPr>
        <w:spacing w:after="0" w:line="175" w:lineRule="exact"/>
        <w:rPr>
          <w:sz w:val="20"/>
          <w:szCs w:val="20"/>
          <w:color w:val="auto"/>
        </w:rPr>
      </w:pPr>
    </w:p>
    <w:p>
      <w:pPr>
        <w:ind w:left="120" w:right="20" w:firstLine="551"/>
        <w:spacing w:after="0" w:line="274" w:lineRule="auto"/>
        <w:rPr>
          <w:sz w:val="20"/>
          <w:szCs w:val="20"/>
          <w:color w:val="auto"/>
        </w:rPr>
      </w:pPr>
      <w:r>
        <w:rPr>
          <w:rFonts w:ascii="Arial" w:cs="Arial" w:eastAsia="Arial" w:hAnsi="Arial"/>
          <w:sz w:val="19"/>
          <w:szCs w:val="19"/>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w:t>
      </w:r>
    </w:p>
    <w:p>
      <w:pPr>
        <w:spacing w:after="0" w:line="158" w:lineRule="exact"/>
        <w:rPr>
          <w:sz w:val="20"/>
          <w:szCs w:val="20"/>
          <w:color w:val="auto"/>
        </w:rPr>
      </w:pPr>
    </w:p>
    <w:p>
      <w:pPr>
        <w:ind w:left="120" w:right="160"/>
        <w:spacing w:after="0" w:line="257" w:lineRule="auto"/>
        <w:rPr>
          <w:sz w:val="20"/>
          <w:szCs w:val="20"/>
          <w:color w:val="auto"/>
        </w:rPr>
      </w:pPr>
      <w:r>
        <w:rPr>
          <w:rFonts w:ascii="Arial" w:cs="Arial" w:eastAsia="Arial" w:hAnsi="Arial"/>
          <w:sz w:val="21"/>
          <w:szCs w:val="21"/>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69" w:lineRule="exact"/>
        <w:rPr>
          <w:sz w:val="20"/>
          <w:szCs w:val="20"/>
          <w:color w:val="auto"/>
        </w:rPr>
      </w:pPr>
    </w:p>
    <w:p>
      <w:pPr>
        <w:ind w:left="120" w:firstLine="551"/>
        <w:spacing w:after="0" w:line="269" w:lineRule="auto"/>
        <w:rPr>
          <w:sz w:val="20"/>
          <w:szCs w:val="20"/>
          <w:color w:val="auto"/>
        </w:rPr>
      </w:pPr>
      <w:r>
        <w:rPr>
          <w:rFonts w:ascii="Arial" w:cs="Arial" w:eastAsia="Arial" w:hAnsi="Arial"/>
          <w:sz w:val="19"/>
          <w:szCs w:val="19"/>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United States and Europe. Due to the small number of patients for any 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 intend to enroll in our clinical trials for AATD, the target indication for alvelestat. However, due to underdiagnosis, there are estimated to be approximately 6,000 to 10,000 patients diagnosed in North America.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For example, our Phase 2 alvelestat trial recruits individuals with alpha-1 antitrypsin deficiency-related lung disease, who are at greater risk from COVID-19 given that the condition is a respiratory and lung condition, and for this reason, our Phase 2 alvelestat trial has been delayed with top-line data now expected in early Q2 2022. Due to the effects of the COVID-19 pandemic on this vulnerable population and the impact on enrollment timelines, we closed the study to enrolment at 99 patients at the end of 2021. This is lower than the protocol defined number of patients in the original study design.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ectPr>
          <w:pgSz w:w="11900" w:h="16838" w:orient="portrait"/>
          <w:cols w:equalWidth="0" w:num="1">
            <w:col w:w="11140"/>
          </w:cols>
          <w:pgMar w:left="320" w:top="486" w:right="43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140"/>
          </w:cols>
          <w:pgMar w:left="320" w:top="486"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spacing w:after="0" w:line="328" w:lineRule="auto"/>
        <w:rPr>
          <w:sz w:val="20"/>
          <w:szCs w:val="20"/>
          <w:color w:val="auto"/>
        </w:rPr>
      </w:pPr>
      <w:r>
        <w:rPr>
          <w:rFonts w:ascii="Arial" w:cs="Arial" w:eastAsia="Arial" w:hAnsi="Arial"/>
          <w:sz w:val="19"/>
          <w:szCs w:val="19"/>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05"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9"/>
          <w:szCs w:val="19"/>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63" w:lineRule="exact"/>
        <w:rPr>
          <w:sz w:val="20"/>
          <w:szCs w:val="20"/>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decreased demand for our product candidates;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injury to our reputation;</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withdrawal of clinical trial participants;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costs to defend related litigation;</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diversion of management’s time and our resources;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substantial monetary awards to trial participants or patients;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regulatory investigation, product recalls or withdrawals, or labeling, marketing or promotional restrictions;</w:t>
      </w:r>
    </w:p>
    <w:p>
      <w:pPr>
        <w:spacing w:after="0" w:line="123" w:lineRule="exact"/>
        <w:rPr>
          <w:rFonts w:ascii="Arial" w:cs="Arial" w:eastAsia="Arial" w:hAnsi="Arial"/>
          <w:sz w:val="21"/>
          <w:szCs w:val="21"/>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loss of revenue; and</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inability to commercialize, co-commercialize or promote our product candidates.</w:t>
      </w:r>
    </w:p>
    <w:p>
      <w:pPr>
        <w:spacing w:after="0" w:line="20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22"/>
          <w:szCs w:val="22"/>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50" w:lineRule="exact"/>
        <w:rPr>
          <w:sz w:val="20"/>
          <w:szCs w:val="20"/>
          <w:color w:val="auto"/>
        </w:rPr>
      </w:pPr>
    </w:p>
    <w:p>
      <w:pPr>
        <w:ind w:left="120" w:right="80"/>
        <w:spacing w:after="0" w:line="307"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129"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If the FDA, the EMA, or a comparable U.K. or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ectPr>
          <w:pgSz w:w="11900" w:h="16838" w:orient="portrait"/>
          <w:cols w:equalWidth="0" w:num="1">
            <w:col w:w="11120"/>
          </w:cols>
          <w:pgMar w:left="320" w:top="486" w:right="459" w:bottom="1440" w:gutter="0" w:footer="0" w:header="0"/>
        </w:sectPr>
      </w:pP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120"/>
          </w:cols>
          <w:pgMar w:left="320" w:top="486"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9"/>
          <w:szCs w:val="19"/>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152"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9"/>
          <w:szCs w:val="19"/>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 United Kingdom, Europe, or other jurisdictions. For example, the previous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w:t>
      </w:r>
    </w:p>
    <w:p>
      <w:pPr>
        <w:spacing w:after="0" w:line="152" w:lineRule="exact"/>
        <w:rPr>
          <w:sz w:val="20"/>
          <w:szCs w:val="20"/>
          <w:color w:val="auto"/>
        </w:rPr>
      </w:pPr>
    </w:p>
    <w:p>
      <w:pPr>
        <w:jc w:val="both"/>
        <w:ind w:left="120" w:right="520"/>
        <w:spacing w:after="0"/>
        <w:rPr>
          <w:sz w:val="20"/>
          <w:szCs w:val="20"/>
          <w:color w:val="auto"/>
        </w:rPr>
      </w:pPr>
      <w:r>
        <w:rPr>
          <w:rFonts w:ascii="Arial" w:cs="Arial" w:eastAsia="Arial" w:hAnsi="Arial"/>
          <w:sz w:val="22"/>
          <w:szCs w:val="22"/>
          <w:b w:val="1"/>
          <w:bCs w:val="1"/>
          <w:i w:val="1"/>
          <w:iCs w:val="1"/>
          <w:color w:val="auto"/>
        </w:rPr>
        <w:t>Even if we obtain marketing approval of any of our product candidates in a major pharmaceutical market such as the United States or the EU, we may not be able to obtain approval or commercialize that product in other markets, which would limit our ability to realize our full market potential.</w:t>
      </w:r>
    </w:p>
    <w:p>
      <w:pPr>
        <w:spacing w:after="0" w:line="186" w:lineRule="exact"/>
        <w:rPr>
          <w:sz w:val="20"/>
          <w:szCs w:val="20"/>
          <w:color w:val="auto"/>
        </w:rPr>
      </w:pPr>
    </w:p>
    <w:p>
      <w:pPr>
        <w:ind w:left="120" w:firstLine="551"/>
        <w:spacing w:after="0" w:line="243" w:lineRule="auto"/>
        <w:rPr>
          <w:sz w:val="20"/>
          <w:szCs w:val="20"/>
          <w:color w:val="auto"/>
        </w:rPr>
      </w:pPr>
      <w:r>
        <w:rPr>
          <w:rFonts w:ascii="Arial" w:cs="Arial" w:eastAsia="Arial" w:hAnsi="Arial"/>
          <w:sz w:val="21"/>
          <w:szCs w:val="21"/>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the U.K. or any other markets, and our management team does not have experience in obtaining regulatory approval in markets outside of the United States,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93" w:lineRule="exact"/>
        <w:rPr>
          <w:sz w:val="20"/>
          <w:szCs w:val="20"/>
          <w:color w:val="auto"/>
        </w:rPr>
      </w:pPr>
    </w:p>
    <w:p>
      <w:pPr>
        <w:ind w:left="120"/>
        <w:spacing w:after="0" w:line="287" w:lineRule="auto"/>
        <w:rPr>
          <w:sz w:val="20"/>
          <w:szCs w:val="20"/>
          <w:color w:val="auto"/>
        </w:rPr>
      </w:pPr>
      <w:r>
        <w:rPr>
          <w:rFonts w:ascii="Arial" w:cs="Arial" w:eastAsia="Arial" w:hAnsi="Arial"/>
          <w:sz w:val="19"/>
          <w:szCs w:val="19"/>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143"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w:t>
      </w:r>
    </w:p>
    <w:p>
      <w:pPr>
        <w:sectPr>
          <w:pgSz w:w="11900" w:h="16838" w:orient="portrait"/>
          <w:cols w:equalWidth="0" w:num="1">
            <w:col w:w="11120"/>
          </w:cols>
          <w:pgMar w:left="320" w:top="486" w:right="459" w:bottom="1440" w:gutter="0" w:footer="0" w:header="0"/>
        </w:sectPr>
      </w:pP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120"/>
          </w:cols>
          <w:pgMar w:left="320" w:top="486"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
        <w:spacing w:after="0" w:line="271" w:lineRule="auto"/>
        <w:rPr>
          <w:sz w:val="20"/>
          <w:szCs w:val="20"/>
          <w:color w:val="auto"/>
        </w:rPr>
      </w:pPr>
      <w:r>
        <w:rPr>
          <w:rFonts w:ascii="Arial" w:cs="Arial" w:eastAsia="Arial" w:hAnsi="Arial"/>
          <w:sz w:val="19"/>
          <w:szCs w:val="19"/>
          <w:color w:val="auto"/>
        </w:rPr>
        <w:t>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and includes the EU and U.K. General Data Protection Regulation (the “GDPR”) and, in the EU, any national laws implementing or supplementing the GDPR. If we do not comply with our obligations under these privacy regimes, we could be exposed to significant fines and may be the subject of litigation and/or adverse publicity, which could have a material adverse effect on our reputation and business.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Healthcare Laws and Other Legal Compliance Matters</w:t>
      </w:r>
    </w:p>
    <w:p>
      <w:pPr>
        <w:spacing w:after="0" w:line="104" w:lineRule="exact"/>
        <w:rPr>
          <w:sz w:val="20"/>
          <w:szCs w:val="20"/>
          <w:color w:val="auto"/>
        </w:rPr>
      </w:pPr>
    </w:p>
    <w:p>
      <w:pPr>
        <w:ind w:left="120" w:right="280"/>
        <w:spacing w:after="0" w:line="274" w:lineRule="auto"/>
        <w:rPr>
          <w:sz w:val="20"/>
          <w:szCs w:val="20"/>
          <w:color w:val="auto"/>
        </w:rPr>
      </w:pPr>
      <w:r>
        <w:rPr>
          <w:rFonts w:ascii="Arial" w:cs="Arial" w:eastAsia="Arial" w:hAnsi="Arial"/>
          <w:sz w:val="21"/>
          <w:szCs w:val="21"/>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151" w:lineRule="exact"/>
        <w:rPr>
          <w:sz w:val="20"/>
          <w:szCs w:val="20"/>
          <w:color w:val="auto"/>
        </w:rPr>
      </w:pPr>
    </w:p>
    <w:p>
      <w:pPr>
        <w:ind w:left="120" w:right="60" w:firstLine="551"/>
        <w:spacing w:after="0" w:line="277" w:lineRule="auto"/>
        <w:rPr>
          <w:sz w:val="20"/>
          <w:szCs w:val="20"/>
          <w:color w:val="auto"/>
        </w:rPr>
      </w:pPr>
      <w:r>
        <w:rPr>
          <w:rFonts w:ascii="Arial" w:cs="Arial" w:eastAsia="Arial" w:hAnsi="Arial"/>
          <w:sz w:val="19"/>
          <w:szCs w:val="19"/>
          <w:color w:val="auto"/>
        </w:rPr>
        <w:t>In the United States,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57" w:lineRule="exact"/>
        <w:rPr>
          <w:sz w:val="20"/>
          <w:szCs w:val="20"/>
          <w:color w:val="auto"/>
        </w:rPr>
      </w:pPr>
    </w:p>
    <w:p>
      <w:pPr>
        <w:ind w:left="1420" w:right="240" w:hanging="535"/>
        <w:spacing w:after="0" w:line="297" w:lineRule="auto"/>
        <w:tabs>
          <w:tab w:leader="none" w:pos="1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39" w:lineRule="exact"/>
        <w:rPr>
          <w:rFonts w:ascii="Arial" w:cs="Arial" w:eastAsia="Arial" w:hAnsi="Arial"/>
          <w:sz w:val="19"/>
          <w:szCs w:val="19"/>
          <w:color w:val="auto"/>
        </w:rPr>
      </w:pPr>
    </w:p>
    <w:p>
      <w:pPr>
        <w:ind w:left="1420" w:right="80" w:hanging="535"/>
        <w:spacing w:after="0" w:line="297" w:lineRule="auto"/>
        <w:tabs>
          <w:tab w:leader="none" w:pos="1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39" w:lineRule="exact"/>
        <w:rPr>
          <w:rFonts w:ascii="Arial" w:cs="Arial" w:eastAsia="Arial" w:hAnsi="Arial"/>
          <w:sz w:val="19"/>
          <w:szCs w:val="19"/>
          <w:color w:val="auto"/>
        </w:rPr>
      </w:pPr>
    </w:p>
    <w:p>
      <w:pPr>
        <w:ind w:left="1420" w:right="340" w:hanging="535"/>
        <w:spacing w:after="0" w:line="257" w:lineRule="auto"/>
        <w:tabs>
          <w:tab w:leader="none" w:pos="14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74" w:lineRule="exact"/>
        <w:rPr>
          <w:rFonts w:ascii="Arial" w:cs="Arial" w:eastAsia="Arial" w:hAnsi="Arial"/>
          <w:sz w:val="21"/>
          <w:szCs w:val="21"/>
          <w:color w:val="auto"/>
        </w:rPr>
      </w:pPr>
    </w:p>
    <w:p>
      <w:pPr>
        <w:jc w:val="both"/>
        <w:ind w:left="1420" w:right="700" w:hanging="535"/>
        <w:spacing w:after="0" w:line="297" w:lineRule="auto"/>
        <w:tabs>
          <w:tab w:leader="none" w:pos="1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 increase in the statutory minimum rebates a manufacturer must pay under the Medicaid Drug Rebate Program to 23.1% and 13.0% of the average manufacturer price (“AMP”) of branded and generic drugs, respectively, and capped the total rebate amount for innovator drugs at 100% of the AMP;</w:t>
      </w:r>
    </w:p>
    <w:p>
      <w:pPr>
        <w:spacing w:after="0" w:line="39" w:lineRule="exact"/>
        <w:rPr>
          <w:rFonts w:ascii="Arial" w:cs="Arial" w:eastAsia="Arial" w:hAnsi="Arial"/>
          <w:sz w:val="19"/>
          <w:szCs w:val="19"/>
          <w:color w:val="auto"/>
        </w:rPr>
      </w:pPr>
    </w:p>
    <w:p>
      <w:pPr>
        <w:jc w:val="both"/>
        <w:ind w:left="1420" w:right="800" w:hanging="535"/>
        <w:spacing w:after="0"/>
        <w:tabs>
          <w:tab w:leader="none" w:pos="1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methodology by which rebates owed by manufacturers under the Medicaid Drug Rebate Program are calculated for drugs and biologics, including our product candidates, that are inhaled, infused, instilled, implanted, or injected;</w:t>
      </w:r>
    </w:p>
    <w:p>
      <w:pPr>
        <w:spacing w:after="0" w:line="91" w:lineRule="exact"/>
        <w:rPr>
          <w:rFonts w:ascii="Arial" w:cs="Arial" w:eastAsia="Arial" w:hAnsi="Arial"/>
          <w:sz w:val="22"/>
          <w:szCs w:val="22"/>
          <w:color w:val="auto"/>
        </w:rPr>
      </w:pPr>
    </w:p>
    <w:p>
      <w:pPr>
        <w:ind w:left="1420" w:right="580" w:hanging="535"/>
        <w:spacing w:after="0" w:line="250" w:lineRule="auto"/>
        <w:tabs>
          <w:tab w:leader="none" w:pos="1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extension of a manufacturer’s Medicaid rebate liability to covered drugs dispensed to individuals who are enrolled in Medicaid managed care organizations;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1" w:lineRule="exact"/>
        <w:rPr>
          <w:rFonts w:ascii="Arial" w:cs="Arial" w:eastAsia="Arial" w:hAnsi="Arial"/>
          <w:sz w:val="22"/>
          <w:szCs w:val="22"/>
          <w:color w:val="auto"/>
        </w:rPr>
      </w:pPr>
    </w:p>
    <w:p>
      <w:pPr>
        <w:ind w:left="1420" w:right="520" w:hanging="535"/>
        <w:spacing w:after="0" w:line="250" w:lineRule="auto"/>
        <w:tabs>
          <w:tab w:leader="none" w:pos="14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Patient-Centered Outcomes Research Institute to oversee, identify priorities in, and conduct comparative clinical effectiveness research, along with funding for such research;</w:t>
      </w:r>
    </w:p>
    <w:p>
      <w:pPr>
        <w:sectPr>
          <w:pgSz w:w="11900" w:h="16838" w:orient="portrait"/>
          <w:cols w:equalWidth="0" w:num="1">
            <w:col w:w="11140"/>
          </w:cols>
          <w:pgMar w:left="320" w:top="486" w:right="439" w:bottom="1440" w:gutter="0" w:footer="0" w:header="0"/>
        </w:sectPr>
      </w:pP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140"/>
          </w:cols>
          <w:pgMar w:left="320" w:top="486"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400" w:hanging="535"/>
        <w:spacing w:after="0" w:line="236" w:lineRule="auto"/>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creation of the Independent Payment Advisory Board, which, once empaneled, would have the authority to recommend certain changes to the Medicare program that could result in reduced payments for prescription drugs and those recommendations could have the effect of law unless overruled by a supermajority vote of Congress. The Bipartisan Budget Act of 2018 repealed the creation of the Independent Payment Advisory Board before it could take effect;</w:t>
      </w:r>
    </w:p>
    <w:p>
      <w:pPr>
        <w:spacing w:after="0" w:line="92" w:lineRule="exact"/>
        <w:rPr>
          <w:rFonts w:ascii="Arial" w:cs="Arial" w:eastAsia="Arial" w:hAnsi="Arial"/>
          <w:sz w:val="22"/>
          <w:szCs w:val="22"/>
          <w:color w:val="auto"/>
        </w:rPr>
      </w:pPr>
    </w:p>
    <w:p>
      <w:pPr>
        <w:jc w:val="both"/>
        <w:ind w:left="1420" w:right="140" w:hanging="535"/>
        <w:spacing w:after="0"/>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91" w:lineRule="exact"/>
        <w:rPr>
          <w:rFonts w:ascii="Arial" w:cs="Arial" w:eastAsia="Arial" w:hAnsi="Arial"/>
          <w:sz w:val="22"/>
          <w:szCs w:val="22"/>
          <w:color w:val="auto"/>
        </w:rPr>
      </w:pPr>
    </w:p>
    <w:p>
      <w:pPr>
        <w:ind w:left="1420" w:hanging="535"/>
        <w:spacing w:after="0"/>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expansion of the entities eligible for discounts under the Public Health Service program; and</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licensure framework for follow on biologic product candidates.</w:t>
      </w:r>
    </w:p>
    <w:p>
      <w:pPr>
        <w:spacing w:after="0" w:line="206" w:lineRule="exact"/>
        <w:rPr>
          <w:sz w:val="20"/>
          <w:szCs w:val="20"/>
          <w:color w:val="auto"/>
        </w:rPr>
      </w:pPr>
    </w:p>
    <w:p>
      <w:pPr>
        <w:ind w:left="120" w:right="40" w:firstLine="551"/>
        <w:spacing w:after="0" w:line="273" w:lineRule="auto"/>
        <w:rPr>
          <w:sz w:val="20"/>
          <w:szCs w:val="20"/>
          <w:color w:val="auto"/>
        </w:rPr>
      </w:pPr>
      <w:r>
        <w:rPr>
          <w:rFonts w:ascii="Arial" w:cs="Arial" w:eastAsia="Arial" w:hAnsi="Arial"/>
          <w:sz w:val="19"/>
          <w:szCs w:val="19"/>
          <w:color w:val="auto"/>
        </w:rPr>
        <w:t>Since its enactment, there have been judicial and congressional challenges to certain aspects of the ACA, as well as efforts by the last presidential administration to repeal or replace certain aspects of the ACA. A bipartisan bill to appropriate funds for cost-sharing reduction (“C-SR”) payments has been introduced in the Senate, but the future of that bill is uncertain. In addition,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designed to repeal or repeal and replace portions of the ACA. Although none of these measures have been enacted by Congress to date, Congress may consider other legislation to repeal and replace elements of the ACA. We continue to evaluate the effect that the ACA and its possible repeal and replacement has on our business. It is uncertain the extent to which any such changes may impact our business or financial condition.</w:t>
      </w:r>
    </w:p>
    <w:p>
      <w:pPr>
        <w:spacing w:after="0" w:line="161"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future customers and accordingly, our financial operations.</w:t>
      </w:r>
    </w:p>
    <w:p>
      <w:pPr>
        <w:spacing w:after="0" w:line="161"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9"/>
          <w:szCs w:val="19"/>
          <w:color w:val="auto"/>
        </w:rPr>
        <w:t>Additionally, there has been increasing legislative and enforcement interest in the United States with respect to non-rare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157"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9"/>
          <w:szCs w:val="19"/>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ectPr>
          <w:pgSz w:w="11900" w:h="16838" w:orient="portrait"/>
          <w:cols w:equalWidth="0" w:num="1">
            <w:col w:w="11120"/>
          </w:cols>
          <w:pgMar w:left="320" w:top="486" w:right="45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120"/>
          </w:cols>
          <w:pgMar w:left="320" w:top="486"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21"/>
          <w:szCs w:val="21"/>
          <w:color w:val="auto"/>
        </w:rPr>
        <w:t>In the EU, similar political, economic and regulatory developments may affect our ability to profitably commercialize, or co-commercialize,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 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186" w:lineRule="exact"/>
        <w:rPr>
          <w:sz w:val="20"/>
          <w:szCs w:val="20"/>
          <w:color w:val="auto"/>
        </w:rPr>
      </w:pPr>
    </w:p>
    <w:p>
      <w:pPr>
        <w:ind w:left="120" w:right="540" w:firstLine="551"/>
        <w:spacing w:after="0" w:line="328" w:lineRule="auto"/>
        <w:rPr>
          <w:sz w:val="20"/>
          <w:szCs w:val="20"/>
          <w:color w:val="auto"/>
        </w:rPr>
      </w:pPr>
      <w:r>
        <w:rPr>
          <w:rFonts w:ascii="Arial" w:cs="Arial" w:eastAsia="Arial" w:hAnsi="Arial"/>
          <w:sz w:val="19"/>
          <w:szCs w:val="19"/>
          <w:color w:val="auto"/>
        </w:rPr>
        <w:t>In markets outside of the United States, the EU and the U.K., reimbursement and healthcare payment systems vary significantly by country, and many countries have instituted price ceilings on specific product candidates and therapies.</w:t>
      </w:r>
    </w:p>
    <w:p>
      <w:pPr>
        <w:spacing w:after="0" w:line="105" w:lineRule="exact"/>
        <w:rPr>
          <w:sz w:val="20"/>
          <w:szCs w:val="20"/>
          <w:color w:val="auto"/>
        </w:rPr>
      </w:pPr>
    </w:p>
    <w:p>
      <w:pPr>
        <w:ind w:left="120" w:right="40" w:firstLine="551"/>
        <w:spacing w:after="0" w:line="282" w:lineRule="auto"/>
        <w:rPr>
          <w:sz w:val="20"/>
          <w:szCs w:val="20"/>
          <w:color w:val="auto"/>
        </w:rPr>
      </w:pPr>
      <w:r>
        <w:rPr>
          <w:rFonts w:ascii="Arial" w:cs="Arial" w:eastAsia="Arial" w:hAnsi="Arial"/>
          <w:sz w:val="19"/>
          <w:szCs w:val="19"/>
          <w:color w:val="auto"/>
        </w:rPr>
        <w:t>We cannot predict the likelihood, nature, or extent of government regulation that may arise from future legislation or administrative action in the United States,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47" w:lineRule="exact"/>
        <w:rPr>
          <w:sz w:val="20"/>
          <w:szCs w:val="20"/>
          <w:color w:val="auto"/>
        </w:rPr>
      </w:pPr>
    </w:p>
    <w:p>
      <w:pPr>
        <w:jc w:val="both"/>
        <w:ind w:left="120" w:firstLine="551"/>
        <w:spacing w:after="0" w:line="287" w:lineRule="auto"/>
        <w:rPr>
          <w:sz w:val="20"/>
          <w:szCs w:val="20"/>
          <w:color w:val="auto"/>
        </w:rPr>
      </w:pPr>
      <w:r>
        <w:rPr>
          <w:rFonts w:ascii="Arial" w:cs="Arial" w:eastAsia="Arial" w:hAnsi="Arial"/>
          <w:sz w:val="19"/>
          <w:szCs w:val="19"/>
          <w:color w:val="auto"/>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43" w:lineRule="exact"/>
        <w:rPr>
          <w:sz w:val="20"/>
          <w:szCs w:val="20"/>
          <w:color w:val="auto"/>
        </w:rPr>
      </w:pPr>
    </w:p>
    <w:p>
      <w:pPr>
        <w:jc w:val="both"/>
        <w:ind w:left="120" w:right="440"/>
        <w:spacing w:after="0"/>
        <w:rPr>
          <w:sz w:val="20"/>
          <w:szCs w:val="20"/>
          <w:color w:val="auto"/>
        </w:rPr>
      </w:pPr>
      <w:r>
        <w:rPr>
          <w:rFonts w:ascii="Arial" w:cs="Arial" w:eastAsia="Arial" w:hAnsi="Arial"/>
          <w:sz w:val="22"/>
          <w:szCs w:val="22"/>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86"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22"/>
          <w:szCs w:val="22"/>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3" w:lineRule="exact"/>
        <w:rPr>
          <w:sz w:val="20"/>
          <w:szCs w:val="20"/>
          <w:color w:val="auto"/>
        </w:rPr>
      </w:pPr>
    </w:p>
    <w:p>
      <w:pPr>
        <w:ind w:left="1420" w:right="40" w:hanging="535"/>
        <w:spacing w:after="0" w:line="274" w:lineRule="auto"/>
        <w:tabs>
          <w:tab w:leader="none" w:pos="1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63" w:lineRule="exact"/>
        <w:rPr>
          <w:rFonts w:ascii="Arial" w:cs="Arial" w:eastAsia="Arial" w:hAnsi="Arial"/>
          <w:sz w:val="19"/>
          <w:szCs w:val="19"/>
          <w:color w:val="auto"/>
        </w:rPr>
      </w:pPr>
    </w:p>
    <w:p>
      <w:pPr>
        <w:ind w:left="1420" w:hanging="535"/>
        <w:spacing w:after="0" w:line="272" w:lineRule="auto"/>
        <w:tabs>
          <w:tab w:leader="none" w:pos="1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ectPr>
          <w:pgSz w:w="11900" w:h="16838" w:orient="portrait"/>
          <w:cols w:equalWidth="0" w:num="1">
            <w:col w:w="11120"/>
          </w:cols>
          <w:pgMar w:left="320" w:top="486" w:right="459" w:bottom="952" w:gutter="0" w:footer="0" w:header="0"/>
        </w:sectPr>
      </w:pP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120"/>
          </w:cols>
          <w:pgMar w:left="320" w:top="486" w:right="459" w:bottom="952"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20" w:hanging="535"/>
        <w:spacing w:after="0" w:line="245" w:lineRule="auto"/>
        <w:tabs>
          <w:tab w:leader="none" w:pos="14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9" w:lineRule="exact"/>
        <w:rPr>
          <w:rFonts w:ascii="Arial" w:cs="Arial" w:eastAsia="Arial" w:hAnsi="Arial"/>
          <w:sz w:val="21"/>
          <w:szCs w:val="21"/>
          <w:color w:val="auto"/>
        </w:rPr>
      </w:pPr>
    </w:p>
    <w:p>
      <w:pPr>
        <w:ind w:left="1420" w:hanging="535"/>
        <w:spacing w:after="0" w:line="245" w:lineRule="auto"/>
        <w:tabs>
          <w:tab w:leader="none" w:pos="14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6" w:lineRule="exact"/>
        <w:rPr>
          <w:rFonts w:ascii="Arial" w:cs="Arial" w:eastAsia="Arial" w:hAnsi="Arial"/>
          <w:sz w:val="21"/>
          <w:szCs w:val="21"/>
          <w:color w:val="auto"/>
        </w:rPr>
      </w:pPr>
    </w:p>
    <w:p>
      <w:pPr>
        <w:ind w:left="1420" w:right="20" w:hanging="535"/>
        <w:spacing w:after="0" w:line="250" w:lineRule="auto"/>
        <w:tabs>
          <w:tab w:leader="none" w:pos="14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U.S. federal Food, Drug and Cosmetic Act (“FDCA”), which prohibits, among other things, the adulteration or misbranding of drugs, biologics, and medical devices;</w:t>
      </w:r>
    </w:p>
    <w:p>
      <w:pPr>
        <w:spacing w:after="0" w:line="80" w:lineRule="exact"/>
        <w:rPr>
          <w:rFonts w:ascii="Arial" w:cs="Arial" w:eastAsia="Arial" w:hAnsi="Arial"/>
          <w:sz w:val="22"/>
          <w:szCs w:val="22"/>
          <w:color w:val="auto"/>
        </w:rPr>
      </w:pPr>
    </w:p>
    <w:p>
      <w:pPr>
        <w:ind w:left="1420" w:right="640" w:hanging="535"/>
        <w:spacing w:after="0" w:line="328" w:lineRule="auto"/>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U.S. Public Health Service Act (“PHSA”), which prohibits, among other things, the introduction into interstate commerce of a biological product unless a biologics license is in effect for that product;</w:t>
      </w:r>
    </w:p>
    <w:p>
      <w:pPr>
        <w:spacing w:after="0" w:line="10" w:lineRule="exact"/>
        <w:rPr>
          <w:rFonts w:ascii="Arial" w:cs="Arial" w:eastAsia="Arial" w:hAnsi="Arial"/>
          <w:sz w:val="19"/>
          <w:szCs w:val="19"/>
          <w:color w:val="auto"/>
        </w:rPr>
      </w:pPr>
    </w:p>
    <w:p>
      <w:pPr>
        <w:ind w:left="1420" w:right="40" w:hanging="535"/>
        <w:spacing w:after="0" w:line="248" w:lineRule="auto"/>
        <w:tabs>
          <w:tab w:leader="none" w:pos="14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82" w:lineRule="exact"/>
        <w:rPr>
          <w:rFonts w:ascii="Arial" w:cs="Arial" w:eastAsia="Arial" w:hAnsi="Arial"/>
          <w:sz w:val="21"/>
          <w:szCs w:val="21"/>
          <w:color w:val="auto"/>
        </w:rPr>
      </w:pPr>
    </w:p>
    <w:p>
      <w:pPr>
        <w:ind w:left="1420" w:right="40" w:hanging="535"/>
        <w:spacing w:after="0" w:line="273" w:lineRule="auto"/>
        <w:tabs>
          <w:tab w:leader="none" w:pos="1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60" w:lineRule="exact"/>
        <w:rPr>
          <w:rFonts w:ascii="Arial" w:cs="Arial" w:eastAsia="Arial" w:hAnsi="Arial"/>
          <w:sz w:val="19"/>
          <w:szCs w:val="19"/>
          <w:color w:val="auto"/>
        </w:rPr>
      </w:pPr>
    </w:p>
    <w:p>
      <w:pPr>
        <w:ind w:left="1420" w:right="840" w:hanging="535"/>
        <w:spacing w:after="0" w:line="274" w:lineRule="auto"/>
        <w:tabs>
          <w:tab w:leader="none" w:pos="14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similar healthcare laws and regulations in the EU, the U.K. and other jurisdictions, including reporting requirements detailing interactions with and payments to healthcare providers.</w:t>
      </w:r>
    </w:p>
    <w:p>
      <w:pPr>
        <w:spacing w:after="0" w:line="151"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ectPr>
          <w:pgSz w:w="11900" w:h="16838" w:orient="portrait"/>
          <w:cols w:equalWidth="0" w:num="1">
            <w:col w:w="11120"/>
          </w:cols>
          <w:pgMar w:left="320" w:top="486"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120"/>
          </w:cols>
          <w:pgMar w:left="320" w:top="486"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United States),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actual or perceived failure to comply with such obligations could harm our business.</w:t>
      </w:r>
    </w:p>
    <w:p>
      <w:pPr>
        <w:spacing w:after="0" w:line="188" w:lineRule="exact"/>
        <w:rPr>
          <w:sz w:val="20"/>
          <w:szCs w:val="20"/>
          <w:color w:val="auto"/>
        </w:rPr>
      </w:pPr>
    </w:p>
    <w:p>
      <w:pPr>
        <w:ind w:left="120" w:right="20" w:firstLine="551"/>
        <w:spacing w:after="0" w:line="297" w:lineRule="auto"/>
        <w:rPr>
          <w:sz w:val="20"/>
          <w:szCs w:val="20"/>
          <w:color w:val="auto"/>
        </w:rPr>
      </w:pPr>
      <w:r>
        <w:rPr>
          <w:rFonts w:ascii="Arial" w:cs="Arial" w:eastAsia="Arial" w:hAnsi="Arial"/>
          <w:sz w:val="19"/>
          <w:szCs w:val="19"/>
          <w:color w:val="auto"/>
        </w:rPr>
        <w:t>We are subject to diverse laws and regulations relating to data privacy and security in the EU, and the U.K. including the GDPR. New global privacy rules are being enacted and existing ones are being updated and strengthened. We are likely to be required to expend capital and other resources to ensure ongoing compliance with these laws and regulations.</w:t>
      </w:r>
    </w:p>
    <w:p>
      <w:pPr>
        <w:spacing w:after="0" w:line="134" w:lineRule="exact"/>
        <w:rPr>
          <w:sz w:val="20"/>
          <w:szCs w:val="20"/>
          <w:color w:val="auto"/>
        </w:rPr>
      </w:pPr>
    </w:p>
    <w:p>
      <w:pPr>
        <w:ind w:left="120" w:right="20" w:firstLine="551"/>
        <w:spacing w:after="0" w:line="270" w:lineRule="auto"/>
        <w:rPr>
          <w:sz w:val="20"/>
          <w:szCs w:val="20"/>
          <w:color w:val="auto"/>
        </w:rPr>
      </w:pPr>
      <w:r>
        <w:rPr>
          <w:rFonts w:ascii="Arial" w:cs="Arial" w:eastAsia="Arial" w:hAnsi="Arial"/>
          <w:sz w:val="19"/>
          <w:szCs w:val="19"/>
          <w:color w:val="auto"/>
        </w:rPr>
        <w:t>The GDPR implements stringent operational requirements for controllers and processors of personal data. For example, the GDPR in both the EU and U.K.: (i) requires detailed disclosures to data subjects; (ii) requires disclosure of the legal basis on which personal data is processed; (iii) makes it harder to obtain valid consent for processing; (iv) requires the appointment of a data protection officer where sensitive personal data (i.e. health data) is processed on a large scale; (v) provides more robust rights for data subjects; (vi) introduces data breach notification requirements with a very low threshold; (vii) imposes additional obligations when contracting with service providers; and (viii) requires an appropriate privacy governance framework to be implemented including policies, procedures, training and data audit. The EU GDPR permits member state derogations for certain issues and allows member states, in some instances, to impose additional requirements, whereas the UK GDPR is supplemented by Data Protection Act 2018. There is also potential exposure under the UK’s emerging civil tort for misuse of private information, which is distinct from breach of confidence. Accordingly, we are also subject to EU national laws relating to the processing of certain data such as genetic data, biometric data and data concerning health, as well as any corresponding laws in the U.K. Complying with these numerous, complex and often changing regulations is expensive and difficult. Failure by us, or our partners or service providers, to comply with the GDPR could result in regulatory investigations, enforcement notices and/or fines of up to the higher of €20 million or £17.5 million or up to 4% of our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our business, reputation and financial condition. We may also face civil claims seeking compensation for both material and immaterial harms arising from a GDPR violation.</w:t>
      </w:r>
    </w:p>
    <w:p>
      <w:pPr>
        <w:spacing w:after="0" w:line="200" w:lineRule="exact"/>
        <w:rPr>
          <w:sz w:val="20"/>
          <w:szCs w:val="20"/>
          <w:color w:val="auto"/>
        </w:rPr>
      </w:pPr>
    </w:p>
    <w:p>
      <w:pPr>
        <w:spacing w:after="0" w:line="209"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9"/>
          <w:szCs w:val="19"/>
          <w:color w:val="auto"/>
        </w:rPr>
        <w:t>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our vendors and requiring all such third-party providers with data access to sign agreements, including business associate agreements, and where required under EU or U.K.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57" w:lineRule="exact"/>
        <w:rPr>
          <w:sz w:val="20"/>
          <w:szCs w:val="20"/>
          <w:color w:val="auto"/>
        </w:rPr>
      </w:pPr>
    </w:p>
    <w:p>
      <w:pPr>
        <w:ind w:left="120" w:right="180" w:firstLine="551"/>
        <w:spacing w:after="0"/>
        <w:rPr>
          <w:sz w:val="20"/>
          <w:szCs w:val="20"/>
          <w:color w:val="auto"/>
        </w:rPr>
      </w:pPr>
      <w:r>
        <w:rPr>
          <w:rFonts w:ascii="Arial" w:cs="Arial" w:eastAsia="Arial" w:hAnsi="Arial"/>
          <w:sz w:val="22"/>
          <w:szCs w:val="22"/>
          <w:color w:val="auto"/>
        </w:rPr>
        <w:t>We are also subject to European privacy laws regulating electronic marketing and cookies (and related technologies), which are strictly enforced by regulators and can engender fines, claims and reputation damage in cases where those laws are infringed.</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120"/>
          </w:cols>
          <w:pgMar w:left="320" w:top="486"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spacing w:after="0" w:line="257" w:lineRule="auto"/>
        <w:rPr>
          <w:sz w:val="20"/>
          <w:szCs w:val="20"/>
          <w:color w:val="auto"/>
        </w:rPr>
      </w:pPr>
      <w:r>
        <w:rPr>
          <w:rFonts w:ascii="Arial" w:cs="Arial" w:eastAsia="Arial" w:hAnsi="Arial"/>
          <w:sz w:val="21"/>
          <w:szCs w:val="21"/>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6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21"/>
          <w:szCs w:val="21"/>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 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181" w:lineRule="exact"/>
        <w:rPr>
          <w:sz w:val="20"/>
          <w:szCs w:val="20"/>
          <w:color w:val="auto"/>
        </w:rPr>
      </w:pPr>
    </w:p>
    <w:p>
      <w:pPr>
        <w:ind w:left="120" w:right="120" w:firstLine="551"/>
        <w:spacing w:after="0" w:line="297" w:lineRule="auto"/>
        <w:rPr>
          <w:sz w:val="20"/>
          <w:szCs w:val="20"/>
          <w:color w:val="auto"/>
        </w:rPr>
      </w:pPr>
      <w:r>
        <w:rPr>
          <w:rFonts w:ascii="Arial" w:cs="Arial" w:eastAsia="Arial" w:hAnsi="Arial"/>
          <w:sz w:val="19"/>
          <w:szCs w:val="19"/>
          <w:color w:val="auto"/>
        </w:rPr>
        <w:t>We are also subject to other laws and regulations governing any international operations, including regulations administered by the governments of the United Kingdom and the United States, including applicable export control regulations, economic sanctions on countries and persons and customs requirements (collectively, the “Trade Control Laws”).</w:t>
      </w:r>
    </w:p>
    <w:p>
      <w:pPr>
        <w:spacing w:after="0" w:line="134"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184" w:lineRule="exact"/>
        <w:rPr>
          <w:sz w:val="20"/>
          <w:szCs w:val="20"/>
          <w:color w:val="auto"/>
        </w:rPr>
      </w:pPr>
    </w:p>
    <w:p>
      <w:pPr>
        <w:ind w:left="120" w:right="400" w:firstLine="551"/>
        <w:spacing w:after="0" w:line="287" w:lineRule="auto"/>
        <w:rPr>
          <w:sz w:val="20"/>
          <w:szCs w:val="20"/>
          <w:color w:val="auto"/>
        </w:rPr>
      </w:pPr>
      <w:r>
        <w:rPr>
          <w:rFonts w:ascii="Arial" w:cs="Arial" w:eastAsia="Arial" w:hAnsi="Arial"/>
          <w:sz w:val="19"/>
          <w:szCs w:val="19"/>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Commercialization</w:t>
      </w:r>
    </w:p>
    <w:p>
      <w:pPr>
        <w:spacing w:after="0" w:line="104" w:lineRule="exact"/>
        <w:rPr>
          <w:sz w:val="20"/>
          <w:szCs w:val="20"/>
          <w:color w:val="auto"/>
        </w:rPr>
      </w:pPr>
    </w:p>
    <w:p>
      <w:pPr>
        <w:ind w:left="120" w:right="420"/>
        <w:spacing w:after="0" w:line="328" w:lineRule="auto"/>
        <w:rPr>
          <w:sz w:val="20"/>
          <w:szCs w:val="20"/>
          <w:color w:val="auto"/>
        </w:rPr>
      </w:pPr>
      <w:r>
        <w:rPr>
          <w:rFonts w:ascii="Arial" w:cs="Arial" w:eastAsia="Arial" w:hAnsi="Arial"/>
          <w:sz w:val="19"/>
          <w:szCs w:val="19"/>
          <w:b w:val="1"/>
          <w:bCs w:val="1"/>
          <w:i w:val="1"/>
          <w:iCs w:val="1"/>
          <w:color w:val="auto"/>
        </w:rPr>
        <w:t>We operate in a highly competitive and rapidly changing industry, which may result in others acquiring, developing, or commercializing competing product candidates before or more successfully than we or our partners do.</w:t>
      </w:r>
    </w:p>
    <w:p>
      <w:pPr>
        <w:spacing w:after="0" w:line="1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21"/>
          <w:szCs w:val="21"/>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etigilimab, alvelestat, setrusumab, acumapimod or leflutrozole is approved, we will face intense competition from a variety of businesses, including large, fully integrated pharmaceutical and biopharmaceutical companies in the United States,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expect to face competition for each of our current product candidates, including specifically:</w:t>
      </w:r>
    </w:p>
    <w:p>
      <w:pPr>
        <w:spacing w:after="0" w:line="112" w:lineRule="exact"/>
        <w:rPr>
          <w:sz w:val="20"/>
          <w:szCs w:val="20"/>
          <w:color w:val="auto"/>
        </w:rPr>
      </w:pPr>
    </w:p>
    <w:p>
      <w:pPr>
        <w:ind w:left="1420" w:right="120" w:hanging="535"/>
        <w:spacing w:after="0" w:line="279" w:lineRule="auto"/>
        <w:tabs>
          <w:tab w:leader="none" w:pos="1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We consider etigilimab’s current closest potential competitors to be include other anti-TIGIT agents being developed by companies including Roche, Merck, iTeos and GSK, Beigene/Novartis, Seattle Genetics, Inc., Arcus/Gilead and Compugen amongst others. In addition, there are other combinations of existing cancer therapies available commercially for example, Yervoy and Opdivo and Opidivo or Keytruda in combination with chemotherapy agents. There are also a number of other agents in development to other immuno-oncology targets that could compete with an anti-TIGIT approach, for example anti-LAG3.</w:t>
      </w:r>
    </w:p>
    <w:p>
      <w:pPr>
        <w:sectPr>
          <w:pgSz w:w="11900" w:h="16838" w:orient="portrait"/>
          <w:cols w:equalWidth="0" w:num="1">
            <w:col w:w="11100"/>
          </w:cols>
          <w:pgMar w:left="320" w:top="486" w:right="479" w:bottom="1440" w:gutter="0" w:footer="0" w:header="0"/>
        </w:sectPr>
      </w:pPr>
    </w:p>
    <w:bookmarkStart w:id="28" w:name="page29"/>
    <w:bookmarkEnd w:id="28"/>
    <w:p>
      <w:pPr>
        <w:ind w:left="535" w:hanging="535"/>
        <w:spacing w:after="0" w:line="271" w:lineRule="auto"/>
        <w:tabs>
          <w:tab w:leader="none" w:pos="535" w:val="left"/>
        </w:tabs>
        <w:numPr>
          <w:ilvl w:val="0"/>
          <w:numId w:val="31"/>
        </w:numPr>
        <w:rPr>
          <w:rFonts w:ascii="Arial" w:cs="Arial" w:eastAsia="Arial" w:hAnsi="Arial"/>
          <w:sz w:val="19"/>
          <w:szCs w:val="19"/>
          <w:color w:val="auto"/>
        </w:rPr>
      </w:pPr>
      <w:r>
        <w:rPr>
          <w:rFonts w:ascii="Arial" w:cs="Arial" w:eastAsia="Arial" w:hAnsi="Arial"/>
          <w:sz w:val="19"/>
          <w:szCs w:val="19"/>
          <w:color w:val="auto"/>
        </w:rPr>
        <w:t>We consider alvelestat’s current closest potential competitors for the treatment of severe AATD to be alpha1-proteinase inhibitors that are administered intravenously in AAT augmentation therapy. Currently, there are four inhibitors on the market in the United States and the EU: Prolastin-C from Grifols, S.A. (“Grifols”), Aralast from Shire plc, now a subsidiary of Takeda Pharmaceutical Company Ltd (“Shire”), Zemaira from CSL Limited (“CSL”), and Glassia from Kamada Ltd. (“Kamada”). Kamada is also investigating an inhaled version of augmentation therapy, InhibRx, Inc. (“InhibRx”) is in Phase 1 development of INBRX-101, a recombinant human alpha-1 antitrypsin Fc fusion protein (rhAAT-Fc) for replacement therapy, and Apic Bio, Inc. (“Apic Bio”) is in the early stages of developing a dual function vector (df-AAV) gene-therapy approach for AATD silencing the mutant Z-AAT protein and augmenting wildtype M-AAT production. Peak Bio acquired an oral NE inhibitor, PHP-303 from Ph Pharma in March 2022. The compound is in a Phase 2 trial in AATD according to the EU Clinical Trials Register website, although no updates have been provided. Vertex Pharmaceuticals Inc. (“Vertex”) has a small molecule corrector program for AATD in pre-clinical development, following Phase 2 trials with two other molecules with the same mechanism of action that were discontinued due to toxicity and efficacy. Centessa (previously Z-factor) is in Ph1 with ZF874 protein folding corrector for Z-AATD and to date has reported data on three patients.</w:t>
      </w:r>
    </w:p>
    <w:p>
      <w:pPr>
        <w:spacing w:after="0" w:line="313" w:lineRule="exact"/>
        <w:rPr>
          <w:rFonts w:ascii="Arial" w:cs="Arial" w:eastAsia="Arial" w:hAnsi="Arial"/>
          <w:sz w:val="19"/>
          <w:szCs w:val="19"/>
          <w:color w:val="auto"/>
        </w:rPr>
      </w:pPr>
    </w:p>
    <w:p>
      <w:pPr>
        <w:ind w:left="535" w:right="20" w:hanging="535"/>
        <w:spacing w:after="0" w:line="272" w:lineRule="auto"/>
        <w:tabs>
          <w:tab w:leader="none" w:pos="53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There are no therapies with regulatory approval for Bronchiolitis Obliterans Syndrome (“BOS”) following SCT or lung transplant. We consider alvelestat’s closest potential competitors to be the Janus Kinase (JAK1) inhibitor, itacitinib, and JAK2 inhibitor, ruxolitinib, (Incyte Corporation) in Phase 1/Phase2 studies in lung transplant-associated and SCT-associated BOS, respectively; AI Therapeutics inhaled formulation of sirolimus (LAM-001) in Phase 1 for BOS in lung transplant; Isopogen allogeneic bone marrow derived Mesenchymal Stem Cells for Chronic Lung Allograft Dysfuntion (CLAD) in Phase 1 (NCT02709343 ); and liposomal inhaled cyclosporin-A (Zambon) in Phase 2 in BOS following SCT and in Phase 3 global pivotal trials in BOS associated with lung transplant. In other disease indications, we consider alvelestat’s Closest potential competitors to be Santhera Pharmaceuticals (“Santhera”) which has in-licensed the inhaled NE inhibitor POL6014 and has completed a multiple ascending dose study, in the initial indication of CF; and CHF-6333 is an inhaled human NE inhibitor that has completed a Phase 1 trial by Chiesi Farmaceutici S.p.A. (“Chiesi”) for the treatment of non-cystic fibrosis bronchiectasis and CF.</w:t>
      </w:r>
    </w:p>
    <w:p>
      <w:pPr>
        <w:spacing w:after="0" w:line="93" w:lineRule="exact"/>
        <w:rPr>
          <w:sz w:val="20"/>
          <w:szCs w:val="20"/>
          <w:color w:val="auto"/>
        </w:rPr>
      </w:pPr>
    </w:p>
    <w:p>
      <w:pPr>
        <w:ind w:left="4635"/>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235"/>
          </w:cols>
          <w:pgMar w:left="1205" w:top="118"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hanging="535"/>
        <w:spacing w:after="0" w:line="271" w:lineRule="auto"/>
        <w:tabs>
          <w:tab w:leader="none" w:pos="1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We consider setrusumab’s current closest potential competitors in development for the treatment of OI to be Amgen denosumab (Prolia) an anti-resorptive agent, which is in an open label study in pediatric patients with OI, and Amgen and UCB’s anti-sclerostin antibody, romosozumab (Evenity), which was approved in the United States in April 2019 for osteoporosis.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Romosozumab is also in a Phase 1 trial in OI in Europe, looking at the pharmacokinetics and pharmacodynamics of romosozumab in OI. In December 2019, the European Commission approved the MAA for romosozumab (Evenity). In addition, Jiangsu Hengrui has commenced Phase 1 development of an anti-sclerostin antibody for osteoporosis in China, and Transcenta Holding has licensed the Chinese rights to the anti-sclerostin antibody blosozumab from Eli Lilly and Company (“Lilly”) and plans to develop it for osteoporosis. Additionally, Bone Therapeutics S.A. (“Bone Therapeutics”) is developing osteoblastic cell therapy product candidates. Baylor College of Medicine is conducting a Phase 1 open label trial of fresolimumab, a TGF-B inhibitor, in adult OI patients.</w:t>
      </w:r>
    </w:p>
    <w:p>
      <w:pPr>
        <w:spacing w:after="0" w:line="69" w:lineRule="exact"/>
        <w:rPr>
          <w:rFonts w:ascii="Arial" w:cs="Arial" w:eastAsia="Arial" w:hAnsi="Arial"/>
          <w:sz w:val="19"/>
          <w:szCs w:val="19"/>
          <w:color w:val="auto"/>
        </w:rPr>
      </w:pPr>
    </w:p>
    <w:p>
      <w:pPr>
        <w:ind w:left="1420" w:hanging="535"/>
        <w:spacing w:after="0" w:line="275" w:lineRule="auto"/>
        <w:tabs>
          <w:tab w:leader="none" w:pos="1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or “GSK” ), and AstraZeneca each conducting Phase 2 trials on drugs for the treatment of COPD. In addition, Pulmatrix, Inc. (“Pulmatrix”) has PUR1800, a narrow-spectrum kinase inhibitor (NSKI) expected to begin a Phase 1b for AECOPD in 2020. We consider acumapimod’s current closest potential competitor in development for the treatment of AECOPD to be Verona Pharma’s nebulized and inhaled ensifentrine (RPL554), a PDE3 / PDE4 dual inhibitor that is currently being developed as a bronchodilator and anti-inflammatory agent for COPD, Asthma and Cystic Fibrosis patients.</w:t>
      </w:r>
    </w:p>
    <w:p>
      <w:pPr>
        <w:spacing w:after="0" w:line="305" w:lineRule="exact"/>
        <w:rPr>
          <w:rFonts w:ascii="Arial" w:cs="Arial" w:eastAsia="Arial" w:hAnsi="Arial"/>
          <w:sz w:val="19"/>
          <w:szCs w:val="19"/>
          <w:color w:val="auto"/>
        </w:rPr>
      </w:pPr>
    </w:p>
    <w:p>
      <w:pPr>
        <w:ind w:left="1420" w:right="120" w:hanging="535"/>
        <w:spacing w:after="0" w:line="282" w:lineRule="auto"/>
        <w:tabs>
          <w:tab w:leader="none" w:pos="1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We consider leflutrozole’s current closest potential competitors for the treatment of male infertility due to HH are Follicle Stimulating Hormone (FSH), injectable recombinant follitropin alpha (Gonal-F, Serono) which is FDA approved for male infertility. Injectable Human Chorionic Gonadotropin (HCG) is not approved for male infertility, but is used ‘off-label.’ AZD-5904 (myeloperoxidase inhibitor) from the AstraZeneca and St George Street Capital collaboration is in a Phase 1b trial for idiopathic male infertility.</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We also anticipate that new companies will enter these markets in the future. If we successfully develop and commercialize any of etigilimab, alvelestat, setrusumab, acumapimod or leflutrozole,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93" w:lineRule="exact"/>
        <w:rPr>
          <w:sz w:val="20"/>
          <w:szCs w:val="20"/>
          <w:color w:val="auto"/>
        </w:rPr>
      </w:pPr>
    </w:p>
    <w:p>
      <w:pPr>
        <w:ind w:left="1420" w:right="100" w:hanging="535"/>
        <w:spacing w:after="0" w:line="297" w:lineRule="auto"/>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39" w:lineRule="exact"/>
        <w:rPr>
          <w:rFonts w:ascii="Arial" w:cs="Arial" w:eastAsia="Arial" w:hAnsi="Arial"/>
          <w:sz w:val="19"/>
          <w:szCs w:val="19"/>
          <w:color w:val="auto"/>
        </w:rPr>
      </w:pPr>
    </w:p>
    <w:p>
      <w:pPr>
        <w:ind w:left="1420" w:right="160" w:hanging="535"/>
        <w:spacing w:after="0"/>
        <w:tabs>
          <w:tab w:leader="none" w:pos="1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91" w:lineRule="exact"/>
        <w:rPr>
          <w:rFonts w:ascii="Arial" w:cs="Arial" w:eastAsia="Arial" w:hAnsi="Arial"/>
          <w:sz w:val="22"/>
          <w:szCs w:val="22"/>
          <w:color w:val="auto"/>
        </w:rPr>
      </w:pPr>
    </w:p>
    <w:p>
      <w:pPr>
        <w:ind w:left="1420" w:hanging="535"/>
        <w:spacing w:after="0"/>
        <w:tabs>
          <w:tab w:leader="none" w:pos="1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obtain quicker regulatory approval;</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establish superior proprietary positions covering our product candidates and technologies;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implement more effective approaches to sales and marketing; or</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form more advantageous strategic alliances.</w:t>
      </w:r>
    </w:p>
    <w:p>
      <w:pPr>
        <w:spacing w:after="0" w:line="206" w:lineRule="exact"/>
        <w:rPr>
          <w:sz w:val="20"/>
          <w:szCs w:val="20"/>
          <w:color w:val="auto"/>
        </w:rPr>
      </w:pPr>
    </w:p>
    <w:p>
      <w:pPr>
        <w:ind w:left="120" w:right="40" w:firstLine="551"/>
        <w:spacing w:after="0" w:line="273" w:lineRule="auto"/>
        <w:rPr>
          <w:sz w:val="20"/>
          <w:szCs w:val="20"/>
          <w:color w:val="auto"/>
        </w:rPr>
      </w:pPr>
      <w:r>
        <w:rPr>
          <w:rFonts w:ascii="Arial" w:cs="Arial" w:eastAsia="Arial" w:hAnsi="Arial"/>
          <w:sz w:val="19"/>
          <w:szCs w:val="19"/>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155" w:lineRule="exact"/>
        <w:rPr>
          <w:sz w:val="20"/>
          <w:szCs w:val="20"/>
          <w:color w:val="auto"/>
        </w:rPr>
      </w:pPr>
    </w:p>
    <w:p>
      <w:pPr>
        <w:ind w:left="120"/>
        <w:spacing w:after="0" w:line="282" w:lineRule="auto"/>
        <w:rPr>
          <w:sz w:val="20"/>
          <w:szCs w:val="20"/>
          <w:color w:val="auto"/>
        </w:rPr>
      </w:pPr>
      <w:r>
        <w:rPr>
          <w:rFonts w:ascii="Arial" w:cs="Arial" w:eastAsia="Arial" w:hAnsi="Arial"/>
          <w:sz w:val="19"/>
          <w:szCs w:val="19"/>
          <w:b w:val="1"/>
          <w:bCs w:val="1"/>
          <w:i w:val="1"/>
          <w:iCs w:val="1"/>
          <w:color w:val="auto"/>
        </w:rPr>
        <w:t>We have obtained orphan drug designation for setrusumab for the treatment of OI in the United States and EU and for alvelestat for the treatment of AATD in the United States, but we may be unable to obtain orphan drug designation for alvelestat for AATD in the EU or for the treatment of BOS in the United States or EU, or any future product candidates. We may also be unable to obtain or maintain the benefits associated with orphan drug designation, including the potential for orphan drug exclusivity, for setrusumab or any other product for which we obtain orphan drug designation.</w:t>
      </w:r>
    </w:p>
    <w:p>
      <w:pPr>
        <w:spacing w:after="0" w:line="147" w:lineRule="exact"/>
        <w:rPr>
          <w:sz w:val="20"/>
          <w:szCs w:val="20"/>
          <w:color w:val="auto"/>
        </w:rPr>
      </w:pPr>
    </w:p>
    <w:p>
      <w:pPr>
        <w:ind w:left="120" w:firstLine="551"/>
        <w:spacing w:after="0" w:line="244" w:lineRule="auto"/>
        <w:rPr>
          <w:sz w:val="20"/>
          <w:szCs w:val="20"/>
          <w:color w:val="auto"/>
        </w:rPr>
      </w:pPr>
      <w:r>
        <w:rPr>
          <w:rFonts w:ascii="Arial" w:cs="Arial" w:eastAsia="Arial" w:hAnsi="Arial"/>
          <w:sz w:val="21"/>
          <w:szCs w:val="21"/>
          <w:color w:val="auto"/>
        </w:rPr>
        <w:t>Under the Orphan Drug Act of 1983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(“COMP”) recommends to the European Commission the granting of orphan designation to promote the development of medicinal products that are intended for the diagnosis, prevention or treatment of a life-threatening or chronically debilitating condition affecting not more than five in 10,000 persons in the EU. Additionally, designation is granted for medicinal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No satisfactory method of diagnosis, prevention, or treatment must exist in the EU, or, if such a method does exist, the medicine must demonstrate that it is of significant benefit to those affected by the condition.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firstLine="551"/>
        <w:spacing w:after="0" w:line="270" w:lineRule="auto"/>
        <w:rPr>
          <w:sz w:val="20"/>
          <w:szCs w:val="20"/>
          <w:color w:val="auto"/>
        </w:rPr>
      </w:pPr>
      <w:r>
        <w:rPr>
          <w:rFonts w:ascii="Arial" w:cs="Arial" w:eastAsia="Arial" w:hAnsi="Arial"/>
          <w:sz w:val="19"/>
          <w:szCs w:val="19"/>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designation entitles a party to financial incentives such as reduction of fees or fee waivers and ten years of market exclusivity following approval. This period can be extended by two years if studies in children are performed in accordance with a PIP. In addition,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00" w:lineRule="exact"/>
        <w:rPr>
          <w:sz w:val="20"/>
          <w:szCs w:val="20"/>
          <w:color w:val="auto"/>
        </w:rPr>
      </w:pPr>
    </w:p>
    <w:p>
      <w:pPr>
        <w:spacing w:after="0" w:line="209" w:lineRule="exact"/>
        <w:rPr>
          <w:sz w:val="20"/>
          <w:szCs w:val="20"/>
          <w:color w:val="auto"/>
        </w:rPr>
      </w:pPr>
    </w:p>
    <w:p>
      <w:pPr>
        <w:ind w:left="120" w:right="100" w:firstLine="551"/>
        <w:spacing w:after="0" w:line="270" w:lineRule="auto"/>
        <w:rPr>
          <w:sz w:val="20"/>
          <w:szCs w:val="20"/>
          <w:color w:val="auto"/>
        </w:rPr>
      </w:pPr>
      <w:r>
        <w:rPr>
          <w:rFonts w:ascii="Arial" w:cs="Arial" w:eastAsia="Arial" w:hAnsi="Arial"/>
          <w:sz w:val="19"/>
          <w:szCs w:val="19"/>
          <w:color w:val="auto"/>
        </w:rPr>
        <w:t>We have obtained orphan drug designation from the FDA and EMA for setrusumab for the treatment of OI (designated by the FDA as “human monoclonal antibody targeting human sclerostin” and designated by the EMA as “recombinant humanised monoclonal IgG2 lambda antibody against human sclerostin”). Additionally, we have obtained orphan drug designation for alvelestat for the treatment of AATD from the FDA and plan to seek such designation from the EMA. We may also plan to seek orphan drug designation from the FDA and EMA for alvelestat for the treatment of BOS and future rare disease product candidates.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 candidates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200" w:lineRule="exact"/>
        <w:rPr>
          <w:sz w:val="20"/>
          <w:szCs w:val="20"/>
          <w:color w:val="auto"/>
        </w:rPr>
      </w:pPr>
    </w:p>
    <w:p>
      <w:pPr>
        <w:spacing w:after="0" w:line="209"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There have been legal challenges to aspects of the FDA’s regulations and policies concerning the exclusivity provisions of the Orphan Drug Act, and future challenges could lead to changes that affect the protections afforded to our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our business. In September 2020 we received rare pediatric disease designation for setrusumab in pediatric osteogenesis imperfecta.</w:t>
      </w:r>
    </w:p>
    <w:p>
      <w:pPr>
        <w:spacing w:after="0" w:line="200" w:lineRule="exact"/>
        <w:rPr>
          <w:sz w:val="20"/>
          <w:szCs w:val="20"/>
          <w:color w:val="auto"/>
        </w:rPr>
      </w:pPr>
    </w:p>
    <w:p>
      <w:pPr>
        <w:spacing w:after="0" w:line="211" w:lineRule="exact"/>
        <w:rPr>
          <w:sz w:val="20"/>
          <w:szCs w:val="20"/>
          <w:color w:val="auto"/>
        </w:rPr>
      </w:pPr>
    </w:p>
    <w:p>
      <w:pPr>
        <w:ind w:left="120" w:right="120" w:firstLine="551"/>
        <w:spacing w:after="0" w:line="282" w:lineRule="auto"/>
        <w:rPr>
          <w:sz w:val="20"/>
          <w:szCs w:val="20"/>
          <w:color w:val="auto"/>
        </w:rPr>
      </w:pPr>
      <w:r>
        <w:rPr>
          <w:rFonts w:ascii="Arial" w:cs="Arial" w:eastAsia="Arial" w:hAnsi="Arial"/>
          <w:sz w:val="19"/>
          <w:szCs w:val="19"/>
          <w:color w:val="auto"/>
        </w:rPr>
        <w:t>The FDA grants Rare Pediatric Disease Designation for serious and life-threatening diseases that primarily affect children aged 18 years or younger and fewer than 200,000 people in the United States. If a Biologics License Application (“BLA”) in the United States for setrusumab is approved, Mereo may be eligible to receive a priority review voucher from the FDA, which can be redeemed to obtain priority review for any subsequent marketing application and may be sold or transferred to other companies for their programs, as has been done by other voucher recipients.</w:t>
      </w:r>
    </w:p>
    <w:p>
      <w:pPr>
        <w:sectPr>
          <w:pgSz w:w="11900" w:h="16838" w:orient="portrait"/>
          <w:cols w:equalWidth="0" w:num="1">
            <w:col w:w="11140"/>
          </w:cols>
          <w:pgMar w:left="320" w:top="486" w:right="439" w:bottom="0" w:gutter="0" w:footer="0" w:header="0"/>
        </w:sectPr>
      </w:pPr>
    </w:p>
    <w:p>
      <w:pPr>
        <w:spacing w:after="0" w:line="147" w:lineRule="exact"/>
        <w:rPr>
          <w:sz w:val="20"/>
          <w:szCs w:val="20"/>
          <w:color w:val="auto"/>
        </w:rPr>
      </w:pPr>
    </w:p>
    <w:p>
      <w:pPr>
        <w:jc w:val="both"/>
        <w:ind w:left="120" w:right="200"/>
        <w:spacing w:after="0" w:line="320" w:lineRule="auto"/>
        <w:rPr>
          <w:sz w:val="20"/>
          <w:szCs w:val="20"/>
          <w:color w:val="auto"/>
        </w:rPr>
      </w:pPr>
      <w:r>
        <w:rPr>
          <w:rFonts w:ascii="Arial" w:cs="Arial" w:eastAsia="Arial" w:hAnsi="Arial"/>
          <w:sz w:val="18"/>
          <w:szCs w:val="18"/>
          <w:b w:val="1"/>
          <w:bCs w:val="1"/>
          <w:i w:val="1"/>
          <w:iCs w:val="1"/>
          <w:color w:val="auto"/>
        </w:rPr>
        <w:t>We or our partners may seek and fail to obtain breakthrough therapy designation by the FDA for etigilimab, alvelestat, or setrusumab or any future product candidates or access to the PRIME scheme by the EMA for etigilimab, alvelestat or any future product candidates. Even if we obtain such designation or access, the designation or access may not lead to faster</w:t>
      </w:r>
    </w:p>
    <w:p>
      <w:pPr>
        <w:sectPr>
          <w:pgSz w:w="11900" w:h="16838" w:orient="portrait"/>
          <w:cols w:equalWidth="0" w:num="1">
            <w:col w:w="11140"/>
          </w:cols>
          <w:pgMar w:left="320" w:top="486" w:right="439" w:bottom="0" w:gutter="0" w:footer="0" w:header="0"/>
          <w:type w:val="continuous"/>
        </w:sectPr>
      </w:pPr>
    </w:p>
    <w:bookmarkStart w:id="32" w:name="page33"/>
    <w:bookmarkEnd w:id="32"/>
    <w:p>
      <w:pPr>
        <w:ind w:right="440"/>
        <w:spacing w:after="0" w:line="251" w:lineRule="auto"/>
        <w:rPr>
          <w:sz w:val="20"/>
          <w:szCs w:val="20"/>
          <w:color w:val="auto"/>
        </w:rPr>
      </w:pPr>
      <w:r>
        <w:rPr>
          <w:rFonts w:ascii="Arial" w:cs="Arial" w:eastAsia="Arial" w:hAnsi="Arial"/>
          <w:sz w:val="22"/>
          <w:szCs w:val="22"/>
          <w:b w:val="1"/>
          <w:bCs w:val="1"/>
          <w:i w:val="1"/>
          <w:iCs w:val="1"/>
          <w:color w:val="auto"/>
        </w:rPr>
        <w:t>development or regulatory review or approval, and it does not increase the likelihood that our product candidates will receive marketing approval.</w:t>
      </w:r>
    </w:p>
    <w:p>
      <w:pPr>
        <w:spacing w:after="0" w:line="173" w:lineRule="exact"/>
        <w:rPr>
          <w:sz w:val="20"/>
          <w:szCs w:val="20"/>
          <w:color w:val="auto"/>
        </w:rPr>
      </w:pPr>
    </w:p>
    <w:p>
      <w:pPr>
        <w:ind w:firstLine="551"/>
        <w:spacing w:after="0" w:line="287" w:lineRule="auto"/>
        <w:rPr>
          <w:sz w:val="20"/>
          <w:szCs w:val="20"/>
          <w:color w:val="auto"/>
        </w:rPr>
      </w:pPr>
      <w:r>
        <w:rPr>
          <w:rFonts w:ascii="Arial" w:cs="Arial" w:eastAsia="Arial" w:hAnsi="Arial"/>
          <w:sz w:val="19"/>
          <w:szCs w:val="19"/>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w:t>
      </w: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860"/>
          </w:cols>
          <w:pgMar w:left="440" w:top="118" w:right="5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40"/>
        <w:spacing w:after="0" w:line="275" w:lineRule="auto"/>
        <w:rPr>
          <w:sz w:val="20"/>
          <w:szCs w:val="20"/>
          <w:color w:val="auto"/>
        </w:rPr>
      </w:pPr>
      <w:r>
        <w:rPr>
          <w:rFonts w:ascii="Arial" w:cs="Arial" w:eastAsia="Arial" w:hAnsi="Arial"/>
          <w:sz w:val="19"/>
          <w:szCs w:val="19"/>
          <w:color w:val="auto"/>
        </w:rPr>
        <w:t>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setrusumab was admitted to the PRIME scheme of the EMA.</w:t>
      </w:r>
    </w:p>
    <w:p>
      <w:pPr>
        <w:spacing w:after="0" w:line="157" w:lineRule="exact"/>
        <w:rPr>
          <w:sz w:val="20"/>
          <w:szCs w:val="20"/>
          <w:color w:val="auto"/>
        </w:rPr>
      </w:pPr>
    </w:p>
    <w:p>
      <w:pPr>
        <w:ind w:left="120" w:right="160" w:firstLine="551"/>
        <w:spacing w:after="0" w:line="273" w:lineRule="auto"/>
        <w:rPr>
          <w:sz w:val="20"/>
          <w:szCs w:val="20"/>
          <w:color w:val="auto"/>
        </w:rPr>
      </w:pPr>
      <w:r>
        <w:rPr>
          <w:rFonts w:ascii="Arial" w:cs="Arial" w:eastAsia="Arial" w:hAnsi="Arial"/>
          <w:sz w:val="19"/>
          <w:szCs w:val="19"/>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55"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22"/>
          <w:szCs w:val="22"/>
          <w:b w:val="1"/>
          <w:bCs w:val="1"/>
          <w:i w:val="1"/>
          <w:iCs w:val="1"/>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85" w:lineRule="exact"/>
        <w:rPr>
          <w:sz w:val="20"/>
          <w:szCs w:val="20"/>
          <w:color w:val="auto"/>
        </w:rPr>
      </w:pPr>
    </w:p>
    <w:p>
      <w:pPr>
        <w:ind w:left="120" w:right="80" w:firstLine="551"/>
        <w:spacing w:after="0" w:line="279" w:lineRule="auto"/>
        <w:rPr>
          <w:sz w:val="20"/>
          <w:szCs w:val="20"/>
          <w:color w:val="auto"/>
        </w:rPr>
      </w:pPr>
      <w:r>
        <w:rPr>
          <w:rFonts w:ascii="Arial" w:cs="Arial" w:eastAsia="Arial" w:hAnsi="Arial"/>
          <w:sz w:val="19"/>
          <w:szCs w:val="19"/>
          <w:color w:val="auto"/>
        </w:rPr>
        <w:t>We have no marketing, sales, or distribution capabilities and we currently have no experience with marketing, selling or distributing pharmaceutical product candidates. We have partnered setrusumab in a global licensing transaction with Ultragenyx, under which we retained EU and U.K. commercial rights. We have entered into a global out-licensing agreement with OncXerna for development and commercialization of navicixizumab. We currently intend to commercialize setrusumab for children and adults with OI in the EU and U.K. We may seek to partner or commercialize our other product candidates based on the outcome of clinical trials, cost of the registrational trials and other strategic considerations.</w:t>
      </w:r>
    </w:p>
    <w:p>
      <w:pPr>
        <w:spacing w:after="0" w:line="150" w:lineRule="exact"/>
        <w:rPr>
          <w:sz w:val="20"/>
          <w:szCs w:val="20"/>
          <w:color w:val="auto"/>
        </w:rPr>
      </w:pPr>
    </w:p>
    <w:p>
      <w:pPr>
        <w:jc w:val="both"/>
        <w:ind w:left="120" w:right="220" w:firstLine="551"/>
        <w:spacing w:after="0" w:line="257" w:lineRule="auto"/>
        <w:rPr>
          <w:sz w:val="20"/>
          <w:szCs w:val="20"/>
          <w:color w:val="auto"/>
        </w:rPr>
      </w:pPr>
      <w:r>
        <w:rPr>
          <w:rFonts w:ascii="Arial" w:cs="Arial" w:eastAsia="Arial" w:hAnsi="Arial"/>
          <w:sz w:val="21"/>
          <w:szCs w:val="21"/>
          <w:color w:val="auto"/>
        </w:rPr>
        <w:t>We currently intend to enter into out-licensing or sales arrangements with pharmaceutical, biopharmaceutical or other partners for the continued development and commercialization of our non-core disease product candidates, acumapimod and leflutrozole, and we may take the same approach for our other product candidates.</w:t>
      </w:r>
    </w:p>
    <w:p>
      <w:pPr>
        <w:spacing w:after="0" w:line="169"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21"/>
          <w:szCs w:val="21"/>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184"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arrangements with third parties, our future product revenue will suffer and we may incur significant losses.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100"/>
          </w:cols>
          <w:pgMar w:left="320" w:top="486"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line="287" w:lineRule="auto"/>
        <w:rPr>
          <w:sz w:val="20"/>
          <w:szCs w:val="20"/>
          <w:color w:val="auto"/>
        </w:rPr>
      </w:pPr>
      <w:r>
        <w:rPr>
          <w:rFonts w:ascii="Arial" w:cs="Arial" w:eastAsia="Arial" w:hAnsi="Arial"/>
          <w:sz w:val="19"/>
          <w:szCs w:val="19"/>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43" w:lineRule="exact"/>
        <w:rPr>
          <w:sz w:val="20"/>
          <w:szCs w:val="20"/>
          <w:color w:val="auto"/>
        </w:rPr>
      </w:pPr>
    </w:p>
    <w:p>
      <w:pPr>
        <w:ind w:left="120" w:right="100" w:firstLine="551"/>
        <w:spacing w:after="0" w:line="273" w:lineRule="auto"/>
        <w:rPr>
          <w:sz w:val="20"/>
          <w:szCs w:val="20"/>
          <w:color w:val="auto"/>
        </w:rPr>
      </w:pPr>
      <w:r>
        <w:rPr>
          <w:rFonts w:ascii="Arial" w:cs="Arial" w:eastAsia="Arial" w:hAnsi="Arial"/>
          <w:sz w:val="19"/>
          <w:szCs w:val="19"/>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161" w:lineRule="exact"/>
        <w:rPr>
          <w:sz w:val="20"/>
          <w:szCs w:val="20"/>
          <w:color w:val="auto"/>
        </w:rPr>
      </w:pPr>
    </w:p>
    <w:p>
      <w:pPr>
        <w:ind w:left="120" w:right="20" w:firstLine="551"/>
        <w:spacing w:after="0" w:line="273" w:lineRule="auto"/>
        <w:rPr>
          <w:sz w:val="20"/>
          <w:szCs w:val="20"/>
          <w:color w:val="auto"/>
        </w:rPr>
      </w:pPr>
      <w:r>
        <w:rPr>
          <w:rFonts w:ascii="Arial" w:cs="Arial" w:eastAsia="Arial" w:hAnsi="Arial"/>
          <w:sz w:val="19"/>
          <w:szCs w:val="19"/>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61" w:lineRule="exact"/>
        <w:rPr>
          <w:sz w:val="20"/>
          <w:szCs w:val="20"/>
          <w:color w:val="auto"/>
        </w:rPr>
      </w:pPr>
    </w:p>
    <w:p>
      <w:pPr>
        <w:ind w:left="120" w:right="280" w:firstLine="551"/>
        <w:spacing w:after="0" w:line="275" w:lineRule="auto"/>
        <w:rPr>
          <w:sz w:val="20"/>
          <w:szCs w:val="20"/>
          <w:color w:val="auto"/>
        </w:rPr>
      </w:pPr>
      <w:r>
        <w:rPr>
          <w:rFonts w:ascii="Arial" w:cs="Arial" w:eastAsia="Arial" w:hAnsi="Arial"/>
          <w:sz w:val="19"/>
          <w:szCs w:val="19"/>
          <w:color w:val="auto"/>
        </w:rPr>
        <w:t>There is significant uncertainty related to the insurance coverage and reimbursement of newly approved product candidates.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157"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22"/>
          <w:szCs w:val="22"/>
          <w:color w:val="auto"/>
        </w:rPr>
        <w:t>No uniform policy for coverage and reimbursement for product candidates exists among third-party payors in the United States.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1" w:lineRule="exact"/>
        <w:rPr>
          <w:sz w:val="20"/>
          <w:szCs w:val="20"/>
          <w:color w:val="auto"/>
        </w:rPr>
      </w:pPr>
    </w:p>
    <w:p>
      <w:pPr>
        <w:ind w:left="120" w:right="100" w:firstLine="551"/>
        <w:spacing w:after="0" w:line="270" w:lineRule="auto"/>
        <w:rPr>
          <w:sz w:val="20"/>
          <w:szCs w:val="20"/>
          <w:color w:val="auto"/>
        </w:rPr>
      </w:pPr>
      <w:r>
        <w:rPr>
          <w:rFonts w:ascii="Arial" w:cs="Arial" w:eastAsia="Arial" w:hAnsi="Arial"/>
          <w:sz w:val="19"/>
          <w:szCs w:val="19"/>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 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ectPr>
          <w:pgSz w:w="11900" w:h="16838" w:orient="portrait"/>
          <w:cols w:equalWidth="0" w:num="1">
            <w:col w:w="11120"/>
          </w:cols>
          <w:pgMar w:left="320" w:top="486" w:right="459" w:bottom="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120"/>
          </w:cols>
          <w:pgMar w:left="320" w:top="486" w:right="459" w:bottom="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firstLine="551"/>
        <w:spacing w:after="0" w:line="277" w:lineRule="auto"/>
        <w:rPr>
          <w:sz w:val="20"/>
          <w:szCs w:val="20"/>
          <w:color w:val="auto"/>
        </w:rPr>
      </w:pPr>
      <w:r>
        <w:rPr>
          <w:rFonts w:ascii="Arial" w:cs="Arial" w:eastAsia="Arial" w:hAnsi="Arial"/>
          <w:sz w:val="19"/>
          <w:szCs w:val="19"/>
          <w:color w:val="auto"/>
        </w:rPr>
        <w:t>Moreover, increasing efforts by governmental and third-party payors in the United States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52" w:lineRule="exact"/>
        <w:rPr>
          <w:sz w:val="20"/>
          <w:szCs w:val="20"/>
          <w:color w:val="auto"/>
        </w:rPr>
      </w:pPr>
    </w:p>
    <w:p>
      <w:pPr>
        <w:ind w:left="120" w:right="40"/>
        <w:spacing w:after="0" w:line="250" w:lineRule="auto"/>
        <w:rPr>
          <w:sz w:val="20"/>
          <w:szCs w:val="20"/>
          <w:color w:val="auto"/>
        </w:rPr>
      </w:pPr>
      <w:r>
        <w:rPr>
          <w:rFonts w:ascii="Arial" w:cs="Arial" w:eastAsia="Arial" w:hAnsi="Arial"/>
          <w:sz w:val="22"/>
          <w:szCs w:val="22"/>
          <w:b w:val="1"/>
          <w:bCs w:val="1"/>
          <w:i w:val="1"/>
          <w:iCs w:val="1"/>
          <w:color w:val="auto"/>
        </w:rPr>
        <w:t>Our existing and future product candidates may not gain market acceptance, in which case our ability to generate revenues from product sales will be compromised.</w:t>
      </w:r>
    </w:p>
    <w:p>
      <w:pPr>
        <w:spacing w:after="0" w:line="175" w:lineRule="exact"/>
        <w:rPr>
          <w:sz w:val="20"/>
          <w:szCs w:val="20"/>
          <w:color w:val="auto"/>
        </w:rPr>
      </w:pPr>
    </w:p>
    <w:p>
      <w:pPr>
        <w:ind w:left="120" w:firstLine="551"/>
        <w:spacing w:after="0" w:line="249" w:lineRule="auto"/>
        <w:rPr>
          <w:sz w:val="20"/>
          <w:szCs w:val="20"/>
          <w:color w:val="auto"/>
        </w:rPr>
      </w:pPr>
      <w:r>
        <w:rPr>
          <w:rFonts w:ascii="Arial" w:cs="Arial" w:eastAsia="Arial" w:hAnsi="Arial"/>
          <w:sz w:val="21"/>
          <w:szCs w:val="21"/>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84" w:lineRule="exact"/>
        <w:rPr>
          <w:sz w:val="20"/>
          <w:szCs w:val="20"/>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timing of market introduction;</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number and clinical profile of competing product candidates;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clinical indications for which our product candidates are approved;</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our ability to provide acceptable evidence of safety and efficacy;</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prevalence and severity of any side effects;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relative convenience and ease of administration;</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cost-effectiveness;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marketing and distribution support;</w:t>
      </w:r>
    </w:p>
    <w:p>
      <w:pPr>
        <w:spacing w:after="0" w:line="111" w:lineRule="exact"/>
        <w:rPr>
          <w:rFonts w:ascii="Arial" w:cs="Arial" w:eastAsia="Arial" w:hAnsi="Arial"/>
          <w:sz w:val="22"/>
          <w:szCs w:val="22"/>
          <w:color w:val="auto"/>
        </w:rPr>
      </w:pPr>
    </w:p>
    <w:p>
      <w:pPr>
        <w:ind w:left="1420" w:right="1180" w:hanging="535"/>
        <w:spacing w:after="0" w:line="250" w:lineRule="auto"/>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availability of adequate coverage, reimbursement, and adequate payment from health maintenance organizations and other insurers, both public and private; and</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other potential advantages over alternative treatment methods.</w:t>
      </w:r>
    </w:p>
    <w:p>
      <w:pPr>
        <w:spacing w:after="0" w:line="206"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86" w:lineRule="exact"/>
        <w:rPr>
          <w:sz w:val="20"/>
          <w:szCs w:val="20"/>
          <w:color w:val="auto"/>
        </w:rPr>
      </w:pPr>
    </w:p>
    <w:p>
      <w:pPr>
        <w:ind w:left="120" w:right="180"/>
        <w:spacing w:after="0" w:line="250" w:lineRule="auto"/>
        <w:rPr>
          <w:sz w:val="20"/>
          <w:szCs w:val="20"/>
          <w:color w:val="auto"/>
        </w:rPr>
      </w:pPr>
      <w:r>
        <w:rPr>
          <w:rFonts w:ascii="Arial" w:cs="Arial" w:eastAsia="Arial" w:hAnsi="Arial"/>
          <w:sz w:val="22"/>
          <w:szCs w:val="22"/>
          <w:b w:val="1"/>
          <w:bCs w:val="1"/>
          <w:i w:val="1"/>
          <w:iCs w:val="1"/>
          <w:color w:val="auto"/>
        </w:rPr>
        <w:t>Any product candidates for which we intend to seek approval as biologic product candidates in the United States may face competition sooner than anticipated.</w:t>
      </w:r>
    </w:p>
    <w:p>
      <w:pPr>
        <w:spacing w:after="0" w:line="175" w:lineRule="exact"/>
        <w:rPr>
          <w:sz w:val="20"/>
          <w:szCs w:val="20"/>
          <w:color w:val="auto"/>
        </w:rPr>
      </w:pPr>
    </w:p>
    <w:p>
      <w:pPr>
        <w:ind w:left="120" w:right="20" w:firstLine="551"/>
        <w:spacing w:after="0" w:line="277" w:lineRule="auto"/>
        <w:rPr>
          <w:sz w:val="20"/>
          <w:szCs w:val="20"/>
          <w:color w:val="auto"/>
        </w:rPr>
      </w:pPr>
      <w:r>
        <w:rPr>
          <w:rFonts w:ascii="Arial" w:cs="Arial" w:eastAsia="Arial" w:hAnsi="Arial"/>
          <w:sz w:val="19"/>
          <w:szCs w:val="19"/>
          <w:color w:val="auto"/>
        </w:rPr>
        <w:t>In the United States,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spacing w:after="0" w:line="236" w:lineRule="auto"/>
        <w:rPr>
          <w:sz w:val="20"/>
          <w:szCs w:val="20"/>
          <w:color w:val="auto"/>
        </w:rPr>
      </w:pPr>
      <w:r>
        <w:rPr>
          <w:rFonts w:ascii="Arial" w:cs="Arial" w:eastAsia="Arial" w:hAnsi="Arial"/>
          <w:sz w:val="22"/>
          <w:szCs w:val="22"/>
          <w:color w:val="auto"/>
        </w:rPr>
        <w:t>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 candidates.</w:t>
      </w:r>
    </w:p>
    <w:p>
      <w:pPr>
        <w:spacing w:after="0" w:line="18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21"/>
          <w:szCs w:val="21"/>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180"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9"/>
          <w:szCs w:val="19"/>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04" w:lineRule="exact"/>
        <w:rPr>
          <w:sz w:val="20"/>
          <w:szCs w:val="20"/>
          <w:color w:val="auto"/>
        </w:rPr>
      </w:pPr>
    </w:p>
    <w:p>
      <w:pPr>
        <w:ind w:left="120" w:right="160"/>
        <w:spacing w:after="0" w:line="287" w:lineRule="auto"/>
        <w:rPr>
          <w:sz w:val="20"/>
          <w:szCs w:val="20"/>
          <w:color w:val="auto"/>
        </w:rPr>
      </w:pPr>
      <w:r>
        <w:rPr>
          <w:rFonts w:ascii="Arial" w:cs="Arial" w:eastAsia="Arial" w:hAnsi="Arial"/>
          <w:sz w:val="19"/>
          <w:szCs w:val="19"/>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43"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9"/>
          <w:szCs w:val="19"/>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U.K. or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200" w:lineRule="exact"/>
        <w:rPr>
          <w:sz w:val="20"/>
          <w:szCs w:val="20"/>
          <w:color w:val="auto"/>
        </w:rPr>
      </w:pPr>
    </w:p>
    <w:p>
      <w:pPr>
        <w:spacing w:after="0" w:line="203" w:lineRule="exact"/>
        <w:rPr>
          <w:sz w:val="20"/>
          <w:szCs w:val="20"/>
          <w:color w:val="auto"/>
        </w:rPr>
      </w:pPr>
    </w:p>
    <w:p>
      <w:pPr>
        <w:ind w:left="120" w:firstLine="551"/>
        <w:spacing w:after="0" w:line="248" w:lineRule="auto"/>
        <w:rPr>
          <w:sz w:val="20"/>
          <w:szCs w:val="20"/>
          <w:color w:val="auto"/>
        </w:rPr>
      </w:pPr>
      <w:r>
        <w:rPr>
          <w:rFonts w:ascii="Arial" w:cs="Arial" w:eastAsia="Arial" w:hAnsi="Arial"/>
          <w:sz w:val="21"/>
          <w:szCs w:val="21"/>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77" w:lineRule="exact"/>
        <w:rPr>
          <w:sz w:val="20"/>
          <w:szCs w:val="20"/>
          <w:color w:val="auto"/>
        </w:rPr>
      </w:pPr>
    </w:p>
    <w:p>
      <w:pPr>
        <w:ind w:left="120" w:right="80" w:firstLine="551"/>
        <w:spacing w:after="0" w:line="282" w:lineRule="auto"/>
        <w:rPr>
          <w:sz w:val="20"/>
          <w:szCs w:val="20"/>
          <w:color w:val="auto"/>
        </w:rPr>
      </w:pPr>
      <w:r>
        <w:rPr>
          <w:rFonts w:ascii="Arial" w:cs="Arial" w:eastAsia="Arial" w:hAnsi="Arial"/>
          <w:sz w:val="19"/>
          <w:szCs w:val="19"/>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ectPr>
          <w:pgSz w:w="11900" w:h="16838" w:orient="portrait"/>
          <w:cols w:equalWidth="0" w:num="1">
            <w:col w:w="11120"/>
          </w:cols>
          <w:pgMar w:left="320" w:top="486" w:right="459" w:bottom="520" w:gutter="0" w:footer="0" w:header="0"/>
        </w:sectPr>
      </w:pP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120"/>
          </w:cols>
          <w:pgMar w:left="320" w:top="486" w:right="459" w:bottom="52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50" w:lineRule="exact"/>
        <w:rPr>
          <w:sz w:val="20"/>
          <w:szCs w:val="20"/>
          <w:color w:val="auto"/>
        </w:rPr>
      </w:pPr>
    </w:p>
    <w:p>
      <w:pPr>
        <w:ind w:left="120" w:right="80"/>
        <w:spacing w:after="0" w:line="287" w:lineRule="auto"/>
        <w:rPr>
          <w:sz w:val="20"/>
          <w:szCs w:val="20"/>
          <w:color w:val="auto"/>
        </w:rPr>
      </w:pPr>
      <w:r>
        <w:rPr>
          <w:rFonts w:ascii="Arial" w:cs="Arial" w:eastAsia="Arial" w:hAnsi="Arial"/>
          <w:sz w:val="19"/>
          <w:szCs w:val="19"/>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43" w:lineRule="exact"/>
        <w:rPr>
          <w:sz w:val="20"/>
          <w:szCs w:val="20"/>
          <w:color w:val="auto"/>
        </w:rPr>
      </w:pPr>
    </w:p>
    <w:p>
      <w:pPr>
        <w:ind w:left="120" w:right="20" w:firstLine="551"/>
        <w:spacing w:after="0" w:line="274" w:lineRule="auto"/>
        <w:rPr>
          <w:sz w:val="20"/>
          <w:szCs w:val="20"/>
          <w:color w:val="auto"/>
        </w:rPr>
      </w:pPr>
      <w:r>
        <w:rPr>
          <w:rFonts w:ascii="Arial" w:cs="Arial" w:eastAsia="Arial" w:hAnsi="Arial"/>
          <w:sz w:val="19"/>
          <w:szCs w:val="19"/>
          <w:color w:val="auto"/>
        </w:rPr>
        <w:t>We have limited personnel with experience in manufacturing and CMC development requirements and we do not own facilities for manufacturing our product candidates. Instead, we rely on and expect to continue to rely on CMOs for the supply of cGMP grade clinical trial materials, performance of process and product development activities to facilitate supply of commercial quantities of our product candidates, if approved. Reliance on CMOs may expose us to more risk than if we were to manufacture our product candidates ourselves. However, the shortage of, and diversion of, certain raw material supplies due to the COVID-19 pandemic response have demonstrated that both internal and external manufacturing activities have been subject to disruption and risk.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etigilimab and alvelestat.</w:t>
      </w:r>
    </w:p>
    <w:p>
      <w:pPr>
        <w:spacing w:after="0" w:line="200" w:lineRule="exact"/>
        <w:rPr>
          <w:sz w:val="20"/>
          <w:szCs w:val="20"/>
          <w:color w:val="auto"/>
        </w:rPr>
      </w:pPr>
    </w:p>
    <w:p>
      <w:pPr>
        <w:spacing w:after="0" w:line="201" w:lineRule="exact"/>
        <w:rPr>
          <w:sz w:val="20"/>
          <w:szCs w:val="20"/>
          <w:color w:val="auto"/>
        </w:rPr>
      </w:pPr>
    </w:p>
    <w:p>
      <w:pPr>
        <w:ind w:left="120" w:firstLine="551"/>
        <w:spacing w:after="0" w:line="269" w:lineRule="auto"/>
        <w:rPr>
          <w:sz w:val="20"/>
          <w:szCs w:val="20"/>
          <w:color w:val="auto"/>
        </w:rPr>
      </w:pPr>
      <w:r>
        <w:rPr>
          <w:rFonts w:ascii="Arial" w:cs="Arial" w:eastAsia="Arial" w:hAnsi="Arial"/>
          <w:sz w:val="19"/>
          <w:szCs w:val="19"/>
          <w:color w:val="auto"/>
        </w:rPr>
        <w:t>The facilities used to manufacture our product candidates must be approved by the FDA, the EMA, and comparable foreign authorities pursuant to inspections. We will follow all relevant regulatory guidance’s for the development and manufacture of our products. Given that setrusumab and etigilimab are derived from mammalian cell culture all requirements for prevention of adventitious agents are followed. While we provide oversight of manufacturing activities, we do not and will not control the execution of our manufacturing activities by, and are or will be essentially dependent on, our CMOs for compliance with cGMP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the EMA or the comparable foreign regulatory authority does not approve these facilities for the manufacture of GMP certified products including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etigilimab and setrusumab are biologics. The manufacture of biologics involves expensive and complex processes and worldwide capacity at CMOs for the manufacture of biologics is currently limited. This situation has been exacerbated due to the additional constraints caused by the priority given to the manufacture of COVID-19 therapeutics and vaccines, and the resultant decrease in available CMO capacity.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w:t>
      </w:r>
    </w:p>
    <w:p>
      <w:pPr>
        <w:sectPr>
          <w:pgSz w:w="11900" w:h="16838" w:orient="portrait"/>
          <w:cols w:equalWidth="0" w:num="1">
            <w:col w:w="11140"/>
          </w:cols>
          <w:pgMar w:left="320" w:top="486" w:right="439" w:bottom="1440" w:gutter="0" w:footer="0" w:header="0"/>
        </w:sect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140"/>
          </w:cols>
          <w:pgMar w:left="320" w:top="486"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44" w:lineRule="auto"/>
        <w:rPr>
          <w:sz w:val="20"/>
          <w:szCs w:val="20"/>
          <w:color w:val="auto"/>
        </w:rPr>
      </w:pPr>
      <w:r>
        <w:rPr>
          <w:rFonts w:ascii="Arial" w:cs="Arial" w:eastAsia="Arial" w:hAnsi="Arial"/>
          <w:sz w:val="21"/>
          <w:szCs w:val="21"/>
          <w:color w:val="auto"/>
        </w:rPr>
        <w:t>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 The recent restrictions imposed by various governments, including the United States, United Kingdom and EU, among others, on use of certain raw materials required for the manufacture of therapeutics and vaccines in response to the COVID-19 pandemic has demonstrated this vulnerability.</w:t>
      </w:r>
    </w:p>
    <w:p>
      <w:pPr>
        <w:spacing w:after="0" w:line="183" w:lineRule="exact"/>
        <w:rPr>
          <w:sz w:val="20"/>
          <w:szCs w:val="20"/>
          <w:color w:val="auto"/>
        </w:rPr>
      </w:pPr>
    </w:p>
    <w:p>
      <w:pPr>
        <w:ind w:left="120" w:right="200" w:firstLine="551"/>
        <w:spacing w:after="0" w:line="282" w:lineRule="auto"/>
        <w:rPr>
          <w:sz w:val="20"/>
          <w:szCs w:val="20"/>
          <w:color w:val="auto"/>
        </w:rPr>
      </w:pPr>
      <w:r>
        <w:rPr>
          <w:rFonts w:ascii="Arial" w:cs="Arial" w:eastAsia="Arial" w:hAnsi="Arial"/>
          <w:sz w:val="19"/>
          <w:szCs w:val="19"/>
          <w:color w:val="auto"/>
        </w:rPr>
        <w:t>We rely on our CMOs to conduct all product and process development activities necessary to support regulatory submissions. These activities are critical to the meeting the regulatory expectations and if these studies are not considered adequate by FDA, the 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w:t>
      </w:r>
    </w:p>
    <w:p>
      <w:pPr>
        <w:spacing w:after="0" w:line="147"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22"/>
          <w:szCs w:val="22"/>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88" w:lineRule="exact"/>
        <w:rPr>
          <w:sz w:val="20"/>
          <w:szCs w:val="20"/>
          <w:color w:val="auto"/>
        </w:rPr>
      </w:pPr>
    </w:p>
    <w:p>
      <w:pPr>
        <w:ind w:left="120" w:right="40" w:firstLine="551"/>
        <w:spacing w:after="0" w:line="282" w:lineRule="auto"/>
        <w:rPr>
          <w:sz w:val="20"/>
          <w:szCs w:val="20"/>
          <w:color w:val="auto"/>
        </w:rPr>
      </w:pPr>
      <w:r>
        <w:rPr>
          <w:rFonts w:ascii="Arial" w:cs="Arial" w:eastAsia="Arial" w:hAnsi="Arial"/>
          <w:sz w:val="19"/>
          <w:szCs w:val="19"/>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47" w:lineRule="exact"/>
        <w:rPr>
          <w:sz w:val="20"/>
          <w:szCs w:val="20"/>
          <w:color w:val="auto"/>
        </w:rPr>
      </w:pPr>
    </w:p>
    <w:p>
      <w:pPr>
        <w:ind w:left="120" w:right="120"/>
        <w:spacing w:after="0" w:line="257" w:lineRule="auto"/>
        <w:rPr>
          <w:sz w:val="20"/>
          <w:szCs w:val="20"/>
          <w:color w:val="auto"/>
        </w:rPr>
      </w:pPr>
      <w:r>
        <w:rPr>
          <w:rFonts w:ascii="Arial" w:cs="Arial" w:eastAsia="Arial" w:hAnsi="Arial"/>
          <w:sz w:val="21"/>
          <w:szCs w:val="21"/>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169" w:lineRule="exact"/>
        <w:rPr>
          <w:sz w:val="20"/>
          <w:szCs w:val="20"/>
          <w:color w:val="auto"/>
        </w:rPr>
      </w:pPr>
    </w:p>
    <w:p>
      <w:pPr>
        <w:ind w:left="120" w:right="280" w:firstLine="551"/>
        <w:spacing w:after="0" w:line="252" w:lineRule="auto"/>
        <w:rPr>
          <w:sz w:val="20"/>
          <w:szCs w:val="20"/>
          <w:color w:val="auto"/>
        </w:rPr>
      </w:pPr>
      <w:r>
        <w:rPr>
          <w:rFonts w:ascii="Arial" w:cs="Arial" w:eastAsia="Arial" w:hAnsi="Arial"/>
          <w:sz w:val="21"/>
          <w:szCs w:val="21"/>
          <w:color w:val="auto"/>
        </w:rPr>
        <w:t>Our development program for our product candidates, particularly those entering late-stage development, will require substantial additional funds. We currently intend to enter into out-licensing or sales arrangements with pharmaceutical, biopharmaceutical or other partners for the continued development of our product candidates, acumapimod and leflutrozole, and we may take the same approach for other product candidates.</w:t>
      </w:r>
    </w:p>
    <w:p>
      <w:pPr>
        <w:spacing w:after="0" w:line="174" w:lineRule="exact"/>
        <w:rPr>
          <w:sz w:val="20"/>
          <w:szCs w:val="20"/>
          <w:color w:val="auto"/>
        </w:rPr>
      </w:pPr>
    </w:p>
    <w:p>
      <w:pPr>
        <w:ind w:left="120" w:right="120" w:firstLine="551"/>
        <w:spacing w:after="0" w:line="279" w:lineRule="auto"/>
        <w:rPr>
          <w:sz w:val="20"/>
          <w:szCs w:val="20"/>
          <w:color w:val="auto"/>
        </w:rPr>
      </w:pPr>
      <w:r>
        <w:rPr>
          <w:rFonts w:ascii="Arial" w:cs="Arial" w:eastAsia="Arial" w:hAnsi="Arial"/>
          <w:sz w:val="19"/>
          <w:szCs w:val="19"/>
          <w:color w:val="auto"/>
        </w:rPr>
        <w:t>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150" w:lineRule="exact"/>
        <w:rPr>
          <w:sz w:val="20"/>
          <w:szCs w:val="20"/>
          <w:color w:val="auto"/>
        </w:rPr>
      </w:pPr>
    </w:p>
    <w:p>
      <w:pPr>
        <w:ind w:left="120" w:right="120" w:firstLine="551"/>
        <w:spacing w:after="0" w:line="287" w:lineRule="auto"/>
        <w:rPr>
          <w:sz w:val="20"/>
          <w:szCs w:val="20"/>
          <w:color w:val="auto"/>
        </w:rPr>
      </w:pPr>
      <w:r>
        <w:rPr>
          <w:rFonts w:ascii="Arial" w:cs="Arial" w:eastAsia="Arial" w:hAnsi="Arial"/>
          <w:sz w:val="19"/>
          <w:szCs w:val="19"/>
          <w:color w:val="auto"/>
        </w:rPr>
        <w:t>If we are unable to enter into an appropriate arrangement for the development of our selected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ectPr>
          <w:pgSz w:w="11900" w:h="16838" w:orient="portrait"/>
          <w:cols w:equalWidth="0" w:num="1">
            <w:col w:w="11120"/>
          </w:cols>
          <w:pgMar w:left="320" w:top="486" w:right="459" w:bottom="1440" w:gutter="0" w:footer="0" w:header="0"/>
        </w:sectPr>
      </w:pP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120"/>
          </w:cols>
          <w:pgMar w:left="320" w:top="486" w:right="4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If our partners do not satisfy their obligations under our agreements with them, or if they terminate our licenses, partnerships or collaborations with them, we may not be able to develop or commercialize our licensed or partnered product candidates as planned.</w:t>
      </w:r>
    </w:p>
    <w:p>
      <w:pPr>
        <w:spacing w:after="0" w:line="186" w:lineRule="exact"/>
        <w:rPr>
          <w:sz w:val="20"/>
          <w:szCs w:val="20"/>
          <w:color w:val="auto"/>
        </w:rPr>
      </w:pPr>
    </w:p>
    <w:p>
      <w:pPr>
        <w:ind w:left="120" w:right="40" w:firstLine="551"/>
        <w:spacing w:after="0" w:line="272" w:lineRule="auto"/>
        <w:rPr>
          <w:sz w:val="20"/>
          <w:szCs w:val="20"/>
          <w:color w:val="auto"/>
        </w:rPr>
      </w:pPr>
      <w:r>
        <w:rPr>
          <w:rFonts w:ascii="Arial" w:cs="Arial" w:eastAsia="Arial" w:hAnsi="Arial"/>
          <w:sz w:val="19"/>
          <w:szCs w:val="19"/>
          <w:color w:val="auto"/>
        </w:rPr>
        <w:t>We have announced two out-licensing collaborations.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and the U.K. where we retain commercial rights. Under the terms of the agreement, Ultragenyx will pay up to $254 million in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OncXerna for development and commercialization of navicixizumab. Under the terms of the agreement OncXerna will pay up to $300 million in future clinical, development and commercial milestones and royalties ranging from the mid-single digit to sub-teen percentages on global annual net sales of navicixizumab, as well as a negotiated percentage of sublicensing revenues from certain sublicensees. Our future plans may include entering into out-licensing collaboration agreements on some or all of our other development programs.</w:t>
      </w:r>
    </w:p>
    <w:p>
      <w:pPr>
        <w:spacing w:after="0" w:line="161" w:lineRule="exact"/>
        <w:rPr>
          <w:sz w:val="20"/>
          <w:szCs w:val="20"/>
          <w:color w:val="auto"/>
        </w:rPr>
      </w:pPr>
    </w:p>
    <w:p>
      <w:pPr>
        <w:jc w:val="both"/>
        <w:ind w:left="120" w:right="100" w:firstLine="551"/>
        <w:spacing w:after="0"/>
        <w:rPr>
          <w:sz w:val="20"/>
          <w:szCs w:val="20"/>
          <w:color w:val="auto"/>
        </w:rPr>
      </w:pPr>
      <w:r>
        <w:rPr>
          <w:rFonts w:ascii="Arial" w:cs="Arial" w:eastAsia="Arial" w:hAnsi="Arial"/>
          <w:sz w:val="22"/>
          <w:szCs w:val="22"/>
          <w:color w:val="auto"/>
        </w:rPr>
        <w:t>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w:t>
      </w:r>
    </w:p>
    <w:p>
      <w:pPr>
        <w:spacing w:after="0" w:line="186" w:lineRule="exact"/>
        <w:rPr>
          <w:sz w:val="20"/>
          <w:szCs w:val="20"/>
          <w:color w:val="auto"/>
        </w:rPr>
      </w:pPr>
    </w:p>
    <w:p>
      <w:pPr>
        <w:ind w:left="120" w:right="20" w:firstLine="551"/>
        <w:spacing w:after="0" w:line="273" w:lineRule="auto"/>
        <w:rPr>
          <w:sz w:val="20"/>
          <w:szCs w:val="20"/>
          <w:color w:val="auto"/>
        </w:rPr>
      </w:pPr>
      <w:r>
        <w:rPr>
          <w:rFonts w:ascii="Arial" w:cs="Arial" w:eastAsia="Arial" w:hAnsi="Arial"/>
          <w:sz w:val="19"/>
          <w:szCs w:val="19"/>
          <w:color w:val="auto"/>
        </w:rPr>
        <w:t>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from us,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w:t>
      </w:r>
    </w:p>
    <w:p>
      <w:pPr>
        <w:spacing w:after="0" w:line="161" w:lineRule="exact"/>
        <w:rPr>
          <w:sz w:val="20"/>
          <w:szCs w:val="20"/>
          <w:color w:val="auto"/>
        </w:rPr>
      </w:pPr>
    </w:p>
    <w:p>
      <w:pPr>
        <w:ind w:left="120" w:right="40" w:firstLine="551"/>
        <w:spacing w:after="0" w:line="279" w:lineRule="auto"/>
        <w:rPr>
          <w:sz w:val="20"/>
          <w:szCs w:val="20"/>
          <w:color w:val="auto"/>
        </w:rPr>
      </w:pPr>
      <w:r>
        <w:rPr>
          <w:rFonts w:ascii="Arial" w:cs="Arial" w:eastAsia="Arial" w:hAnsi="Arial"/>
          <w:sz w:val="19"/>
          <w:szCs w:val="19"/>
          <w:color w:val="auto"/>
        </w:rPr>
        <w:t>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04" w:lineRule="exact"/>
        <w:rPr>
          <w:sz w:val="20"/>
          <w:szCs w:val="20"/>
          <w:color w:val="auto"/>
        </w:rPr>
      </w:pPr>
    </w:p>
    <w:p>
      <w:pPr>
        <w:ind w:left="120" w:right="320"/>
        <w:spacing w:after="0" w:line="257" w:lineRule="auto"/>
        <w:rPr>
          <w:sz w:val="20"/>
          <w:szCs w:val="20"/>
          <w:color w:val="auto"/>
        </w:rPr>
      </w:pPr>
      <w:r>
        <w:rPr>
          <w:rFonts w:ascii="Arial" w:cs="Arial" w:eastAsia="Arial" w:hAnsi="Arial"/>
          <w:sz w:val="21"/>
          <w:szCs w:val="21"/>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69" w:lineRule="exact"/>
        <w:rPr>
          <w:sz w:val="20"/>
          <w:szCs w:val="20"/>
          <w:color w:val="auto"/>
        </w:rPr>
      </w:pPr>
    </w:p>
    <w:p>
      <w:pPr>
        <w:ind w:left="120" w:right="100" w:firstLine="551"/>
        <w:spacing w:after="0" w:line="272" w:lineRule="auto"/>
        <w:rPr>
          <w:sz w:val="20"/>
          <w:szCs w:val="20"/>
          <w:color w:val="auto"/>
        </w:rPr>
      </w:pPr>
      <w:r>
        <w:rPr>
          <w:rFonts w:ascii="Arial" w:cs="Arial" w:eastAsia="Arial" w:hAnsi="Arial"/>
          <w:sz w:val="19"/>
          <w:szCs w:val="19"/>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(which was licensed to OncXerna in January 2020) and our etigilimab product candidate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 patent and patent applications for setrusumab are subject to a license agreement with Ultragenyx from January 2021. There is no assurance that our pending patent</w:t>
      </w:r>
    </w:p>
    <w:p>
      <w:pPr>
        <w:sectPr>
          <w:pgSz w:w="11900" w:h="16838" w:orient="portrait"/>
          <w:cols w:equalWidth="0" w:num="1">
            <w:col w:w="11120"/>
          </w:cols>
          <w:pgMar w:left="320" w:top="486" w:right="459" w:bottom="1440" w:gutter="0" w:footer="0" w:header="0"/>
        </w:sectPr>
      </w:pP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120"/>
          </w:cols>
          <w:pgMar w:left="320" w:top="486"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
        <w:spacing w:after="0" w:line="238" w:lineRule="auto"/>
        <w:rPr>
          <w:sz w:val="20"/>
          <w:szCs w:val="20"/>
          <w:color w:val="auto"/>
        </w:rPr>
      </w:pPr>
      <w:r>
        <w:rPr>
          <w:rFonts w:ascii="Arial" w:cs="Arial" w:eastAsia="Arial" w:hAnsi="Arial"/>
          <w:sz w:val="22"/>
          <w:szCs w:val="22"/>
          <w:color w:val="auto"/>
        </w:rPr>
        <w:t>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185"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21"/>
          <w:szCs w:val="21"/>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8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21"/>
          <w:szCs w:val="21"/>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 issued from such patent applications, and then only to the extent the issued claims cover the technology.</w:t>
      </w:r>
    </w:p>
    <w:p>
      <w:pPr>
        <w:spacing w:after="0" w:line="181" w:lineRule="exact"/>
        <w:rPr>
          <w:sz w:val="20"/>
          <w:szCs w:val="20"/>
          <w:color w:val="auto"/>
        </w:rPr>
      </w:pPr>
    </w:p>
    <w:p>
      <w:pPr>
        <w:ind w:left="120" w:firstLine="551"/>
        <w:spacing w:after="0" w:line="274" w:lineRule="auto"/>
        <w:rPr>
          <w:sz w:val="20"/>
          <w:szCs w:val="20"/>
          <w:color w:val="auto"/>
        </w:rPr>
      </w:pPr>
      <w:r>
        <w:rPr>
          <w:rFonts w:ascii="Arial" w:cs="Arial" w:eastAsia="Arial" w:hAnsi="Arial"/>
          <w:sz w:val="19"/>
          <w:szCs w:val="19"/>
          <w:color w:val="auto"/>
        </w:rPr>
        <w:t>Because patent applications are confidential for a period of time after filing, and some remain so until issued, we cannot be certain that we or our licensors were the first to file any patent application related to our product candidates. Furthermore, in the United States, if third parties have filed such patent applications on or before March 15, 2013, the date on which the United States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58" w:lineRule="exact"/>
        <w:rPr>
          <w:sz w:val="20"/>
          <w:szCs w:val="20"/>
          <w:color w:val="auto"/>
        </w:rPr>
      </w:pPr>
    </w:p>
    <w:p>
      <w:pPr>
        <w:ind w:left="120" w:right="60"/>
        <w:spacing w:after="0" w:line="250" w:lineRule="auto"/>
        <w:rPr>
          <w:sz w:val="20"/>
          <w:szCs w:val="20"/>
          <w:color w:val="auto"/>
        </w:rPr>
      </w:pPr>
      <w:r>
        <w:rPr>
          <w:rFonts w:ascii="Arial" w:cs="Arial" w:eastAsia="Arial" w:hAnsi="Arial"/>
          <w:sz w:val="22"/>
          <w:szCs w:val="22"/>
          <w:b w:val="1"/>
          <w:bCs w:val="1"/>
          <w:i w:val="1"/>
          <w:iCs w:val="1"/>
          <w:color w:val="auto"/>
        </w:rPr>
        <w:t>We enjoy only limited geographical protection with respect to certain patents and may not be able to protect our intellectual property rights throughout the world.</w:t>
      </w:r>
    </w:p>
    <w:p>
      <w:pPr>
        <w:spacing w:after="0" w:line="17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21"/>
          <w:szCs w:val="21"/>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United States or Europe. These product candidates may compete with our product candidates, and our and our licensors’ patents or other intellectual property rights may not be effective or sufficient to prevent them from competing.</w:t>
      </w:r>
    </w:p>
    <w:p>
      <w:pPr>
        <w:spacing w:after="0" w:line="184" w:lineRule="exact"/>
        <w:rPr>
          <w:sz w:val="20"/>
          <w:szCs w:val="20"/>
          <w:color w:val="auto"/>
        </w:rPr>
      </w:pPr>
    </w:p>
    <w:p>
      <w:pPr>
        <w:ind w:left="120" w:right="180" w:firstLine="551"/>
        <w:spacing w:after="0" w:line="279" w:lineRule="auto"/>
        <w:rPr>
          <w:sz w:val="20"/>
          <w:szCs w:val="20"/>
          <w:color w:val="auto"/>
        </w:rPr>
      </w:pPr>
      <w:r>
        <w:rPr>
          <w:rFonts w:ascii="Arial" w:cs="Arial" w:eastAsia="Arial" w:hAnsi="Arial"/>
          <w:sz w:val="19"/>
          <w:szCs w:val="19"/>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ectPr>
          <w:pgSz w:w="11900" w:h="16838" w:orient="portrait"/>
          <w:cols w:equalWidth="0" w:num="1">
            <w:col w:w="11120"/>
          </w:cols>
          <w:pgMar w:left="320" w:top="486" w:right="459" w:bottom="1440" w:gutter="0" w:footer="0" w:header="0"/>
        </w:sectPr>
      </w:pP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120"/>
          </w:cols>
          <w:pgMar w:left="320" w:top="486" w:right="4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70" w:lineRule="auto"/>
        <w:rPr>
          <w:sz w:val="20"/>
          <w:szCs w:val="20"/>
          <w:color w:val="auto"/>
        </w:rPr>
      </w:pPr>
      <w:r>
        <w:rPr>
          <w:rFonts w:ascii="Arial" w:cs="Arial" w:eastAsia="Arial" w:hAnsi="Arial"/>
          <w:sz w:val="19"/>
          <w:szCs w:val="19"/>
          <w:color w:val="auto"/>
        </w:rPr>
        <w:t>The laws of some jurisdictions do not protect intellectual property rights to the same extent as the laws or rules and regulations in the United States, United Kingdom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6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22"/>
          <w:szCs w:val="22"/>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87" w:lineRule="exact"/>
        <w:rPr>
          <w:sz w:val="20"/>
          <w:szCs w:val="20"/>
          <w:color w:val="auto"/>
        </w:rPr>
      </w:pPr>
    </w:p>
    <w:p>
      <w:pPr>
        <w:ind w:left="120" w:right="100"/>
        <w:spacing w:after="0" w:line="250" w:lineRule="auto"/>
        <w:rPr>
          <w:sz w:val="20"/>
          <w:szCs w:val="20"/>
          <w:color w:val="auto"/>
        </w:rPr>
      </w:pPr>
      <w:r>
        <w:rPr>
          <w:rFonts w:ascii="Arial" w:cs="Arial" w:eastAsia="Arial" w:hAnsi="Arial"/>
          <w:sz w:val="22"/>
          <w:szCs w:val="22"/>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175" w:lineRule="exact"/>
        <w:rPr>
          <w:sz w:val="20"/>
          <w:szCs w:val="20"/>
          <w:color w:val="auto"/>
        </w:rPr>
      </w:pPr>
    </w:p>
    <w:p>
      <w:pPr>
        <w:ind w:left="120" w:right="440" w:firstLine="551"/>
        <w:spacing w:after="0"/>
        <w:rPr>
          <w:sz w:val="20"/>
          <w:szCs w:val="20"/>
          <w:color w:val="auto"/>
        </w:rPr>
      </w:pPr>
      <w:r>
        <w:rPr>
          <w:rFonts w:ascii="Arial" w:cs="Arial" w:eastAsia="Arial" w:hAnsi="Arial"/>
          <w:sz w:val="22"/>
          <w:szCs w:val="22"/>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2" w:lineRule="exact"/>
        <w:rPr>
          <w:sz w:val="20"/>
          <w:szCs w:val="20"/>
          <w:color w:val="auto"/>
        </w:rPr>
      </w:pPr>
    </w:p>
    <w:p>
      <w:pPr>
        <w:ind w:left="1420" w:right="40" w:hanging="535"/>
        <w:spacing w:after="0" w:line="250" w:lineRule="auto"/>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others may be able to make compounds that are the same as or similar to our product candidates but that are not covered by the claims of the patents that we own or have exclusively licensed;</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patents of third parties may impair our ability to develop or commercialize our product candidates;</w:t>
      </w:r>
    </w:p>
    <w:p>
      <w:pPr>
        <w:spacing w:after="0" w:line="123" w:lineRule="exact"/>
        <w:rPr>
          <w:rFonts w:ascii="Arial" w:cs="Arial" w:eastAsia="Arial" w:hAnsi="Arial"/>
          <w:sz w:val="21"/>
          <w:szCs w:val="21"/>
          <w:color w:val="auto"/>
        </w:rPr>
      </w:pPr>
    </w:p>
    <w:p>
      <w:pPr>
        <w:ind w:left="1420" w:right="60" w:hanging="535"/>
        <w:spacing w:after="0" w:line="250" w:lineRule="auto"/>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patents of third parties may be extended beyond the expected patent term and thus may impair our ability to develop or commercialize our product candidates;</w:t>
      </w:r>
    </w:p>
    <w:p>
      <w:pPr>
        <w:spacing w:after="0" w:line="80" w:lineRule="exact"/>
        <w:rPr>
          <w:rFonts w:ascii="Arial" w:cs="Arial" w:eastAsia="Arial" w:hAnsi="Arial"/>
          <w:sz w:val="22"/>
          <w:szCs w:val="22"/>
          <w:color w:val="auto"/>
        </w:rPr>
      </w:pPr>
    </w:p>
    <w:p>
      <w:pPr>
        <w:ind w:left="1420" w:right="240" w:hanging="535"/>
        <w:spacing w:after="0"/>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91" w:lineRule="exact"/>
        <w:rPr>
          <w:rFonts w:ascii="Arial" w:cs="Arial" w:eastAsia="Arial" w:hAnsi="Arial"/>
          <w:sz w:val="22"/>
          <w:szCs w:val="22"/>
          <w:color w:val="auto"/>
        </w:rPr>
      </w:pPr>
    </w:p>
    <w:p>
      <w:pPr>
        <w:jc w:val="both"/>
        <w:ind w:left="1420" w:right="140" w:hanging="535"/>
        <w:spacing w:after="0"/>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91" w:lineRule="exact"/>
        <w:rPr>
          <w:rFonts w:ascii="Arial" w:cs="Arial" w:eastAsia="Arial" w:hAnsi="Arial"/>
          <w:sz w:val="22"/>
          <w:szCs w:val="22"/>
          <w:color w:val="auto"/>
        </w:rPr>
      </w:pPr>
    </w:p>
    <w:p>
      <w:pPr>
        <w:ind w:left="1420" w:right="500" w:hanging="535"/>
        <w:spacing w:after="0" w:line="250" w:lineRule="auto"/>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it is possible that the pending patent applications that we own or have exclusively licensed may not lead to issued patents;</w:t>
      </w:r>
    </w:p>
    <w:p>
      <w:pPr>
        <w:spacing w:after="0" w:line="80" w:lineRule="exact"/>
        <w:rPr>
          <w:rFonts w:ascii="Arial" w:cs="Arial" w:eastAsia="Arial" w:hAnsi="Arial"/>
          <w:sz w:val="22"/>
          <w:szCs w:val="22"/>
          <w:color w:val="auto"/>
        </w:rPr>
      </w:pPr>
    </w:p>
    <w:p>
      <w:pPr>
        <w:ind w:left="1420" w:right="80" w:hanging="535"/>
        <w:spacing w:after="0" w:line="274" w:lineRule="auto"/>
        <w:tabs>
          <w:tab w:leader="none" w:pos="1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issued patents that we own or have exclusively licensed may not provide us with any competitive advantage, or may be held invalid or unenforceable, as a result of legal challenges by our competitors;</w:t>
      </w:r>
    </w:p>
    <w:p>
      <w:pPr>
        <w:spacing w:after="0" w:line="56" w:lineRule="exact"/>
        <w:rPr>
          <w:rFonts w:ascii="Arial" w:cs="Arial" w:eastAsia="Arial" w:hAnsi="Arial"/>
          <w:sz w:val="21"/>
          <w:szCs w:val="21"/>
          <w:color w:val="auto"/>
        </w:rPr>
      </w:pPr>
    </w:p>
    <w:p>
      <w:pPr>
        <w:ind w:left="1420" w:right="40" w:hanging="535"/>
        <w:spacing w:after="0"/>
        <w:tabs>
          <w:tab w:leader="none" w:pos="14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120"/>
          </w:cols>
          <w:pgMar w:left="320" w:top="486"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560" w:hanging="535"/>
        <w:spacing w:after="0" w:line="250" w:lineRule="auto"/>
        <w:tabs>
          <w:tab w:leader="none" w:pos="1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others may independently develop similar or alternative technologies or duplicate any of our technologies without infringing our intellectual property rights;</w:t>
      </w:r>
    </w:p>
    <w:p>
      <w:pPr>
        <w:spacing w:after="0" w:line="80" w:lineRule="exact"/>
        <w:rPr>
          <w:rFonts w:ascii="Arial" w:cs="Arial" w:eastAsia="Arial" w:hAnsi="Arial"/>
          <w:sz w:val="22"/>
          <w:szCs w:val="22"/>
          <w:color w:val="auto"/>
        </w:rPr>
      </w:pPr>
    </w:p>
    <w:p>
      <w:pPr>
        <w:ind w:left="1420" w:right="200" w:hanging="535"/>
        <w:spacing w:after="0"/>
        <w:tabs>
          <w:tab w:leader="none" w:pos="1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91" w:lineRule="exact"/>
        <w:rPr>
          <w:rFonts w:ascii="Arial" w:cs="Arial" w:eastAsia="Arial" w:hAnsi="Arial"/>
          <w:sz w:val="22"/>
          <w:szCs w:val="22"/>
          <w:color w:val="auto"/>
        </w:rPr>
      </w:pPr>
    </w:p>
    <w:p>
      <w:pPr>
        <w:ind w:left="1420" w:right="300" w:hanging="535"/>
        <w:spacing w:after="0" w:line="250" w:lineRule="auto"/>
        <w:tabs>
          <w:tab w:leader="none" w:pos="1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others performing manufacturing or testing for us using our product candidates or technologies could use the intellectual property of others without obtaining a proper license;</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our or our licensors’ inventions or technologies may be found to be not patentable; and</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we may not develop additional technologies that are patentable.</w:t>
      </w:r>
    </w:p>
    <w:p>
      <w:pPr>
        <w:spacing w:after="0" w:line="206" w:lineRule="exact"/>
        <w:rPr>
          <w:sz w:val="20"/>
          <w:szCs w:val="20"/>
          <w:color w:val="auto"/>
        </w:rPr>
      </w:pPr>
    </w:p>
    <w:p>
      <w:pPr>
        <w:ind w:left="120" w:right="280"/>
        <w:spacing w:after="0" w:line="238" w:lineRule="auto"/>
        <w:rPr>
          <w:sz w:val="20"/>
          <w:szCs w:val="20"/>
          <w:color w:val="auto"/>
        </w:rPr>
      </w:pPr>
      <w:r>
        <w:rPr>
          <w:rFonts w:ascii="Arial" w:cs="Arial" w:eastAsia="Arial" w:hAnsi="Arial"/>
          <w:sz w:val="22"/>
          <w:szCs w:val="22"/>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85" w:lineRule="exact"/>
        <w:rPr>
          <w:sz w:val="20"/>
          <w:szCs w:val="20"/>
          <w:color w:val="auto"/>
        </w:rPr>
      </w:pPr>
    </w:p>
    <w:p>
      <w:pPr>
        <w:ind w:left="120" w:firstLine="551"/>
        <w:spacing w:after="0" w:line="243" w:lineRule="auto"/>
        <w:rPr>
          <w:sz w:val="20"/>
          <w:szCs w:val="20"/>
          <w:color w:val="auto"/>
        </w:rPr>
      </w:pPr>
      <w:r>
        <w:rPr>
          <w:rFonts w:ascii="Arial" w:cs="Arial" w:eastAsia="Arial" w:hAnsi="Arial"/>
          <w:sz w:val="21"/>
          <w:szCs w:val="21"/>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194" w:lineRule="exact"/>
        <w:rPr>
          <w:sz w:val="20"/>
          <w:szCs w:val="20"/>
          <w:color w:val="auto"/>
        </w:rPr>
      </w:pPr>
    </w:p>
    <w:p>
      <w:pPr>
        <w:ind w:left="120" w:right="20" w:firstLine="551"/>
        <w:spacing w:after="0" w:line="270" w:lineRule="auto"/>
        <w:rPr>
          <w:sz w:val="20"/>
          <w:szCs w:val="20"/>
          <w:color w:val="auto"/>
        </w:rPr>
      </w:pPr>
      <w:r>
        <w:rPr>
          <w:rFonts w:ascii="Arial" w:cs="Arial" w:eastAsia="Arial" w:hAnsi="Arial"/>
          <w:sz w:val="19"/>
          <w:szCs w:val="19"/>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(“EPO”), containing claims that appear to cover the use of etigilimab in the treatment of cancer. The patent owner could assert such patent against us, which could present the foregoing risks and impose limitations in our ability to develop, manufacture or sell etigilimab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 As a further example of the foregoing risks, we are monitoring third party patent families of potential interest to the setrusumab product because the claims recite functionally defined anti-sclerostin antibodies and we do not know the scope or relevance, if any, of some of these functional characteristics with respect to setrusumab.</w:t>
      </w:r>
    </w:p>
    <w:p>
      <w:pPr>
        <w:sectPr>
          <w:pgSz w:w="11900" w:h="16838" w:orient="portrait"/>
          <w:cols w:equalWidth="0" w:num="1">
            <w:col w:w="11120"/>
          </w:cols>
          <w:pgMar w:left="320" w:top="486" w:right="459" w:bottom="1440" w:gutter="0" w:footer="0" w:header="0"/>
        </w:sect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120"/>
          </w:cols>
          <w:pgMar w:left="320" w:top="486" w:right="4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9"/>
          <w:szCs w:val="19"/>
          <w:color w:val="auto"/>
        </w:rPr>
        <w:t>Any of our patents may be challenged, narrowed, circumvented, or invalidated by third parties. The issuance of a patent is not conclusive as to its inventorship, scope, validity, or enforceability, and our patents may be challenged in the courts or patent offices in the United States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us, even if the eventual outcome is favorable to us.</w:t>
      </w:r>
    </w:p>
    <w:p>
      <w:pPr>
        <w:spacing w:after="0" w:line="164"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9"/>
          <w:szCs w:val="19"/>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61" w:lineRule="exact"/>
        <w:rPr>
          <w:sz w:val="20"/>
          <w:szCs w:val="20"/>
          <w:color w:val="auto"/>
        </w:rPr>
      </w:pPr>
    </w:p>
    <w:p>
      <w:pPr>
        <w:ind w:left="120" w:firstLine="551"/>
        <w:spacing w:after="0" w:line="270" w:lineRule="auto"/>
        <w:rPr>
          <w:sz w:val="20"/>
          <w:szCs w:val="20"/>
          <w:color w:val="auto"/>
        </w:rPr>
      </w:pPr>
      <w:r>
        <w:rPr>
          <w:rFonts w:ascii="Arial" w:cs="Arial" w:eastAsia="Arial" w:hAnsi="Arial"/>
          <w:sz w:val="19"/>
          <w:szCs w:val="19"/>
          <w:color w:val="auto"/>
        </w:rPr>
        <w:t>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200" w:lineRule="exact"/>
        <w:rPr>
          <w:sz w:val="20"/>
          <w:szCs w:val="20"/>
          <w:color w:val="auto"/>
        </w:rPr>
      </w:pPr>
    </w:p>
    <w:p>
      <w:pPr>
        <w:spacing w:after="0" w:line="206" w:lineRule="exact"/>
        <w:rPr>
          <w:sz w:val="20"/>
          <w:szCs w:val="20"/>
          <w:color w:val="auto"/>
        </w:rPr>
      </w:pPr>
    </w:p>
    <w:p>
      <w:pPr>
        <w:ind w:left="120" w:right="40" w:firstLine="551"/>
        <w:spacing w:after="0" w:line="272" w:lineRule="auto"/>
        <w:rPr>
          <w:sz w:val="20"/>
          <w:szCs w:val="20"/>
          <w:color w:val="auto"/>
        </w:rPr>
      </w:pPr>
      <w:r>
        <w:rPr>
          <w:rFonts w:ascii="Arial" w:cs="Arial" w:eastAsia="Arial" w:hAnsi="Arial"/>
          <w:sz w:val="19"/>
          <w:szCs w:val="19"/>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ectPr>
          <w:pgSz w:w="11900" w:h="16838" w:orient="portrait"/>
          <w:cols w:equalWidth="0" w:num="1">
            <w:col w:w="11140"/>
          </w:cols>
          <w:pgMar w:left="320" w:top="486" w:right="439" w:bottom="169" w:gutter="0" w:footer="0" w:header="0"/>
        </w:sectPr>
      </w:pP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140"/>
          </w:cols>
          <w:pgMar w:left="320" w:top="486" w:right="439" w:bottom="169"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 w:firstLine="551"/>
        <w:spacing w:after="0" w:line="273" w:lineRule="auto"/>
        <w:rPr>
          <w:sz w:val="20"/>
          <w:szCs w:val="20"/>
          <w:color w:val="auto"/>
        </w:rPr>
      </w:pPr>
      <w:r>
        <w:rPr>
          <w:rFonts w:ascii="Arial" w:cs="Arial" w:eastAsia="Arial" w:hAnsi="Arial"/>
          <w:sz w:val="19"/>
          <w:szCs w:val="19"/>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pacing w:after="0" w:line="155" w:lineRule="exact"/>
        <w:rPr>
          <w:sz w:val="20"/>
          <w:szCs w:val="20"/>
          <w:color w:val="auto"/>
        </w:rPr>
      </w:pPr>
    </w:p>
    <w:p>
      <w:pPr>
        <w:ind w:left="120" w:right="240"/>
        <w:spacing w:after="0" w:line="328" w:lineRule="auto"/>
        <w:rPr>
          <w:sz w:val="20"/>
          <w:szCs w:val="20"/>
          <w:color w:val="auto"/>
        </w:rPr>
      </w:pPr>
      <w:r>
        <w:rPr>
          <w:rFonts w:ascii="Arial" w:cs="Arial" w:eastAsia="Arial" w:hAnsi="Arial"/>
          <w:sz w:val="19"/>
          <w:szCs w:val="19"/>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105" w:lineRule="exact"/>
        <w:rPr>
          <w:sz w:val="20"/>
          <w:szCs w:val="20"/>
          <w:color w:val="auto"/>
        </w:rPr>
      </w:pPr>
    </w:p>
    <w:p>
      <w:pPr>
        <w:ind w:left="120" w:firstLine="551"/>
        <w:spacing w:after="0" w:line="269" w:lineRule="auto"/>
        <w:rPr>
          <w:sz w:val="20"/>
          <w:szCs w:val="20"/>
          <w:color w:val="auto"/>
        </w:rPr>
      </w:pPr>
      <w:r>
        <w:rPr>
          <w:rFonts w:ascii="Arial" w:cs="Arial" w:eastAsia="Arial" w:hAnsi="Arial"/>
          <w:sz w:val="19"/>
          <w:szCs w:val="19"/>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200" w:lineRule="exact"/>
        <w:rPr>
          <w:sz w:val="20"/>
          <w:szCs w:val="20"/>
          <w:color w:val="auto"/>
        </w:rPr>
      </w:pPr>
    </w:p>
    <w:p>
      <w:pPr>
        <w:spacing w:after="0" w:line="217" w:lineRule="exact"/>
        <w:rPr>
          <w:sz w:val="20"/>
          <w:szCs w:val="20"/>
          <w:color w:val="auto"/>
        </w:rPr>
      </w:pPr>
    </w:p>
    <w:p>
      <w:pPr>
        <w:ind w:left="120" w:right="140"/>
        <w:spacing w:after="0" w:line="359"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83"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9"/>
          <w:szCs w:val="19"/>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In addition, we are party to agreements with OncXerna and Ultragenyx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57" w:lineRule="exact"/>
        <w:rPr>
          <w:sz w:val="20"/>
          <w:szCs w:val="20"/>
          <w:color w:val="auto"/>
        </w:rPr>
      </w:pPr>
    </w:p>
    <w:p>
      <w:pPr>
        <w:ind w:left="120" w:right="1020"/>
        <w:spacing w:after="0" w:line="328" w:lineRule="auto"/>
        <w:rPr>
          <w:sz w:val="20"/>
          <w:szCs w:val="20"/>
          <w:color w:val="auto"/>
        </w:rPr>
      </w:pPr>
      <w:r>
        <w:rPr>
          <w:rFonts w:ascii="Arial" w:cs="Arial" w:eastAsia="Arial" w:hAnsi="Arial"/>
          <w:sz w:val="19"/>
          <w:szCs w:val="19"/>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105" w:lineRule="exact"/>
        <w:rPr>
          <w:sz w:val="20"/>
          <w:szCs w:val="20"/>
          <w:color w:val="auto"/>
        </w:rPr>
      </w:pPr>
    </w:p>
    <w:p>
      <w:pPr>
        <w:ind w:left="120" w:right="120" w:firstLine="551"/>
        <w:spacing w:after="0" w:line="297" w:lineRule="auto"/>
        <w:rPr>
          <w:sz w:val="20"/>
          <w:szCs w:val="20"/>
          <w:color w:val="auto"/>
        </w:rPr>
      </w:pPr>
      <w:r>
        <w:rPr>
          <w:rFonts w:ascii="Arial" w:cs="Arial" w:eastAsia="Arial" w:hAnsi="Arial"/>
          <w:sz w:val="19"/>
          <w:szCs w:val="19"/>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w:t>
      </w:r>
    </w:p>
    <w:p>
      <w:pPr>
        <w:sectPr>
          <w:pgSz w:w="11900" w:h="16838" w:orient="portrait"/>
          <w:cols w:equalWidth="0" w:num="1">
            <w:col w:w="11120"/>
          </w:cols>
          <w:pgMar w:left="320" w:top="486" w:right="459" w:bottom="1440" w:gutter="0" w:footer="0" w:header="0"/>
        </w:sectPr>
      </w:pPr>
    </w:p>
    <w:p>
      <w:pPr>
        <w:spacing w:after="0" w:line="6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120"/>
          </w:cols>
          <w:pgMar w:left="320" w:top="486" w:right="4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60"/>
        <w:spacing w:after="0" w:line="275" w:lineRule="auto"/>
        <w:rPr>
          <w:sz w:val="20"/>
          <w:szCs w:val="20"/>
          <w:color w:val="auto"/>
        </w:rPr>
      </w:pPr>
      <w:r>
        <w:rPr>
          <w:rFonts w:ascii="Arial" w:cs="Arial" w:eastAsia="Arial" w:hAnsi="Arial"/>
          <w:sz w:val="19"/>
          <w:szCs w:val="19"/>
          <w:color w:val="auto"/>
        </w:rPr>
        <w:t>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5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21"/>
          <w:szCs w:val="21"/>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4" w:lineRule="exact"/>
        <w:rPr>
          <w:sz w:val="20"/>
          <w:szCs w:val="20"/>
          <w:color w:val="auto"/>
        </w:rPr>
      </w:pPr>
    </w:p>
    <w:p>
      <w:pPr>
        <w:ind w:left="120" w:right="40"/>
        <w:spacing w:after="0"/>
        <w:rPr>
          <w:sz w:val="20"/>
          <w:szCs w:val="20"/>
          <w:color w:val="auto"/>
        </w:rPr>
      </w:pPr>
      <w:r>
        <w:rPr>
          <w:rFonts w:ascii="Arial" w:cs="Arial" w:eastAsia="Arial" w:hAnsi="Arial"/>
          <w:sz w:val="22"/>
          <w:szCs w:val="2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6"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9"/>
          <w:szCs w:val="19"/>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We may be subject to claims challenging the inventorship of our patents and other intellectual property.</w:t>
      </w:r>
    </w:p>
    <w:p>
      <w:pPr>
        <w:spacing w:after="0" w:line="206" w:lineRule="exact"/>
        <w:rPr>
          <w:sz w:val="20"/>
          <w:szCs w:val="20"/>
          <w:color w:val="auto"/>
        </w:rPr>
      </w:pPr>
    </w:p>
    <w:p>
      <w:pPr>
        <w:ind w:left="120" w:right="40" w:firstLine="551"/>
        <w:spacing w:after="0" w:line="272" w:lineRule="auto"/>
        <w:rPr>
          <w:sz w:val="20"/>
          <w:szCs w:val="20"/>
          <w:color w:val="auto"/>
        </w:rPr>
      </w:pPr>
      <w:r>
        <w:rPr>
          <w:rFonts w:ascii="Arial" w:cs="Arial" w:eastAsia="Arial" w:hAnsi="Arial"/>
          <w:sz w:val="19"/>
          <w:szCs w:val="19"/>
          <w:color w:val="auto"/>
        </w:rPr>
        <w:t>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61" w:lineRule="exact"/>
        <w:rPr>
          <w:sz w:val="20"/>
          <w:szCs w:val="20"/>
          <w:color w:val="auto"/>
        </w:rPr>
      </w:pPr>
    </w:p>
    <w:p>
      <w:pPr>
        <w:ind w:left="120"/>
        <w:spacing w:after="0" w:line="250" w:lineRule="auto"/>
        <w:rPr>
          <w:sz w:val="20"/>
          <w:szCs w:val="20"/>
          <w:color w:val="auto"/>
        </w:rPr>
      </w:pPr>
      <w:r>
        <w:rPr>
          <w:rFonts w:ascii="Arial" w:cs="Arial" w:eastAsia="Arial" w:hAnsi="Arial"/>
          <w:sz w:val="22"/>
          <w:szCs w:val="22"/>
          <w:b w:val="1"/>
          <w:bCs w:val="1"/>
          <w:i w:val="1"/>
          <w:iCs w:val="1"/>
          <w:color w:val="auto"/>
        </w:rPr>
        <w:t>Changes in patent laws or patent jurisprudence could diminish the value of patents in general, thereby impairing our ability to protect our product candidates.</w:t>
      </w:r>
    </w:p>
    <w:p>
      <w:pPr>
        <w:spacing w:after="0" w:line="175" w:lineRule="exact"/>
        <w:rPr>
          <w:sz w:val="20"/>
          <w:szCs w:val="20"/>
          <w:color w:val="auto"/>
        </w:rPr>
      </w:pPr>
    </w:p>
    <w:p>
      <w:pPr>
        <w:ind w:left="120" w:right="140" w:firstLine="551"/>
        <w:spacing w:after="0" w:line="282" w:lineRule="auto"/>
        <w:rPr>
          <w:sz w:val="20"/>
          <w:szCs w:val="20"/>
          <w:color w:val="auto"/>
        </w:rPr>
      </w:pPr>
      <w:r>
        <w:rPr>
          <w:rFonts w:ascii="Arial" w:cs="Arial" w:eastAsia="Arial" w:hAnsi="Arial"/>
          <w:sz w:val="19"/>
          <w:szCs w:val="19"/>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ectPr>
          <w:pgSz w:w="11900" w:h="16838" w:orient="portrait"/>
          <w:cols w:equalWidth="0" w:num="1">
            <w:col w:w="11120"/>
          </w:cols>
          <w:pgMar w:left="320" w:top="486" w:right="459" w:bottom="1440" w:gutter="0" w:footer="0" w:header="0"/>
        </w:sectPr>
      </w:pP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120"/>
          </w:cols>
          <w:pgMar w:left="320" w:top="486" w:right="4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40" w:firstLine="551"/>
        <w:spacing w:after="0" w:line="279" w:lineRule="auto"/>
        <w:rPr>
          <w:sz w:val="20"/>
          <w:szCs w:val="20"/>
          <w:color w:val="auto"/>
        </w:rPr>
      </w:pPr>
      <w:r>
        <w:rPr>
          <w:rFonts w:ascii="Arial" w:cs="Arial" w:eastAsia="Arial" w:hAnsi="Arial"/>
          <w:sz w:val="19"/>
          <w:szCs w:val="19"/>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50" w:lineRule="exact"/>
        <w:rPr>
          <w:sz w:val="20"/>
          <w:szCs w:val="20"/>
          <w:color w:val="auto"/>
        </w:rPr>
      </w:pPr>
    </w:p>
    <w:p>
      <w:pPr>
        <w:ind w:left="120" w:right="300" w:firstLine="551"/>
        <w:spacing w:after="0" w:line="279" w:lineRule="auto"/>
        <w:rPr>
          <w:sz w:val="20"/>
          <w:szCs w:val="20"/>
          <w:color w:val="auto"/>
        </w:rPr>
      </w:pPr>
      <w:r>
        <w:rPr>
          <w:rFonts w:ascii="Arial" w:cs="Arial" w:eastAsia="Arial" w:hAnsi="Arial"/>
          <w:sz w:val="19"/>
          <w:szCs w:val="19"/>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50"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22"/>
          <w:szCs w:val="22"/>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87" w:lineRule="exact"/>
        <w:rPr>
          <w:sz w:val="20"/>
          <w:szCs w:val="20"/>
          <w:color w:val="auto"/>
        </w:rPr>
      </w:pPr>
    </w:p>
    <w:p>
      <w:pPr>
        <w:ind w:left="120" w:firstLine="551"/>
        <w:spacing w:after="0" w:line="274" w:lineRule="auto"/>
        <w:rPr>
          <w:sz w:val="20"/>
          <w:szCs w:val="20"/>
          <w:color w:val="auto"/>
        </w:rPr>
      </w:pPr>
      <w:r>
        <w:rPr>
          <w:rFonts w:ascii="Arial" w:cs="Arial" w:eastAsia="Arial" w:hAnsi="Arial"/>
          <w:sz w:val="19"/>
          <w:szCs w:val="19"/>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58" w:lineRule="exact"/>
        <w:rPr>
          <w:sz w:val="20"/>
          <w:szCs w:val="20"/>
          <w:color w:val="auto"/>
        </w:rPr>
      </w:pPr>
    </w:p>
    <w:p>
      <w:pPr>
        <w:ind w:left="120" w:right="320"/>
        <w:spacing w:after="0" w:line="328" w:lineRule="auto"/>
        <w:rPr>
          <w:sz w:val="20"/>
          <w:szCs w:val="20"/>
          <w:color w:val="auto"/>
        </w:rPr>
      </w:pPr>
      <w:r>
        <w:rPr>
          <w:rFonts w:ascii="Arial" w:cs="Arial" w:eastAsia="Arial" w:hAnsi="Arial"/>
          <w:sz w:val="19"/>
          <w:szCs w:val="19"/>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105" w:lineRule="exact"/>
        <w:rPr>
          <w:sz w:val="20"/>
          <w:szCs w:val="20"/>
          <w:color w:val="auto"/>
        </w:rPr>
      </w:pPr>
    </w:p>
    <w:p>
      <w:pPr>
        <w:ind w:left="120" w:right="60" w:firstLine="551"/>
        <w:spacing w:after="0" w:line="272" w:lineRule="auto"/>
        <w:rPr>
          <w:sz w:val="20"/>
          <w:szCs w:val="20"/>
          <w:color w:val="auto"/>
        </w:rPr>
      </w:pPr>
      <w:r>
        <w:rPr>
          <w:rFonts w:ascii="Arial" w:cs="Arial" w:eastAsia="Arial" w:hAnsi="Arial"/>
          <w:sz w:val="19"/>
          <w:szCs w:val="19"/>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156" w:lineRule="exact"/>
        <w:rPr>
          <w:sz w:val="20"/>
          <w:szCs w:val="20"/>
          <w:color w:val="auto"/>
        </w:rPr>
      </w:pPr>
    </w:p>
    <w:p>
      <w:pPr>
        <w:ind w:left="120" w:right="580"/>
        <w:spacing w:after="0" w:line="250" w:lineRule="auto"/>
        <w:rPr>
          <w:sz w:val="20"/>
          <w:szCs w:val="20"/>
          <w:color w:val="auto"/>
        </w:rPr>
      </w:pPr>
      <w:r>
        <w:rPr>
          <w:rFonts w:ascii="Arial" w:cs="Arial" w:eastAsia="Arial" w:hAnsi="Arial"/>
          <w:sz w:val="22"/>
          <w:szCs w:val="22"/>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17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21"/>
          <w:szCs w:val="21"/>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ectPr>
          <w:pgSz w:w="11900" w:h="16838" w:orient="portrait"/>
          <w:cols w:equalWidth="0" w:num="1">
            <w:col w:w="11140"/>
          </w:cols>
          <w:pgMar w:left="320" w:top="486" w:right="439" w:bottom="1440" w:gutter="0" w:footer="0" w:header="0"/>
        </w:sectPr>
      </w:pP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140"/>
          </w:cols>
          <w:pgMar w:left="320" w:top="486"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20"/>
        <w:spacing w:after="0" w:line="250" w:lineRule="auto"/>
        <w:rPr>
          <w:sz w:val="20"/>
          <w:szCs w:val="20"/>
          <w:color w:val="auto"/>
        </w:rPr>
      </w:pPr>
      <w:r>
        <w:rPr>
          <w:rFonts w:ascii="Arial" w:cs="Arial" w:eastAsia="Arial" w:hAnsi="Arial"/>
          <w:sz w:val="22"/>
          <w:szCs w:val="22"/>
          <w:b w:val="1"/>
          <w:bCs w:val="1"/>
          <w:i w:val="1"/>
          <w:iCs w:val="1"/>
          <w:color w:val="auto"/>
        </w:rPr>
        <w:t>If we are unable to protect the confidentiality of our trade secrets and know-how, our business and competitive position would be harmed.</w:t>
      </w:r>
    </w:p>
    <w:p>
      <w:pPr>
        <w:spacing w:after="0" w:line="175" w:lineRule="exact"/>
        <w:rPr>
          <w:sz w:val="20"/>
          <w:szCs w:val="20"/>
          <w:color w:val="auto"/>
        </w:rPr>
      </w:pPr>
    </w:p>
    <w:p>
      <w:pPr>
        <w:ind w:left="120" w:right="200" w:firstLine="551"/>
        <w:spacing w:after="0" w:line="252" w:lineRule="auto"/>
        <w:rPr>
          <w:sz w:val="20"/>
          <w:szCs w:val="20"/>
          <w:color w:val="auto"/>
        </w:rPr>
      </w:pPr>
      <w:r>
        <w:rPr>
          <w:rFonts w:ascii="Arial" w:cs="Arial" w:eastAsia="Arial" w:hAnsi="Arial"/>
          <w:sz w:val="21"/>
          <w:szCs w:val="21"/>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174"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9"/>
          <w:szCs w:val="19"/>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60" w:lineRule="exact"/>
        <w:rPr>
          <w:sz w:val="20"/>
          <w:szCs w:val="20"/>
          <w:color w:val="auto"/>
        </w:rPr>
      </w:pPr>
    </w:p>
    <w:p>
      <w:pPr>
        <w:ind w:left="120" w:right="180" w:firstLine="551"/>
        <w:spacing w:after="0" w:line="252" w:lineRule="auto"/>
        <w:rPr>
          <w:sz w:val="20"/>
          <w:szCs w:val="20"/>
          <w:color w:val="auto"/>
        </w:rPr>
      </w:pPr>
      <w:r>
        <w:rPr>
          <w:rFonts w:ascii="Arial" w:cs="Arial" w:eastAsia="Arial" w:hAnsi="Arial"/>
          <w:sz w:val="21"/>
          <w:szCs w:val="21"/>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74" w:lineRule="exact"/>
        <w:rPr>
          <w:sz w:val="20"/>
          <w:szCs w:val="20"/>
          <w:color w:val="auto"/>
        </w:rPr>
      </w:pPr>
    </w:p>
    <w:p>
      <w:pPr>
        <w:ind w:left="120" w:right="60"/>
        <w:spacing w:after="0" w:line="238" w:lineRule="auto"/>
        <w:rPr>
          <w:sz w:val="20"/>
          <w:szCs w:val="20"/>
          <w:color w:val="auto"/>
        </w:rPr>
      </w:pPr>
      <w:r>
        <w:rPr>
          <w:rFonts w:ascii="Arial" w:cs="Arial" w:eastAsia="Arial" w:hAnsi="Arial"/>
          <w:sz w:val="22"/>
          <w:szCs w:val="22"/>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185" w:lineRule="exact"/>
        <w:rPr>
          <w:sz w:val="20"/>
          <w:szCs w:val="20"/>
          <w:color w:val="auto"/>
        </w:rPr>
      </w:pPr>
    </w:p>
    <w:p>
      <w:pPr>
        <w:ind w:left="120" w:right="100" w:firstLine="551"/>
        <w:spacing w:after="0" w:line="277" w:lineRule="auto"/>
        <w:rPr>
          <w:sz w:val="20"/>
          <w:szCs w:val="20"/>
          <w:color w:val="auto"/>
        </w:rPr>
      </w:pPr>
      <w:r>
        <w:rPr>
          <w:rFonts w:ascii="Arial" w:cs="Arial" w:eastAsia="Arial" w:hAnsi="Arial"/>
          <w:sz w:val="19"/>
          <w:szCs w:val="19"/>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52" w:lineRule="exact"/>
        <w:rPr>
          <w:sz w:val="20"/>
          <w:szCs w:val="20"/>
          <w:color w:val="auto"/>
        </w:rPr>
      </w:pPr>
    </w:p>
    <w:p>
      <w:pPr>
        <w:ind w:left="120" w:firstLine="551"/>
        <w:spacing w:after="0" w:line="275" w:lineRule="auto"/>
        <w:rPr>
          <w:sz w:val="20"/>
          <w:szCs w:val="20"/>
          <w:color w:val="auto"/>
        </w:rPr>
      </w:pPr>
      <w:r>
        <w:rPr>
          <w:rFonts w:ascii="Arial" w:cs="Arial" w:eastAsia="Arial" w:hAnsi="Arial"/>
          <w:sz w:val="19"/>
          <w:szCs w:val="19"/>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proprietary information may be lost or we may suffer security breaches.</w:t>
      </w:r>
    </w:p>
    <w:p>
      <w:pPr>
        <w:spacing w:after="0" w:line="206" w:lineRule="exact"/>
        <w:rPr>
          <w:sz w:val="20"/>
          <w:szCs w:val="20"/>
          <w:color w:val="auto"/>
        </w:rPr>
      </w:pPr>
    </w:p>
    <w:p>
      <w:pPr>
        <w:jc w:val="both"/>
        <w:ind w:left="120" w:right="140" w:firstLine="551"/>
        <w:spacing w:after="0" w:line="287" w:lineRule="auto"/>
        <w:rPr>
          <w:sz w:val="20"/>
          <w:szCs w:val="20"/>
          <w:color w:val="auto"/>
        </w:rPr>
      </w:pPr>
      <w:r>
        <w:rPr>
          <w:rFonts w:ascii="Arial" w:cs="Arial" w:eastAsia="Arial" w:hAnsi="Arial"/>
          <w:sz w:val="19"/>
          <w:szCs w:val="19"/>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w:t>
      </w:r>
    </w:p>
    <w:p>
      <w:pPr>
        <w:sectPr>
          <w:pgSz w:w="11900" w:h="16838" w:orient="portrait"/>
          <w:cols w:equalWidth="0" w:num="1">
            <w:col w:w="11120"/>
          </w:cols>
          <w:pgMar w:left="320" w:top="486" w:right="459" w:bottom="1440" w:gutter="0" w:footer="0" w:header="0"/>
        </w:sectPr>
      </w:pP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120"/>
          </w:cols>
          <w:pgMar w:left="320" w:top="486" w:right="4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line="245" w:lineRule="auto"/>
        <w:rPr>
          <w:sz w:val="20"/>
          <w:szCs w:val="20"/>
          <w:color w:val="auto"/>
        </w:rPr>
      </w:pPr>
      <w:r>
        <w:rPr>
          <w:rFonts w:ascii="Arial" w:cs="Arial" w:eastAsia="Arial" w:hAnsi="Arial"/>
          <w:sz w:val="21"/>
          <w:szCs w:val="21"/>
          <w:color w:val="auto"/>
        </w:rPr>
        <w:t>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 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22"/>
          <w:szCs w:val="22"/>
          <w:color w:val="auto"/>
        </w:rPr>
        <w:t>In addition, in response to the COVID-19 pandemic, varying parts of our workforce may be required to work remotely on a part or full time basis. This could increase our cyber security risk, create data accessibility concerns, and make us more susceptible to communication disruptions. Any of the foregoing could have a material adverse effect on our business, financial condition, results of operations or prospects.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ADSs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trading price of our ADSs may be volatile, and you could lose all or part of your investment.</w:t>
      </w:r>
    </w:p>
    <w:p>
      <w:pPr>
        <w:spacing w:after="0" w:line="98"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21"/>
          <w:szCs w:val="21"/>
          <w:color w:val="auto"/>
        </w:rPr>
        <w:t>The trading price of our ADSs is likely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are expected to affect the market price of our ADSs include:</w:t>
      </w:r>
    </w:p>
    <w:p>
      <w:pPr>
        <w:spacing w:after="0" w:line="82" w:lineRule="exact"/>
        <w:rPr>
          <w:sz w:val="20"/>
          <w:szCs w:val="20"/>
          <w:color w:val="auto"/>
        </w:rPr>
      </w:pPr>
    </w:p>
    <w:p>
      <w:pPr>
        <w:ind w:left="1420" w:hanging="535"/>
        <w:spacing w:after="0"/>
        <w:tabs>
          <w:tab w:leader="none" w:pos="14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positive or negative results from, or delays in, testing or clinical trials conducted by our or our competitors;</w:t>
      </w:r>
    </w:p>
    <w:p>
      <w:pPr>
        <w:spacing w:after="0" w:line="146" w:lineRule="exact"/>
        <w:rPr>
          <w:rFonts w:ascii="Arial" w:cs="Arial" w:eastAsia="Arial" w:hAnsi="Arial"/>
          <w:sz w:val="19"/>
          <w:szCs w:val="19"/>
          <w:color w:val="auto"/>
        </w:rPr>
      </w:pPr>
    </w:p>
    <w:p>
      <w:pPr>
        <w:ind w:left="1420" w:right="140" w:hanging="535"/>
        <w:spacing w:after="0" w:line="328" w:lineRule="auto"/>
        <w:tabs>
          <w:tab w:leader="none" w:pos="142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delays in entering into strategic relationships with respect to development or commercialization of our product candidates or entry into strategic relationships on terms that are not deemed to be favorable to us;</w:t>
      </w:r>
    </w:p>
    <w:p>
      <w:pPr>
        <w:spacing w:after="0" w:line="10" w:lineRule="exact"/>
        <w:rPr>
          <w:rFonts w:ascii="Arial" w:cs="Arial" w:eastAsia="Arial" w:hAnsi="Arial"/>
          <w:sz w:val="19"/>
          <w:szCs w:val="19"/>
          <w:color w:val="auto"/>
        </w:rPr>
      </w:pPr>
    </w:p>
    <w:p>
      <w:pPr>
        <w:ind w:left="1420" w:hanging="535"/>
        <w:spacing w:after="0"/>
        <w:tabs>
          <w:tab w:leader="none" w:pos="14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technological innovations or commercial product introductions by us or competitors;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changes in government regulations;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developments concerning proprietary rights, including patents and litigation matters;</w:t>
      </w:r>
    </w:p>
    <w:p>
      <w:pPr>
        <w:spacing w:after="0" w:line="111" w:lineRule="exact"/>
        <w:rPr>
          <w:rFonts w:ascii="Arial" w:cs="Arial" w:eastAsia="Arial" w:hAnsi="Arial"/>
          <w:sz w:val="22"/>
          <w:szCs w:val="22"/>
          <w:color w:val="auto"/>
        </w:rPr>
      </w:pPr>
    </w:p>
    <w:p>
      <w:pPr>
        <w:ind w:left="1420" w:right="200" w:hanging="535"/>
        <w:spacing w:after="0" w:line="250" w:lineRule="auto"/>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impact of public health epidemics, such as the COVID-19 pandemic, and government efforts to slow their spread;</w:t>
      </w:r>
    </w:p>
    <w:p>
      <w:pPr>
        <w:spacing w:after="0" w:line="80" w:lineRule="exact"/>
        <w:rPr>
          <w:rFonts w:ascii="Arial" w:cs="Arial" w:eastAsia="Arial" w:hAnsi="Arial"/>
          <w:sz w:val="22"/>
          <w:szCs w:val="22"/>
          <w:color w:val="auto"/>
        </w:rPr>
      </w:pPr>
    </w:p>
    <w:p>
      <w:pPr>
        <w:ind w:left="1420" w:right="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economic, public health, financial or geopolitical events that affect us or the financial markets generally, including the duration and severity of the impact of the COVID-19 pandemic, the conflict between Ukraine and the Russian Federation, and unexpected rises in inflation and interest rates;</w:t>
      </w:r>
    </w:p>
    <w:p>
      <w:pPr>
        <w:spacing w:after="0" w:line="91" w:lineRule="exact"/>
        <w:rPr>
          <w:rFonts w:ascii="Arial" w:cs="Arial" w:eastAsia="Arial" w:hAnsi="Arial"/>
          <w:sz w:val="22"/>
          <w:szCs w:val="22"/>
          <w:color w:val="auto"/>
        </w:rPr>
      </w:pPr>
    </w:p>
    <w:p>
      <w:pPr>
        <w:ind w:left="14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public concern relating to the commercial value or safety of our product candidates;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financing or other corporate transactions;</w:t>
      </w:r>
    </w:p>
    <w:p>
      <w:pPr>
        <w:spacing w:after="0" w:line="111" w:lineRule="exact"/>
        <w:rPr>
          <w:rFonts w:ascii="Arial" w:cs="Arial" w:eastAsia="Arial" w:hAnsi="Arial"/>
          <w:sz w:val="22"/>
          <w:szCs w:val="22"/>
          <w:color w:val="auto"/>
        </w:rPr>
      </w:pPr>
    </w:p>
    <w:p>
      <w:pPr>
        <w:ind w:left="1420" w:right="360" w:hanging="535"/>
        <w:spacing w:after="0" w:line="250" w:lineRule="auto"/>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publication of research reports or comments by securities or industry analysts, and variances in our periodic results of operations from securities analysts’ estimates;</w:t>
      </w:r>
    </w:p>
    <w:p>
      <w:pPr>
        <w:spacing w:after="0" w:line="80" w:lineRule="exact"/>
        <w:rPr>
          <w:rFonts w:ascii="Arial" w:cs="Arial" w:eastAsia="Arial" w:hAnsi="Arial"/>
          <w:sz w:val="22"/>
          <w:szCs w:val="22"/>
          <w:color w:val="auto"/>
        </w:rPr>
      </w:pPr>
    </w:p>
    <w:p>
      <w:pPr>
        <w:ind w:left="1420" w:right="600" w:hanging="535"/>
        <w:spacing w:after="0" w:line="250" w:lineRule="auto"/>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general market conditions in the biopharmaceutical and pharmaceutical industries or in the economy as a whole;</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loss of any of our key scientific or senior management personnel;</w:t>
      </w:r>
    </w:p>
    <w:p>
      <w:pPr>
        <w:spacing w:after="0" w:line="111" w:lineRule="exact"/>
        <w:rPr>
          <w:rFonts w:ascii="Arial" w:cs="Arial" w:eastAsia="Arial" w:hAnsi="Arial"/>
          <w:sz w:val="22"/>
          <w:szCs w:val="22"/>
          <w:color w:val="auto"/>
        </w:rPr>
      </w:pPr>
    </w:p>
    <w:p>
      <w:pPr>
        <w:ind w:left="1420" w:right="340" w:hanging="535"/>
        <w:spacing w:after="0" w:line="250" w:lineRule="auto"/>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sales of our ADSs by us, our senior management and board members, holders of ADSs or our other security holders in the future;</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actions by institutional shareholders;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speculation in the press or the investment community; or</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other events and factors, many of which are beyond our control.</w:t>
      </w:r>
    </w:p>
    <w:p>
      <w:pPr>
        <w:spacing w:after="0" w:line="206"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In the past in the United States,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You may be subject to limitations on the transfer of ADSs and the withdrawal of the underlying ordinary shares.</w:t>
      </w:r>
    </w:p>
    <w:p>
      <w:pPr>
        <w:spacing w:after="0" w:line="241" w:lineRule="exact"/>
        <w:rPr>
          <w:sz w:val="20"/>
          <w:szCs w:val="20"/>
          <w:color w:val="auto"/>
        </w:rPr>
      </w:pPr>
    </w:p>
    <w:p>
      <w:pPr>
        <w:ind w:left="120" w:right="100" w:firstLine="551"/>
        <w:spacing w:after="0" w:line="274" w:lineRule="auto"/>
        <w:rPr>
          <w:sz w:val="20"/>
          <w:szCs w:val="20"/>
          <w:color w:val="auto"/>
        </w:rPr>
      </w:pPr>
      <w:r>
        <w:rPr>
          <w:rFonts w:ascii="Arial" w:cs="Arial" w:eastAsia="Arial" w:hAnsi="Arial"/>
          <w:sz w:val="19"/>
          <w:szCs w:val="19"/>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100"/>
          </w:cols>
          <w:pgMar w:left="320" w:top="486"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22"/>
          <w:szCs w:val="22"/>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auto"/>
        </w:rPr>
        <w:t>The rights of our shareholders may differ from the rights typically offered to shareholders of a U.S. corporation.</w:t>
      </w:r>
    </w:p>
    <w:p>
      <w:pPr>
        <w:spacing w:after="0" w:line="241"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22"/>
          <w:szCs w:val="22"/>
          <w:color w:val="auto"/>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principal differences include the following:</w:t>
      </w:r>
    </w:p>
    <w:p>
      <w:pPr>
        <w:spacing w:after="0" w:line="112" w:lineRule="exact"/>
        <w:rPr>
          <w:sz w:val="20"/>
          <w:szCs w:val="20"/>
          <w:color w:val="auto"/>
        </w:rPr>
      </w:pPr>
    </w:p>
    <w:p>
      <w:pPr>
        <w:ind w:left="1420" w:right="220" w:hanging="535"/>
        <w:spacing w:after="0" w:line="235" w:lineRule="auto"/>
        <w:tabs>
          <w:tab w:leader="none" w:pos="14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under English law, holders of ordinary shares generally have preemptive rights (in proportion to their existing holdings) in relation to ordinary shares or rights to subscribe for, or to convert securities into, ordinary shares proposed to be allotted for cash, unless an exception applies or a special resolution to the contrary has been passed by shareholders in a general meeting or the articles of association provide otherwise. Under U.S. law, shareholders generally do not have preemptive rights unless specifically granted in the certificate of incorporation or otherwise;</w:t>
      </w:r>
    </w:p>
    <w:p>
      <w:pPr>
        <w:spacing w:after="0" w:line="93" w:lineRule="exact"/>
        <w:rPr>
          <w:rFonts w:ascii="Arial" w:cs="Arial" w:eastAsia="Arial" w:hAnsi="Arial"/>
          <w:sz w:val="22"/>
          <w:szCs w:val="22"/>
          <w:color w:val="auto"/>
        </w:rPr>
      </w:pPr>
    </w:p>
    <w:p>
      <w:pPr>
        <w:ind w:left="1420" w:right="120" w:hanging="535"/>
        <w:spacing w:after="0" w:line="279" w:lineRule="auto"/>
        <w:tabs>
          <w:tab w:leader="none" w:pos="1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under English law and our articles of association, certain matters require the approval of 75% of the shareholders who vote (in person or by proxy) on the relevant resolution (or, on a poll, the approval of shareholders representing 75% of the ordinary shares voting (in person or by proxy)), including changes to our name, permitting us to issue new ordinary shares for cash without the shareholders’ pre-emptive rights and amendments to the articles of association. Under U.S. law, generally only majority shareholder approval is required to amend the certificate of incorporation or to approve other significant transactions;</w:t>
      </w:r>
    </w:p>
    <w:p>
      <w:pPr>
        <w:spacing w:after="0" w:line="55" w:lineRule="exact"/>
        <w:rPr>
          <w:rFonts w:ascii="Arial" w:cs="Arial" w:eastAsia="Arial" w:hAnsi="Arial"/>
          <w:sz w:val="19"/>
          <w:szCs w:val="19"/>
          <w:color w:val="auto"/>
        </w:rPr>
      </w:pPr>
    </w:p>
    <w:p>
      <w:pPr>
        <w:ind w:left="1420" w:right="20" w:hanging="535"/>
        <w:spacing w:after="0" w:line="273" w:lineRule="auto"/>
        <w:tabs>
          <w:tab w:leader="none" w:pos="1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United Kingdom, takeovers may be structured as takeover offers or as schemes of arrangement. Under English law, a bidder seeking to acquire us by means of a takeover offer who has acquired or unconditionally contracted to acquire not less than 90% of the shares (not held by the bidder) to which the offer relates may complete a “squeeze out” on the same terms as the takeover offer to obtain 100% control of us. Accordingly, acceptances of 90% of our outstanding ordinary shares/ADSs will likely be a condition in any takeover offer to acquire us (albeit a condition that the bidder will typically reserve the right to waive down to anything above 50%),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at least 75% of the ordinary shares voting for approval;</w:t>
      </w:r>
    </w:p>
    <w:p>
      <w:pPr>
        <w:spacing w:after="0" w:line="66" w:lineRule="exact"/>
        <w:rPr>
          <w:rFonts w:ascii="Arial" w:cs="Arial" w:eastAsia="Arial" w:hAnsi="Arial"/>
          <w:sz w:val="19"/>
          <w:szCs w:val="19"/>
          <w:color w:val="auto"/>
        </w:rPr>
      </w:pPr>
    </w:p>
    <w:p>
      <w:pPr>
        <w:ind w:left="1420" w:right="140" w:hanging="535"/>
        <w:spacing w:after="0" w:line="279" w:lineRule="auto"/>
        <w:tabs>
          <w:tab w:leader="none" w:pos="1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if a person defaults in providing the required information our directors may certain directions, including that the relevant shareholder will not be entitled to vote at general meetings, that dividends in respect of the default shares will be retained and that no transfers of the default shares may be registered. Comparable provisions generally do not exist under U.S. law; and</w:t>
      </w:r>
    </w:p>
    <w:p>
      <w:pPr>
        <w:spacing w:after="0" w:line="55" w:lineRule="exact"/>
        <w:rPr>
          <w:rFonts w:ascii="Arial" w:cs="Arial" w:eastAsia="Arial" w:hAnsi="Arial"/>
          <w:sz w:val="19"/>
          <w:szCs w:val="19"/>
          <w:color w:val="auto"/>
        </w:rPr>
      </w:pPr>
    </w:p>
    <w:p>
      <w:pPr>
        <w:ind w:left="1420" w:hanging="535"/>
        <w:spacing w:after="0" w:line="279" w:lineRule="auto"/>
        <w:tabs>
          <w:tab w:leader="none" w:pos="1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quorum requirement for a shareholders’ meeting is a minimum of two shareholders entitled to vote at the meeting and present in person or by proxy or, in the case of a shareholder which is a corporation, represented by a duly authorized representative.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50" w:lineRule="exact"/>
        <w:rPr>
          <w:sz w:val="20"/>
          <w:szCs w:val="20"/>
          <w:color w:val="auto"/>
        </w:rPr>
      </w:pPr>
    </w:p>
    <w:p>
      <w:pPr>
        <w:ind w:left="120" w:right="80"/>
        <w:spacing w:after="0" w:line="250" w:lineRule="auto"/>
        <w:rPr>
          <w:sz w:val="20"/>
          <w:szCs w:val="20"/>
          <w:color w:val="auto"/>
        </w:rPr>
      </w:pPr>
      <w:r>
        <w:rPr>
          <w:rFonts w:ascii="Arial" w:cs="Arial" w:eastAsia="Arial" w:hAnsi="Arial"/>
          <w:sz w:val="22"/>
          <w:szCs w:val="22"/>
          <w:b w:val="1"/>
          <w:bCs w:val="1"/>
          <w:i w:val="1"/>
          <w:iCs w:val="1"/>
          <w:color w:val="auto"/>
        </w:rPr>
        <w:t>If securities or industry analysts do not publish research or publish inaccurate research or unfavorable research about our business, the price and trading volume of ADSs could decline.</w:t>
      </w:r>
    </w:p>
    <w:p>
      <w:pPr>
        <w:spacing w:after="0" w:line="175" w:lineRule="exact"/>
        <w:rPr>
          <w:sz w:val="20"/>
          <w:szCs w:val="20"/>
          <w:color w:val="auto"/>
        </w:rPr>
      </w:pPr>
    </w:p>
    <w:p>
      <w:pPr>
        <w:ind w:left="120" w:right="140" w:firstLine="551"/>
        <w:spacing w:after="0" w:line="282" w:lineRule="auto"/>
        <w:rPr>
          <w:sz w:val="20"/>
          <w:szCs w:val="20"/>
          <w:color w:val="auto"/>
        </w:rPr>
      </w:pPr>
      <w:r>
        <w:rPr>
          <w:rFonts w:ascii="Arial" w:cs="Arial" w:eastAsia="Arial" w:hAnsi="Arial"/>
          <w:sz w:val="19"/>
          <w:szCs w:val="19"/>
          <w:color w:val="auto"/>
        </w:rPr>
        <w:t>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w:t>
      </w:r>
    </w:p>
    <w:p>
      <w:pPr>
        <w:spacing w:after="0" w:line="147" w:lineRule="exact"/>
        <w:rPr>
          <w:sz w:val="20"/>
          <w:szCs w:val="20"/>
          <w:color w:val="auto"/>
        </w:rPr>
      </w:pPr>
    </w:p>
    <w:p>
      <w:pPr>
        <w:ind w:left="120" w:right="80"/>
        <w:spacing w:after="0" w:line="250" w:lineRule="auto"/>
        <w:rPr>
          <w:sz w:val="20"/>
          <w:szCs w:val="20"/>
          <w:color w:val="auto"/>
        </w:rPr>
      </w:pPr>
      <w:r>
        <w:rPr>
          <w:rFonts w:ascii="Arial" w:cs="Arial" w:eastAsia="Arial" w:hAnsi="Arial"/>
          <w:sz w:val="22"/>
          <w:szCs w:val="22"/>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175" w:lineRule="exact"/>
        <w:rPr>
          <w:sz w:val="20"/>
          <w:szCs w:val="20"/>
          <w:color w:val="auto"/>
        </w:rPr>
      </w:pPr>
    </w:p>
    <w:p>
      <w:pPr>
        <w:ind w:left="120" w:right="60" w:firstLine="551"/>
        <w:spacing w:after="0" w:line="328" w:lineRule="auto"/>
        <w:rPr>
          <w:sz w:val="20"/>
          <w:szCs w:val="20"/>
          <w:color w:val="auto"/>
        </w:rPr>
      </w:pPr>
      <w:r>
        <w:rPr>
          <w:rFonts w:ascii="Arial" w:cs="Arial" w:eastAsia="Arial" w:hAnsi="Arial"/>
          <w:sz w:val="19"/>
          <w:szCs w:val="19"/>
          <w:color w:val="auto"/>
        </w:rPr>
        <w:t>The deposit agreement governing our ADSs provides that holders and beneficial owners of ADSs irrevocably waive the right to a trial by jury in any legal proceeding arising out of or relating to the deposit agreement or our ADSs, including claims</w:t>
      </w:r>
    </w:p>
    <w:p>
      <w:pPr>
        <w:sectPr>
          <w:pgSz w:w="11900" w:h="16838" w:orient="portrait"/>
          <w:cols w:equalWidth="0" w:num="1">
            <w:col w:w="11120"/>
          </w:cols>
          <w:pgMar w:left="320" w:top="486" w:right="459" w:bottom="0" w:gutter="0" w:footer="0" w:header="0"/>
        </w:sectPr>
      </w:pPr>
    </w:p>
    <w:bookmarkStart w:id="51" w:name="page52"/>
    <w:bookmarkEnd w:id="51"/>
    <w:p>
      <w:pPr>
        <w:spacing w:after="0" w:line="274" w:lineRule="auto"/>
        <w:rPr>
          <w:sz w:val="20"/>
          <w:szCs w:val="20"/>
          <w:color w:val="auto"/>
        </w:rPr>
      </w:pPr>
      <w:r>
        <w:rPr>
          <w:rFonts w:ascii="Arial" w:cs="Arial" w:eastAsia="Arial" w:hAnsi="Arial"/>
          <w:sz w:val="19"/>
          <w:szCs w:val="19"/>
          <w:color w:val="auto"/>
        </w:rPr>
        <w:t>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159" w:lineRule="exact"/>
        <w:rPr>
          <w:sz w:val="20"/>
          <w:szCs w:val="20"/>
          <w:color w:val="auto"/>
        </w:rPr>
      </w:pPr>
    </w:p>
    <w:p>
      <w:pPr>
        <w:ind w:right="80" w:firstLine="551"/>
        <w:spacing w:after="0" w:line="282" w:lineRule="auto"/>
        <w:rPr>
          <w:sz w:val="20"/>
          <w:szCs w:val="20"/>
          <w:color w:val="auto"/>
        </w:rPr>
      </w:pPr>
      <w:r>
        <w:rPr>
          <w:rFonts w:ascii="Arial" w:cs="Arial" w:eastAsia="Arial" w:hAnsi="Arial"/>
          <w:sz w:val="19"/>
          <w:szCs w:val="19"/>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47" w:lineRule="exact"/>
        <w:rPr>
          <w:sz w:val="20"/>
          <w:szCs w:val="20"/>
          <w:color w:val="auto"/>
        </w:rPr>
      </w:pPr>
    </w:p>
    <w:p>
      <w:pPr>
        <w:ind w:right="80" w:firstLine="551"/>
        <w:spacing w:after="0" w:line="246" w:lineRule="auto"/>
        <w:rPr>
          <w:sz w:val="20"/>
          <w:szCs w:val="20"/>
          <w:color w:val="auto"/>
        </w:rPr>
      </w:pPr>
      <w:r>
        <w:rPr>
          <w:rFonts w:ascii="Arial" w:cs="Arial" w:eastAsia="Arial" w:hAnsi="Arial"/>
          <w:sz w:val="21"/>
          <w:szCs w:val="21"/>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0"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b w:val="1"/>
          <w:bCs w:val="1"/>
          <w:i w:val="1"/>
          <w:iCs w:val="1"/>
          <w:color w:val="auto"/>
        </w:rPr>
        <w:t>You may not receive distributions on ordinary shares represented by ADSs or any value for them if it is unlawful or impractical to make them available to holders of ADSs.</w:t>
      </w:r>
    </w:p>
    <w:p>
      <w:pPr>
        <w:spacing w:after="0" w:line="175" w:lineRule="exact"/>
        <w:rPr>
          <w:sz w:val="20"/>
          <w:szCs w:val="20"/>
          <w:color w:val="auto"/>
        </w:rPr>
      </w:pPr>
    </w:p>
    <w:p>
      <w:pPr>
        <w:ind w:right="160" w:firstLine="551"/>
        <w:spacing w:after="0" w:line="275" w:lineRule="auto"/>
        <w:rPr>
          <w:sz w:val="20"/>
          <w:szCs w:val="20"/>
          <w:color w:val="auto"/>
        </w:rPr>
      </w:pPr>
      <w:r>
        <w:rPr>
          <w:rFonts w:ascii="Arial" w:cs="Arial" w:eastAsia="Arial" w:hAnsi="Arial"/>
          <w:sz w:val="19"/>
          <w:szCs w:val="19"/>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57"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b w:val="1"/>
          <w:bCs w:val="1"/>
          <w:i w:val="1"/>
          <w:iCs w:val="1"/>
          <w:color w:val="auto"/>
        </w:rPr>
        <w:t>Holders of ADSs may not have the same voting rights as holders of ordinary shares and may not receive voting materials in time to be able to exercise their right to vote.</w:t>
      </w:r>
    </w:p>
    <w:p>
      <w:pPr>
        <w:spacing w:after="0" w:line="175" w:lineRule="exact"/>
        <w:rPr>
          <w:sz w:val="20"/>
          <w:szCs w:val="20"/>
          <w:color w:val="auto"/>
        </w:rPr>
      </w:pPr>
    </w:p>
    <w:p>
      <w:pPr>
        <w:ind w:right="260" w:firstLine="551"/>
        <w:spacing w:after="0" w:line="282" w:lineRule="auto"/>
        <w:rPr>
          <w:sz w:val="20"/>
          <w:szCs w:val="20"/>
          <w:color w:val="auto"/>
        </w:rPr>
      </w:pPr>
      <w:r>
        <w:rPr>
          <w:rFonts w:ascii="Arial" w:cs="Arial" w:eastAsia="Arial" w:hAnsi="Arial"/>
          <w:sz w:val="19"/>
          <w:szCs w:val="19"/>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63" w:lineRule="exact"/>
        <w:rPr>
          <w:sz w:val="20"/>
          <w:szCs w:val="20"/>
          <w:color w:val="auto"/>
        </w:rPr>
      </w:pPr>
    </w:p>
    <w:p>
      <w:pPr>
        <w:ind w:right="40" w:firstLine="551"/>
        <w:spacing w:after="0" w:line="271" w:lineRule="auto"/>
        <w:rPr>
          <w:sz w:val="20"/>
          <w:szCs w:val="20"/>
          <w:color w:val="auto"/>
        </w:rPr>
      </w:pPr>
      <w:r>
        <w:rPr>
          <w:rFonts w:ascii="Arial" w:cs="Arial" w:eastAsia="Arial" w:hAnsi="Arial"/>
          <w:sz w:val="19"/>
          <w:szCs w:val="19"/>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ectPr>
          <w:pgSz w:w="11900" w:h="16838" w:orient="portrait"/>
          <w:cols w:equalWidth="0" w:num="1">
            <w:col w:w="11000"/>
          </w:cols>
          <w:pgMar w:left="440" w:top="118" w:right="459" w:bottom="749"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000"/>
          </w:cols>
          <w:pgMar w:left="440" w:top="118" w:right="459" w:bottom="749"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spacing w:after="0" w:line="250" w:lineRule="auto"/>
        <w:rPr>
          <w:sz w:val="20"/>
          <w:szCs w:val="20"/>
          <w:color w:val="auto"/>
        </w:rPr>
      </w:pPr>
      <w:r>
        <w:rPr>
          <w:rFonts w:ascii="Arial" w:cs="Arial" w:eastAsia="Arial" w:hAnsi="Arial"/>
          <w:sz w:val="22"/>
          <w:szCs w:val="22"/>
          <w:b w:val="1"/>
          <w:bCs w:val="1"/>
          <w:i w:val="1"/>
          <w:iCs w:val="1"/>
          <w:color w:val="auto"/>
        </w:rPr>
        <w:t>It may be difficult for you to bring any action or enforce any judgment obtained in the United States against us or members of our Board, which may limit the remedies otherwise available to us.</w:t>
      </w:r>
    </w:p>
    <w:p>
      <w:pPr>
        <w:spacing w:after="0" w:line="175" w:lineRule="exact"/>
        <w:rPr>
          <w:sz w:val="20"/>
          <w:szCs w:val="20"/>
          <w:color w:val="auto"/>
        </w:rPr>
      </w:pPr>
    </w:p>
    <w:p>
      <w:pPr>
        <w:ind w:left="120" w:right="80" w:firstLine="551"/>
        <w:spacing w:after="0" w:line="275" w:lineRule="auto"/>
        <w:rPr>
          <w:sz w:val="20"/>
          <w:szCs w:val="20"/>
          <w:color w:val="auto"/>
        </w:rPr>
      </w:pPr>
      <w:r>
        <w:rPr>
          <w:rFonts w:ascii="Arial" w:cs="Arial" w:eastAsia="Arial" w:hAnsi="Arial"/>
          <w:sz w:val="19"/>
          <w:szCs w:val="19"/>
          <w:color w:val="auto"/>
        </w:rPr>
        <w:t>We are incorporated as a public limited company in England and Wales, and the majority of our assets are located outside the United States. In addition, several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w:t>
      </w:r>
    </w:p>
    <w:p>
      <w:pPr>
        <w:spacing w:after="0" w:line="157" w:lineRule="exact"/>
        <w:rPr>
          <w:sz w:val="20"/>
          <w:szCs w:val="20"/>
          <w:color w:val="auto"/>
        </w:rPr>
      </w:pPr>
    </w:p>
    <w:p>
      <w:pPr>
        <w:ind w:left="120" w:right="80"/>
        <w:spacing w:after="0" w:line="250" w:lineRule="auto"/>
        <w:rPr>
          <w:sz w:val="20"/>
          <w:szCs w:val="20"/>
          <w:color w:val="auto"/>
        </w:rPr>
      </w:pPr>
      <w:r>
        <w:rPr>
          <w:rFonts w:ascii="Arial" w:cs="Arial" w:eastAsia="Arial" w:hAnsi="Arial"/>
          <w:sz w:val="22"/>
          <w:szCs w:val="22"/>
          <w:b w:val="1"/>
          <w:bCs w:val="1"/>
          <w:i w:val="1"/>
          <w:iCs w:val="1"/>
          <w:color w:val="auto"/>
        </w:rPr>
        <w:t>Shareholders in countries other than the United Kingdom will suffer dilution if they are unable to participate in future pre-emptive equity offerings.</w:t>
      </w:r>
    </w:p>
    <w:p>
      <w:pPr>
        <w:spacing w:after="0" w:line="175"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w:t>
      </w:r>
    </w:p>
    <w:p>
      <w:pPr>
        <w:spacing w:after="0" w:line="156" w:lineRule="exact"/>
        <w:rPr>
          <w:sz w:val="20"/>
          <w:szCs w:val="20"/>
          <w:color w:val="auto"/>
        </w:rPr>
      </w:pPr>
    </w:p>
    <w:p>
      <w:pPr>
        <w:ind w:left="120" w:right="180"/>
        <w:spacing w:after="0"/>
        <w:rPr>
          <w:sz w:val="20"/>
          <w:szCs w:val="20"/>
          <w:color w:val="auto"/>
        </w:rPr>
      </w:pPr>
      <w:r>
        <w:rPr>
          <w:rFonts w:ascii="Arial" w:cs="Arial" w:eastAsia="Arial" w:hAnsi="Arial"/>
          <w:sz w:val="22"/>
          <w:szCs w:val="22"/>
          <w:b w:val="1"/>
          <w:bCs w:val="1"/>
          <w:i w:val="1"/>
          <w:iCs w:val="1"/>
          <w:color w:val="auto"/>
        </w:rPr>
        <w:t>We are currently a “foreign private issuer” under the rules and regulations of the SEC and, as a result, are exempt from a number of rules under the Exchange Act and are permitted to file less information with the SEC than a company incorporated in the United States.</w:t>
      </w:r>
    </w:p>
    <w:p>
      <w:pPr>
        <w:spacing w:after="0" w:line="186" w:lineRule="exact"/>
        <w:rPr>
          <w:sz w:val="20"/>
          <w:szCs w:val="20"/>
          <w:color w:val="auto"/>
        </w:rPr>
      </w:pPr>
    </w:p>
    <w:p>
      <w:pPr>
        <w:jc w:val="both"/>
        <w:ind w:left="120" w:right="180" w:firstLine="551"/>
        <w:spacing w:after="0" w:line="297" w:lineRule="auto"/>
        <w:rPr>
          <w:sz w:val="20"/>
          <w:szCs w:val="20"/>
          <w:color w:val="auto"/>
        </w:rPr>
      </w:pPr>
      <w:r>
        <w:rPr>
          <w:rFonts w:ascii="Arial" w:cs="Arial" w:eastAsia="Arial" w:hAnsi="Arial"/>
          <w:sz w:val="19"/>
          <w:szCs w:val="19"/>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United States, including:</w:t>
      </w:r>
    </w:p>
    <w:p>
      <w:pPr>
        <w:spacing w:after="0" w:line="39" w:lineRule="exact"/>
        <w:rPr>
          <w:sz w:val="20"/>
          <w:szCs w:val="20"/>
          <w:color w:val="auto"/>
        </w:rPr>
      </w:pPr>
    </w:p>
    <w:p>
      <w:pPr>
        <w:ind w:left="1420" w:right="300" w:hanging="535"/>
        <w:spacing w:after="0" w:line="250" w:lineRule="auto"/>
        <w:tabs>
          <w:tab w:leader="none" w:pos="14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requirement to file periodic reports and financial statements with the SEC as frequently or as promptly as United States companies with securities registered under the Exchange Act;</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requirement to file financial statements prepared in accordance with U.S. GAAP;</w:t>
      </w:r>
    </w:p>
    <w:p>
      <w:pPr>
        <w:spacing w:after="0" w:line="111" w:lineRule="exact"/>
        <w:rPr>
          <w:rFonts w:ascii="Arial" w:cs="Arial" w:eastAsia="Arial" w:hAnsi="Arial"/>
          <w:sz w:val="22"/>
          <w:szCs w:val="22"/>
          <w:color w:val="auto"/>
        </w:rPr>
      </w:pPr>
    </w:p>
    <w:p>
      <w:pPr>
        <w:ind w:left="5520" w:right="620" w:hanging="4635"/>
        <w:spacing w:after="0" w:line="391" w:lineRule="auto"/>
        <w:tabs>
          <w:tab w:leader="none" w:pos="142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proxy rules, which impose certain disclosure and procedural requirements for proxy solicitations; and 46</w:t>
      </w:r>
    </w:p>
    <w:p>
      <w:pPr>
        <w:sectPr>
          <w:pgSz w:w="11900" w:h="16838" w:orient="portrait"/>
          <w:cols w:equalWidth="0" w:num="1">
            <w:col w:w="11140"/>
          </w:cols>
          <w:pgMar w:left="320" w:top="486"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900" w:hanging="535"/>
        <w:spacing w:after="0" w:line="250" w:lineRule="auto"/>
        <w:tabs>
          <w:tab w:leader="none" w:pos="14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requirement to comply with Regulation Fair Disclosure (“Regulation FD”), which imposes certain restrictions on the selective disclosure of material information.</w:t>
      </w:r>
    </w:p>
    <w:p>
      <w:pPr>
        <w:spacing w:after="0" w:line="175" w:lineRule="exact"/>
        <w:rPr>
          <w:sz w:val="20"/>
          <w:szCs w:val="20"/>
          <w:color w:val="auto"/>
        </w:rPr>
      </w:pPr>
    </w:p>
    <w:p>
      <w:pPr>
        <w:jc w:val="both"/>
        <w:ind w:left="120" w:right="380" w:firstLine="551"/>
        <w:spacing w:after="0"/>
        <w:rPr>
          <w:sz w:val="20"/>
          <w:szCs w:val="20"/>
          <w:color w:val="auto"/>
        </w:rPr>
      </w:pPr>
      <w:r>
        <w:rPr>
          <w:rFonts w:ascii="Arial" w:cs="Arial" w:eastAsia="Arial" w:hAnsi="Arial"/>
          <w:sz w:val="22"/>
          <w:szCs w:val="22"/>
          <w:color w:val="auto"/>
        </w:rPr>
        <w:t>In addition, our officers, directors and principal shareholders are exempt from the reporting and “short-swing” profit recovery provisions of Section 16 of the Exchange Act and the related rules with respect to their purchases and sales of our ADSs.</w:t>
      </w:r>
    </w:p>
    <w:p>
      <w:pPr>
        <w:spacing w:after="0" w:line="186" w:lineRule="exact"/>
        <w:rPr>
          <w:sz w:val="20"/>
          <w:szCs w:val="20"/>
          <w:color w:val="auto"/>
        </w:rPr>
      </w:pPr>
    </w:p>
    <w:p>
      <w:pPr>
        <w:ind w:left="120" w:right="560"/>
        <w:spacing w:after="0" w:line="250" w:lineRule="auto"/>
        <w:rPr>
          <w:sz w:val="20"/>
          <w:szCs w:val="20"/>
          <w:color w:val="auto"/>
        </w:rPr>
      </w:pPr>
      <w:r>
        <w:rPr>
          <w:rFonts w:ascii="Arial" w:cs="Arial" w:eastAsia="Arial" w:hAnsi="Arial"/>
          <w:sz w:val="22"/>
          <w:szCs w:val="22"/>
          <w:b w:val="1"/>
          <w:bCs w:val="1"/>
          <w:i w:val="1"/>
          <w:iCs w:val="1"/>
          <w:color w:val="auto"/>
        </w:rPr>
        <w:t>As a foreign private issuer, we are not required to comply with some of the corporate governance standards of Nasdaq applicable to companies incorporated in the United States.</w:t>
      </w:r>
    </w:p>
    <w:p>
      <w:pPr>
        <w:spacing w:after="0" w:line="175" w:lineRule="exact"/>
        <w:rPr>
          <w:sz w:val="20"/>
          <w:szCs w:val="20"/>
          <w:color w:val="auto"/>
        </w:rPr>
      </w:pPr>
    </w:p>
    <w:p>
      <w:pPr>
        <w:ind w:left="120" w:right="140" w:firstLine="551"/>
        <w:spacing w:after="0" w:line="273" w:lineRule="auto"/>
        <w:rPr>
          <w:sz w:val="20"/>
          <w:szCs w:val="20"/>
          <w:color w:val="auto"/>
        </w:rPr>
      </w:pPr>
      <w:r>
        <w:rPr>
          <w:rFonts w:ascii="Arial" w:cs="Arial" w:eastAsia="Arial" w:hAnsi="Arial"/>
          <w:sz w:val="19"/>
          <w:szCs w:val="19"/>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the nominating and compensation committees of our Board to comprise solely of independent directors. We follow U.K. requirements with respect to shareholder meetings including shareholder meetings required to disapply preemption rights and issue ordinary shares to investors in connection with private placements or public offering of our securities. As a result, holders of our ADSs may not be afforded the benefits of the corporate governance standards of Nasdaq to the same extent applicable to companies incorporated in the United States. See “Item 16G. Corporate Governance—Foreign Private Issuer Exemption” elsewhere in this annual report.</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Additional reporting requirements may apply if we lose our status as a foreign private issuer.</w:t>
      </w:r>
    </w:p>
    <w:p>
      <w:pPr>
        <w:spacing w:after="0" w:line="20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22"/>
          <w:szCs w:val="22"/>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 United States. The costs incurred in fulfilling these additional regulatory requirements could be substantial.</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21"/>
          <w:szCs w:val="21"/>
          <w:b w:val="1"/>
          <w:bCs w:val="1"/>
          <w:i w:val="1"/>
          <w:iCs w:val="1"/>
          <w:color w:val="auto"/>
        </w:rPr>
        <w:t>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w:t>
      </w:r>
    </w:p>
    <w:p>
      <w:pPr>
        <w:spacing w:after="0" w:line="169"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9"/>
          <w:szCs w:val="19"/>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211" w:lineRule="exact"/>
        <w:rPr>
          <w:sz w:val="20"/>
          <w:szCs w:val="20"/>
          <w:color w:val="auto"/>
        </w:rPr>
      </w:pPr>
    </w:p>
    <w:p>
      <w:pPr>
        <w:ind w:left="120"/>
        <w:spacing w:after="0" w:line="250" w:lineRule="auto"/>
        <w:rPr>
          <w:sz w:val="20"/>
          <w:szCs w:val="20"/>
          <w:color w:val="auto"/>
        </w:rPr>
      </w:pPr>
      <w:r>
        <w:rPr>
          <w:rFonts w:ascii="Arial" w:cs="Arial" w:eastAsia="Arial" w:hAnsi="Arial"/>
          <w:sz w:val="22"/>
          <w:szCs w:val="22"/>
          <w:b w:val="1"/>
          <w:bCs w:val="1"/>
          <w:i w:val="1"/>
          <w:iCs w:val="1"/>
          <w:color w:val="auto"/>
        </w:rPr>
        <w:t>We are an “emerging growth company,” and the reduced disclosure requirements applicable to emerging growth companies may make the ADSs less attractive to investors.</w:t>
      </w:r>
    </w:p>
    <w:p>
      <w:pPr>
        <w:spacing w:after="0" w:line="175" w:lineRule="exact"/>
        <w:rPr>
          <w:sz w:val="20"/>
          <w:szCs w:val="20"/>
          <w:color w:val="auto"/>
        </w:rPr>
      </w:pPr>
    </w:p>
    <w:p>
      <w:pPr>
        <w:ind w:left="120" w:right="420" w:firstLine="551"/>
        <w:spacing w:after="0" w:line="236" w:lineRule="auto"/>
        <w:rPr>
          <w:sz w:val="20"/>
          <w:szCs w:val="20"/>
          <w:color w:val="auto"/>
        </w:rPr>
      </w:pPr>
      <w:r>
        <w:rPr>
          <w:rFonts w:ascii="Arial" w:cs="Arial" w:eastAsia="Arial" w:hAnsi="Arial"/>
          <w:sz w:val="22"/>
          <w:szCs w:val="22"/>
          <w:color w:val="auto"/>
        </w:rPr>
        <w:t>We are an “emerging growth company,” as defined in the Jumpstart Our Business Startups Act of 2012, or the JOBS Act.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w:t>
      </w:r>
    </w:p>
    <w:p>
      <w:pPr>
        <w:spacing w:after="0" w:line="93" w:lineRule="exact"/>
        <w:rPr>
          <w:sz w:val="20"/>
          <w:szCs w:val="20"/>
          <w:color w:val="auto"/>
        </w:rPr>
      </w:pPr>
    </w:p>
    <w:p>
      <w:pPr>
        <w:ind w:left="1420" w:right="160" w:hanging="535"/>
        <w:spacing w:after="0" w:line="250" w:lineRule="auto"/>
        <w:tabs>
          <w:tab w:leader="none" w:pos="14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 being required to comply with the auditor attestation requirements in the assessment of our internal control over financial reporting;</w:t>
      </w:r>
    </w:p>
    <w:p>
      <w:pPr>
        <w:sectPr>
          <w:pgSz w:w="11900" w:h="16838" w:orient="portrait"/>
          <w:cols w:equalWidth="0" w:num="1">
            <w:col w:w="11140"/>
          </w:cols>
          <w:pgMar w:left="320" w:top="486" w:right="439" w:bottom="938" w:gutter="0" w:footer="0" w:header="0"/>
        </w:sectPr>
      </w:pP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140"/>
          </w:cols>
          <w:pgMar w:left="320" w:top="486" w:right="439" w:bottom="938"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320" w:hanging="535"/>
        <w:spacing w:after="0"/>
        <w:tabs>
          <w:tab w:leader="none" w:pos="14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91" w:lineRule="exact"/>
        <w:rPr>
          <w:rFonts w:ascii="Arial" w:cs="Arial" w:eastAsia="Arial" w:hAnsi="Arial"/>
          <w:sz w:val="22"/>
          <w:szCs w:val="22"/>
          <w:color w:val="auto"/>
        </w:rPr>
      </w:pPr>
    </w:p>
    <w:p>
      <w:pPr>
        <w:ind w:left="1420" w:hanging="535"/>
        <w:spacing w:after="0"/>
        <w:tabs>
          <w:tab w:leader="none" w:pos="14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reduced disclosure obligations regarding executive compensation; and</w:t>
      </w:r>
    </w:p>
    <w:p>
      <w:pPr>
        <w:spacing w:after="0" w:line="111" w:lineRule="exact"/>
        <w:rPr>
          <w:rFonts w:ascii="Arial" w:cs="Arial" w:eastAsia="Arial" w:hAnsi="Arial"/>
          <w:sz w:val="22"/>
          <w:szCs w:val="22"/>
          <w:color w:val="auto"/>
        </w:rPr>
      </w:pPr>
    </w:p>
    <w:p>
      <w:pPr>
        <w:ind w:left="1420" w:right="580" w:hanging="535"/>
        <w:spacing w:after="0" w:line="328" w:lineRule="auto"/>
        <w:tabs>
          <w:tab w:leader="none" w:pos="14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exemptions from the requirements of holding a nonbinding advisory vote on executive compensation and shareholder approval of any golden parachute payments not previously approved.</w:t>
      </w:r>
    </w:p>
    <w:p>
      <w:pPr>
        <w:spacing w:after="0" w:line="105" w:lineRule="exact"/>
        <w:rPr>
          <w:sz w:val="20"/>
          <w:szCs w:val="20"/>
          <w:color w:val="auto"/>
        </w:rPr>
      </w:pPr>
    </w:p>
    <w:p>
      <w:pPr>
        <w:ind w:left="120" w:firstLine="551"/>
        <w:spacing w:after="0" w:line="297" w:lineRule="auto"/>
        <w:rPr>
          <w:sz w:val="20"/>
          <w:szCs w:val="20"/>
          <w:color w:val="auto"/>
        </w:rPr>
      </w:pPr>
      <w:r>
        <w:rPr>
          <w:rFonts w:ascii="Arial" w:cs="Arial" w:eastAsia="Arial" w:hAnsi="Arial"/>
          <w:sz w:val="19"/>
          <w:szCs w:val="19"/>
          <w:color w:val="auto"/>
        </w:rPr>
        <w:t>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w:t>
      </w:r>
    </w:p>
    <w:p>
      <w:pPr>
        <w:spacing w:after="0" w:line="134" w:lineRule="exact"/>
        <w:rPr>
          <w:sz w:val="20"/>
          <w:szCs w:val="20"/>
          <w:color w:val="auto"/>
        </w:rPr>
      </w:pPr>
    </w:p>
    <w:p>
      <w:pPr>
        <w:ind w:left="120" w:right="80" w:firstLine="551"/>
        <w:spacing w:after="0" w:line="249" w:lineRule="auto"/>
        <w:rPr>
          <w:sz w:val="20"/>
          <w:szCs w:val="20"/>
          <w:color w:val="auto"/>
        </w:rPr>
      </w:pPr>
      <w:r>
        <w:rPr>
          <w:rFonts w:ascii="Arial" w:cs="Arial" w:eastAsia="Arial" w:hAnsi="Arial"/>
          <w:sz w:val="21"/>
          <w:szCs w:val="21"/>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ind w:left="120" w:right="80"/>
        <w:spacing w:after="0" w:line="250" w:lineRule="auto"/>
        <w:rPr>
          <w:sz w:val="20"/>
          <w:szCs w:val="20"/>
          <w:color w:val="auto"/>
        </w:rPr>
      </w:pPr>
      <w:r>
        <w:rPr>
          <w:rFonts w:ascii="Arial" w:cs="Arial" w:eastAsia="Arial" w:hAnsi="Arial"/>
          <w:sz w:val="22"/>
          <w:szCs w:val="22"/>
          <w:b w:val="1"/>
          <w:bCs w:val="1"/>
          <w:i w:val="1"/>
          <w:iCs w:val="1"/>
          <w:color w:val="auto"/>
        </w:rPr>
        <w:t>Failure to establish and maintain effective internal controls could have a material adverse effect on our business and stock price.</w:t>
      </w:r>
    </w:p>
    <w:p>
      <w:pPr>
        <w:spacing w:after="0" w:line="175" w:lineRule="exact"/>
        <w:rPr>
          <w:sz w:val="20"/>
          <w:szCs w:val="20"/>
          <w:color w:val="auto"/>
        </w:rPr>
      </w:pPr>
    </w:p>
    <w:p>
      <w:pPr>
        <w:ind w:left="120" w:right="100" w:firstLine="551"/>
        <w:spacing w:after="0" w:line="272" w:lineRule="auto"/>
        <w:rPr>
          <w:sz w:val="20"/>
          <w:szCs w:val="20"/>
          <w:color w:val="auto"/>
        </w:rPr>
      </w:pPr>
      <w:r>
        <w:rPr>
          <w:rFonts w:ascii="Arial" w:cs="Arial" w:eastAsia="Arial" w:hAnsi="Arial"/>
          <w:sz w:val="19"/>
          <w:szCs w:val="19"/>
          <w:color w:val="auto"/>
        </w:rPr>
        <w:t>Pursuant to Section 404, we are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100"/>
          </w:cols>
          <w:pgMar w:left="320" w:top="486"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0"/>
        <w:spacing w:after="0" w:line="250" w:lineRule="auto"/>
        <w:rPr>
          <w:sz w:val="20"/>
          <w:szCs w:val="20"/>
          <w:color w:val="auto"/>
        </w:rPr>
      </w:pPr>
      <w:r>
        <w:rPr>
          <w:rFonts w:ascii="Arial" w:cs="Arial" w:eastAsia="Arial" w:hAnsi="Arial"/>
          <w:sz w:val="22"/>
          <w:szCs w:val="22"/>
          <w:b w:val="1"/>
          <w:bCs w:val="1"/>
          <w:i w:val="1"/>
          <w:iCs w:val="1"/>
          <w:color w:val="auto"/>
        </w:rPr>
        <w:t>We may be a passive foreign investment company (“PFIC”) for any taxable year, which could result in material adverse U.S. federal income tax consequences if you are a U.S. investor.</w:t>
      </w:r>
    </w:p>
    <w:p>
      <w:pPr>
        <w:spacing w:after="0" w:line="17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21"/>
          <w:szCs w:val="21"/>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181"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9"/>
          <w:szCs w:val="19"/>
          <w:color w:val="auto"/>
        </w:rPr>
        <w:t>Based on our gross income, the average value of our assets, including goodwill, and the nature of the current state of our business, we do not believe we were a PFIC for the year ended December 31, 2021.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w:t>
      </w:r>
    </w:p>
    <w:p>
      <w:pPr>
        <w:spacing w:after="0" w:line="200" w:lineRule="exact"/>
        <w:rPr>
          <w:sz w:val="20"/>
          <w:szCs w:val="20"/>
          <w:color w:val="auto"/>
        </w:rPr>
      </w:pPr>
    </w:p>
    <w:p>
      <w:pPr>
        <w:spacing w:after="0" w:line="211"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See “Item 10. Additional Information—E. Taxation” for further information. U.S. investors should consult their tax advisers regarding our PFIC status for any taxable year and the potential application of the PFIC rules to an investment in our ADSs.</w:t>
      </w:r>
    </w:p>
    <w:p>
      <w:pPr>
        <w:spacing w:after="0" w:line="33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Information On The Company</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4.A. History and Development of the Company</w:t>
      </w:r>
    </w:p>
    <w:p>
      <w:pPr>
        <w:spacing w:after="0" w:line="104" w:lineRule="exact"/>
        <w:rPr>
          <w:sz w:val="20"/>
          <w:szCs w:val="20"/>
          <w:color w:val="auto"/>
        </w:rPr>
      </w:pPr>
    </w:p>
    <w:p>
      <w:pPr>
        <w:ind w:left="120" w:firstLine="551"/>
        <w:spacing w:after="0" w:line="275" w:lineRule="auto"/>
        <w:rPr>
          <w:sz w:val="20"/>
          <w:szCs w:val="20"/>
          <w:color w:val="auto"/>
        </w:rPr>
      </w:pPr>
      <w:r>
        <w:rPr>
          <w:rFonts w:ascii="Arial" w:cs="Arial" w:eastAsia="Arial" w:hAnsi="Arial"/>
          <w:sz w:val="19"/>
          <w:szCs w:val="19"/>
          <w:color w:val="auto"/>
        </w:rPr>
        <w:t>Our legal and commercial name is Mereo BioPharma Group plc. Our company was incorporated on March 10, 2015 and was registered as a private limited company under the laws of England and Wales with the company number 09481161. On June 3, 2016, we were re-registered as a public limited company under the laws of England and Wales. Our principal executive offices are located at 4th Floor, 1 Cavendish Place, London, W1G 0QF, United Kingdom, and our telephone number is +44 333 023 7300. Our website is www.mereobiopharma.com. Information on Mereo’s website is not incorporated by reference into or otherwise part of this annual report. We have included our website address in this annual report solely for informational purposes. The SEC also maintains a website that contains reports, proxy and information statements and other information regarding issuers that file electronically with the SEC. The address of this website is http://www.sec.gov.</w:t>
      </w:r>
    </w:p>
    <w:p>
      <w:pPr>
        <w:spacing w:after="0" w:line="157"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21"/>
          <w:szCs w:val="21"/>
          <w:color w:val="auto"/>
        </w:rPr>
        <w:t>Mereo’s portfolio consists of six clinical-stage product candidates, four of which were acquired from large pharmaceutical companies and two oncology anti-cancer product candidates which we acquired in the Merger. Mereo does not have any approved products and, as a result, has not generated any revenue from product sales. Pursuant to the terms of a global out-licensing agreement for navicixizumab to OncXerna in January 2020, the Company received an upfront payment of $4 million and an additional payment of $2 million in February 2022. In December 2020, the Company entered into a license and collaboration agreement with Ultragenyx for setrusumab, under which the Company subsequently received an upfront payment of $50 million in 2021.</w:t>
      </w:r>
    </w:p>
    <w:p>
      <w:pPr>
        <w:spacing w:after="0" w:line="184" w:lineRule="exact"/>
        <w:rPr>
          <w:sz w:val="20"/>
          <w:szCs w:val="20"/>
          <w:color w:val="auto"/>
        </w:rPr>
      </w:pPr>
    </w:p>
    <w:p>
      <w:pPr>
        <w:ind w:left="120" w:right="560" w:firstLine="551"/>
        <w:spacing w:after="0" w:line="328" w:lineRule="auto"/>
        <w:rPr>
          <w:sz w:val="20"/>
          <w:szCs w:val="20"/>
          <w:color w:val="auto"/>
        </w:rPr>
      </w:pPr>
      <w:r>
        <w:rPr>
          <w:rFonts w:ascii="Arial" w:cs="Arial" w:eastAsia="Arial" w:hAnsi="Arial"/>
          <w:sz w:val="19"/>
          <w:szCs w:val="19"/>
          <w:color w:val="auto"/>
        </w:rPr>
        <w:t>On April 23, 2019, we completed the Merger, with OncoMed, now called Mereo BioPharma 5, Inc., surviving as a wholly owned subsidiary of Mereo US Holdings, Inc. and as an indirect subsidiary of Mereo BioPharma Group plc.</w:t>
      </w:r>
    </w:p>
    <w:p>
      <w:pPr>
        <w:sectPr>
          <w:pgSz w:w="11900" w:h="16838" w:orient="portrait"/>
          <w:cols w:equalWidth="0" w:num="1">
            <w:col w:w="11140"/>
          </w:cols>
          <w:pgMar w:left="320" w:top="486" w:right="439" w:bottom="1100" w:gutter="0" w:footer="0" w:header="0"/>
        </w:sectPr>
      </w:pPr>
    </w:p>
    <w:p>
      <w:pPr>
        <w:spacing w:after="0" w:line="3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140"/>
          </w:cols>
          <w:pgMar w:left="320" w:top="486" w:right="439" w:bottom="110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Since April 24, 2019, our ADSs commenced trading on Nasdaq under the symbol “MREO.”</w:t>
      </w:r>
    </w:p>
    <w:p>
      <w:pPr>
        <w:spacing w:after="0" w:line="206"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22"/>
          <w:szCs w:val="22"/>
          <w:color w:val="auto"/>
        </w:rPr>
        <w:t>On December 18, 2020, admission of our ordinary shares to trading on the AIM market of London Stock Exchange plc was cancelled.</w:t>
      </w:r>
    </w:p>
    <w:p>
      <w:pPr>
        <w:spacing w:after="0" w:line="17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22"/>
          <w:szCs w:val="22"/>
          <w:color w:val="auto"/>
        </w:rPr>
        <w:t>We are an Emerging Growth Company.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w:t>
      </w:r>
    </w:p>
    <w:p>
      <w:pPr>
        <w:spacing w:after="0" w:line="185" w:lineRule="exact"/>
        <w:rPr>
          <w:sz w:val="20"/>
          <w:szCs w:val="20"/>
          <w:color w:val="auto"/>
        </w:rPr>
      </w:pPr>
    </w:p>
    <w:p>
      <w:pPr>
        <w:ind w:left="120" w:right="280" w:firstLine="551"/>
        <w:spacing w:after="0" w:line="282" w:lineRule="auto"/>
        <w:rPr>
          <w:sz w:val="20"/>
          <w:szCs w:val="20"/>
          <w:color w:val="auto"/>
        </w:rPr>
      </w:pPr>
      <w:r>
        <w:rPr>
          <w:rFonts w:ascii="Arial" w:cs="Arial" w:eastAsia="Arial" w:hAnsi="Arial"/>
          <w:sz w:val="19"/>
          <w:szCs w:val="19"/>
          <w:color w:val="auto"/>
        </w:rPr>
        <w:t>We will remain an Emerging Growth Company until the earliest of: (i) the last day of our fiscal year during which we have total annual gross revenues of at least $1.07 billion; (ii) the last day of our fiscal year following the fifth anniversary of the closing of our initial public offering; (iii) the date on which we have, during the previous three-year period, issued more than $1.0 billion in non-convertible debt; (iv) the date on which we are deemed to be a Large Accelerated Filer under the Exchange Act, with at least $700 million of equity securities held by non-affiliates.</w:t>
      </w:r>
    </w:p>
    <w:p>
      <w:pPr>
        <w:spacing w:after="0" w:line="147" w:lineRule="exact"/>
        <w:rPr>
          <w:sz w:val="20"/>
          <w:szCs w:val="20"/>
          <w:color w:val="auto"/>
        </w:rPr>
      </w:pPr>
    </w:p>
    <w:p>
      <w:pPr>
        <w:ind w:left="120" w:right="400" w:firstLine="551"/>
        <w:spacing w:after="0" w:line="250" w:lineRule="auto"/>
        <w:rPr>
          <w:sz w:val="20"/>
          <w:szCs w:val="20"/>
          <w:color w:val="auto"/>
        </w:rPr>
      </w:pPr>
      <w:r>
        <w:rPr>
          <w:rFonts w:ascii="Arial" w:cs="Arial" w:eastAsia="Arial" w:hAnsi="Arial"/>
          <w:sz w:val="22"/>
          <w:szCs w:val="22"/>
          <w:color w:val="auto"/>
        </w:rPr>
        <w:t>For information regarding our capital expenditures, see “Item 5. Operating and Financial Review and Prospects—B. Liquidity and Capital Resources.”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4.B. Business Overview</w:t>
      </w:r>
    </w:p>
    <w:p>
      <w:pPr>
        <w:spacing w:after="0" w:line="104" w:lineRule="exact"/>
        <w:rPr>
          <w:sz w:val="20"/>
          <w:szCs w:val="20"/>
          <w:color w:val="auto"/>
        </w:rPr>
      </w:pPr>
    </w:p>
    <w:p>
      <w:pPr>
        <w:ind w:left="120" w:right="360" w:firstLine="534"/>
        <w:spacing w:after="0" w:line="271" w:lineRule="auto"/>
        <w:rPr>
          <w:sz w:val="20"/>
          <w:szCs w:val="20"/>
          <w:color w:val="auto"/>
        </w:rPr>
      </w:pPr>
      <w:r>
        <w:rPr>
          <w:rFonts w:ascii="Arial" w:cs="Arial" w:eastAsia="Arial" w:hAnsi="Arial"/>
          <w:sz w:val="19"/>
          <w:szCs w:val="19"/>
          <w:color w:val="auto"/>
        </w:rPr>
        <w:t>We are a biopharmaceutical company focused on the development of innovative therapeutics that aim to improve outcomes for oncology and rare diseases and plan to commercialize selected rare disease programs. Our existing portfolio consists of six clinical stage product candidates two of which, etigilimab and alvelestat, are in ongoing clinical studies. Our lead oncology product candidate, etigilimab (an “anti-TIGIT antibody”), has completed a Phase 1a dose escalation clinical trial in patients with advanced solid tumors and has been evaluated in a Phase 1b study in combination with nivolumab in select tumor types. We initiated a Phase1b/2 basket study for etigilimab in combination with nivolumab in three rare tumors, sarcoma, uveal melanoma and germ cell cancer, three gynecological carcinomas, cervical, ovarian and endometrial carcinomas and tumors with high mutation burden, along with a Phase 1b/2 study in clear cell ovarian cancer with a partner. Our rare disease product candidates are alvelestat, which is being investigated in two ongoing Phase 2 proof-of-concept studies for the treatment of severe AATD and in an investigator-sponsored study in Bronchiolitis Obliterans Syndrome (BOS) following allogenic stem cell transplant, and setrusumab for the treatment of OI. Following the announcement of the results for setrusumab in a Phase 2b study in adults with OI which demonstrated a dose dependent statistically significant increase in bone mineral density and bone strength, we announced a strategic partnership with Ultragenyx in December 2020 for the development of setrusumab in children and adults with OI. Ultragenyx plans to start a pivotal, Phase 2/3 pediatric and young adult study (5-25 year olds) in the first half of 2022, and intend to initiate a separate Phase 2 study of patients under age five with OI to commence in the second half of 2022.</w:t>
      </w:r>
    </w:p>
    <w:p>
      <w:pPr>
        <w:spacing w:after="0" w:line="157"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We plan to develop our product candidates through the next key clinical milestone and then partner where it makes sense strategically to do so, but also in select cases for our rare disease product candidates, to develop them through regulatory approval and potentially commercialization.</w:t>
      </w:r>
    </w:p>
    <w:p>
      <w:pPr>
        <w:spacing w:after="0" w:line="186" w:lineRule="exact"/>
        <w:rPr>
          <w:sz w:val="20"/>
          <w:szCs w:val="20"/>
          <w:color w:val="auto"/>
        </w:rPr>
      </w:pPr>
    </w:p>
    <w:p>
      <w:pPr>
        <w:ind w:left="120" w:right="400" w:firstLine="551"/>
        <w:spacing w:after="0" w:line="274" w:lineRule="auto"/>
        <w:rPr>
          <w:sz w:val="20"/>
          <w:szCs w:val="20"/>
          <w:color w:val="auto"/>
        </w:rPr>
      </w:pPr>
      <w:r>
        <w:rPr>
          <w:rFonts w:ascii="Arial" w:cs="Arial" w:eastAsia="Arial" w:hAnsi="Arial"/>
          <w:sz w:val="21"/>
          <w:szCs w:val="21"/>
          <w:color w:val="auto"/>
        </w:rPr>
        <w:t>Our second oncology product, navicixizumab for the treatment of late line ovarian cancer, has completed a Phase 1b study and was partnered in January 2020 for further development with OncXerna on a global basis.</w:t>
      </w:r>
    </w:p>
    <w:p>
      <w:pPr>
        <w:spacing w:after="0" w:line="151" w:lineRule="exact"/>
        <w:rPr>
          <w:sz w:val="20"/>
          <w:szCs w:val="20"/>
          <w:color w:val="auto"/>
        </w:rPr>
      </w:pPr>
    </w:p>
    <w:p>
      <w:pPr>
        <w:ind w:left="120" w:right="140" w:firstLine="551"/>
        <w:spacing w:after="0" w:line="328" w:lineRule="auto"/>
        <w:rPr>
          <w:sz w:val="20"/>
          <w:szCs w:val="20"/>
          <w:color w:val="auto"/>
        </w:rPr>
      </w:pPr>
      <w:r>
        <w:rPr>
          <w:rFonts w:ascii="Arial" w:cs="Arial" w:eastAsia="Arial" w:hAnsi="Arial"/>
          <w:sz w:val="19"/>
          <w:szCs w:val="19"/>
          <w:color w:val="auto"/>
        </w:rPr>
        <w:t>We plan to partner or sell our other two product candidates acumapimod for the treatment of AECOPD and leflutrozole for the treatment of male infertility, recognizing the need for greater resources to take these product candidates to market.</w:t>
      </w:r>
    </w:p>
    <w:p>
      <w:pPr>
        <w:spacing w:after="0" w:line="1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21"/>
          <w:szCs w:val="21"/>
          <w:color w:val="auto"/>
        </w:rPr>
        <w:t>Our strategy is selectively to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w:t>
      </w:r>
    </w:p>
    <w:p>
      <w:pPr>
        <w:spacing w:after="0" w:line="184" w:lineRule="exact"/>
        <w:rPr>
          <w:sz w:val="20"/>
          <w:szCs w:val="20"/>
          <w:color w:val="auto"/>
        </w:rPr>
      </w:pPr>
    </w:p>
    <w:p>
      <w:pPr>
        <w:ind w:left="120" w:right="200" w:firstLine="551"/>
        <w:spacing w:after="0" w:line="279" w:lineRule="auto"/>
        <w:rPr>
          <w:sz w:val="20"/>
          <w:szCs w:val="20"/>
          <w:color w:val="auto"/>
        </w:rPr>
      </w:pPr>
      <w:r>
        <w:rPr>
          <w:rFonts w:ascii="Arial" w:cs="Arial" w:eastAsia="Arial" w:hAnsi="Arial"/>
          <w:sz w:val="19"/>
          <w:szCs w:val="19"/>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ectPr>
          <w:pgSz w:w="11900" w:h="16838" w:orient="portrait"/>
          <w:cols w:equalWidth="0" w:num="1">
            <w:col w:w="11120"/>
          </w:cols>
          <w:pgMar w:left="320" w:top="486" w:right="459" w:bottom="142" w:gutter="0" w:footer="0" w:header="0"/>
        </w:sectPr>
      </w:pP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120"/>
          </w:cols>
          <w:pgMar w:left="320" w:top="486" w:right="459" w:bottom="142"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20" w:firstLine="551"/>
        <w:spacing w:after="0" w:line="249" w:lineRule="auto"/>
        <w:rPr>
          <w:sz w:val="20"/>
          <w:szCs w:val="20"/>
          <w:color w:val="auto"/>
        </w:rPr>
      </w:pPr>
      <w:r>
        <w:rPr>
          <w:rFonts w:ascii="Arial" w:cs="Arial" w:eastAsia="Arial" w:hAnsi="Arial"/>
          <w:sz w:val="21"/>
          <w:szCs w:val="21"/>
          <w:color w:val="auto"/>
        </w:rPr>
        <w:t>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 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Pipeline</w:t>
      </w:r>
    </w:p>
    <w:p>
      <w:pPr>
        <w:spacing w:after="0" w:line="10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22"/>
          <w:szCs w:val="22"/>
          <w:color w:val="auto"/>
        </w:rPr>
        <w:t>The following tables summarize our pipeline for our product candidates. We have global commercial rights to etigilimab, alvelestat, acumapimod and leflutrozole and commercial rights to setrusumab in Europe and the U.K. We granted Ultragenyx an exclusive license to develop and commercialize setrusumab in the U.S. and rest of the world, and we have licensed global rights for navicixizumab to OncXerna.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302260</wp:posOffset>
            </wp:positionV>
            <wp:extent cx="6343650" cy="31286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436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Core Oncology and Rare Disease Product Candidates</w:t>
      </w:r>
    </w:p>
    <w:p>
      <w:pPr>
        <w:spacing w:after="0" w:line="106" w:lineRule="exact"/>
        <w:rPr>
          <w:sz w:val="20"/>
          <w:szCs w:val="20"/>
          <w:color w:val="auto"/>
        </w:rPr>
      </w:pPr>
    </w:p>
    <w:p>
      <w:pPr>
        <w:ind w:left="1420" w:right="40" w:hanging="535"/>
        <w:spacing w:after="0" w:line="235" w:lineRule="auto"/>
        <w:tabs>
          <w:tab w:leader="none" w:pos="142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Etigilimab (MPH-313): </w:t>
      </w:r>
      <w:r>
        <w:rPr>
          <w:rFonts w:ascii="Arial" w:cs="Arial" w:eastAsia="Arial" w:hAnsi="Arial"/>
          <w:sz w:val="22"/>
          <w:szCs w:val="22"/>
          <w:color w:val="auto"/>
        </w:rPr>
        <w:t>Etigilimab is an antibody against TIGIT (T-cell immunoreceptor with Ig and ITIM</w:t>
      </w:r>
      <w:r>
        <w:rPr>
          <w:rFonts w:ascii="Arial" w:cs="Arial" w:eastAsia="Arial" w:hAnsi="Arial"/>
          <w:sz w:val="22"/>
          <w:szCs w:val="22"/>
          <w:b w:val="1"/>
          <w:bCs w:val="1"/>
          <w:color w:val="auto"/>
        </w:rPr>
        <w:t xml:space="preserve"> </w:t>
      </w:r>
      <w:r>
        <w:rPr>
          <w:rFonts w:ascii="Arial" w:cs="Arial" w:eastAsia="Arial" w:hAnsi="Arial"/>
          <w:sz w:val="22"/>
          <w:szCs w:val="22"/>
          <w:color w:val="auto"/>
        </w:rPr>
        <w:t>domains).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We completed a Phase 1a dose escalation clinical trial with etigilimab in patients with advanced solid tumors and enrolled patients in a Phase 1b study in combination with nivolumab in selected tumor types.</w:t>
      </w:r>
    </w:p>
    <w:p>
      <w:pPr>
        <w:spacing w:after="0" w:line="81" w:lineRule="exact"/>
        <w:rPr>
          <w:sz w:val="20"/>
          <w:szCs w:val="20"/>
          <w:color w:val="auto"/>
        </w:rPr>
      </w:pPr>
    </w:p>
    <w:p>
      <w:pPr>
        <w:ind w:left="1320"/>
        <w:spacing w:after="0" w:line="246" w:lineRule="auto"/>
        <w:rPr>
          <w:sz w:val="20"/>
          <w:szCs w:val="20"/>
          <w:color w:val="auto"/>
        </w:rPr>
      </w:pPr>
      <w:r>
        <w:rPr>
          <w:rFonts w:ascii="Arial" w:cs="Arial" w:eastAsia="Arial" w:hAnsi="Arial"/>
          <w:sz w:val="21"/>
          <w:szCs w:val="21"/>
          <w:color w:val="auto"/>
        </w:rPr>
        <w:t>23 patients were treated in the Phase 1a dose escalation study with doses up to 20mg/kg Q2W. Tumor types included colorectal cancer, endometrial cancer, head and neck cancer, pancreatic cancer, ovarian cancer, and other tumor types. No dose limiting toxicities were observed. In the Phase 1b combination study, a total of ten patients, nine of whom had progressed on prior anti-PD1/PD-L1 therapies, were enrolled at doses of 3, 10 and 20 mg/kg. Tumor types included gastric cancer and six other tumor types. Eight patients were evaluable for tumor growth assessment, and all of these patients had progressed on PD1/PD-L1 therapies with best responses, including two patients with a partial response and stable disease. Patients remained on study for up to 224 days. No dose limiting toxicities (DLTs) were observed.</w:t>
      </w:r>
    </w:p>
    <w:p>
      <w:pPr>
        <w:spacing w:after="0" w:line="72" w:lineRule="exact"/>
        <w:rPr>
          <w:sz w:val="20"/>
          <w:szCs w:val="20"/>
          <w:color w:val="auto"/>
        </w:rPr>
      </w:pPr>
    </w:p>
    <w:p>
      <w:pPr>
        <w:ind w:left="1320"/>
        <w:spacing w:after="0" w:line="248" w:lineRule="auto"/>
        <w:rPr>
          <w:sz w:val="20"/>
          <w:szCs w:val="20"/>
          <w:color w:val="auto"/>
        </w:rPr>
      </w:pPr>
      <w:r>
        <w:rPr>
          <w:rFonts w:ascii="Arial" w:cs="Arial" w:eastAsia="Arial" w:hAnsi="Arial"/>
          <w:sz w:val="21"/>
          <w:szCs w:val="21"/>
          <w:color w:val="auto"/>
        </w:rPr>
        <w:t>Treatment emergent adverse events (TEAEs) related to study drug were reported by 16 patients (69.6%) in the Phase 1a portion of the study and 7 patients (70.0%) in the Phase 1b portion of the study. The most commonly reported related TEAEs in the Phase 1a portion of the study were pruritus (4 patients, 17.4%) and fatigue, nausea, rash and maculopapular rash (each reported by 3 patients, 8.7%). In the Phase 1b portion of the study, the most commonly reported related TEAEs were fatigue (3 patients, 30.0%) and pruritus, rash and pruritic rash (each reported by 2 patients, 20.0%).</w:t>
      </w:r>
    </w:p>
    <w:p>
      <w:pPr>
        <w:sectPr>
          <w:pgSz w:w="11900" w:h="16838" w:orient="portrait"/>
          <w:cols w:equalWidth="0" w:num="1">
            <w:col w:w="11120"/>
          </w:cols>
          <w:pgMar w:left="320" w:top="486" w:right="459" w:bottom="628"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120"/>
          </w:cols>
          <w:pgMar w:left="320" w:top="486" w:right="459" w:bottom="628" w:gutter="0" w:footer="0" w:header="0"/>
          <w:type w:val="continuous"/>
        </w:sectPr>
      </w:pPr>
    </w:p>
    <w:bookmarkStart w:id="58" w:name="page59"/>
    <w:bookmarkEnd w:id="58"/>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320" w:right="20"/>
        <w:spacing w:after="0"/>
        <w:rPr>
          <w:sz w:val="20"/>
          <w:szCs w:val="20"/>
          <w:color w:val="auto"/>
        </w:rPr>
      </w:pPr>
      <w:r>
        <w:rPr>
          <w:rFonts w:ascii="Arial" w:cs="Arial" w:eastAsia="Arial" w:hAnsi="Arial"/>
          <w:sz w:val="22"/>
          <w:szCs w:val="22"/>
          <w:color w:val="auto"/>
        </w:rPr>
        <w:t>There were no treatment-related serious adverse events in the Phase 1a portion and there was only one treatment-related serious adverse event (autoimmune hepatitis) in the Phase 1b portion of the study. The Phase 1b study has now been completed.</w:t>
      </w:r>
    </w:p>
    <w:p>
      <w:pPr>
        <w:spacing w:after="0" w:line="78" w:lineRule="exact"/>
        <w:rPr>
          <w:sz w:val="20"/>
          <w:szCs w:val="20"/>
          <w:color w:val="auto"/>
        </w:rPr>
      </w:pPr>
    </w:p>
    <w:p>
      <w:pPr>
        <w:ind w:left="1320" w:right="100"/>
        <w:spacing w:after="0" w:line="248" w:lineRule="auto"/>
        <w:rPr>
          <w:sz w:val="20"/>
          <w:szCs w:val="20"/>
          <w:color w:val="auto"/>
        </w:rPr>
      </w:pPr>
      <w:r>
        <w:rPr>
          <w:rFonts w:ascii="Arial" w:cs="Arial" w:eastAsia="Arial" w:hAnsi="Arial"/>
          <w:sz w:val="21"/>
          <w:szCs w:val="21"/>
          <w:color w:val="auto"/>
        </w:rPr>
        <w:t>Etigilimab is currently in an open label Phase 1b/2 basket study in combination with nivolumab in a range of tumor types. This is focused on three rare tumors, sarcoma, uveal melanoma and germ cell cancer, three gynecological carcinomas, cervical, ovarian and endometrial carcinomas and tumors with high mutation burden. We reported interim data on this study in November 2021. At the time of the data cut-off, 22 patients were included in the safety analysis set, 20 patients were evaluable with a minimum of at least one scan, and 15 patients were included in the efficacy analysis population.</w:t>
      </w:r>
    </w:p>
    <w:p>
      <w:pPr>
        <w:spacing w:after="0" w:line="69" w:lineRule="exact"/>
        <w:rPr>
          <w:sz w:val="20"/>
          <w:szCs w:val="20"/>
          <w:color w:val="auto"/>
        </w:rPr>
      </w:pPr>
    </w:p>
    <w:p>
      <w:pPr>
        <w:ind w:left="1320" w:right="100"/>
        <w:spacing w:after="0" w:line="282" w:lineRule="auto"/>
        <w:rPr>
          <w:sz w:val="20"/>
          <w:szCs w:val="20"/>
          <w:color w:val="auto"/>
        </w:rPr>
      </w:pPr>
      <w:r>
        <w:rPr>
          <w:rFonts w:ascii="Arial" w:cs="Arial" w:eastAsia="Arial" w:hAnsi="Arial"/>
          <w:sz w:val="19"/>
          <w:szCs w:val="19"/>
          <w:color w:val="auto"/>
        </w:rPr>
        <w:t>As at the cut-off date, there was one complete response in cervical cancer, one partial response in ovarian cancer and four instances of stable disease in ovarian cancer, cervical cancer and uveal melanoma. The combination of etigilimab and nivolumab has been safe and well tolerated with no new safety signals. The most common treatment-related adverse events were skin reactions, observed in seven patients. None of these reactions required treatment with systemic steroids. There was one case of immune diabetes mellitus.</w:t>
      </w:r>
    </w:p>
    <w:p>
      <w:pPr>
        <w:spacing w:after="0" w:line="39" w:lineRule="exact"/>
        <w:rPr>
          <w:sz w:val="20"/>
          <w:szCs w:val="20"/>
          <w:color w:val="auto"/>
        </w:rPr>
      </w:pPr>
    </w:p>
    <w:p>
      <w:pPr>
        <w:ind w:left="1320" w:right="220"/>
        <w:spacing w:after="0" w:line="250" w:lineRule="auto"/>
        <w:rPr>
          <w:sz w:val="20"/>
          <w:szCs w:val="20"/>
          <w:color w:val="auto"/>
        </w:rPr>
      </w:pPr>
      <w:r>
        <w:rPr>
          <w:rFonts w:ascii="Arial" w:cs="Arial" w:eastAsia="Arial" w:hAnsi="Arial"/>
          <w:sz w:val="22"/>
          <w:szCs w:val="22"/>
          <w:color w:val="auto"/>
        </w:rPr>
        <w:t>We expect to provide an update on the Phase 1b/2 basket study of etigilimab in combination with nivolumab in mid-2022.</w:t>
      </w:r>
    </w:p>
    <w:p>
      <w:pPr>
        <w:spacing w:after="0" w:line="67" w:lineRule="exact"/>
        <w:rPr>
          <w:sz w:val="20"/>
          <w:szCs w:val="20"/>
          <w:color w:val="auto"/>
        </w:rPr>
      </w:pPr>
    </w:p>
    <w:p>
      <w:pPr>
        <w:ind w:left="1320" w:right="200"/>
        <w:spacing w:after="0" w:line="235" w:lineRule="auto"/>
        <w:rPr>
          <w:sz w:val="20"/>
          <w:szCs w:val="20"/>
          <w:color w:val="auto"/>
        </w:rPr>
      </w:pPr>
      <w:r>
        <w:rPr>
          <w:rFonts w:ascii="Arial" w:cs="Arial" w:eastAsia="Arial" w:hAnsi="Arial"/>
          <w:sz w:val="22"/>
          <w:szCs w:val="22"/>
          <w:color w:val="auto"/>
        </w:rPr>
        <w:t>In April 2021, the Company entered into partnership with Cancer Focus Fund for a Phase 1b/2 study of etigilimab in Clear Cell Ovarian Cancer to be conducted at The University of Texas MD Anderson Cancer Center. The Phase 1b/2 study is being financed by Cancer Focus Fund in exchange for upfront consideration of $1.5 million of the Company’s shares and additional payments based on the achievement of certain milestones. Clear cell ovarian cancer is a rare cancer that accounts for approximately 5 to 10% of all ovarian carcinomas in North America.</w:t>
      </w:r>
    </w:p>
    <w:p>
      <w:pPr>
        <w:spacing w:after="0" w:line="209" w:lineRule="exact"/>
        <w:rPr>
          <w:sz w:val="20"/>
          <w:szCs w:val="20"/>
          <w:color w:val="auto"/>
        </w:rPr>
      </w:pPr>
    </w:p>
    <w:p>
      <w:pPr>
        <w:ind w:left="1420" w:hanging="535"/>
        <w:spacing w:after="0" w:line="270" w:lineRule="auto"/>
        <w:tabs>
          <w:tab w:leader="none" w:pos="1420"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Alvelestat (MPH-966): </w:t>
      </w:r>
      <w:r>
        <w:rPr>
          <w:rFonts w:ascii="Arial" w:cs="Arial" w:eastAsia="Arial" w:hAnsi="Arial"/>
          <w:sz w:val="19"/>
          <w:szCs w:val="19"/>
          <w:color w:val="auto"/>
        </w:rPr>
        <w:t>Alvelestat is a novel, oral small molecule we are developing for the treatment of severe</w:t>
      </w:r>
      <w:r>
        <w:rPr>
          <w:rFonts w:ascii="Arial" w:cs="Arial" w:eastAsia="Arial" w:hAnsi="Arial"/>
          <w:sz w:val="19"/>
          <w:szCs w:val="19"/>
          <w:b w:val="1"/>
          <w:bCs w:val="1"/>
          <w:color w:val="auto"/>
        </w:rPr>
        <w:t xml:space="preserve"> </w:t>
      </w:r>
      <w:r>
        <w:rPr>
          <w:rFonts w:ascii="Arial" w:cs="Arial" w:eastAsia="Arial" w:hAnsi="Arial"/>
          <w:sz w:val="19"/>
          <w:szCs w:val="19"/>
          <w:color w:val="auto"/>
        </w:rPr>
        <w:t>AATD Lung Disease and BOS. AATD is a potentially life-threatening, rare, genetic condition caused by a lack of effective alpha-1 antitrypsin (“AAT”). The lungs are normally protected from enzymatic degradation by neutrophil elastase by the AAT protein, but in severe AATD the AAT is either misfolded and fails to be released into the circulation, inactive or completely missing. The degradation of tissue by unopposed neutrophil elastase leads to severe debilitating diseases, including early-onset pulmonary emphysema, a disease that irreversibly destroys the tissues that support lung function. There are an estimated 50,000 patients in North America and 60,000 patients in Europe with severe AATD, although due to underdiagnosis, there are estimated to be approximately 6,000 – 10,000 patients diagnosed in North America. BOS is a progressive, ultimately fatal fibrotic lung disease due to graft versus host disease following stem cell transplant, or lung transplant rejection. An estimated fifty percent of lung transplant recipients will develop BOS by five years post-transplant, with an average survival of less than five years. There are an estimated 10,000 people living with lung transplant and BOS in the US and Europe. Alvelestat is designed to inhibit NE, a neutrophil protease, which is a key enzyme involved in the destruction of lung tissue. We believe the inhibition of NE has the potential to protect patients with AATD from further lung damage. BOS is characterized by anti-organ auto-immune responses, either graft versus host (in SCT) or host versus graft (in lung transplant), exacerbated by elevated neutrophils in the lung and excess NE activity, leading to lung damage through elastin breakdown in the tissue and progressive fibrosis, and ultimately respiratory failure. By inhibiting NE, alvelestat will reduce the accelerating effects of NE-driven inflammation on BOS.</w:t>
      </w:r>
    </w:p>
    <w:p>
      <w:pPr>
        <w:spacing w:after="0" w:line="307" w:lineRule="exact"/>
        <w:rPr>
          <w:sz w:val="20"/>
          <w:szCs w:val="20"/>
          <w:color w:val="auto"/>
        </w:rPr>
      </w:pPr>
    </w:p>
    <w:p>
      <w:pPr>
        <w:jc w:val="both"/>
        <w:ind w:left="1320" w:right="280"/>
        <w:spacing w:after="0" w:line="287" w:lineRule="auto"/>
        <w:rPr>
          <w:sz w:val="20"/>
          <w:szCs w:val="20"/>
          <w:color w:val="auto"/>
        </w:rPr>
      </w:pPr>
      <w:r>
        <w:rPr>
          <w:rFonts w:ascii="Arial" w:cs="Arial" w:eastAsia="Arial" w:hAnsi="Arial"/>
          <w:sz w:val="19"/>
          <w:szCs w:val="19"/>
          <w:color w:val="auto"/>
        </w:rPr>
        <w:t>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These trials created a safety database of 1,149 subjects treated with alvelestat.</w:t>
      </w:r>
    </w:p>
    <w:p>
      <w:pPr>
        <w:spacing w:after="0" w:line="35" w:lineRule="exact"/>
        <w:rPr>
          <w:sz w:val="20"/>
          <w:szCs w:val="20"/>
          <w:color w:val="auto"/>
        </w:rPr>
      </w:pPr>
    </w:p>
    <w:p>
      <w:pPr>
        <w:ind w:left="1320" w:right="320"/>
        <w:spacing w:after="0" w:line="238" w:lineRule="auto"/>
        <w:rPr>
          <w:sz w:val="20"/>
          <w:szCs w:val="20"/>
          <w:color w:val="auto"/>
        </w:rPr>
      </w:pPr>
      <w:r>
        <w:rPr>
          <w:rFonts w:ascii="Arial" w:cs="Arial" w:eastAsia="Arial" w:hAnsi="Arial"/>
          <w:sz w:val="22"/>
          <w:szCs w:val="22"/>
          <w:color w:val="auto"/>
        </w:rPr>
        <w:t>We recently closed enrollment in a Phase 2 proof-of-concept clinical trial in patients with severe AATD in the United States and the EU and expect to report top-line data from this trial in early Q2 2022. An investigator-initiated complementary study, including testing of alvelestat on top of AAT replacement therapy in AATD is also underway in the US.</w:t>
      </w:r>
    </w:p>
    <w:p>
      <w:pPr>
        <w:spacing w:after="0" w:line="77" w:lineRule="exact"/>
        <w:rPr>
          <w:sz w:val="20"/>
          <w:szCs w:val="20"/>
          <w:color w:val="auto"/>
        </w:rPr>
      </w:pPr>
    </w:p>
    <w:p>
      <w:pPr>
        <w:jc w:val="both"/>
        <w:ind w:left="1320" w:right="40"/>
        <w:spacing w:after="0" w:line="271" w:lineRule="auto"/>
        <w:rPr>
          <w:sz w:val="20"/>
          <w:szCs w:val="20"/>
          <w:color w:val="auto"/>
        </w:rPr>
      </w:pPr>
      <w:r>
        <w:rPr>
          <w:rFonts w:ascii="Arial" w:cs="Arial" w:eastAsia="Arial" w:hAnsi="Arial"/>
          <w:sz w:val="19"/>
          <w:szCs w:val="19"/>
          <w:color w:val="auto"/>
        </w:rPr>
        <w:t>Emerging data on the potential of NE inhibition to reduce the inflammatory and thrombotic effects of Neutrophil Extracellular Traps (NETs) in COVID-19, led to the initiation of a study in this disease. The top-line results were reported in December 2021. The results demonstrated a safety profile consistent with previous studies, and in the alvelestat arm, a reduction (an improvement) of 2 points or more in the World Health Organization (WHO)</w:t>
      </w:r>
    </w:p>
    <w:p>
      <w:pPr>
        <w:spacing w:after="0" w:line="3" w:lineRule="exact"/>
        <w:rPr>
          <w:sz w:val="20"/>
          <w:szCs w:val="20"/>
          <w:color w:val="auto"/>
        </w:rPr>
      </w:pPr>
    </w:p>
    <w:p>
      <w:pPr>
        <w:ind w:left="1320" w:right="420"/>
        <w:spacing w:after="0" w:line="234" w:lineRule="auto"/>
        <w:rPr>
          <w:sz w:val="20"/>
          <w:szCs w:val="20"/>
          <w:color w:val="auto"/>
        </w:rPr>
      </w:pPr>
      <w:r>
        <w:rPr>
          <w:rFonts w:ascii="Arial" w:cs="Arial" w:eastAsia="Arial" w:hAnsi="Arial"/>
          <w:sz w:val="22"/>
          <w:szCs w:val="22"/>
          <w:color w:val="auto"/>
        </w:rPr>
        <w:t>Severity Score in 62.5% (5/9) of the patients versus 28.5% (2/7) in the placebo arm at day 5. At day 7 87.5% (7/8) patients in the alvelestat arm had improved by 2 points or more vs 57% (4/7) in the placebo arm. Inflammatory and pro-coagulopathy biomarkers were also supportive.</w:t>
      </w:r>
    </w:p>
    <w:p>
      <w:pPr>
        <w:spacing w:after="0" w:line="79" w:lineRule="exact"/>
        <w:rPr>
          <w:sz w:val="20"/>
          <w:szCs w:val="20"/>
          <w:color w:val="auto"/>
        </w:rPr>
      </w:pPr>
    </w:p>
    <w:p>
      <w:pPr>
        <w:ind w:left="1320" w:right="220"/>
        <w:spacing w:after="0" w:line="287" w:lineRule="auto"/>
        <w:rPr>
          <w:sz w:val="20"/>
          <w:szCs w:val="20"/>
          <w:color w:val="auto"/>
        </w:rPr>
      </w:pPr>
      <w:r>
        <w:rPr>
          <w:rFonts w:ascii="Arial" w:cs="Arial" w:eastAsia="Arial" w:hAnsi="Arial"/>
          <w:sz w:val="19"/>
          <w:szCs w:val="19"/>
          <w:color w:val="auto"/>
        </w:rPr>
        <w:t>An open-label Phase 1b/2 investigator-sponsored study in BOS following allogeneic stem cell transplant is ongoing. Interim results of Phase 1b were reported in December 2021 showing stabilization or improvement in lung function measured by Forced Expiratory Volume in 1 second, (FEV1) in 6 of 7 patients, and supportive biomarker responses, with reduction in neutrophil elastase and the mature elastin breakdown product</w:t>
      </w:r>
    </w:p>
    <w:p>
      <w:pPr>
        <w:sectPr>
          <w:pgSz w:w="11900" w:h="16956" w:orient="portrait"/>
          <w:cols w:equalWidth="0" w:num="1">
            <w:col w:w="11140"/>
          </w:cols>
          <w:pgMar w:left="320" w:top="486" w:right="439" w:bottom="0" w:gutter="0" w:footer="0" w:header="0"/>
        </w:sectPr>
      </w:pPr>
    </w:p>
    <w:bookmarkStart w:id="59" w:name="page60"/>
    <w:bookmarkEnd w:id="59"/>
    <w:p>
      <w:pPr>
        <w:ind w:left="435" w:right="320"/>
        <w:spacing w:after="0" w:line="251" w:lineRule="auto"/>
        <w:rPr>
          <w:sz w:val="20"/>
          <w:szCs w:val="20"/>
          <w:color w:val="auto"/>
        </w:rPr>
      </w:pPr>
      <w:r>
        <w:rPr>
          <w:rFonts w:ascii="Arial" w:cs="Arial" w:eastAsia="Arial" w:hAnsi="Arial"/>
          <w:sz w:val="22"/>
          <w:szCs w:val="22"/>
          <w:color w:val="auto"/>
        </w:rPr>
        <w:t>(desmosine) and reductions in markers of collagen synthesis associated with fibrosis. We expect to provide an update on this study and on the expansion into Phase 2 during 2022.</w:t>
      </w:r>
    </w:p>
    <w:p>
      <w:pPr>
        <w:spacing w:after="0" w:line="73" w:lineRule="exact"/>
        <w:rPr>
          <w:sz w:val="20"/>
          <w:szCs w:val="20"/>
          <w:color w:val="auto"/>
        </w:rPr>
      </w:pPr>
    </w:p>
    <w:p>
      <w:pPr>
        <w:ind w:left="535" w:right="60" w:hanging="535"/>
        <w:spacing w:after="0" w:line="245" w:lineRule="auto"/>
        <w:tabs>
          <w:tab w:leader="none" w:pos="535"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Setrusumab (BPS-804)</w:t>
      </w:r>
      <w:r>
        <w:rPr>
          <w:rFonts w:ascii="Arial" w:cs="Arial" w:eastAsia="Arial" w:hAnsi="Arial"/>
          <w:sz w:val="21"/>
          <w:szCs w:val="21"/>
          <w:color w:val="auto"/>
        </w:rPr>
        <w:t>: Setrusumab is a novel antibody designed to inhibit sclerostin, a protein that inhibits</w:t>
      </w:r>
      <w:r>
        <w:rPr>
          <w:rFonts w:ascii="Arial" w:cs="Arial" w:eastAsia="Arial" w:hAnsi="Arial"/>
          <w:sz w:val="21"/>
          <w:szCs w:val="21"/>
          <w:b w:val="1"/>
          <w:bCs w:val="1"/>
          <w:color w:val="auto"/>
        </w:rPr>
        <w:t xml:space="preserve"> </w:t>
      </w:r>
      <w:r>
        <w:rPr>
          <w:rFonts w:ascii="Arial" w:cs="Arial" w:eastAsia="Arial" w:hAnsi="Arial"/>
          <w:sz w:val="21"/>
          <w:szCs w:val="21"/>
          <w:color w:val="auto"/>
        </w:rPr>
        <w:t>the activity of bone-forming cells. Inhibiting sclerostin has been shown to promote increases in bone mineral density through stimulation of bone-formation (through osteoblasts) and inhibition of bone-resorption (through osteoclasts). We are developing setrusumab as a treatment for OI, a rare genetic disease that results in bones that can break easily and is commonly known as brittle bone disease. OI is a debilitating orphan disease for which there are no treatments approved by the FDA or EMA. It is estimated that OI affects a minimum of 25,000 people in the United States and approximately an aggregate of 32,000 people in Germany, Spain, France, Italy and the United Kingdom. We believe setrusumab’s mechanism of action is well suited for the treatment of OI and has the potential to become a novel treatment option for patients that could reduce fractures and improve patient quality of life.</w:t>
      </w:r>
    </w:p>
    <w:p>
      <w:pPr>
        <w:spacing w:after="0" w:line="79" w:lineRule="exact"/>
        <w:rPr>
          <w:sz w:val="20"/>
          <w:szCs w:val="20"/>
          <w:color w:val="auto"/>
        </w:rPr>
      </w:pPr>
    </w:p>
    <w:p>
      <w:pPr>
        <w:ind w:left="435"/>
        <w:spacing w:after="0" w:line="244" w:lineRule="auto"/>
        <w:rPr>
          <w:sz w:val="20"/>
          <w:szCs w:val="20"/>
          <w:color w:val="auto"/>
        </w:rPr>
      </w:pPr>
      <w:r>
        <w:rPr>
          <w:rFonts w:ascii="Arial" w:cs="Arial" w:eastAsia="Arial" w:hAnsi="Arial"/>
          <w:sz w:val="21"/>
          <w:szCs w:val="21"/>
          <w:color w:val="auto"/>
        </w:rPr>
        <w:t>Prior to our acquisition of setrusumab, Novartis conducted four clinical trials in 106 patients and healthy volunteers. In 2016, we obtained orphan drug designation in OI for setrusumab in the United States and the EU and, in November 2017, it was accepted into the Priority Medicines scheme (“PRIME”) of the EMA. In September 2020 we received rare pediatric disease designation for setrusumab in OI from the FDA. In November 2019 we reported top-line data on a Phase 2b clinical trial of setrusumab for adults with OI. The Phase 2b was a dose ranging study with three blinded arms at high, medium and low doses to establish the dose response curve and an open label arm at the top dose. Setrusumab demonstrated statistically significant improvements in bone formation biomarkers and bone mineral density (measured by Dual Energy X-ray Absorptiometry) and a trend to a reduction in fractures at the high dose, compared to the other doses, even though the study was not powered for fracture reduction. The results support the progression of setrusumab into a pediatric pivotal study in OI. The data was also presented, as a podium presentation, at the American Society of Bone and Mineral Research (“ASBMR”) in October 2021.</w:t>
      </w:r>
    </w:p>
    <w:p>
      <w:pPr>
        <w:spacing w:after="0" w:line="118" w:lineRule="exact"/>
        <w:rPr>
          <w:sz w:val="20"/>
          <w:szCs w:val="20"/>
          <w:color w:val="auto"/>
        </w:rPr>
      </w:pPr>
    </w:p>
    <w:p>
      <w:pPr>
        <w:ind w:left="4635"/>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255"/>
          </w:cols>
          <w:pgMar w:left="1205" w:top="118"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320" w:right="180"/>
        <w:spacing w:after="0" w:line="297" w:lineRule="auto"/>
        <w:rPr>
          <w:sz w:val="20"/>
          <w:szCs w:val="20"/>
          <w:color w:val="auto"/>
        </w:rPr>
      </w:pPr>
      <w:r>
        <w:rPr>
          <w:rFonts w:ascii="Arial" w:cs="Arial" w:eastAsia="Arial" w:hAnsi="Arial"/>
          <w:sz w:val="19"/>
          <w:szCs w:val="19"/>
          <w:color w:val="auto"/>
        </w:rPr>
        <w:t>We completed a Type B end of Phase 2b meeting with the FDA in February 2020, a priority medicines scheme (PRIME) meeting with the EMA in May 2020 and sought scientific advice from the EMA in December 2020. These meetings resulted in alignment between the regulators on a Phase 2/3 pediatric study in children with OI.</w:t>
      </w:r>
    </w:p>
    <w:p>
      <w:pPr>
        <w:spacing w:after="0" w:line="26" w:lineRule="exact"/>
        <w:rPr>
          <w:sz w:val="20"/>
          <w:szCs w:val="20"/>
          <w:color w:val="auto"/>
        </w:rPr>
      </w:pPr>
    </w:p>
    <w:p>
      <w:pPr>
        <w:ind w:left="1320" w:right="220"/>
        <w:spacing w:after="0" w:line="282" w:lineRule="auto"/>
        <w:rPr>
          <w:sz w:val="20"/>
          <w:szCs w:val="20"/>
          <w:color w:val="auto"/>
        </w:rPr>
      </w:pPr>
      <w:r>
        <w:rPr>
          <w:rFonts w:ascii="Arial" w:cs="Arial" w:eastAsia="Arial" w:hAnsi="Arial"/>
          <w:sz w:val="19"/>
          <w:szCs w:val="19"/>
          <w:color w:val="auto"/>
        </w:rPr>
        <w:t>In December 2020 we announced a partnership with Ultragenyx for the development of setrusumab for OI. Under the terms of the partnership,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w:t>
      </w:r>
    </w:p>
    <w:p>
      <w:pPr>
        <w:spacing w:after="0" w:line="39" w:lineRule="exact"/>
        <w:rPr>
          <w:sz w:val="20"/>
          <w:szCs w:val="20"/>
          <w:color w:val="auto"/>
        </w:rPr>
      </w:pPr>
    </w:p>
    <w:p>
      <w:pPr>
        <w:ind w:left="1320"/>
        <w:spacing w:after="0" w:line="234" w:lineRule="auto"/>
        <w:rPr>
          <w:sz w:val="20"/>
          <w:szCs w:val="20"/>
          <w:color w:val="auto"/>
        </w:rPr>
      </w:pPr>
      <w:r>
        <w:rPr>
          <w:rFonts w:ascii="Arial" w:cs="Arial" w:eastAsia="Arial" w:hAnsi="Arial"/>
          <w:sz w:val="22"/>
          <w:szCs w:val="22"/>
          <w:color w:val="auto"/>
        </w:rPr>
        <w:t>Ultragenyx made an upfront payment of $50 million to Mereo and will fund global development of the program until approval and has agreed to pay a total of up to $254 million upon achievement of certain clinical, regulatory and commercial milestones. Ultragenyx will pay tiered double digit percentage royalties to us on net sales outside of Europe and the U.K. and we will pay a fixed double digit percentage royalty to Ultragenyx on net sales in Europe and the U.K. Under the terms of our 2015 agreement with Novartis, we will pay Novartis a percentage of proceeds, subject to certain deductions, with Mereo receiving a substantial majority of the payments from Ultragenyx.</w:t>
      </w:r>
    </w:p>
    <w:p>
      <w:pPr>
        <w:spacing w:after="0" w:line="83" w:lineRule="exact"/>
        <w:rPr>
          <w:sz w:val="20"/>
          <w:szCs w:val="20"/>
          <w:color w:val="auto"/>
        </w:rPr>
      </w:pPr>
    </w:p>
    <w:p>
      <w:pPr>
        <w:ind w:left="1320" w:right="260"/>
        <w:spacing w:after="0" w:line="277" w:lineRule="auto"/>
        <w:rPr>
          <w:sz w:val="20"/>
          <w:szCs w:val="20"/>
          <w:color w:val="auto"/>
        </w:rPr>
      </w:pPr>
      <w:r>
        <w:rPr>
          <w:rFonts w:ascii="Arial" w:cs="Arial" w:eastAsia="Arial" w:hAnsi="Arial"/>
          <w:sz w:val="19"/>
          <w:szCs w:val="19"/>
          <w:color w:val="auto"/>
        </w:rPr>
        <w:t>Ultragenyx plans to start a pediatric and young adult Phase 2/3 study in the first half of 2022. The objective of the Phase 2/3 study will first focus on determining the optimal dose based on increases in collagen production using serum P1NP levels and an acceptable safety profile. Following determination of the dose, Ultragenyx currently intend to adapt the study into a pivotal Phase 3 stage, evaluating fracture reduction over an estimated 15 to 24 months as the primary endpoint, subject to regulatory review. Ultragenyx currently expect a separate Phase 2 study of patients under age five with OI to start in the second half of 2022. Ultragenyx will, also, continue to evaluate adult patients who were previously treated in the ASTEROID study.</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Non-Core Partnering Portfolio</w:t>
      </w:r>
    </w:p>
    <w:p>
      <w:pPr>
        <w:spacing w:after="0" w:line="98" w:lineRule="exact"/>
        <w:rPr>
          <w:sz w:val="20"/>
          <w:szCs w:val="20"/>
          <w:color w:val="auto"/>
        </w:rPr>
      </w:pPr>
    </w:p>
    <w:p>
      <w:pPr>
        <w:ind w:left="1320" w:right="720"/>
        <w:spacing w:after="0" w:line="250" w:lineRule="auto"/>
        <w:rPr>
          <w:sz w:val="20"/>
          <w:szCs w:val="20"/>
          <w:color w:val="auto"/>
        </w:rPr>
      </w:pPr>
      <w:r>
        <w:rPr>
          <w:rFonts w:ascii="Arial" w:cs="Arial" w:eastAsia="Arial" w:hAnsi="Arial"/>
          <w:sz w:val="22"/>
          <w:szCs w:val="22"/>
          <w:color w:val="auto"/>
        </w:rPr>
        <w:t>Following completion of successful Phase 1 or Phase 2 studies the products below are either partnered or programs which we intend to out-license or sell.</w:t>
      </w:r>
    </w:p>
    <w:p>
      <w:pPr>
        <w:spacing w:after="0" w:line="74" w:lineRule="exact"/>
        <w:rPr>
          <w:sz w:val="20"/>
          <w:szCs w:val="20"/>
          <w:color w:val="auto"/>
        </w:rPr>
      </w:pPr>
    </w:p>
    <w:p>
      <w:pPr>
        <w:ind w:left="1420" w:hanging="535"/>
        <w:spacing w:after="0" w:line="280" w:lineRule="auto"/>
        <w:tabs>
          <w:tab w:leader="none" w:pos="142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Acumapimod (BCT-197): </w:t>
      </w:r>
      <w:r>
        <w:rPr>
          <w:rFonts w:ascii="Arial" w:cs="Arial" w:eastAsia="Arial" w:hAnsi="Arial"/>
          <w:sz w:val="19"/>
          <w:szCs w:val="19"/>
          <w:color w:val="auto"/>
        </w:rPr>
        <w:t>Acumapimod is a p38 MAP kinase inhibitor therapy for treatment of severe acute</w:t>
      </w:r>
      <w:r>
        <w:rPr>
          <w:rFonts w:ascii="Arial" w:cs="Arial" w:eastAsia="Arial" w:hAnsi="Arial"/>
          <w:sz w:val="19"/>
          <w:szCs w:val="19"/>
          <w:b w:val="1"/>
          <w:bCs w:val="1"/>
          <w:color w:val="auto"/>
        </w:rPr>
        <w:t xml:space="preserve"> </w:t>
      </w:r>
      <w:r>
        <w:rPr>
          <w:rFonts w:ascii="Arial" w:cs="Arial" w:eastAsia="Arial" w:hAnsi="Arial"/>
          <w:sz w:val="19"/>
          <w:szCs w:val="19"/>
          <w:color w:val="auto"/>
        </w:rPr>
        <w:t>exacerbations of COPD (AECOPD). In a Phase 2 trial, acumapimod given over 5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 and we intend to explore out-licensing or sale opportunities with third parties for the further development of acumapimod</w:t>
      </w:r>
      <w:r>
        <w:rPr>
          <w:rFonts w:ascii="Arial" w:cs="Arial" w:eastAsia="Arial" w:hAnsi="Arial"/>
          <w:sz w:val="19"/>
          <w:szCs w:val="19"/>
          <w:b w:val="1"/>
          <w:bCs w:val="1"/>
          <w:color w:val="auto"/>
        </w:rPr>
        <w:t>.</w:t>
      </w:r>
    </w:p>
    <w:p>
      <w:pPr>
        <w:spacing w:after="0" w:line="50" w:lineRule="exact"/>
        <w:rPr>
          <w:rFonts w:ascii="Arial" w:cs="Arial" w:eastAsia="Arial" w:hAnsi="Arial"/>
          <w:sz w:val="19"/>
          <w:szCs w:val="19"/>
          <w:color w:val="auto"/>
        </w:rPr>
      </w:pPr>
    </w:p>
    <w:p>
      <w:pPr>
        <w:ind w:left="1420" w:right="100" w:hanging="535"/>
        <w:spacing w:after="0" w:line="236" w:lineRule="auto"/>
        <w:tabs>
          <w:tab w:leader="none" w:pos="142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Leflutrozole (BGS-649): </w:t>
      </w:r>
      <w:r>
        <w:rPr>
          <w:rFonts w:ascii="Arial" w:cs="Arial" w:eastAsia="Arial" w:hAnsi="Arial"/>
          <w:sz w:val="22"/>
          <w:szCs w:val="22"/>
          <w:color w:val="auto"/>
        </w:rPr>
        <w:t>Leflutrozole is an oral inhibitor of aromatase for the treatment of male infertility</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associated with HH. Excess aromatase in fat tissue reduces testosterone, LH and FSH, leading to HH. In Phase 2 trials, leflutrozole normalized testosterone, increased LH and FSH and was reported to be well-tolerated. Effects on sperm counts supported that future development of leflutrozole should focus on male infertility associated with HH. We intend to explore out-licensing or sale opportunities with third parties for the further development of leflutrozole.</w:t>
      </w:r>
    </w:p>
    <w:p>
      <w:pPr>
        <w:spacing w:after="0" w:line="87" w:lineRule="exact"/>
        <w:rPr>
          <w:rFonts w:ascii="Arial" w:cs="Arial" w:eastAsia="Arial" w:hAnsi="Arial"/>
          <w:sz w:val="22"/>
          <w:szCs w:val="22"/>
          <w:color w:val="auto"/>
        </w:rPr>
      </w:pPr>
    </w:p>
    <w:p>
      <w:pPr>
        <w:jc w:val="both"/>
        <w:ind w:left="1420" w:right="460" w:hanging="535"/>
        <w:spacing w:after="0" w:line="275" w:lineRule="auto"/>
        <w:tabs>
          <w:tab w:leader="none" w:pos="142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Navicixizumab (OMP-305B83)</w:t>
      </w:r>
      <w:r>
        <w:rPr>
          <w:rFonts w:ascii="Arial" w:cs="Arial" w:eastAsia="Arial" w:hAnsi="Arial"/>
          <w:sz w:val="19"/>
          <w:szCs w:val="19"/>
          <w:color w:val="auto"/>
        </w:rPr>
        <w:t>: Navi is a bispecific antibody that inhibits delta-like ligand 4 (DLL4) and</w:t>
      </w:r>
      <w:r>
        <w:rPr>
          <w:rFonts w:ascii="Arial" w:cs="Arial" w:eastAsia="Arial" w:hAnsi="Arial"/>
          <w:sz w:val="19"/>
          <w:szCs w:val="19"/>
          <w:b w:val="1"/>
          <w:bCs w:val="1"/>
          <w:color w:val="auto"/>
        </w:rPr>
        <w:t xml:space="preserve"> </w:t>
      </w:r>
      <w:r>
        <w:rPr>
          <w:rFonts w:ascii="Arial" w:cs="Arial" w:eastAsia="Arial" w:hAnsi="Arial"/>
          <w:sz w:val="19"/>
          <w:szCs w:val="19"/>
          <w:color w:val="auto"/>
        </w:rPr>
        <w:t>vascular endothelial growth factor (VEGF). We acquired this therapeutic product in the merger with Mereo BioPharma 5 (formerly OncoMed). In a Phase 1a clinical trial, Navi demonstrated single agent activity.</w:t>
      </w:r>
    </w:p>
    <w:p>
      <w:pPr>
        <w:spacing w:after="0" w:line="1" w:lineRule="exact"/>
        <w:rPr>
          <w:rFonts w:ascii="Arial" w:cs="Arial" w:eastAsia="Arial" w:hAnsi="Arial"/>
          <w:sz w:val="19"/>
          <w:szCs w:val="19"/>
          <w:color w:val="auto"/>
        </w:rPr>
      </w:pPr>
    </w:p>
    <w:p>
      <w:pPr>
        <w:ind w:left="1420" w:right="40"/>
        <w:spacing w:after="0" w:line="273" w:lineRule="auto"/>
        <w:rPr>
          <w:rFonts w:ascii="Arial" w:cs="Arial" w:eastAsia="Arial" w:hAnsi="Arial"/>
          <w:sz w:val="19"/>
          <w:szCs w:val="19"/>
          <w:color w:val="auto"/>
        </w:rPr>
      </w:pPr>
      <w:r>
        <w:rPr>
          <w:rFonts w:ascii="Arial" w:cs="Arial" w:eastAsia="Arial" w:hAnsi="Arial"/>
          <w:sz w:val="19"/>
          <w:szCs w:val="19"/>
          <w:color w:val="auto"/>
        </w:rPr>
        <w:t>Following this we conducted a Phase 1b clinical trial in ovarian cancer, in combination with paclitaxel, in platinum-resistant ovarian cancer. A successful FDA Type B meeting was held in July 2019 and the potential for accelerated approval was discussed. Navicixizumab has also been granted Fast Track Approval by the FDA. In January 2020, Navi was licensed by the Company to OncXerna pursuant to the terms of a global licensing agreement. Under the terms of the contingent value rights agreement between us and Computershare from April 2019 (the “Mereo CVR Agreement”), the holders of contingent value rights are entitled to receive the benefit of certain cash milestone payments made to Mereo under the license agreement. Pursuant to the terms of the</w:t>
      </w:r>
    </w:p>
    <w:p>
      <w:pPr>
        <w:sectPr>
          <w:pgSz w:w="11900" w:h="16838" w:orient="portrait"/>
          <w:cols w:equalWidth="0" w:num="1">
            <w:col w:w="11140"/>
          </w:cols>
          <w:pgMar w:left="320" w:top="486" w:right="439" w:bottom="1440" w:gutter="0" w:footer="0" w:header="0"/>
        </w:sectPr>
      </w:pP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140"/>
          </w:cols>
          <w:pgMar w:left="320" w:top="486"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320"/>
        <w:spacing w:after="0" w:line="246" w:lineRule="auto"/>
        <w:rPr>
          <w:sz w:val="20"/>
          <w:szCs w:val="20"/>
          <w:color w:val="auto"/>
        </w:rPr>
      </w:pPr>
      <w:r>
        <w:rPr>
          <w:rFonts w:ascii="Arial" w:cs="Arial" w:eastAsia="Arial" w:hAnsi="Arial"/>
          <w:sz w:val="21"/>
          <w:szCs w:val="21"/>
          <w:color w:val="auto"/>
        </w:rPr>
        <w:t>Mereo CVR Agreement, if a milestone occurs prior to the fifth anniversary of the closing of the Merger, April 23, 2024, then holders of CVRs will be entitled to receive an amount in cash equal to 70% of the aggregate principal amount received by Mereo after deduction of costs, charges and expenditures set out in detail in the Mereo CVR Agreement. Such milestone payments are also subject to a cash consideration cap, pursuant to which the aggregate principal amount of all cash payments made to holders of CVRs under the Mereo CVR Agreement shall in no case exceed $79.7 million. See “—Material Agreements—CVR Agreement Between Us and Computershare—The NAVI Milestones.”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Strategy</w:t>
      </w:r>
    </w:p>
    <w:p>
      <w:pPr>
        <w:spacing w:after="0" w:line="104" w:lineRule="exact"/>
        <w:rPr>
          <w:sz w:val="20"/>
          <w:szCs w:val="20"/>
          <w:color w:val="auto"/>
        </w:rPr>
      </w:pPr>
    </w:p>
    <w:p>
      <w:pPr>
        <w:ind w:left="120" w:right="480" w:firstLine="551"/>
        <w:spacing w:after="0" w:line="328" w:lineRule="auto"/>
        <w:rPr>
          <w:sz w:val="20"/>
          <w:szCs w:val="20"/>
          <w:color w:val="auto"/>
        </w:rPr>
      </w:pPr>
      <w:r>
        <w:rPr>
          <w:rFonts w:ascii="Arial" w:cs="Arial" w:eastAsia="Arial" w:hAnsi="Arial"/>
          <w:sz w:val="19"/>
          <w:szCs w:val="19"/>
          <w:color w:val="auto"/>
        </w:rPr>
        <w:t>We intend to become a leading biopharmaceutical company developing innovative therapeutics that aim to improve outcomes for patients with rare diseases oncology. The key elements of our strategy to achieve this goal include:</w:t>
      </w:r>
    </w:p>
    <w:p>
      <w:pPr>
        <w:spacing w:after="0" w:line="10" w:lineRule="exact"/>
        <w:rPr>
          <w:sz w:val="20"/>
          <w:szCs w:val="20"/>
          <w:color w:val="auto"/>
        </w:rPr>
      </w:pPr>
    </w:p>
    <w:p>
      <w:pPr>
        <w:ind w:left="1420" w:right="20" w:hanging="535"/>
        <w:spacing w:after="0" w:line="268" w:lineRule="auto"/>
        <w:tabs>
          <w:tab w:leader="none" w:pos="1420"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Rapidly develop our product candidates and potentially commercialize our rare disease product candidates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Etigilimab, our lead oncology program, has completed a Phase 1a dose escalating monotherapy study and has been evaluated in a Phase 1b combination study with nivolumab in a range of tumor types. We have advanced etigilimab into an open label Phase 1b/2 basket study evaluating our anti- TIGIT in combination with nivolumab in a range of tumor types including three rare tumors, sarcoma, uveal melanoma and germ cell cancer, three gynecological carcinomas, cervical, endometrial and ovarian carcinomas and tumors with high mutation burden. We reported interim data from this Phase 1b/2 basket study in November 2021 and expect to provide an additional update in mid-2022. We have an on-going Phase 2 proof-of-concept clinical trial of alvelestat for the treatment of severe AATD which we closed to enrollment in late 2021 and now expect to report top-line data from this trial in early Q2 2022. If the results are favorable and pending regulatory feedback, we will determine the optimum path forward for development of alvelestat towards approval and commercialization. We also announced the completion and top-line data of a Phase 1b/2 placebo-controlled clinical trial to evaluate the safety and efficacy of alvelestat in hospitalized adult patients with moderate to severe COVID-19 respiratory disease. The investigator-sponsored Phase 1b/2 study in BOS following SCT has completed the Phase 1b stage (10 patients) and is expected to commence Phase 2 in the second half of 2022 to evaluate clinical efficacy on lung function (FEV1) in a 6-month study in up to an additional 24 patients, with expansion for responders to 12 months. We have completed and announced top-line data on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were followed for a further twelve months to examine the off-effects of setrusumab. In September 2020, the FDA granted Rare Pediatric Disease designation to setrusumab for the treatment of OI. Following our completion of the Phase 2b ASTEROID study, we met with both the FDA (end-of-Phase 2 (EOP2) meeting in February 2020) and the EMA (PRIME meeting in May 2020) to discuss the principles of a design of a single Phase 2/3 registrational pediatric study in OI. In December 2020, we signed a license and collaboration agreement for setrusumab in OI with Ultragenyx Pharmaceutical Inc. Ultragenyx plans to start a Phase 2/3 study in young adults and pediatric patients (5-25 years old) in the first half of 2022 and to provide an update on the Phase 2 dose ranging part of this study in the second half of 2022. Following selection of the dose for the Phase 3 study, Ultragenyx intend to initiate an additional registrational trial in young pediatric patients (2-4 years old) in the second half of 2022. We intend to commercialize our rare disease product candidates where it makes strategic sense to do so. For example, in our global licensing collaboration with Ultragenyx we have retained commercial rights to setrusumab for children and adults with OI in the EU and U.K.</w:t>
      </w:r>
    </w:p>
    <w:p>
      <w:pPr>
        <w:spacing w:after="0" w:line="334" w:lineRule="exact"/>
        <w:rPr>
          <w:rFonts w:ascii="Arial" w:cs="Arial" w:eastAsia="Arial" w:hAnsi="Arial"/>
          <w:sz w:val="19"/>
          <w:szCs w:val="19"/>
          <w:color w:val="auto"/>
        </w:rPr>
      </w:pPr>
    </w:p>
    <w:p>
      <w:pPr>
        <w:ind w:left="1420" w:right="40" w:hanging="535"/>
        <w:spacing w:after="0" w:line="274" w:lineRule="auto"/>
        <w:tabs>
          <w:tab w:leader="none" w:pos="1420"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Efficiently advance our other product candidates and explore out-licensing or sale opportunities with third parties for further clinical development and/or commercialization</w:t>
      </w:r>
      <w:r>
        <w:rPr>
          <w:rFonts w:ascii="Arial" w:cs="Arial" w:eastAsia="Arial" w:hAnsi="Arial"/>
          <w:sz w:val="19"/>
          <w:szCs w:val="19"/>
          <w:color w:val="auto"/>
        </w:rPr>
        <w:t>. Based on the results from our Phase 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clinical trial of acumapimod, we plan 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out-licensing or sale opportunities with third parties for the further development and commercialization of leflutrozole. Our second oncology product, navicixizumab, for the treatment of late line ovarian cancer, has completed a Phase 1 study and has been partnered on a global basis with OncXerna.</w:t>
      </w:r>
    </w:p>
    <w:p>
      <w:pPr>
        <w:spacing w:after="0" w:line="63" w:lineRule="exact"/>
        <w:rPr>
          <w:rFonts w:ascii="Arial" w:cs="Arial" w:eastAsia="Arial" w:hAnsi="Arial"/>
          <w:sz w:val="19"/>
          <w:szCs w:val="19"/>
          <w:color w:val="auto"/>
        </w:rPr>
      </w:pPr>
    </w:p>
    <w:p>
      <w:pPr>
        <w:ind w:left="1420" w:right="40" w:hanging="535"/>
        <w:spacing w:after="0" w:line="246" w:lineRule="auto"/>
        <w:tabs>
          <w:tab w:leader="none" w:pos="1420" w:val="left"/>
        </w:tabs>
        <w:numPr>
          <w:ilvl w:val="0"/>
          <w:numId w:val="48"/>
        </w:numPr>
        <w:rPr>
          <w:rFonts w:ascii="Arial" w:cs="Arial" w:eastAsia="Arial" w:hAnsi="Arial"/>
          <w:sz w:val="21"/>
          <w:szCs w:val="21"/>
          <w:color w:val="auto"/>
        </w:rPr>
      </w:pPr>
      <w:r>
        <w:rPr>
          <w:rFonts w:ascii="Arial" w:cs="Arial" w:eastAsia="Arial" w:hAnsi="Arial"/>
          <w:sz w:val="21"/>
          <w:szCs w:val="21"/>
          <w:b w:val="1"/>
          <w:bCs w:val="1"/>
          <w:i w:val="1"/>
          <w:iCs w:val="1"/>
          <w:color w:val="auto"/>
        </w:rPr>
        <w:t>Continue to be a partner of choice for pharmaceutical and biotechnology companies</w:t>
      </w:r>
      <w:r>
        <w:rPr>
          <w:rFonts w:ascii="Arial" w:cs="Arial" w:eastAsia="Arial" w:hAnsi="Arial"/>
          <w:sz w:val="21"/>
          <w:szCs w:val="21"/>
          <w:color w:val="auto"/>
        </w:rPr>
        <w:t>. We believe that we are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preferred partner for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pharmaceutical and biotechnology companies and that we believe to be mutually beneficial.</w:t>
      </w:r>
    </w:p>
    <w:p>
      <w:pPr>
        <w:sectPr>
          <w:pgSz w:w="11900" w:h="16838" w:orient="portrait"/>
          <w:cols w:equalWidth="0" w:num="1">
            <w:col w:w="11140"/>
          </w:cols>
          <w:pgMar w:left="320" w:top="486" w:right="439" w:bottom="0" w:gutter="0" w:footer="0" w:header="0"/>
        </w:sectPr>
      </w:pP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140"/>
          </w:cols>
          <w:pgMar w:left="320" w:top="486" w:right="439" w:bottom="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hanging="535"/>
        <w:spacing w:after="0" w:line="238" w:lineRule="auto"/>
        <w:tabs>
          <w:tab w:leader="none" w:pos="1420" w:val="left"/>
        </w:tabs>
        <w:numPr>
          <w:ilvl w:val="0"/>
          <w:numId w:val="49"/>
        </w:numPr>
        <w:rPr>
          <w:rFonts w:ascii="Arial" w:cs="Arial" w:eastAsia="Arial" w:hAnsi="Arial"/>
          <w:sz w:val="22"/>
          <w:szCs w:val="22"/>
          <w:color w:val="auto"/>
        </w:rPr>
      </w:pPr>
      <w:r>
        <w:rPr>
          <w:rFonts w:ascii="Arial" w:cs="Arial" w:eastAsia="Arial" w:hAnsi="Arial"/>
          <w:sz w:val="22"/>
          <w:szCs w:val="22"/>
          <w:b w:val="1"/>
          <w:bCs w:val="1"/>
          <w:i w:val="1"/>
          <w:iCs w:val="1"/>
          <w:color w:val="auto"/>
        </w:rPr>
        <w:t>Leverage our expertise in business development</w:t>
      </w:r>
      <w:r>
        <w:rPr>
          <w:rFonts w:ascii="Arial" w:cs="Arial" w:eastAsia="Arial" w:hAnsi="Arial"/>
          <w:sz w:val="22"/>
          <w:szCs w:val="22"/>
          <w:color w:val="auto"/>
        </w:rPr>
        <w:t>. Our senior management team has extensive relationships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large pharmaceutical and biotechnology companies. These relationships are important to us as we seek to form strategic partnerships on our product candidates and as appropriate, to grow our pipeline of product candidates in rare diseases.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Therapeutic Candidates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Etigilimab (MPH-313) for the Treatment of Advanced Solid Tumors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pacing w:after="0" w:line="98"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21"/>
          <w:szCs w:val="21"/>
          <w:color w:val="auto"/>
        </w:rPr>
        <w:t>We acquired etigilimab in the Merger with Mereo BioPharma 5 (formerly OncoMed Pharmaceuticals, Inc.) in 2019. TIGIT (T-cell immunoreceptor with Ig and ITIM domains) is an inhibitory receptor and via interactions with its ligands may block T-cells from attacking tumor cells. The anti-TIGIT therapeutic candidate, etigilimab, is an IgG1 human-specific antibody. It is intended to activate the immune system, through multiple mechanisms and enable anti- tumor activity. In preclinical studies with anti-TIGIT antibodies, immune activation and robust anti-tumor activity have been observed—both as a single agent and in combination with other cancer immunotherapeutics including anti-PD1. At the 2017 American Association of Cancer Research (“AACR”) meeting, preclinical data demonstrating the capacity of an anti-TIGIT antibody to induce long-term immune memory and durable anti-tumor response was presented. Also, at the 2018 AACR meeting data that showed that anti-TIGIT antibody treatment reduced the abundance of regulatory T-cells (Tregs) within tumors in animal models, and mechanistic studies that demonstrated an important contribution of effector function for anti-tumor efficacy in animal models was presented.</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Our Approach</w:t>
      </w:r>
    </w:p>
    <w:p>
      <w:pPr>
        <w:spacing w:after="0" w:line="98" w:lineRule="exact"/>
        <w:rPr>
          <w:sz w:val="20"/>
          <w:szCs w:val="20"/>
          <w:color w:val="auto"/>
        </w:rPr>
      </w:pPr>
    </w:p>
    <w:p>
      <w:pPr>
        <w:ind w:left="120" w:right="60" w:firstLine="551"/>
        <w:spacing w:after="0" w:line="272" w:lineRule="auto"/>
        <w:rPr>
          <w:sz w:val="20"/>
          <w:szCs w:val="20"/>
          <w:color w:val="auto"/>
        </w:rPr>
      </w:pPr>
      <w:r>
        <w:rPr>
          <w:rFonts w:ascii="Arial" w:cs="Arial" w:eastAsia="Arial" w:hAnsi="Arial"/>
          <w:sz w:val="19"/>
          <w:szCs w:val="19"/>
          <w:color w:val="auto"/>
        </w:rPr>
        <w:t>A Phase 1a/b clinical trial of etigilimab enrolled patients with advanced solid tumors into either a Phase 1a single-agent portion (dose escalation in all patients and expansion in selected tumor types) or Phase 1b combination portion in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six other tumor types. No dose limiting toxicities were observed in the Phase 1a or 1b portions of the study. The most common reported related TEAEs in the Phase 1a portion of the study were pruritus (4 patients, 17.4%) and fatigue, nausea, rash and maculopapular rash (each reported by 3 patients, 8.7%). In the Phase 1b portion of the study, the most common reported related TEAEs were fatigue (3 patients, 30.0%) and pruritus, rash, and pruritic rash (each reported by 2 patients, 20.0%). There was only one treatment-related serious adverse event in the Phase 1a portion (autoimmune hepatitis) and there were no treatment-related serious adverse events in the Phase 1b portion of the study.</w:t>
      </w:r>
    </w:p>
    <w:p>
      <w:pPr>
        <w:spacing w:after="0" w:line="156" w:lineRule="exact"/>
        <w:rPr>
          <w:sz w:val="20"/>
          <w:szCs w:val="20"/>
          <w:color w:val="auto"/>
        </w:rPr>
      </w:pPr>
    </w:p>
    <w:p>
      <w:pPr>
        <w:ind w:left="120" w:right="220" w:firstLine="551"/>
        <w:spacing w:after="0" w:line="235" w:lineRule="auto"/>
        <w:rPr>
          <w:sz w:val="20"/>
          <w:szCs w:val="20"/>
          <w:color w:val="auto"/>
        </w:rPr>
      </w:pPr>
      <w:r>
        <w:rPr>
          <w:rFonts w:ascii="Arial" w:cs="Arial" w:eastAsia="Arial" w:hAnsi="Arial"/>
          <w:sz w:val="22"/>
          <w:szCs w:val="22"/>
          <w:color w:val="auto"/>
        </w:rPr>
        <w:t>None of the patients in the Phase 1a portion had an objective response and 30% had stable disease. One of the ten patients in the Phase 1b portion had an objective response and one additional patient had stable disease. The study has now completed enrollment. A biomarker analysis of patients enrolled in the Phase 1a portion (single agent etigilimab) revealed a dose-dependent reduction of peripheral Tregulatory cells (Treg) with no change evident in circulating CD8 cells, resulting in an increased CD8/Treg ratio. The study also revealed increased proliferation and activation of effector Tcells and NK cells in response to etigilimab.</w:t>
      </w:r>
    </w:p>
    <w:p>
      <w:pPr>
        <w:spacing w:after="0" w:line="188" w:lineRule="exact"/>
        <w:rPr>
          <w:sz w:val="20"/>
          <w:szCs w:val="20"/>
          <w:color w:val="auto"/>
        </w:rPr>
      </w:pPr>
    </w:p>
    <w:p>
      <w:pPr>
        <w:ind w:left="120" w:right="120" w:firstLine="551"/>
        <w:spacing w:after="0" w:line="275" w:lineRule="auto"/>
        <w:rPr>
          <w:sz w:val="20"/>
          <w:szCs w:val="20"/>
          <w:color w:val="auto"/>
        </w:rPr>
      </w:pPr>
      <w:r>
        <w:rPr>
          <w:rFonts w:ascii="Arial" w:cs="Arial" w:eastAsia="Arial" w:hAnsi="Arial"/>
          <w:sz w:val="19"/>
          <w:szCs w:val="19"/>
          <w:color w:val="auto"/>
        </w:rPr>
        <w:t>We have advanced etigilimab into an open label Phase 1b/2 basket study in combination with an anti-PD-1 in a range of tumor types. This multi-center study is initially focused on three rare tumors, sarcoma, uveal melanoma and germ cell cancer, three gynecological carcinomas, cervical, endometrial and ovarian carcinomas and tumors with high mutation burden. These indications were selected based on observations of clinical activity in our prior Phase 1a/1b study and/or based on a comprehensive biomarker analysis of solid tumors which revealed tumor types with a high prevalence of expression of TIGIT and its principal ligand poliovirus receptor (PVR) and concordant expression of TIGIT and PD1. The selected tumor types have shown responsiveness to anti-PD1 therapies with response rates generally ranging from 5-20%. The combination of etigilimab and anti-PD1 may lead to improved responses in these patients.</w:t>
      </w:r>
    </w:p>
    <w:p>
      <w:pPr>
        <w:sectPr>
          <w:pgSz w:w="11900" w:h="16838" w:orient="portrait"/>
          <w:cols w:equalWidth="0" w:num="1">
            <w:col w:w="11140"/>
          </w:cols>
          <w:pgMar w:left="320" w:top="486" w:right="439" w:bottom="1440" w:gutter="0" w:footer="0" w:header="0"/>
        </w:sectPr>
      </w:pP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140"/>
          </w:cols>
          <w:pgMar w:left="320" w:top="486" w:right="439" w:bottom="1440" w:gutter="0" w:footer="0" w:header="0"/>
          <w:type w:val="continuous"/>
        </w:sectPr>
      </w:pPr>
    </w:p>
    <w:bookmarkStart w:id="63" w:name="page64"/>
    <w:bookmarkEnd w:id="63"/>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34" w:lineRule="auto"/>
        <w:rPr>
          <w:sz w:val="20"/>
          <w:szCs w:val="20"/>
          <w:color w:val="auto"/>
        </w:rPr>
      </w:pPr>
      <w:r>
        <w:rPr>
          <w:rFonts w:ascii="Arial" w:cs="Arial" w:eastAsia="Arial" w:hAnsi="Arial"/>
          <w:sz w:val="22"/>
          <w:szCs w:val="22"/>
          <w:color w:val="auto"/>
        </w:rPr>
        <w:t>The first stage of this trial is expected to enroll approximately 125 patients. The trial will evaluate objective response rate as a primary endpoint and will also evaluate safety, duration of response, pharmacokinetics, anti-drug antibodies, progression-free survival and additional secondary and exploratory endpoints. The study is designed to expand select cohorts of patients, based on outcomes, to further evaluate responses to etigilimab and anti-PD1. Biomarker analyses will be conducted on tumor tissues and blood samples from treated patients, including quantification of levels of tumor- associated TIGIT, PVR and related biomarkers to evaluate their potential utility for selecting patients most likely to respond to the combination of etigilimab and anti-PD1.</w:t>
      </w:r>
    </w:p>
    <w:p>
      <w:pPr>
        <w:spacing w:after="0" w:line="191" w:lineRule="exact"/>
        <w:rPr>
          <w:sz w:val="20"/>
          <w:szCs w:val="20"/>
          <w:color w:val="auto"/>
        </w:rPr>
      </w:pPr>
    </w:p>
    <w:p>
      <w:pPr>
        <w:ind w:left="120" w:right="100"/>
        <w:spacing w:after="0"/>
        <w:rPr>
          <w:sz w:val="20"/>
          <w:szCs w:val="20"/>
          <w:color w:val="auto"/>
        </w:rPr>
      </w:pPr>
      <w:r>
        <w:rPr>
          <w:rFonts w:ascii="Arial" w:cs="Arial" w:eastAsia="Arial" w:hAnsi="Arial"/>
          <w:sz w:val="22"/>
          <w:szCs w:val="22"/>
          <w:color w:val="auto"/>
        </w:rPr>
        <w:t>We reported interim data on this study on November 30, 2021. At the time of the data cut-off, 22 patients were included in the safety analysis set, 20 patients were evaluable with a minimum of at least one scan, and 15 patients were included in the efficacy analysis population.</w:t>
      </w:r>
    </w:p>
    <w:p>
      <w:pPr>
        <w:spacing w:after="0" w:line="186" w:lineRule="exact"/>
        <w:rPr>
          <w:sz w:val="20"/>
          <w:szCs w:val="20"/>
          <w:color w:val="auto"/>
        </w:rPr>
      </w:pPr>
    </w:p>
    <w:p>
      <w:pPr>
        <w:ind w:left="120" w:right="200"/>
        <w:spacing w:after="0" w:line="236" w:lineRule="auto"/>
        <w:rPr>
          <w:sz w:val="20"/>
          <w:szCs w:val="20"/>
          <w:color w:val="auto"/>
        </w:rPr>
      </w:pPr>
      <w:r>
        <w:rPr>
          <w:rFonts w:ascii="Arial" w:cs="Arial" w:eastAsia="Arial" w:hAnsi="Arial"/>
          <w:sz w:val="22"/>
          <w:szCs w:val="22"/>
          <w:color w:val="auto"/>
        </w:rPr>
        <w:t>As at the cut-off date, there was one complete response in cervical cancer, one partial response in ovarian cancer and four instances of stable disease in ovarian cancer, cervical cancer and uveal melanoma. The combination of etigilimab and nivolumab has been safe and well tolerated with no new safety signals. The most common treatment-related adverse events were skin reactions, observed in seven patients, with none of these reactions required treatment with systemic steroids. There was one case of immune diabetes mellitus.</w:t>
      </w:r>
    </w:p>
    <w:p>
      <w:pPr>
        <w:spacing w:after="0" w:line="187" w:lineRule="exact"/>
        <w:rPr>
          <w:sz w:val="20"/>
          <w:szCs w:val="20"/>
          <w:color w:val="auto"/>
        </w:rPr>
      </w:pPr>
    </w:p>
    <w:p>
      <w:pPr>
        <w:ind w:left="120" w:firstLine="551"/>
        <w:spacing w:after="0" w:line="235" w:lineRule="auto"/>
        <w:rPr>
          <w:sz w:val="20"/>
          <w:szCs w:val="20"/>
          <w:color w:val="auto"/>
        </w:rPr>
      </w:pPr>
      <w:r>
        <w:rPr>
          <w:rFonts w:ascii="Arial" w:cs="Arial" w:eastAsia="Arial" w:hAnsi="Arial"/>
          <w:sz w:val="22"/>
          <w:szCs w:val="22"/>
          <w:color w:val="auto"/>
        </w:rPr>
        <w:t>In April 2021, the Company entered into a partnership with Cancer Focus Fund for a Phase 1b/2 study of etigilimab in clear cell ovarian cancer to be conducted at The University of Texas MD Anderson Cancer Center. The Phase 1b/2 study of etigilimab in combination with nivolumab, in clear cell ovarian cancer, is being financed by Cancer Focus Fund in exchange for upfront consideration of $1.5 million of the Company’s shares and additional payments based on the achievement of certain milestones. Clear cell ovarian cancer is a rare cancer that accounts for approximately 5 to 10% of all ovarian carcimomas in North America.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expect to provide an update on the Phase 1b/2 basket study of etigilimab in combination with nivolumab in mid-</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worldwide rights to etigilimab.</w:t>
      </w:r>
    </w:p>
    <w:p>
      <w:pPr>
        <w:spacing w:after="0" w:line="308" w:lineRule="exact"/>
        <w:rPr>
          <w:sz w:val="20"/>
          <w:szCs w:val="20"/>
          <w:color w:val="auto"/>
        </w:rPr>
      </w:pPr>
    </w:p>
    <w:p>
      <w:pPr>
        <w:ind w:left="120" w:right="920"/>
        <w:spacing w:after="0" w:line="256" w:lineRule="auto"/>
        <w:rPr>
          <w:sz w:val="20"/>
          <w:szCs w:val="20"/>
          <w:color w:val="auto"/>
        </w:rPr>
      </w:pPr>
      <w:r>
        <w:rPr>
          <w:rFonts w:ascii="Arial" w:cs="Arial" w:eastAsia="Arial" w:hAnsi="Arial"/>
          <w:sz w:val="22"/>
          <w:szCs w:val="22"/>
          <w:b w:val="1"/>
          <w:bCs w:val="1"/>
          <w:color w:val="auto"/>
        </w:rPr>
        <w:t>Alvelestat (MPH-966) for the Treatment of Severe Alpha-1-Antitrypsin Deficiency (“AATD”) and Brochiolitis Obliterans Syndrome (“BOS”)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pacing w:after="0" w:line="98" w:lineRule="exact"/>
        <w:rPr>
          <w:sz w:val="20"/>
          <w:szCs w:val="20"/>
          <w:color w:val="auto"/>
        </w:rPr>
      </w:pPr>
    </w:p>
    <w:p>
      <w:pPr>
        <w:ind w:left="120" w:firstLine="551"/>
        <w:spacing w:after="0" w:line="245" w:lineRule="auto"/>
        <w:rPr>
          <w:sz w:val="20"/>
          <w:szCs w:val="20"/>
          <w:color w:val="auto"/>
        </w:rPr>
      </w:pPr>
      <w:r>
        <w:rPr>
          <w:rFonts w:ascii="Arial" w:cs="Arial" w:eastAsia="Arial" w:hAnsi="Arial"/>
          <w:sz w:val="21"/>
          <w:szCs w:val="21"/>
          <w:color w:val="auto"/>
        </w:rPr>
        <w:t>We are developing alvelestat for the treatment of severe AATD and BOS. AATD is a potentially life-threatening rare, genetic condition that results in severe debilitating diseases, including early-onset pulmonary emphysema. Alvelestat is a novel, oral small molecule designed to inhibit NE. Scientific data indicate that the increased risk of lung tissue injury in AATD patients may be due to inadequately controlled NE caused by insufficient AAT. We believe that by inhibiting NE, alvelestat has the potential to reduce the destruction of lung tissue and stabilize clinical deterioration in severe AATD patients. BOS is characterized by anti-organ auto-immune responses, either graft versus host (in SCT) or host versus graft (in lung transplant), exacerbated by elevated neutrophils in the lung and excess NE activity, leading to lung damage through elastin breakdown in the tissue and progressive fibrosis, and ultimately respiratory failure. By inhibiting NE, alvelestat will reduce the accelerating effects of NE-driven inflammation on BOS.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Background of Alpha-1-Antitrypsin Deficiency and Bronchiolitis Obliterans Syndrome</w:t>
      </w:r>
    </w:p>
    <w:p>
      <w:pPr>
        <w:spacing w:after="0" w:line="98"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9"/>
          <w:szCs w:val="19"/>
          <w:color w:val="auto"/>
        </w:rPr>
        <w:t>AATD is a genetic disease. There are estimated to be 50,000 people in North America and 60,000 in Europe with severe AATD, which we define as AATD in patients with either a PiZZ genotype or Null/Null genotype although there are approximately only 10,000 people diagnosed in North America. The major function of AAT in the lungs is to protect the connective tissue from NE released from triggered neutrophils. In the majority of people, the lungs are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157"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184" w:lineRule="exact"/>
        <w:rPr>
          <w:sz w:val="20"/>
          <w:szCs w:val="20"/>
          <w:color w:val="auto"/>
        </w:rPr>
      </w:pPr>
    </w:p>
    <w:p>
      <w:pPr>
        <w:ind w:left="120" w:right="80" w:firstLine="551"/>
        <w:spacing w:after="0" w:line="328" w:lineRule="auto"/>
        <w:rPr>
          <w:sz w:val="20"/>
          <w:szCs w:val="20"/>
          <w:color w:val="auto"/>
        </w:rPr>
      </w:pPr>
      <w:r>
        <w:rPr>
          <w:rFonts w:ascii="Arial" w:cs="Arial" w:eastAsia="Arial" w:hAnsi="Arial"/>
          <w:sz w:val="19"/>
          <w:szCs w:val="19"/>
          <w:color w:val="auto"/>
        </w:rPr>
        <w:t>BOS is a rare progressive fibrosing disease of the lungs affecting approximately 6% of the estimated 12,000 stem cell transplants a year in the United States, often as part of graft versus host disease. For lung transplants, approximately 5% of the</w:t>
      </w:r>
    </w:p>
    <w:p>
      <w:pPr>
        <w:sectPr>
          <w:pgSz w:w="11900" w:h="16913" w:orient="portrait"/>
          <w:cols w:equalWidth="0" w:num="1">
            <w:col w:w="11120"/>
          </w:cols>
          <w:pgMar w:left="320" w:top="486" w:right="459" w:bottom="0" w:gutter="0" w:footer="0" w:header="0"/>
        </w:sectPr>
      </w:pPr>
    </w:p>
    <w:bookmarkStart w:id="64" w:name="page65"/>
    <w:bookmarkEnd w:id="64"/>
    <w:p>
      <w:pPr>
        <w:ind w:right="120"/>
        <w:spacing w:after="0" w:line="241" w:lineRule="auto"/>
        <w:rPr>
          <w:sz w:val="20"/>
          <w:szCs w:val="20"/>
          <w:color w:val="auto"/>
        </w:rPr>
      </w:pPr>
      <w:r>
        <w:rPr>
          <w:rFonts w:ascii="Arial" w:cs="Arial" w:eastAsia="Arial" w:hAnsi="Arial"/>
          <w:sz w:val="22"/>
          <w:szCs w:val="22"/>
          <w:color w:val="auto"/>
        </w:rPr>
        <w:t>patients develop BOS by 5 years, which is the leading cause of retransplant and mortality. BOS is characterized by neutrophil infiltration in the lung, excess neutrophil elastase and inflammation. The pathology of BOS in stem cell transplant and lung transplant is overlapping.</w:t>
      </w:r>
    </w:p>
    <w:p>
      <w:pPr>
        <w:spacing w:after="0" w:line="291" w:lineRule="exact"/>
        <w:rPr>
          <w:sz w:val="20"/>
          <w:szCs w:val="20"/>
          <w:color w:val="auto"/>
        </w:rPr>
      </w:pPr>
    </w:p>
    <w:p>
      <w:pPr>
        <w:ind w:left="540"/>
        <w:spacing w:after="0"/>
        <w:rPr>
          <w:sz w:val="20"/>
          <w:szCs w:val="20"/>
          <w:color w:val="auto"/>
        </w:rPr>
      </w:pPr>
      <w:r>
        <w:rPr>
          <w:rFonts w:ascii="Arial" w:cs="Arial" w:eastAsia="Arial" w:hAnsi="Arial"/>
          <w:sz w:val="21"/>
          <w:szCs w:val="21"/>
          <w:b w:val="1"/>
          <w:bCs w:val="1"/>
          <w:i w:val="1"/>
          <w:iCs w:val="1"/>
          <w:color w:val="auto"/>
        </w:rPr>
        <w:t>Current Treatment Landscape for Alpha-1-Antitrypsin Deficiency and Bronchiolitis Obliterans Syndrome</w:t>
      </w:r>
    </w:p>
    <w:p>
      <w:pPr>
        <w:spacing w:after="0" w:line="110" w:lineRule="exact"/>
        <w:rPr>
          <w:sz w:val="20"/>
          <w:szCs w:val="20"/>
          <w:color w:val="auto"/>
        </w:rPr>
      </w:pPr>
    </w:p>
    <w:p>
      <w:pPr>
        <w:ind w:right="220" w:firstLine="551"/>
        <w:spacing w:after="0" w:line="287" w:lineRule="auto"/>
        <w:rPr>
          <w:sz w:val="20"/>
          <w:szCs w:val="20"/>
          <w:color w:val="auto"/>
        </w:rPr>
      </w:pPr>
      <w:r>
        <w:rPr>
          <w:rFonts w:ascii="Arial" w:cs="Arial" w:eastAsia="Arial" w:hAnsi="Arial"/>
          <w:sz w:val="19"/>
          <w:szCs w:val="19"/>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43" w:lineRule="exact"/>
        <w:rPr>
          <w:sz w:val="20"/>
          <w:szCs w:val="20"/>
          <w:color w:val="auto"/>
        </w:rPr>
      </w:pPr>
    </w:p>
    <w:p>
      <w:pPr>
        <w:ind w:firstLine="551"/>
        <w:spacing w:after="0" w:line="277" w:lineRule="auto"/>
        <w:rPr>
          <w:sz w:val="20"/>
          <w:szCs w:val="20"/>
          <w:color w:val="auto"/>
        </w:rPr>
      </w:pPr>
      <w:r>
        <w:rPr>
          <w:rFonts w:ascii="Arial" w:cs="Arial" w:eastAsia="Arial" w:hAnsi="Arial"/>
          <w:sz w:val="19"/>
          <w:szCs w:val="19"/>
          <w:color w:val="auto"/>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w:t>
      </w:r>
      <w:r>
        <w:rPr>
          <w:rFonts w:ascii="Arial" w:cs="Arial" w:eastAsia="Arial" w:hAnsi="Arial"/>
          <w:sz w:val="14"/>
          <w:szCs w:val="14"/>
          <w:color w:val="auto"/>
          <w:vertAlign w:val="subscript"/>
        </w:rPr>
        <w:t>1</w:t>
      </w:r>
      <w:r>
        <w:rPr>
          <w:rFonts w:ascii="Arial" w:cs="Arial" w:eastAsia="Arial" w:hAnsi="Arial"/>
          <w:sz w:val="19"/>
          <w:szCs w:val="19"/>
          <w:color w:val="auto"/>
        </w:rPr>
        <w:t>.</w:t>
      </w:r>
    </w:p>
    <w:p>
      <w:pPr>
        <w:spacing w:after="0" w:line="152" w:lineRule="exact"/>
        <w:rPr>
          <w:sz w:val="20"/>
          <w:szCs w:val="20"/>
          <w:color w:val="auto"/>
        </w:rPr>
      </w:pPr>
    </w:p>
    <w:p>
      <w:pPr>
        <w:ind w:right="40" w:firstLine="551"/>
        <w:spacing w:after="0" w:line="282" w:lineRule="auto"/>
        <w:rPr>
          <w:sz w:val="20"/>
          <w:szCs w:val="20"/>
          <w:color w:val="auto"/>
        </w:rPr>
      </w:pPr>
      <w:r>
        <w:rPr>
          <w:rFonts w:ascii="Arial" w:cs="Arial" w:eastAsia="Arial" w:hAnsi="Arial"/>
          <w:sz w:val="19"/>
          <w:szCs w:val="19"/>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Further, AAT augmentation therapy is not reimbursed and thus is not currently available to patients in several jurisdictions, including some key European markets. In addition, AAT augmentation therapy requires potentially inconvenient weekly intravenous infusions.</w:t>
      </w:r>
    </w:p>
    <w:p>
      <w:pPr>
        <w:spacing w:after="0" w:line="147"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There are very limited options for patients with BOS associated with graft versus host disease following stem cell transplant (“SCT”) or those with host versus graft disease and chronic organ rejection following lung transplant. Current therapies are immunosuppressive regimes, with risk of infection along with azithromycin which has both anti-inflammatory and antimicrobial activity. However, there are no approved treatments and the outcome for patients with BOS has not improved in the last 20 years. In development are the Janus Kinase (JAK1) inhibitor, itacitinib and JAK2 inhibitor ruxolitinib (Incyte Corporation) in Phase 1/Phase2 studies in lung transplant-associated and SCT-associated BOS respectively, AI Therapeutics is investigating an inhaled formulation of sirolimus (LAM-001) in Phase 1 and Isopogen allogeneic bone marrow derived mesenchymal stem cells for chronic lung allograft dysfunction, also in Phase 1, and Liposomal inhaled cyclosporin-A (Zambon) in Phase 2 in BOS following SCT and in Phase 3 global pivotal trials in BOS associated with lung transplant.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960"/>
          </w:cols>
          <w:pgMar w:left="440" w:top="118"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Our Approach</w:t>
      </w:r>
    </w:p>
    <w:p>
      <w:pPr>
        <w:spacing w:after="0" w:line="98" w:lineRule="exact"/>
        <w:rPr>
          <w:sz w:val="20"/>
          <w:szCs w:val="20"/>
          <w:color w:val="auto"/>
        </w:rPr>
      </w:pPr>
    </w:p>
    <w:p>
      <w:pPr>
        <w:ind w:left="120" w:right="240" w:firstLine="551"/>
        <w:spacing w:after="0" w:line="282" w:lineRule="auto"/>
        <w:rPr>
          <w:sz w:val="20"/>
          <w:szCs w:val="20"/>
          <w:color w:val="auto"/>
        </w:rPr>
      </w:pPr>
      <w:r>
        <w:rPr>
          <w:rFonts w:ascii="Arial" w:cs="Arial" w:eastAsia="Arial" w:hAnsi="Arial"/>
          <w:sz w:val="19"/>
          <w:szCs w:val="19"/>
          <w:color w:val="auto"/>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In our clinical development programs, we intend to generate data to allow healthcare authorities to take evidence-based decisions.</w:t>
      </w:r>
    </w:p>
    <w:p>
      <w:pPr>
        <w:spacing w:after="0" w:line="147" w:lineRule="exact"/>
        <w:rPr>
          <w:sz w:val="20"/>
          <w:szCs w:val="20"/>
          <w:color w:val="auto"/>
        </w:rPr>
      </w:pPr>
    </w:p>
    <w:p>
      <w:pPr>
        <w:ind w:left="120" w:right="20" w:firstLine="551"/>
        <w:spacing w:after="0" w:line="282" w:lineRule="auto"/>
        <w:rPr>
          <w:sz w:val="20"/>
          <w:szCs w:val="20"/>
          <w:color w:val="auto"/>
        </w:rPr>
      </w:pPr>
      <w:r>
        <w:rPr>
          <w:rFonts w:ascii="Arial" w:cs="Arial" w:eastAsia="Arial" w:hAnsi="Arial"/>
          <w:sz w:val="19"/>
          <w:szCs w:val="19"/>
          <w:color w:val="auto"/>
        </w:rPr>
        <w:t>As BOS is driven by elevated neutrophils in the lung and excess NE activity, leading to lung damage through elastin breakdown in the tissue and progressive fibrosis, and ultimately respiratory failure we believe our approach using alvelestat to inhibit NE has significant advantages. By inhibiting NE, we believe alvelestat will reduce the accelerating effects of NE-driven inflammation on BOS leading to increased success rate of SCT and lung transplant. The investigator-led clinical program is designed to generate data on clinical endpoints that would potentially support registration and reimbursement in SCT.</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Clinical Development of Alvelestat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Phase 2 Clinical Trials</w:t>
      </w:r>
    </w:p>
    <w:p>
      <w:pPr>
        <w:spacing w:after="0" w:line="103"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Although prior clinical trials of alvelestat were in indications other than AATD, we believe that the clinical benefit observed in these trials and the biomarker evidence of treatment effect make alvelestat a promising potential product candidate for treating severe AATD. In particular, we believe the results from the Phase 2 clinical trials in bronchiectasis and CF are most relevant in assessing alvelestat’s potential to treat severe AATD.</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Phase 2 Clinical Trials in AATD</w:t>
      </w:r>
    </w:p>
    <w:p>
      <w:pPr>
        <w:spacing w:after="0" w:line="103" w:lineRule="exact"/>
        <w:rPr>
          <w:sz w:val="20"/>
          <w:szCs w:val="20"/>
          <w:color w:val="auto"/>
        </w:rPr>
      </w:pPr>
    </w:p>
    <w:p>
      <w:pPr>
        <w:ind w:left="120" w:firstLine="551"/>
        <w:spacing w:after="0" w:line="249" w:lineRule="auto"/>
        <w:rPr>
          <w:sz w:val="20"/>
          <w:szCs w:val="20"/>
          <w:color w:val="auto"/>
        </w:rPr>
      </w:pPr>
      <w:r>
        <w:rPr>
          <w:rFonts w:ascii="Arial" w:cs="Arial" w:eastAsia="Arial" w:hAnsi="Arial"/>
          <w:sz w:val="20"/>
          <w:szCs w:val="20"/>
          <w:color w:val="auto"/>
        </w:rPr>
        <w:t>We are conducting a Phase 2 proof-of-concept clinical trial of alvelestat in patients with severe AATD with emphysema in the United States and Europe. AATD patients are at greater risk from COVID-19 given that the condition is a respiratory and lung condition, and for this reason, our Phase 2 alvelestat trial has been delayed with top-line data now expected in early Q2 2022. Due to the effects of the COVID-19 pandemic on this vulnerable population and the impact on enrollment timelines, we closed the study to enrollment at 99 patients at the end of 2021. This is lower than the protocol defined number of patients in the original study design. This is a 12-week, double-blind, placebo-controlled clinical trial examining two doses of alvelestat compared to placebo with three primary endpoints along the pathogenic pathway of lung disease in AATD patients. These primary endpoints are plasma desmosine (a biomarker of protease-driven elastin breakdown), Aα-Val</w:t>
      </w:r>
      <w:r>
        <w:rPr>
          <w:rFonts w:ascii="Arial" w:cs="Arial" w:eastAsia="Arial" w:hAnsi="Arial"/>
          <w:sz w:val="28"/>
          <w:szCs w:val="28"/>
          <w:color w:val="auto"/>
          <w:vertAlign w:val="superscript"/>
        </w:rPr>
        <w:t>360</w:t>
      </w:r>
      <w:r>
        <w:rPr>
          <w:rFonts w:ascii="Arial" w:cs="Arial" w:eastAsia="Arial" w:hAnsi="Arial"/>
          <w:sz w:val="20"/>
          <w:szCs w:val="20"/>
          <w:color w:val="auto"/>
        </w:rPr>
        <w:t>, a specific biomarker of NE proteolytic activity, and neutrophil elastase activity in blood. Secondary endpoints are safety, exacerbation frequency, and lung function tests, including FEV</w:t>
      </w:r>
      <w:r>
        <w:rPr>
          <w:rFonts w:ascii="Arial" w:cs="Arial" w:eastAsia="Arial" w:hAnsi="Arial"/>
          <w:sz w:val="14"/>
          <w:szCs w:val="14"/>
          <w:color w:val="auto"/>
        </w:rPr>
        <w:t>1</w:t>
      </w:r>
      <w:r>
        <w:rPr>
          <w:rFonts w:ascii="Arial" w:cs="Arial" w:eastAsia="Arial" w:hAnsi="Arial"/>
          <w:sz w:val="20"/>
          <w:szCs w:val="20"/>
          <w:color w:val="auto"/>
        </w:rPr>
        <w:t>.</w:t>
      </w:r>
    </w:p>
    <w:p>
      <w:pPr>
        <w:spacing w:after="0" w:line="165" w:lineRule="exact"/>
        <w:rPr>
          <w:sz w:val="20"/>
          <w:szCs w:val="20"/>
          <w:color w:val="auto"/>
        </w:rPr>
      </w:pPr>
    </w:p>
    <w:p>
      <w:pPr>
        <w:ind w:left="120" w:right="300" w:firstLine="551"/>
        <w:spacing w:after="0"/>
        <w:rPr>
          <w:sz w:val="20"/>
          <w:szCs w:val="20"/>
          <w:color w:val="auto"/>
        </w:rPr>
      </w:pPr>
      <w:r>
        <w:rPr>
          <w:rFonts w:ascii="Arial" w:cs="Arial" w:eastAsia="Arial" w:hAnsi="Arial"/>
          <w:sz w:val="22"/>
          <w:szCs w:val="22"/>
          <w:color w:val="auto"/>
        </w:rPr>
        <w:t>We enrolled only adult patients with PiZZ or Null/Null genotypes or rare genotypes with severe deficiency of alpha-1 antitrypsin (&lt;11 microMolar) with confirmed emphysema, who have not received AAT augmentation therapy or have undergone a wash-out period following AAT augmentation therapy.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the results from this trial are favorable, we intend to seek regulatory advice on the design of, a pivotal trial.</w:t>
      </w:r>
    </w:p>
    <w:p>
      <w:pPr>
        <w:spacing w:after="0" w:line="218" w:lineRule="exact"/>
        <w:rPr>
          <w:sz w:val="20"/>
          <w:szCs w:val="20"/>
          <w:color w:val="auto"/>
        </w:rPr>
      </w:pPr>
    </w:p>
    <w:p>
      <w:pPr>
        <w:ind w:left="120" w:right="140" w:firstLine="551"/>
        <w:spacing w:after="0" w:line="297" w:lineRule="auto"/>
        <w:rPr>
          <w:sz w:val="20"/>
          <w:szCs w:val="20"/>
          <w:color w:val="auto"/>
        </w:rPr>
      </w:pPr>
      <w:r>
        <w:rPr>
          <w:rFonts w:ascii="Arial" w:cs="Arial" w:eastAsia="Arial" w:hAnsi="Arial"/>
          <w:sz w:val="19"/>
          <w:szCs w:val="19"/>
          <w:color w:val="auto"/>
        </w:rPr>
        <w:t>A companion investigator-initiated Phase 2 study in AATD is ongoing in the US. This is enrolling patients with SZ as well as ZZ or Null/Null and rare severe mutations, and is investigating alvelestat compared to also including dosing alvelestat on top of stable augmentation. This study will provide additional supportive data for use of alvelestat.</w:t>
      </w:r>
    </w:p>
    <w:p>
      <w:pPr>
        <w:spacing w:after="0" w:line="134"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We received an investment from, and are collaborating with, the venture philanthropy arm of the Alpha-1 Foundation, The Alpha-1 Project Inc (“TAP”), with respect to our alvelestat development program. TAP is investing in the program subject to our meeting agreed-upon development milestones. We also agreed to issue warrants to TAP to subscribe for shares in us, at certain future dates and subject to TAP making agreed-upon investments in the alvelestat development program. On October 8, 2018, we entered into a funding agreement with TAP, which provided for funding of up to $0.4 million. On November 1, 2018, the first tranche of $0.1 million was received and as a result we issued 41,286 warrants to subscribe for our ordinary shares at an exercise price of £0.003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Phase 1b/2 Clinical Trial in Bronchiolitis Obliterans Syndrome (BOS)</w:t>
      </w:r>
    </w:p>
    <w:p>
      <w:pPr>
        <w:spacing w:after="0" w:line="103"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An investigator-initiated Phase1b/2 study in Bronchiolitis Obliterans Syndrome (BOS) following allogeneic stem cell transplant is being conducted to inform a potential future indication expansion strategy. Interim results from 7 patients enrolled in the Phase 1b study were reported in December 2021 showing stabilization or improvement in lung function measured by Forced Expiratory Volume in 1 second, (FEV</w:t>
      </w:r>
      <w:r>
        <w:rPr>
          <w:rFonts w:ascii="Arial" w:cs="Arial" w:eastAsia="Arial" w:hAnsi="Arial"/>
          <w:sz w:val="14"/>
          <w:szCs w:val="14"/>
          <w:color w:val="auto"/>
        </w:rPr>
        <w:t>1</w:t>
      </w:r>
      <w:r>
        <w:rPr>
          <w:rFonts w:ascii="Arial" w:cs="Arial" w:eastAsia="Arial" w:hAnsi="Arial"/>
          <w:sz w:val="21"/>
          <w:szCs w:val="21"/>
          <w:color w:val="auto"/>
        </w:rPr>
        <w:t>) in 6 of 7 patients, and supportive biomarker responses, with reduction in neutrophil elastase and the mature elastin breakdown product (desmosine) and reductions in markers of collagen synthesis associated with fibrosis. The Phase 1b component (10 patients) has completed enrollment and the study will progress to enroll up to an additional 24 patients to assess primary lung function endpoint in the Phase 2 component, with anticipated initiation in the second half of 2022.</w:t>
      </w:r>
    </w:p>
    <w:p>
      <w:pPr>
        <w:sectPr>
          <w:pgSz w:w="11900" w:h="16838" w:orient="portrait"/>
          <w:cols w:equalWidth="0" w:num="1">
            <w:col w:w="11120"/>
          </w:cols>
          <w:pgMar w:left="320" w:top="486" w:right="459" w:bottom="14" w:gutter="0" w:footer="0" w:header="0"/>
        </w:sectPr>
      </w:pP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1b/2 Clinical Trial in Hospitalized Patients with COVID-19 Respiratory Disease</w:t>
      </w:r>
    </w:p>
    <w:p>
      <w:pPr>
        <w:sectPr>
          <w:pgSz w:w="11900" w:h="16838" w:orient="portrait"/>
          <w:cols w:equalWidth="0" w:num="1">
            <w:col w:w="11120"/>
          </w:cols>
          <w:pgMar w:left="320" w:top="486" w:right="459" w:bottom="14" w:gutter="0" w:footer="0" w:header="0"/>
          <w:type w:val="continuous"/>
        </w:sectPr>
      </w:pPr>
    </w:p>
    <w:bookmarkStart w:id="66" w:name="page67"/>
    <w:bookmarkEnd w:id="66"/>
    <w:p>
      <w:pPr>
        <w:ind w:right="20" w:firstLine="551"/>
        <w:spacing w:after="0" w:line="279" w:lineRule="auto"/>
        <w:rPr>
          <w:sz w:val="20"/>
          <w:szCs w:val="20"/>
          <w:color w:val="auto"/>
        </w:rPr>
      </w:pPr>
      <w:r>
        <w:rPr>
          <w:rFonts w:ascii="Arial" w:cs="Arial" w:eastAsia="Arial" w:hAnsi="Arial"/>
          <w:sz w:val="19"/>
          <w:szCs w:val="19"/>
          <w:color w:val="auto"/>
        </w:rPr>
        <w:t>The top-line results of an investigator-initiated Phase 1b/2 double-blind, randomized, placebo-controlled study in hospitalized adult patients with COVID-19 Respiratory Disease were reported in December 2021. The results demonstrated a safety profile consistent with previous studies, and in the alvelestat arm, a reduction (an improvement) of 2 points or more in the World Health Organization (WHO) Severity Score in 62.5% (5/9) of the patients compared to 28.5% (2/7) of patients in the placebo arm at day 5. At day 7, 87.5% (7/8) of patients in the alvelstat arm had improved by 2 points or more compared to 57% (4/7) of patients in the placebo arm. Inflammatory and pro-coagulopathy biomarkers were also supportive.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Setrusumab (BPS-804) for the Treatment of Osteogenesis Imperfecta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Overview</w:t>
      </w:r>
    </w:p>
    <w:p>
      <w:pPr>
        <w:spacing w:after="0" w:line="98" w:lineRule="exact"/>
        <w:rPr>
          <w:sz w:val="20"/>
          <w:szCs w:val="20"/>
          <w:color w:val="auto"/>
        </w:rPr>
      </w:pPr>
    </w:p>
    <w:p>
      <w:pPr>
        <w:ind w:right="240" w:firstLine="551"/>
        <w:spacing w:after="0" w:line="287" w:lineRule="auto"/>
        <w:rPr>
          <w:sz w:val="20"/>
          <w:szCs w:val="20"/>
          <w:color w:val="auto"/>
        </w:rPr>
      </w:pPr>
      <w:r>
        <w:rPr>
          <w:rFonts w:ascii="Arial" w:cs="Arial" w:eastAsia="Arial" w:hAnsi="Arial"/>
          <w:sz w:val="19"/>
          <w:szCs w:val="19"/>
          <w:color w:val="auto"/>
        </w:rPr>
        <w:t>We are developing setrusumab for the treatment of OI in collaboration with Ultragenyx.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increasing overall bone mass and thereby reducing fractures in OI patients.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 of Osteogenesis Imperfecta</w:t>
      </w:r>
    </w:p>
    <w:p>
      <w:pPr>
        <w:spacing w:after="0" w:line="98" w:lineRule="exact"/>
        <w:rPr>
          <w:sz w:val="20"/>
          <w:szCs w:val="20"/>
          <w:color w:val="auto"/>
        </w:rPr>
      </w:pPr>
    </w:p>
    <w:p>
      <w:pPr>
        <w:jc w:val="both"/>
        <w:ind w:firstLine="551"/>
        <w:spacing w:after="0" w:line="297" w:lineRule="auto"/>
        <w:rPr>
          <w:sz w:val="20"/>
          <w:szCs w:val="20"/>
          <w:color w:val="auto"/>
        </w:rPr>
      </w:pPr>
      <w:r>
        <w:rPr>
          <w:rFonts w:ascii="Arial" w:cs="Arial" w:eastAsia="Arial" w:hAnsi="Arial"/>
          <w:sz w:val="19"/>
          <w:szCs w:val="19"/>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000"/>
          </w:cols>
          <w:pgMar w:left="440" w:top="118"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40"/>
        <w:spacing w:after="0" w:line="248" w:lineRule="auto"/>
        <w:rPr>
          <w:sz w:val="20"/>
          <w:szCs w:val="20"/>
          <w:color w:val="auto"/>
        </w:rPr>
      </w:pPr>
      <w:r>
        <w:rPr>
          <w:rFonts w:ascii="Arial" w:cs="Arial" w:eastAsia="Arial" w:hAnsi="Arial"/>
          <w:sz w:val="21"/>
          <w:szCs w:val="21"/>
          <w:color w:val="auto"/>
        </w:rPr>
        <w:t>teeth, respiratory problems and short stature. The disease can be extremely debilitating and even fatal in newborn infants with a severe form of the disease. OI is a rare condition that affects a minimum of 25,000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 OI occurs across the globe without any currently described discernable higher prevalence in one population specifically.</w:t>
      </w:r>
    </w:p>
    <w:p>
      <w:pPr>
        <w:spacing w:after="0" w:line="177"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There are eight recognized forms of OI, designated type I through type VIII. Type I is the least severe form, although it still has a significant impact on patients’ lives, including fractures and other physical manifestations, while type II is the most severe and frequently causes death at or shortly after birth. The most prevalent form of OI is type I, which is estimated to occur in approximately 50% to 60% of OI patients. The less severe forms of OI, such as type I and type IV, are still serious conditions and are characterized by broken bones, often as a result of minor trauma. Patients typically have a blue or gray tint to the sclera, the part of the eye that is usually white, and there is a risk of early hearing loss in adults.</w:t>
      </w:r>
    </w:p>
    <w:p>
      <w:pPr>
        <w:spacing w:after="0" w:line="150" w:lineRule="exact"/>
        <w:rPr>
          <w:sz w:val="20"/>
          <w:szCs w:val="20"/>
          <w:color w:val="auto"/>
        </w:rPr>
      </w:pPr>
    </w:p>
    <w:p>
      <w:pPr>
        <w:jc w:val="both"/>
        <w:ind w:left="120" w:right="540" w:firstLine="551"/>
        <w:spacing w:after="0"/>
        <w:rPr>
          <w:sz w:val="20"/>
          <w:szCs w:val="20"/>
          <w:color w:val="auto"/>
        </w:rPr>
      </w:pPr>
      <w:r>
        <w:rPr>
          <w:rFonts w:ascii="Arial" w:cs="Arial" w:eastAsia="Arial" w:hAnsi="Arial"/>
          <w:sz w:val="22"/>
          <w:szCs w:val="22"/>
          <w:color w:val="auto"/>
        </w:rPr>
        <w:t>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Current Treatment Landscape for Osteogenesis Imperfecta</w:t>
      </w:r>
    </w:p>
    <w:p>
      <w:pPr>
        <w:spacing w:after="0" w:line="98" w:lineRule="exact"/>
        <w:rPr>
          <w:sz w:val="20"/>
          <w:szCs w:val="20"/>
          <w:color w:val="auto"/>
        </w:rPr>
      </w:pPr>
    </w:p>
    <w:p>
      <w:pPr>
        <w:ind w:left="120" w:right="280" w:firstLine="551"/>
        <w:spacing w:after="0"/>
        <w:rPr>
          <w:sz w:val="20"/>
          <w:szCs w:val="20"/>
          <w:color w:val="auto"/>
        </w:rPr>
      </w:pPr>
      <w:r>
        <w:rPr>
          <w:rFonts w:ascii="Arial" w:cs="Arial" w:eastAsia="Arial" w:hAnsi="Arial"/>
          <w:sz w:val="22"/>
          <w:szCs w:val="22"/>
          <w:color w:val="auto"/>
        </w:rPr>
        <w:t>There are no therapies approved by the FDA or EMA for the treatment of OI. The only treatments available to OI patients are the acute management of fractures as they occur and drugs such as bisphosphonates, which are not approved for this indication but are commonly used off-label in children.</w:t>
      </w:r>
    </w:p>
    <w:p>
      <w:pPr>
        <w:spacing w:after="0" w:line="186"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Current treatment of OI is directed towards management of fractures with casting or surgical fixation. Following either of these, physical therapy will often be required. Preventative surgeries, such as intramedullary, or in-bone, radding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87"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Our Approach</w:t>
      </w:r>
    </w:p>
    <w:p>
      <w:pPr>
        <w:spacing w:after="0" w:line="98" w:lineRule="exact"/>
        <w:rPr>
          <w:sz w:val="20"/>
          <w:szCs w:val="20"/>
          <w:color w:val="auto"/>
        </w:rPr>
      </w:pPr>
    </w:p>
    <w:p>
      <w:pPr>
        <w:ind w:left="120" w:right="60" w:firstLine="551"/>
        <w:spacing w:after="0" w:line="282" w:lineRule="auto"/>
        <w:rPr>
          <w:sz w:val="20"/>
          <w:szCs w:val="20"/>
          <w:color w:val="auto"/>
        </w:rPr>
      </w:pPr>
      <w:r>
        <w:rPr>
          <w:rFonts w:ascii="Arial" w:cs="Arial" w:eastAsia="Arial" w:hAnsi="Arial"/>
          <w:sz w:val="19"/>
          <w:szCs w:val="19"/>
          <w:color w:val="auto"/>
        </w:rPr>
        <w:t>Our product for treating OI is setrusumab, a fully human monoclonal antibody that is designed to inhibit sclerostin. Sclerostin is produced in osteocytes, which are mature bone cells that are thought to be the mechanoreceptor cells that regulate the activity of bone-building osteoblasts and bone- 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47" w:lineRule="exact"/>
        <w:rPr>
          <w:sz w:val="20"/>
          <w:szCs w:val="20"/>
          <w:color w:val="auto"/>
        </w:rPr>
      </w:pPr>
    </w:p>
    <w:p>
      <w:pPr>
        <w:ind w:left="120" w:right="20" w:firstLine="551"/>
        <w:spacing w:after="0" w:line="277" w:lineRule="auto"/>
        <w:rPr>
          <w:sz w:val="20"/>
          <w:szCs w:val="20"/>
          <w:color w:val="auto"/>
        </w:rPr>
      </w:pPr>
      <w:r>
        <w:rPr>
          <w:rFonts w:ascii="Arial" w:cs="Arial" w:eastAsia="Arial" w:hAnsi="Arial"/>
          <w:sz w:val="19"/>
          <w:szCs w:val="19"/>
          <w:color w:val="auto"/>
        </w:rPr>
        <w:t>In 2016, we obtained orphan drug designation in OI for setrusumab in the United States and the EU and, in November 2017, it was accepted into PRIME by the EMA. In Europe, the EMA has an adaptive pathways program which allows for early and progressive patient access to medicine. In July 2016, the EMA launched the PRIME scheme, a voluntary scheme aimed at enhancing the EMA’s support for the development of medicines that target unmet medical needs. In February 2017 setrusumab was accepted into the adaptive pathways program and in November 2017, the EMA granted PRIME designation for setrusumab for the treatment of OI. In September 2020 we received rare pediatric disease designation for setrusumab in OI from the FDA. See “—Government Regulation—Foreign Government Regulation.”</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Clinical Development of Setrusumab</w:t>
      </w:r>
    </w:p>
    <w:p>
      <w:pPr>
        <w:spacing w:after="0" w:line="9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21"/>
          <w:szCs w:val="21"/>
          <w:color w:val="auto"/>
        </w:rPr>
        <w:t>In April 2017, we commenced a Phase 2b clinical trial of setrusumab in adults in the United States, Europe and Canada. The Phase 2b clinical trial is a multi-center, randomized trial with three blinded arms at a high, medium and low doses to establish the dose response curve and an open label arm at the top dose. The trial completed enrollment of 112 patients and we reported 12-month top-line data from the trial in November 2019. Following the 12-month dosing part of the trial, patients were followed for a further twelve months to examine the off-effects of setrusumab. Similar to the Phase 2 clinical trial conducted by Novartis, we enrolled patients with type I, III and IV OI.</w:t>
      </w:r>
    </w:p>
    <w:p>
      <w:pPr>
        <w:sectPr>
          <w:pgSz w:w="11900" w:h="16838" w:orient="portrait"/>
          <w:cols w:equalWidth="0" w:num="1">
            <w:col w:w="11120"/>
          </w:cols>
          <w:pgMar w:left="320" w:top="486" w:right="459" w:bottom="385"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120"/>
          </w:cols>
          <w:pgMar w:left="320" w:top="486" w:right="459" w:bottom="385"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12 month Top-line Data From Setrusumab Phase 2b Dose-ranging Study in Adult Patients</w:t>
      </w:r>
    </w:p>
    <w:p>
      <w:pPr>
        <w:spacing w:after="0" w:line="98"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On November 11, 2019, we reported 12-month top-line data from our Phase 2b dose-ranging clinical trial for setrusumab in adults with Type I, III or IV OI. The study enrolled 112 adults (69 with type I, 28 with type IV and 15 with type III OI) at 27 clinical sites across the United States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The top-line 12-month results reported on November 11, 2019, and on January 14, 2020, are from the three-arm blinded portion of the study.</w:t>
      </w:r>
    </w:p>
    <w:p>
      <w:pPr>
        <w:spacing w:after="0" w:line="150" w:lineRule="exact"/>
        <w:rPr>
          <w:sz w:val="20"/>
          <w:szCs w:val="20"/>
          <w:color w:val="auto"/>
        </w:rPr>
      </w:pPr>
    </w:p>
    <w:p>
      <w:pPr>
        <w:ind w:left="120" w:right="160" w:firstLine="551"/>
        <w:spacing w:after="0" w:line="277" w:lineRule="auto"/>
        <w:rPr>
          <w:sz w:val="20"/>
          <w:szCs w:val="20"/>
          <w:color w:val="auto"/>
        </w:rPr>
      </w:pPr>
      <w:r>
        <w:rPr>
          <w:rFonts w:ascii="Arial" w:cs="Arial" w:eastAsia="Arial" w:hAnsi="Arial"/>
          <w:sz w:val="19"/>
          <w:szCs w:val="19"/>
          <w:color w:val="auto"/>
        </w:rPr>
        <w:t>The primary endpoint of the trial was change in trabecular volumetric bone mineral density (“Tr vBMD”) of the radius (wrist) over baseline after 12 months of treatment as measured by high resolution peripheral quantitative computerized tomography (“HRpQCT”).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w:t>
      </w:r>
    </w:p>
    <w:p>
      <w:pPr>
        <w:spacing w:after="0" w:line="152"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21"/>
          <w:szCs w:val="21"/>
          <w:color w:val="auto"/>
        </w:rPr>
        <w:t>Importantly, when the percentage change in trabecular and cortical volumetric bone mineral density (“BMD”) at the wrist were combined (the total volumetric BMD as measured by HRpQCT, a secondary endpoint of the study), an increase in total volumetric BMD was observed and reached statistical significance in the medium and high dose cohorts. Mean increases in total volumetric BMD were 4.11% (p=0.004), 4.5% (p=0.028), and 0.58% (p=0.97) in the high, medium and low dose cohorts (post hoc analysis), respectively. This suggests total volumetric BMD increases were driven by the ability of setrusumab to increase cortical volumetric BMD.</w:t>
      </w:r>
    </w:p>
    <w:p>
      <w:pPr>
        <w:spacing w:after="0" w:line="177"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9"/>
          <w:szCs w:val="19"/>
          <w:color w:val="auto"/>
        </w:rPr>
        <w:t>The study achieved its important secondary endpoint of increase in areal BMD at the lumbar spine at six and 12 months over baseline using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157" w:lineRule="exact"/>
        <w:rPr>
          <w:sz w:val="20"/>
          <w:szCs w:val="20"/>
          <w:color w:val="auto"/>
        </w:rPr>
      </w:pPr>
    </w:p>
    <w:p>
      <w:pPr>
        <w:ind w:left="120" w:right="460" w:firstLine="551"/>
        <w:spacing w:after="0" w:line="236" w:lineRule="auto"/>
        <w:rPr>
          <w:sz w:val="20"/>
          <w:szCs w:val="20"/>
          <w:color w:val="auto"/>
        </w:rPr>
      </w:pPr>
      <w:r>
        <w:rPr>
          <w:rFonts w:ascii="Arial" w:cs="Arial" w:eastAsia="Arial" w:hAnsi="Arial"/>
          <w:sz w:val="22"/>
          <w:szCs w:val="22"/>
          <w:color w:val="auto"/>
        </w:rPr>
        <w:t>On January 14, 2020, we reported additional data to the above from our Phase 2b dose-ranging clinical trial for setrusumab. This additional data demonstrated a dose dependent increase in bone strength (stiffness and failure load) as measured by Finite Element Analysis (“FEA”). This was a second pre-specified primary end point and reached statistical significance in the high dose cohort. FEA is a technique that, based on the HRpQCT, allows for the estimation of physical properties of bone.</w:t>
      </w:r>
    </w:p>
    <w:p>
      <w:pPr>
        <w:spacing w:after="0" w:line="187"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22"/>
          <w:szCs w:val="22"/>
          <w:color w:val="auto"/>
        </w:rPr>
        <w:t>We also reported on the end point of Trabecular Bone Score (TBS) at the lumbar spine. Setrusumab demonstrated a statistically significant increase in TBS at both the high (p&lt;0.001) and medium dose cohorts (p&lt;0.001). TBS is a gray-level texture index determined from patient lumbar spine DXA scans that correlates with 3D parameters of trabecular bone architecture thought to help predict fracture.</w:t>
      </w:r>
    </w:p>
    <w:p>
      <w:pPr>
        <w:spacing w:after="0" w:line="185" w:lineRule="exact"/>
        <w:rPr>
          <w:sz w:val="20"/>
          <w:szCs w:val="20"/>
          <w:color w:val="auto"/>
        </w:rPr>
      </w:pPr>
    </w:p>
    <w:p>
      <w:pPr>
        <w:ind w:left="120" w:right="120" w:firstLine="551"/>
        <w:spacing w:after="0"/>
        <w:rPr>
          <w:sz w:val="20"/>
          <w:szCs w:val="20"/>
          <w:color w:val="auto"/>
        </w:rPr>
      </w:pPr>
      <w:r>
        <w:rPr>
          <w:rFonts w:ascii="Arial" w:cs="Arial" w:eastAsia="Arial" w:hAnsi="Arial"/>
          <w:sz w:val="22"/>
          <w:szCs w:val="22"/>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186"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22"/>
          <w:szCs w:val="22"/>
          <w:color w:val="auto"/>
        </w:rPr>
        <w:t>Patients who completed 12 months of treatment in the ASTEROID study continued into a 12-month extension “off therapy” portion to examine the off effect of setrusumab. Patients had the option to receive 12 months of treatment with the bisphosphonate zoledronic acid (given at months six and/or 12) and received both DXA and HRpQCT scans at six and 12 months after entering the extension portion.</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Summary of Top-line Safety Results</w:t>
      </w:r>
    </w:p>
    <w:p>
      <w:pPr>
        <w:spacing w:after="0" w:line="98" w:lineRule="exact"/>
        <w:rPr>
          <w:sz w:val="20"/>
          <w:szCs w:val="20"/>
          <w:color w:val="auto"/>
        </w:rPr>
      </w:pPr>
    </w:p>
    <w:p>
      <w:pPr>
        <w:ind w:left="120" w:right="140" w:firstLine="551"/>
        <w:spacing w:after="0" w:line="273" w:lineRule="auto"/>
        <w:rPr>
          <w:sz w:val="20"/>
          <w:szCs w:val="20"/>
          <w:color w:val="auto"/>
        </w:rPr>
      </w:pPr>
      <w:r>
        <w:rPr>
          <w:rFonts w:ascii="Arial" w:cs="Arial" w:eastAsia="Arial" w:hAnsi="Arial"/>
          <w:sz w:val="19"/>
          <w:szCs w:val="19"/>
          <w:color w:val="auto"/>
        </w:rPr>
        <w:t>Top-line 12-month safety results suggest setrusumab was safe and well tolerated in the study. The adverse event profile was balanced across the arms. There were five, eight and four serious treatment emergent adverse events in the high, medium and low dose groups, three of which were initially recorded as treatment related. Two events occurred in one patient. These were headache and hydrocephalus. The patient had a history of basilar invagination, subdural hematoma and subdural hemorrhage; the neurologist and Data Monitoring Committee (“DMC”) concluded that the events were unlikely related to the study drug. There was a temporary interruption to the study drug but the patient restarted treatment and continued the study with no complications. The other serious adverse event that was initially recorded as related was of anaphylactic reaction, which occurred two days following setrusumab infusion. This was the patient’s sixth infusion. As the reaction was two days following the infusion and the patient previously had five doses, it was determined that it was unlikely to be a drug reaction and the patient continued therapy, without symptoms or signs with repeat infusions. All of the nine adverse events that were</w:t>
      </w:r>
    </w:p>
    <w:p>
      <w:pPr>
        <w:sectPr>
          <w:pgSz w:w="11900" w:h="16838" w:orient="portrait"/>
          <w:cols w:equalWidth="0" w:num="1">
            <w:col w:w="11120"/>
          </w:cols>
          <w:pgMar w:left="320" w:top="486" w:right="459" w:bottom="0" w:gutter="0" w:footer="0" w:header="0"/>
        </w:sectPr>
      </w:pPr>
    </w:p>
    <w:bookmarkStart w:id="69" w:name="page70"/>
    <w:bookmarkEnd w:id="69"/>
    <w:p>
      <w:pPr>
        <w:spacing w:after="0" w:line="251" w:lineRule="auto"/>
        <w:rPr>
          <w:sz w:val="20"/>
          <w:szCs w:val="20"/>
          <w:color w:val="auto"/>
        </w:rPr>
      </w:pPr>
      <w:r>
        <w:rPr>
          <w:rFonts w:ascii="Arial" w:cs="Arial" w:eastAsia="Arial" w:hAnsi="Arial"/>
          <w:sz w:val="22"/>
          <w:szCs w:val="22"/>
          <w:color w:val="auto"/>
        </w:rPr>
        <w:t>reported as potentially cardiac related were discussed at the DMC (including cardiology review), and none were concluded to represent a cardiovascular safety concern.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840"/>
          </w:cols>
          <w:pgMar w:left="440" w:top="118" w:right="6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Partnership with Ultragenyx</w:t>
      </w:r>
    </w:p>
    <w:p>
      <w:pPr>
        <w:spacing w:after="0" w:line="9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In December 2020, we announced a partnership with Ultragenyx for the development of setrusumab for OI. Under the terms of the partnership,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w:t>
      </w:r>
    </w:p>
    <w:p>
      <w:pPr>
        <w:spacing w:after="0" w:line="187"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In October 2021, at the ASBMR annual meeting, we, along with our partner, Ultragenyx, presented additional secondary endpoint data from the Phase 2b ASTEROID study demonstrating that treatment with setrusumab resulted in dose-dependent increase in P1NP serum levels, a marker of bone formation, and a decrease in CTx serum levels, a marker of bone resorption, confirming the mechanism of action of sclerostin inhibition over the 12-month treatment period. Observed improvements in bone mineral density were continuous over the 12 months of the study, with comparable gains achieved in the first and second six months of treatment in the high dose group despite temporal changes in biomarkers.</w:t>
      </w:r>
    </w:p>
    <w:p>
      <w:pPr>
        <w:spacing w:after="0" w:line="150"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Ultragenyx plans to start a pediatric and young adult Phase 2/3 study in the first half of 2022. The objective of the Phase 2/3 study will first focus on determining the optimal dose based on increases in collagen production using serum P1NP levels and an acceptable safety profile. Following determination of the dose, Ultragenyx currently intend to adapt the study into a pivotal Phase 3 stage, evaluating fracture reduction over an estimated 15 to 24 months as the primary endpoint, subject to regulatory review. Ultragenyx currently expect a separate Phase 2 study of patients under age five with OI to start in the second half of 2022. Ultragenyx will, also, continue to evaluate adult patients who were previously treated in the ASTEROID study.</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Acumapimod (BCT-197) for the Treatment of AECOPD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Overview</w:t>
      </w:r>
    </w:p>
    <w:p>
      <w:pPr>
        <w:spacing w:after="0" w:line="98" w:lineRule="exact"/>
        <w:rPr>
          <w:sz w:val="20"/>
          <w:szCs w:val="20"/>
          <w:color w:val="auto"/>
        </w:rPr>
      </w:pPr>
    </w:p>
    <w:p>
      <w:pPr>
        <w:ind w:left="120" w:right="260" w:firstLine="551"/>
        <w:spacing w:after="0" w:line="250" w:lineRule="auto"/>
        <w:rPr>
          <w:sz w:val="20"/>
          <w:szCs w:val="20"/>
          <w:color w:val="auto"/>
        </w:rPr>
      </w:pPr>
      <w:r>
        <w:rPr>
          <w:rFonts w:ascii="Arial" w:cs="Arial" w:eastAsia="Arial" w:hAnsi="Arial"/>
          <w:sz w:val="22"/>
          <w:szCs w:val="22"/>
          <w:color w:val="auto"/>
        </w:rPr>
        <w:t>Acumapimod is a novel, orally active p38 MAP kinase inhibitor in development for first-line acute therapy in patients with a severe hospitalized AECOPD.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Background of COPD and AECOPD</w:t>
      </w:r>
    </w:p>
    <w:p>
      <w:pPr>
        <w:spacing w:after="0" w:line="98" w:lineRule="exact"/>
        <w:rPr>
          <w:sz w:val="20"/>
          <w:szCs w:val="20"/>
          <w:color w:val="auto"/>
        </w:rPr>
      </w:pPr>
    </w:p>
    <w:p>
      <w:pPr>
        <w:ind w:left="120" w:right="280" w:firstLine="551"/>
        <w:spacing w:after="0"/>
        <w:rPr>
          <w:sz w:val="20"/>
          <w:szCs w:val="20"/>
          <w:color w:val="auto"/>
        </w:rPr>
      </w:pPr>
      <w:r>
        <w:rPr>
          <w:rFonts w:ascii="Arial" w:cs="Arial" w:eastAsia="Arial" w:hAnsi="Arial"/>
          <w:sz w:val="22"/>
          <w:szCs w:val="22"/>
          <w:color w:val="auto"/>
        </w:rPr>
        <w:t>Of all COPD-related hospital admissions in the United States, approximately 63% are for AECOPD patients, representing more than 1.5 million emergency room visits in the United States accounting for approximately 45% to 50% of the total direct costs of COPD.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Current Treatment Landscape of AECOPD</w:t>
      </w:r>
    </w:p>
    <w:p>
      <w:pPr>
        <w:spacing w:after="0" w:line="98" w:lineRule="exact"/>
        <w:rPr>
          <w:sz w:val="20"/>
          <w:szCs w:val="20"/>
          <w:color w:val="auto"/>
        </w:rPr>
      </w:pPr>
    </w:p>
    <w:p>
      <w:pPr>
        <w:ind w:left="120" w:right="40" w:firstLine="551"/>
        <w:spacing w:after="0"/>
        <w:rPr>
          <w:sz w:val="20"/>
          <w:szCs w:val="20"/>
          <w:color w:val="auto"/>
        </w:rPr>
      </w:pPr>
      <w:r>
        <w:rPr>
          <w:rFonts w:ascii="Arial" w:cs="Arial" w:eastAsia="Arial" w:hAnsi="Arial"/>
          <w:sz w:val="22"/>
          <w:szCs w:val="22"/>
          <w:color w:val="auto"/>
        </w:rPr>
        <w:t>The current recommended management for AECOPD includes bronchodilators, systemic corticosteroids and antibiotics, and with supportive oxygen therapy. We believe that there is a significant medical need for a drug which to improve the outcome of severe hospitalized AECOPDs.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Clinical Development of Acumapimod</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Phase 2 Dose-Ranging Clinical Trial in Severe AECOPD</w:t>
      </w:r>
    </w:p>
    <w:p>
      <w:pPr>
        <w:spacing w:after="0" w:line="98" w:lineRule="exact"/>
        <w:rPr>
          <w:sz w:val="20"/>
          <w:szCs w:val="20"/>
          <w:color w:val="auto"/>
        </w:rPr>
      </w:pPr>
    </w:p>
    <w:p>
      <w:pPr>
        <w:jc w:val="both"/>
        <w:ind w:left="120" w:right="100" w:firstLine="551"/>
        <w:spacing w:after="0" w:line="273" w:lineRule="auto"/>
        <w:rPr>
          <w:sz w:val="20"/>
          <w:szCs w:val="20"/>
          <w:color w:val="auto"/>
        </w:rPr>
      </w:pPr>
      <w:r>
        <w:rPr>
          <w:rFonts w:ascii="Arial" w:cs="Arial" w:eastAsia="Arial" w:hAnsi="Arial"/>
          <w:sz w:val="19"/>
          <w:szCs w:val="19"/>
          <w:color w:val="auto"/>
        </w:rPr>
        <w:t>Two dosing regimens of acumapimod were compared to placebo, in patients hospitalized for AECOPD. Both showed a statistically significant change in FEV1 from baseline to Day 7. The high-dose acumapimod group showed a greater than 50% reduction in the number of rehospitalization for recurrent AECOPD compared to the placebo group, at Days 90 through 150.</w:t>
      </w:r>
    </w:p>
    <w:p>
      <w:pPr>
        <w:spacing w:after="0" w:line="1" w:lineRule="exact"/>
        <w:rPr>
          <w:sz w:val="20"/>
          <w:szCs w:val="20"/>
          <w:color w:val="auto"/>
        </w:rPr>
      </w:pPr>
    </w:p>
    <w:p>
      <w:pPr>
        <w:ind w:left="120" w:right="360"/>
        <w:spacing w:after="0" w:line="236" w:lineRule="auto"/>
        <w:rPr>
          <w:sz w:val="20"/>
          <w:szCs w:val="20"/>
          <w:color w:val="auto"/>
        </w:rPr>
      </w:pPr>
      <w:r>
        <w:rPr>
          <w:rFonts w:ascii="Arial" w:cs="Arial" w:eastAsia="Arial" w:hAnsi="Arial"/>
          <w:sz w:val="22"/>
          <w:szCs w:val="22"/>
          <w:color w:val="auto"/>
        </w:rPr>
        <w:t>Acumapimod was observed to be generally safe and well tolerated. In 2019, end of Phase 2 and Scientific Advice meetings were held with the FDA and EMA enabling design of a global Phase 3 program.</w:t>
      </w:r>
    </w:p>
    <w:p>
      <w:pPr>
        <w:spacing w:after="0" w:line="187" w:lineRule="exact"/>
        <w:rPr>
          <w:sz w:val="20"/>
          <w:szCs w:val="20"/>
          <w:color w:val="auto"/>
        </w:rPr>
      </w:pPr>
    </w:p>
    <w:p>
      <w:pPr>
        <w:ind w:left="120" w:right="680" w:firstLine="551"/>
        <w:spacing w:after="0" w:line="250" w:lineRule="auto"/>
        <w:rPr>
          <w:sz w:val="20"/>
          <w:szCs w:val="20"/>
          <w:color w:val="auto"/>
        </w:rPr>
      </w:pPr>
      <w:r>
        <w:rPr>
          <w:rFonts w:ascii="Arial" w:cs="Arial" w:eastAsia="Arial" w:hAnsi="Arial"/>
          <w:sz w:val="22"/>
          <w:szCs w:val="22"/>
          <w:color w:val="auto"/>
        </w:rPr>
        <w:t>We intend to explore out-licensing or sale opportunities with third parties for further funding and development of acumapimod.</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Leflutrozole (BGS-649) for the Treatment of Hypogonadotropic Hypogonadism (HH)</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Overview</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Leflutrozole is in development for the treatment of infertility associated with HH in obese and overweight men.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Leflutrozole is a once-weekly oral aromatase inhibitor designed to normalize testosterone levels.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1"/>
          <w:szCs w:val="21"/>
          <w:b w:val="1"/>
          <w:bCs w:val="1"/>
          <w:i w:val="1"/>
          <w:iCs w:val="1"/>
          <w:color w:val="auto"/>
        </w:rPr>
        <w:t>Background of Infertility Associated with Hypogonadotropic Hypogonadism in Obese and Overweight Men</w:t>
      </w:r>
    </w:p>
    <w:p>
      <w:pPr>
        <w:spacing w:after="0" w:line="110"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21"/>
          <w:szCs w:val="21"/>
          <w:color w:val="auto"/>
        </w:rPr>
        <w:t>Symptoms that are most commonly associated with testosterone deficiency include reduced libido, erectile dysfunction, along with a decrease sperm counts. Overweight and obesity is associated with increased levels of aromatase. Aromatase converts testosterone to estradiol, which directly suppresses gonadotropins, Follicle Stimulating Hormone (FSH) and Luteinizing Hormone (LH), leading to testicular dysfunction, with impaired production of testosterone and sperm, resulting in infertility. Inhibition of excess aromatase may increase the levels of FSH and LH, resulting in normalization of testosterone production and improving sperm counts and potentially fertility.</w:t>
      </w:r>
    </w:p>
    <w:p>
      <w:pPr>
        <w:spacing w:after="0" w:line="285" w:lineRule="exact"/>
        <w:rPr>
          <w:sz w:val="20"/>
          <w:szCs w:val="20"/>
          <w:color w:val="auto"/>
        </w:rPr>
      </w:pPr>
    </w:p>
    <w:p>
      <w:pPr>
        <w:ind w:left="120" w:right="340"/>
        <w:spacing w:after="0" w:line="250" w:lineRule="auto"/>
        <w:rPr>
          <w:sz w:val="20"/>
          <w:szCs w:val="20"/>
          <w:color w:val="auto"/>
        </w:rPr>
      </w:pPr>
      <w:r>
        <w:rPr>
          <w:rFonts w:ascii="Arial" w:cs="Arial" w:eastAsia="Arial" w:hAnsi="Arial"/>
          <w:sz w:val="22"/>
          <w:szCs w:val="22"/>
          <w:b w:val="1"/>
          <w:bCs w:val="1"/>
          <w:i w:val="1"/>
          <w:iCs w:val="1"/>
          <w:color w:val="auto"/>
        </w:rPr>
        <w:t>Current Treatment Landscape of Infertility Associated with Hypogonadotropic Hypogonadism in Obese and Overweight men</w:t>
      </w:r>
    </w:p>
    <w:p>
      <w:pPr>
        <w:spacing w:after="0" w:line="67"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22"/>
          <w:szCs w:val="22"/>
          <w:color w:val="auto"/>
        </w:rPr>
        <w:t xml:space="preserve">The current treatment is with injectable FSH, either alone, or in combination with injectable Human Chorionic Gonadotropin which has LH-like activity. If unsuccessful, Assisted Reproductive Technology (ART) using intrauterine insemination,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fertilization and intracytoplasmic sperm injection, and including testicular sperm extraction for those with very low sperm count may be required.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Clinical Development of Leflutrozole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Phase 2b Clinical Trial in Hypogonadotropic Hypogonadism</w:t>
      </w:r>
    </w:p>
    <w:p>
      <w:pPr>
        <w:spacing w:after="0" w:line="98"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22"/>
          <w:szCs w:val="22"/>
          <w:color w:val="auto"/>
        </w:rPr>
        <w:t>We conducted a randomized double-blind, dose-ranging, trial of three doses of leflutrozole or placebo in obese males with HH. The primary endpoint of the trial was percentage of patients whose testosterone levels normalized at week 24. Other endpoints were, changes in gonadotropins LH and FSH, sexual function and semen analysis, and evaluation of safety and tolerability.</w:t>
      </w:r>
    </w:p>
    <w:p>
      <w:pPr>
        <w:spacing w:after="0" w:line="185" w:lineRule="exact"/>
        <w:rPr>
          <w:sz w:val="20"/>
          <w:szCs w:val="20"/>
          <w:color w:val="auto"/>
        </w:rPr>
      </w:pPr>
    </w:p>
    <w:p>
      <w:pPr>
        <w:jc w:val="both"/>
        <w:ind w:left="120" w:right="100" w:firstLine="551"/>
        <w:spacing w:after="0"/>
        <w:rPr>
          <w:sz w:val="20"/>
          <w:szCs w:val="20"/>
          <w:color w:val="auto"/>
        </w:rPr>
      </w:pPr>
      <w:r>
        <w:rPr>
          <w:rFonts w:ascii="Arial" w:cs="Arial" w:eastAsia="Arial" w:hAnsi="Arial"/>
          <w:sz w:val="22"/>
          <w:szCs w:val="22"/>
          <w:color w:val="auto"/>
        </w:rPr>
        <w:t>All doses of leflutrozole normalized total testosterone levels in over 75% of subjects after 24 weeks of treatment, with a dose-dependent increase in both LH and FSH. The trial also showed an improvement in sperm counts. There was no effect on exploratory measures of erectile dysfunction and low libido.</w:t>
      </w:r>
    </w:p>
    <w:p>
      <w:pPr>
        <w:spacing w:after="0" w:line="186"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Leflutrozole was observed to be well tolerated. An increased incidence of elevated haematocrit levels was observed in each of the treatment arms of the trial, consistent with increasing testosterone levels, with a small increase in blood pressure at the two highest doses. A subset of patients entered into a six-month extension study to examine if leflutrozole resulted in reduction in bone mineral density (BMD) at 48 weeks of treatment. None of the doses met the lower bound of the pre-specified safety criterion of reduction in BMD.</w:t>
      </w:r>
    </w:p>
    <w:p>
      <w:pPr>
        <w:spacing w:after="0" w:line="187" w:lineRule="exact"/>
        <w:rPr>
          <w:sz w:val="20"/>
          <w:szCs w:val="20"/>
          <w:color w:val="auto"/>
        </w:rPr>
      </w:pPr>
    </w:p>
    <w:p>
      <w:pPr>
        <w:jc w:val="both"/>
        <w:ind w:left="120" w:right="20" w:firstLine="551"/>
        <w:spacing w:after="0"/>
        <w:rPr>
          <w:sz w:val="20"/>
          <w:szCs w:val="20"/>
          <w:color w:val="auto"/>
        </w:rPr>
      </w:pPr>
      <w:r>
        <w:rPr>
          <w:rFonts w:ascii="Arial" w:cs="Arial" w:eastAsia="Arial" w:hAnsi="Arial"/>
          <w:sz w:val="22"/>
          <w:szCs w:val="22"/>
          <w:color w:val="auto"/>
        </w:rPr>
        <w:t>We concluded that the future development of leflutrozole should focus on male infertility associated with HH. We intend to develop a clinical and regulatory path accordingly. We intend to explore out-licensing or sale opportunities with third parties for the further development of leflutrozole.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Navicixizumab (OMP-305B83) for Treatment of Ovarian Cancer</w:t>
      </w:r>
    </w:p>
    <w:p>
      <w:pPr>
        <w:spacing w:after="0" w:line="104" w:lineRule="exact"/>
        <w:rPr>
          <w:sz w:val="20"/>
          <w:szCs w:val="20"/>
          <w:color w:val="auto"/>
        </w:rPr>
      </w:pPr>
    </w:p>
    <w:p>
      <w:pPr>
        <w:jc w:val="both"/>
        <w:ind w:left="120" w:right="480" w:firstLine="551"/>
        <w:spacing w:after="0" w:line="238" w:lineRule="auto"/>
        <w:rPr>
          <w:sz w:val="20"/>
          <w:szCs w:val="20"/>
          <w:color w:val="auto"/>
        </w:rPr>
      </w:pPr>
      <w:r>
        <w:rPr>
          <w:rFonts w:ascii="Arial" w:cs="Arial" w:eastAsia="Arial" w:hAnsi="Arial"/>
          <w:sz w:val="22"/>
          <w:szCs w:val="22"/>
          <w:color w:val="auto"/>
        </w:rPr>
        <w:t>We acquired Navicixizumab (“Navi”) in the Merger. In January 2020, we out-licensed Navi to OncXerna. See “— Material Agreements—Licensing Agreement for Navicixizumab.” In addition, Navi is the subject of the CVR Agreement which sets forth certain rights and obligations of us with respect to Navi. See “—Material Agreements—CVR Agreement Between Us and Computershare—The NAVI Milestones.”</w:t>
      </w:r>
    </w:p>
    <w:p>
      <w:pPr>
        <w:sectPr>
          <w:pgSz w:w="11900" w:h="16838" w:orient="portrait"/>
          <w:cols w:equalWidth="0" w:num="1">
            <w:col w:w="11120"/>
          </w:cols>
          <w:pgMar w:left="320" w:top="486" w:right="459" w:bottom="0" w:gutter="0" w:footer="0" w:header="0"/>
        </w:sectPr>
      </w:pP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120"/>
          </w:cols>
          <w:pgMar w:left="320" w:top="486" w:right="459" w:bottom="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Material Agreements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Licensing Agreement with Ultragenyx for setrusumab</w:t>
      </w:r>
    </w:p>
    <w:p>
      <w:pPr>
        <w:spacing w:after="0" w:line="98" w:lineRule="exact"/>
        <w:rPr>
          <w:sz w:val="20"/>
          <w:szCs w:val="20"/>
          <w:color w:val="auto"/>
        </w:rPr>
      </w:pPr>
    </w:p>
    <w:p>
      <w:pPr>
        <w:ind w:left="120" w:right="40" w:firstLine="551"/>
        <w:spacing w:after="0" w:line="274" w:lineRule="auto"/>
        <w:rPr>
          <w:sz w:val="20"/>
          <w:szCs w:val="20"/>
          <w:color w:val="auto"/>
        </w:rPr>
      </w:pPr>
      <w:r>
        <w:rPr>
          <w:rFonts w:ascii="Arial" w:cs="Arial" w:eastAsia="Arial" w:hAnsi="Arial"/>
          <w:sz w:val="19"/>
          <w:szCs w:val="19"/>
          <w:color w:val="auto"/>
        </w:rPr>
        <w:t>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where we retain commercial rights. Each party will be responsible for post-marketing commitments in their respective territories. Under the terms of the agreement, Ultragenyx made an upfront payment of $50 million to Mereo and will pay up to $254 million in development, regulatory and commercial milestones and tiered double digit percentage royalties to us on net sales outside of Europe and we will pay a fixed double digit percentage royalty to Ultragenyx on net sales in Europe. Under the terms of our 2015 agreement with Novartis, we will pay Novartis a percentage of proceeds, subject to certain deductions, and we will receive a substantial majority of the payments from Ultragenyx.</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Licensing Agreement with AstraZeneca</w:t>
      </w:r>
    </w:p>
    <w:p>
      <w:pPr>
        <w:spacing w:after="0" w:line="98" w:lineRule="exact"/>
        <w:rPr>
          <w:sz w:val="20"/>
          <w:szCs w:val="20"/>
          <w:color w:val="auto"/>
        </w:rPr>
      </w:pPr>
    </w:p>
    <w:p>
      <w:pPr>
        <w:ind w:left="120" w:right="200" w:firstLine="551"/>
        <w:spacing w:after="0" w:line="282" w:lineRule="auto"/>
        <w:rPr>
          <w:sz w:val="20"/>
          <w:szCs w:val="20"/>
          <w:color w:val="auto"/>
        </w:rPr>
      </w:pPr>
      <w:r>
        <w:rPr>
          <w:rFonts w:ascii="Arial" w:cs="Arial" w:eastAsia="Arial" w:hAnsi="Arial"/>
          <w:sz w:val="19"/>
          <w:szCs w:val="19"/>
          <w:color w:val="auto"/>
        </w:rPr>
        <w:t>In October 2017, we announced that we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147"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(or ADS equivalent)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 In addition, we are generally responsible for costs related to the development and commercialization of the licensed products under the License Agreement.</w:t>
      </w:r>
    </w:p>
    <w:p>
      <w:pPr>
        <w:spacing w:after="0" w:line="160" w:lineRule="exact"/>
        <w:rPr>
          <w:sz w:val="20"/>
          <w:szCs w:val="20"/>
          <w:color w:val="auto"/>
        </w:rPr>
      </w:pPr>
    </w:p>
    <w:p>
      <w:pPr>
        <w:ind w:left="120" w:right="80" w:firstLine="551"/>
        <w:spacing w:after="0" w:line="279" w:lineRule="auto"/>
        <w:rPr>
          <w:sz w:val="20"/>
          <w:szCs w:val="20"/>
          <w:color w:val="auto"/>
        </w:rPr>
      </w:pPr>
      <w:r>
        <w:rPr>
          <w:rFonts w:ascii="Arial" w:cs="Arial" w:eastAsia="Arial" w:hAnsi="Arial"/>
          <w:sz w:val="19"/>
          <w:szCs w:val="19"/>
          <w:color w:val="auto"/>
        </w:rPr>
        <w:t>The License Agreement will expire on the expiry of the last-to-expire royalty term with respect to all licensed product candidates.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agreed not to assert any AstraZeneca intellectual property rights that were included in the scope of the License Agreement against us.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Licensing Agreement for Navicixizumab</w:t>
      </w:r>
    </w:p>
    <w:p>
      <w:pPr>
        <w:spacing w:after="0" w:line="98"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22"/>
          <w:szCs w:val="22"/>
          <w:color w:val="auto"/>
        </w:rPr>
        <w:t>On January 13, 2020, we entered into a global license agreement with OncXerna for the development and commercialization of navicixizumab,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w:t>
      </w:r>
    </w:p>
    <w:p>
      <w:pPr>
        <w:spacing w:after="0" w:line="187"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Under the terms of the license agreement, OncXerna received an exclusive worldwide license to develop and commercialize Navi. We received an upfront payment of $4.0 million and in February 2022 we received an additional payment of $2.0 million, following satisfaction of a milestone. OncXerna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ectPr>
          <w:pgSz w:w="11900" w:h="16838" w:orient="portrait"/>
          <w:cols w:equalWidth="0" w:num="1">
            <w:col w:w="11120"/>
          </w:cols>
          <w:pgMar w:left="320" w:top="486" w:right="459" w:bottom="1033" w:gutter="0" w:footer="0" w:header="0"/>
        </w:sectPr>
      </w:pP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120"/>
          </w:cols>
          <w:pgMar w:left="320" w:top="486" w:right="459" w:bottom="1033"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As a consequence of the license agreement with OncXerna,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CVR Agreement Between Us and Computershare</w:t>
      </w:r>
    </w:p>
    <w:p>
      <w:pPr>
        <w:spacing w:after="0" w:line="98" w:lineRule="exact"/>
        <w:rPr>
          <w:sz w:val="20"/>
          <w:szCs w:val="20"/>
          <w:color w:val="auto"/>
        </w:rPr>
      </w:pPr>
    </w:p>
    <w:p>
      <w:pPr>
        <w:ind w:left="120" w:firstLine="551"/>
        <w:spacing w:after="0" w:line="248" w:lineRule="auto"/>
        <w:rPr>
          <w:sz w:val="20"/>
          <w:szCs w:val="20"/>
          <w:color w:val="auto"/>
        </w:rPr>
      </w:pPr>
      <w:r>
        <w:rPr>
          <w:rFonts w:ascii="Arial" w:cs="Arial" w:eastAsia="Arial" w:hAnsi="Arial"/>
          <w:sz w:val="21"/>
          <w:szCs w:val="21"/>
          <w:color w:val="auto"/>
        </w:rPr>
        <w:t>Following the closing of the Merger, OncoMed’s stockholders received, in exchange for each outstanding share of OncoMed common stock owned immediately prior to the closing of the Merger (except for any dissenting shares): (1) a number of our ADSs determined by reference to an exchange ratio, and (2) one contingent value right (a “CVR”), representing the right to receive contingent payments if specified milestones are achieved within agreed time periods, subject to and in accordance with the terms and conditions of the Contingent Value Rights Agreement (the “CVR Agreement”), dated April 23, 2019, by and among Computershare, as rights agent, and us.</w:t>
      </w:r>
    </w:p>
    <w:p>
      <w:pPr>
        <w:spacing w:after="0" w:line="177" w:lineRule="exact"/>
        <w:rPr>
          <w:sz w:val="20"/>
          <w:szCs w:val="20"/>
          <w:color w:val="auto"/>
        </w:rPr>
      </w:pPr>
    </w:p>
    <w:p>
      <w:pPr>
        <w:ind w:left="120" w:right="380" w:firstLine="551"/>
        <w:spacing w:after="0" w:line="250" w:lineRule="auto"/>
        <w:rPr>
          <w:sz w:val="20"/>
          <w:szCs w:val="20"/>
          <w:color w:val="auto"/>
        </w:rPr>
      </w:pPr>
      <w:r>
        <w:rPr>
          <w:rFonts w:ascii="Arial" w:cs="Arial" w:eastAsia="Arial" w:hAnsi="Arial"/>
          <w:sz w:val="22"/>
          <w:szCs w:val="22"/>
          <w:color w:val="auto"/>
        </w:rPr>
        <w:t>Except in limited circumstances, the CVRs may not be transferred, pledged, hypothecated, encumbered, assigned or otherwise disposed of.</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Milestone Events and Payments</w:t>
      </w:r>
    </w:p>
    <w:p>
      <w:pPr>
        <w:spacing w:after="0" w:line="98" w:lineRule="exact"/>
        <w:rPr>
          <w:sz w:val="20"/>
          <w:szCs w:val="20"/>
          <w:color w:val="auto"/>
        </w:rPr>
      </w:pPr>
    </w:p>
    <w:p>
      <w:pPr>
        <w:jc w:val="both"/>
        <w:ind w:left="120" w:right="220" w:firstLine="551"/>
        <w:spacing w:after="0"/>
        <w:rPr>
          <w:sz w:val="20"/>
          <w:szCs w:val="20"/>
          <w:color w:val="auto"/>
        </w:rPr>
      </w:pPr>
      <w:r>
        <w:rPr>
          <w:rFonts w:ascii="Arial" w:cs="Arial" w:eastAsia="Arial" w:hAnsi="Arial"/>
          <w:sz w:val="22"/>
          <w:szCs w:val="22"/>
          <w:color w:val="auto"/>
        </w:rPr>
        <w:t>The CVR milestones relate to Mereo BioPharma 5 (formerly OncoMed)’s etigilimab and Navi therapeutic candidates, though the milestone relevant to etigilimab can no longer be achieved and no payments will become due or payable to CVR holders in relation to etigilimab.</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contingent payments would become payable to the rights agent, for subsequent distribution to the holders of the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CVRs, upon the achievement of a milestone relating to NAVI as follows:</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The NAVI Milestones</w:t>
      </w:r>
    </w:p>
    <w:p>
      <w:pPr>
        <w:spacing w:after="0" w:line="98" w:lineRule="exact"/>
        <w:rPr>
          <w:sz w:val="20"/>
          <w:szCs w:val="20"/>
          <w:color w:val="auto"/>
        </w:rPr>
      </w:pPr>
    </w:p>
    <w:p>
      <w:pPr>
        <w:ind w:left="120" w:right="80" w:firstLine="551"/>
        <w:spacing w:after="0" w:line="282" w:lineRule="auto"/>
        <w:rPr>
          <w:sz w:val="20"/>
          <w:szCs w:val="20"/>
          <w:color w:val="auto"/>
        </w:rPr>
      </w:pPr>
      <w:r>
        <w:rPr>
          <w:rFonts w:ascii="Arial" w:cs="Arial" w:eastAsia="Arial" w:hAnsi="Arial"/>
          <w:sz w:val="19"/>
          <w:szCs w:val="19"/>
          <w:color w:val="auto"/>
        </w:rPr>
        <w:t>A cash payment will be made to CVR holders if, (1) within eighteen months following the closing of the Merger, we or any of our subsidiaries enters into a definitive partnership agreement, collaboration agreement, joint venture agreement, profit sharing agreement, license or sublicense agreement, asset sale agreement, stock sale agreement, investment agreement or similar agreement duly approved by our Board with one or more third parties regarding Navi, and (2) within five years of the closing of the Merger, we or any of our subsidiaries actually receives certain eligible cash milestone payments.</w:t>
      </w:r>
    </w:p>
    <w:p>
      <w:pPr>
        <w:spacing w:after="0" w:line="147" w:lineRule="exact"/>
        <w:rPr>
          <w:sz w:val="20"/>
          <w:szCs w:val="20"/>
          <w:color w:val="auto"/>
        </w:rPr>
      </w:pPr>
    </w:p>
    <w:p>
      <w:pPr>
        <w:ind w:left="120" w:right="80" w:firstLine="551"/>
        <w:spacing w:after="0" w:line="233" w:lineRule="auto"/>
        <w:rPr>
          <w:sz w:val="20"/>
          <w:szCs w:val="20"/>
          <w:color w:val="auto"/>
        </w:rPr>
      </w:pPr>
      <w:r>
        <w:rPr>
          <w:rFonts w:ascii="Arial" w:cs="Arial" w:eastAsia="Arial" w:hAnsi="Arial"/>
          <w:sz w:val="22"/>
          <w:szCs w:val="22"/>
          <w:color w:val="auto"/>
        </w:rPr>
        <w:t>On January 13, 2020, we entered into a global license agreement with OncXerna for the development and commercialization of Navi. Eligible cash milestone payments pursuant to the NAVI Agreement (as defined in the CVR Agreement) will include each cash milestone payment payable to our Company or one or more of our subsidiaries pursuant to a NAVI Agreement (or any agreement contemplated by such NAVI Agreement), except for any (i) royalty or similar sales-based payment that is measured, in whole or in part, by reference to the quantity of Navi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080"/>
          </w:cols>
          <w:pgMar w:left="320" w:top="48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color w:val="auto"/>
        </w:rPr>
        <w:t>If a NAVI Milestone is achieved, holders of CVRs would be entitled to receive an amount in cash equal to 70% of the aggregate principal amount actually received by us or one or more of our subsidiaries (other than NAVI Sub), net of (A) any tax (including any applicable value added or sales taxes and including any tax which would be payable but for the utilization of a relief), (B) 50% of any expenditure by us or our subsidiaries pursuant to the budget set forth on a confidential schedule to the CVR Agreement, and (C) any other reasonable cost or expense attributable to the receipt of such payment (including (i) any costs, reasonable out-of-pocket fees, expenses or charges we incurred in excess of the commitments provided for in the budget set forth on a confidential schedule to the CVR Agreement, (ii) any costs, reasonable out-of-pocket fees, expenses or charges we incurred under the NAVI Agreement, and (iii) any costs, reasonable out-of-pocket fees, expenses or charges we incurred, or for which we are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155"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The NAVI milestone payments are subject to a cash consideration cap, pursuant to which the aggregate principal amount of all cash payments made to holders of CVRs by us shall in no case exceed $79.7 million. If the aggregate principal amount to be paid to holders of CVRs by us pursuant to the CVR Agreement would, together with the aggregate principal amount of any prior such cash payments, otherwise exceed $79.7 million, then the applicable NAVI Milestone payment will be appropriately reduced.</w:t>
      </w:r>
    </w:p>
    <w:p>
      <w:pPr>
        <w:spacing w:after="0" w:line="187" w:lineRule="exact"/>
        <w:rPr>
          <w:sz w:val="20"/>
          <w:szCs w:val="20"/>
          <w:color w:val="auto"/>
        </w:rPr>
      </w:pPr>
    </w:p>
    <w:p>
      <w:pPr>
        <w:ind w:left="120" w:right="500" w:firstLine="551"/>
        <w:spacing w:after="0"/>
        <w:rPr>
          <w:sz w:val="20"/>
          <w:szCs w:val="20"/>
          <w:color w:val="auto"/>
        </w:rPr>
      </w:pPr>
      <w:r>
        <w:rPr>
          <w:rFonts w:ascii="Arial" w:cs="Arial" w:eastAsia="Arial" w:hAnsi="Arial"/>
          <w:sz w:val="22"/>
          <w:szCs w:val="22"/>
          <w:color w:val="auto"/>
        </w:rPr>
        <w:t>If a NAVI Milestone occurs at any time prior to the fifth anniversary of the closing of the Merger, and on each such occurrence, then, thirty days following the achievement thereof, we are obligated to notify the rights agent and pay the amounts owed pursuant to the NAVI Agreement.</w:t>
      </w:r>
    </w:p>
    <w:p>
      <w:pPr>
        <w:spacing w:after="0" w:line="186" w:lineRule="exact"/>
        <w:rPr>
          <w:sz w:val="20"/>
          <w:szCs w:val="20"/>
          <w:color w:val="auto"/>
        </w:rPr>
      </w:pPr>
    </w:p>
    <w:p>
      <w:pPr>
        <w:jc w:val="both"/>
        <w:ind w:left="120" w:firstLine="551"/>
        <w:spacing w:after="0"/>
        <w:rPr>
          <w:sz w:val="20"/>
          <w:szCs w:val="20"/>
          <w:color w:val="auto"/>
        </w:rPr>
      </w:pPr>
      <w:r>
        <w:rPr>
          <w:rFonts w:ascii="Arial" w:cs="Arial" w:eastAsia="Arial" w:hAnsi="Arial"/>
          <w:sz w:val="22"/>
          <w:szCs w:val="22"/>
          <w:color w:val="auto"/>
        </w:rPr>
        <w:t>The receipt of the upfront milestone payment of $4.0 million by us under the Navi License Agreement with OncXerna in January 2020 resulted in a payment to CVR holders of approximately 1.2 cents per CVR, a total of approximately $0.5 million, after deductions of costs, charges and expenditures.</w:t>
      </w:r>
    </w:p>
    <w:p>
      <w:pPr>
        <w:spacing w:after="0" w:line="186" w:lineRule="exact"/>
        <w:rPr>
          <w:sz w:val="20"/>
          <w:szCs w:val="20"/>
          <w:color w:val="auto"/>
        </w:rPr>
      </w:pPr>
    </w:p>
    <w:p>
      <w:pPr>
        <w:ind w:left="120" w:right="440" w:firstLine="551"/>
        <w:spacing w:after="0"/>
        <w:rPr>
          <w:sz w:val="20"/>
          <w:szCs w:val="20"/>
          <w:color w:val="auto"/>
        </w:rPr>
      </w:pPr>
      <w:r>
        <w:rPr>
          <w:rFonts w:ascii="Arial" w:cs="Arial" w:eastAsia="Arial" w:hAnsi="Arial"/>
          <w:sz w:val="22"/>
          <w:szCs w:val="22"/>
          <w:color w:val="auto"/>
        </w:rPr>
        <w:t>The receipt of the milestone payment of $2.0 million by us under the Navi License Agreement with OncXerna in February 2022 will result in a payment to CVR holders of approximately 2.3 cents per CVR, a total of approximately $0.9 million, after deductions of costs, charges and expenditures.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Novartis Agreements</w:t>
      </w:r>
    </w:p>
    <w:p>
      <w:pPr>
        <w:spacing w:after="0" w:line="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85" w:lineRule="exact"/>
        <w:rPr>
          <w:sz w:val="20"/>
          <w:szCs w:val="20"/>
          <w:color w:val="auto"/>
        </w:rPr>
      </w:pPr>
    </w:p>
    <w:p>
      <w:pPr>
        <w:ind w:left="120" w:right="80" w:firstLine="551"/>
        <w:spacing w:after="0" w:line="273" w:lineRule="auto"/>
        <w:rPr>
          <w:sz w:val="20"/>
          <w:szCs w:val="20"/>
          <w:color w:val="auto"/>
        </w:rPr>
      </w:pPr>
      <w:r>
        <w:rPr>
          <w:rFonts w:ascii="Arial" w:cs="Arial" w:eastAsia="Arial" w:hAnsi="Arial"/>
          <w:sz w:val="19"/>
          <w:szCs w:val="19"/>
          <w:color w:val="auto"/>
        </w:rPr>
        <w:t>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155" w:lineRule="exact"/>
        <w:rPr>
          <w:sz w:val="20"/>
          <w:szCs w:val="20"/>
          <w:color w:val="auto"/>
        </w:rPr>
      </w:pPr>
    </w:p>
    <w:p>
      <w:pPr>
        <w:ind w:left="120" w:right="20" w:firstLine="551"/>
        <w:spacing w:after="0" w:line="282" w:lineRule="auto"/>
        <w:rPr>
          <w:sz w:val="20"/>
          <w:szCs w:val="20"/>
          <w:color w:val="auto"/>
        </w:rPr>
      </w:pPr>
      <w:r>
        <w:rPr>
          <w:rFonts w:ascii="Arial" w:cs="Arial" w:eastAsia="Arial" w:hAnsi="Arial"/>
          <w:sz w:val="19"/>
          <w:szCs w:val="19"/>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w:t>
      </w:r>
    </w:p>
    <w:p>
      <w:pPr>
        <w:sectPr>
          <w:pgSz w:w="11900" w:h="16838" w:orient="portrait"/>
          <w:cols w:equalWidth="0" w:num="1">
            <w:col w:w="11120"/>
          </w:cols>
          <w:pgMar w:left="320" w:top="486" w:right="459" w:bottom="1440" w:gutter="0" w:footer="0" w:header="0"/>
        </w:sectPr>
      </w:pP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120"/>
          </w:cols>
          <w:pgMar w:left="320" w:top="486" w:right="4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line="245" w:lineRule="auto"/>
        <w:rPr>
          <w:sz w:val="20"/>
          <w:szCs w:val="20"/>
          <w:color w:val="auto"/>
        </w:rPr>
      </w:pPr>
      <w:r>
        <w:rPr>
          <w:rFonts w:ascii="Arial" w:cs="Arial" w:eastAsia="Arial" w:hAnsi="Arial"/>
          <w:sz w:val="21"/>
          <w:szCs w:val="21"/>
          <w:color w:val="auto"/>
        </w:rPr>
        <w:t>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Novartis Loan Note</w:t>
      </w:r>
    </w:p>
    <w:p>
      <w:pPr>
        <w:spacing w:after="0" w:line="98" w:lineRule="exact"/>
        <w:rPr>
          <w:sz w:val="20"/>
          <w:szCs w:val="20"/>
          <w:color w:val="auto"/>
        </w:rPr>
      </w:pPr>
    </w:p>
    <w:p>
      <w:pPr>
        <w:ind w:left="120" w:right="20" w:firstLine="551"/>
        <w:spacing w:after="0"/>
        <w:rPr>
          <w:sz w:val="20"/>
          <w:szCs w:val="20"/>
          <w:color w:val="auto"/>
        </w:rPr>
      </w:pPr>
      <w:r>
        <w:rPr>
          <w:rFonts w:ascii="Arial" w:cs="Arial" w:eastAsia="Arial" w:hAnsi="Arial"/>
          <w:sz w:val="22"/>
          <w:szCs w:val="22"/>
          <w:color w:val="auto"/>
        </w:rPr>
        <w:t>On February 10, 2020, we entered into a £3.8 million convertible loan note instrument with Novartis pursuant to which we issued 3,841,479 unsecured convertible loan notes (the “Novartis Loan Note”) and warrants to purchase 1,449,614 ordinary shares, exercisable until February 2025.</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Agreements relating to June 2020 Private Placement</w:t>
      </w:r>
    </w:p>
    <w:p>
      <w:pPr>
        <w:spacing w:after="0" w:line="98" w:lineRule="exact"/>
        <w:rPr>
          <w:sz w:val="20"/>
          <w:szCs w:val="20"/>
          <w:color w:val="auto"/>
        </w:rPr>
      </w:pPr>
    </w:p>
    <w:p>
      <w:pPr>
        <w:ind w:left="120" w:right="60" w:firstLine="551"/>
        <w:spacing w:after="0" w:line="282" w:lineRule="auto"/>
        <w:rPr>
          <w:sz w:val="20"/>
          <w:szCs w:val="20"/>
          <w:color w:val="auto"/>
        </w:rPr>
      </w:pPr>
      <w:r>
        <w:rPr>
          <w:rFonts w:ascii="Arial" w:cs="Arial" w:eastAsia="Arial" w:hAnsi="Arial"/>
          <w:sz w:val="19"/>
          <w:szCs w:val="19"/>
          <w:color w:val="auto"/>
        </w:rPr>
        <w:t>On June 3, 2020, we entered into a securities purchase agreement (the “June 2020 Purchase Agreement”) with a number of new and existing principally U.S.-based institutional and accredited investors (the “June 2020 Private Placement”) pursuant to which we received $70.0 million (£56.0 million) comprising: the allotment of ordinary shares at a subscription price of $19.4 (£15.5) million utilizing the pre-existing share authorities of the Company, and the subscription for Tranche 1 convertible loan notes (“Loan Notes”) in an aggregate principal amount of $50.6 million (£40.5 million).</w:t>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120"/>
          </w:cols>
          <w:pgMar w:left="320" w:top="486"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Following the passing of resolutions at our General Meeting on June 30, 2020, the Loan Notes automatically converted into ordinary shares of £0.003 each in the capital of the Company except that no new ordinary shares were issued which would result in any person holding in excess of 9.99 percent of the aggregate voting rights in the Company as a result of the relevant conversion. Accordingly, the automatic conversion resulted in Loan Notes in an aggregate principal amount of £21.8 million (together with accrued interest) converting into 125,061,475 ordinary shares on June 30, 2020. As of December 31, 2021, Loan Notes in an aggregate principal amount of £12.4 million remained outstanding and convertible into ordinary shares or ADSs in accordance with their terms.</w:t>
      </w:r>
    </w:p>
    <w:p>
      <w:pPr>
        <w:spacing w:after="0" w:line="184" w:lineRule="exact"/>
        <w:rPr>
          <w:sz w:val="20"/>
          <w:szCs w:val="20"/>
          <w:color w:val="auto"/>
        </w:rPr>
      </w:pPr>
    </w:p>
    <w:p>
      <w:pPr>
        <w:ind w:left="120" w:right="80" w:firstLine="551"/>
        <w:spacing w:after="0" w:line="287" w:lineRule="auto"/>
        <w:rPr>
          <w:sz w:val="20"/>
          <w:szCs w:val="20"/>
          <w:color w:val="auto"/>
        </w:rPr>
      </w:pPr>
      <w:r>
        <w:rPr>
          <w:rFonts w:ascii="Arial" w:cs="Arial" w:eastAsia="Arial" w:hAnsi="Arial"/>
          <w:sz w:val="19"/>
          <w:szCs w:val="19"/>
          <w:color w:val="auto"/>
        </w:rPr>
        <w:t>The Purchasers also received warrants entitling the holders to subscribe for an aggregate of 161,048,366 new ordinary shares. As of December 31, 2021, there were 144,943,535 warrants outstanding to purchase ordinary shares at an exercise price of £0.348 per ordinary share, exercisable until June 2023 and subject to the terms of the warrants. In accordance with the terms of the warrants, holders may elect to exercise their warrants on a cashless basis.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February 2021 Public Offering</w:t>
      </w:r>
    </w:p>
    <w:p>
      <w:pPr>
        <w:spacing w:after="0" w:line="9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On February 12, 2021, we announced the completion of an underwritten public offering of 39,675,000 ADSs, at a public offering price of $2.90 per ADS, which included 5,175,000 additional ADSs issued upon the exercise in full of the underwriters’ option to purchase additional ADSs. The aggregate gross proceeds to us from the public offering, before deducting underwriting discounts and commissions and offering expenses were $115.1 million. The net proceeds, after transaction costs, were £78.4 million ($108.2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Manufacturing</w:t>
      </w:r>
    </w:p>
    <w:p>
      <w:pPr>
        <w:spacing w:after="0" w:line="10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21"/>
          <w:szCs w:val="21"/>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etigilimab, alvelestat, acumapimod and leflutrozole and we intend to enter into additional manufacturing agreements as necessary. Following our license of alvelestat, we acquired certain clinical trial materials and we will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 candidates to late-stage trials.</w:t>
      </w:r>
    </w:p>
    <w:p>
      <w:pPr>
        <w:spacing w:after="0" w:line="180" w:lineRule="exact"/>
        <w:rPr>
          <w:sz w:val="20"/>
          <w:szCs w:val="20"/>
          <w:color w:val="auto"/>
        </w:rPr>
      </w:pPr>
    </w:p>
    <w:p>
      <w:pPr>
        <w:ind w:left="120" w:right="180" w:firstLine="551"/>
        <w:spacing w:after="0" w:line="282" w:lineRule="auto"/>
        <w:rPr>
          <w:sz w:val="20"/>
          <w:szCs w:val="20"/>
          <w:color w:val="auto"/>
        </w:rPr>
      </w:pPr>
      <w:r>
        <w:rPr>
          <w:rFonts w:ascii="Arial" w:cs="Arial" w:eastAsia="Arial" w:hAnsi="Arial"/>
          <w:sz w:val="19"/>
          <w:szCs w:val="19"/>
          <w:color w:val="auto"/>
        </w:rPr>
        <w:t>We intend to enter into contractual relationships for the manufacture of commercial supplies for etigilimab, alvelestat and setrusumab, if approved for commercial sale.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Commercialization, Sales and Marketing</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21"/>
          <w:szCs w:val="21"/>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In December 2020, we entered into a license and collaboration agreement with Ultragenyx for setrusumab. For our other current and future product candidates we intend to take strategic decisions on whether to further develop them, potentially through to approval, directly commercializing globally or in certain territories, or to seek a partner for further development, co-development and/or commercialization. For product candidates we intend to commercialize or co-commercialize, we must either establish a sales and marketing organization with technical expertise and supporting distribution capabilities in major markets or potentially outsource aspects of these functions to third parties or partners.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120"/>
          </w:cols>
          <w:pgMar w:left="320" w:top="486"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04" w:lineRule="exact"/>
        <w:rPr>
          <w:sz w:val="20"/>
          <w:szCs w:val="20"/>
          <w:color w:val="auto"/>
        </w:rPr>
      </w:pPr>
    </w:p>
    <w:p>
      <w:pPr>
        <w:ind w:left="120" w:right="80" w:firstLine="551"/>
        <w:spacing w:after="0" w:line="279" w:lineRule="auto"/>
        <w:rPr>
          <w:sz w:val="20"/>
          <w:szCs w:val="20"/>
          <w:color w:val="auto"/>
        </w:rPr>
      </w:pPr>
      <w:r>
        <w:rPr>
          <w:rFonts w:ascii="Arial" w:cs="Arial" w:eastAsia="Arial" w:hAnsi="Arial"/>
          <w:sz w:val="19"/>
          <w:szCs w:val="19"/>
          <w:color w:val="auto"/>
        </w:rPr>
        <w:t>We compete directly with other biopharmaceutical and pharmaceutical companies that focus on the treatment of solid tumor cancers and hematologic cancers, OI, AATD, AECOPD or male infertility. We may also face competition from academic research institutions, governmental agencies and other various public and private research institutions. We expect to face increasingly intense competition as new technologies become available. Any product candidates, including etigilimab, alvelestat, setrusumab, acumapimod and leflutrozole that we or our partners successfully develop and commercialize will compete with existing therapies and new therapies that may become available in the future.</w:t>
      </w:r>
    </w:p>
    <w:p>
      <w:pPr>
        <w:spacing w:after="0" w:line="150"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22"/>
          <w:szCs w:val="22"/>
          <w:color w:val="auto"/>
        </w:rPr>
        <w:t>We consider etigilimab’s current closest potential competitors to be include other anti-TIGIT agents being developed by companies including Roche, Merck, iTeos and GSK, Beigene/Novartis, Seattle Genetics, Inc., Arcus/Gilead and Compugen amongst others. In addition, there are other combinations of existing cancer therapies available commercially for example, Yervoy and Opdivo and Opidivo and Keytruda in combination with chemotherapy agents. There are also a number of other agents in development to other immuno-oncology targets that could compete with an anti-TIGIT approach, for example anti-LAG3.</w:t>
      </w:r>
    </w:p>
    <w:p>
      <w:pPr>
        <w:spacing w:after="0" w:line="188"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We consider alvelestat’s current closest potential competitors for the treatment of severe AATD to be alpha1-proteinase inhibitors that are administered intravenously in AAT augmentation therapy. Currently, there are four inhibitors on the market in the United States and the EU: Prolastin-C from Grifols, S.A. (“Grifols”), Aralast from Shire plc, now a subsidiary of Takeda Pharmaceutical Company Ltd (“Shire”), Zemaira from CSL Limited (“CSL”), and Glassia from Kamada Ltd. (“Kamada”). Kamada is also investigating an inhaled version of augmentation therapy, InhibRx, Inc. (“InhibRx”) is in Phase 1 development of INBRX-101, a recombinant human alpha-1 antitrypsin Fc fusion protein (rhAAT-Fc) for replacement therapy, and Apic Bio, Inc. (“Apic Bio”) is in the early stages of developing a dual function vector (df-AAV) gene-therapy approach for AATD silencing the mutant Z-AAT protein and augmenting wildtype M-AAT production. Peak Bio acquired an oral NE inhibitor, PHP-303 following a splitting up of the Ph Pharma pipeline in March 2022. The compound is in a Phase 2 trial in AATD according to the EU Clinical Trials Register website, although no updates have been provided. Vertex Pharmaceuticals Inc. (“Vertex”) has a small molecule corrector program for AATD in pre-clinical development, following Phase 2 trials with two other molecules with the same mechanism of action that were discontinued due to toxicity and efficacy. Centessa (previously Z-factor) is in Ph1 with ZF874 protein folding corrector for Z-AATD and to date has reported data on three patients.</w:t>
      </w:r>
    </w:p>
    <w:p>
      <w:pPr>
        <w:spacing w:after="0" w:line="156"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21"/>
          <w:szCs w:val="21"/>
          <w:color w:val="auto"/>
        </w:rPr>
        <w:t>There are no therapies with regulatory approval for Bronchiolitis Obliterans Syndrome (“BOS”) following SCT or lung transplant. We consider alvelestat’s closest potential competitors to be the Janus Kinase (JAK1) inhibitor, itacitinib, and JAK2 inhibitor, ruxolitinib, (Incyte Corporation) in Phase 1/Phase2 studies in lung transplant-associated and SCT-associated BOS, respectively; AI Therapeutics inhaled formulation of sirolimus (LAM-001) in Phase 1 for BOS in lung transplant; Isopogen allogeneic bone marrow derived Mesenchymal Stem Cells for Chronic Lung Allograft Dysfuntion (CLAD) in Phase 1 (NCT02709343 ); and liposomal inhaled cyclosporin-A (Zambon) in Phase 2 in BOS following SCT and in Phase 3 global pivotal trials in BOS associated with lung transplant. In other disease indications, we consider alvelestat’s closet potential competitors to be Santhera Pharmaceuticals (“Santhera”) which has in-licensed the inhaled NE inhibitor POL6014 and has completed a multiple ascending dose study, in the initial indication of CF; and CHF-6333 is an inhaled human NE inhibitor that has completed a Phase 1 trial by Chiesi Farmaceutici S.p.A. (“Chiesi”) for the treatment of non-cystic fibrosis bronchiectasis and CF.</w:t>
      </w:r>
    </w:p>
    <w:p>
      <w:pPr>
        <w:spacing w:after="0" w:line="188" w:lineRule="exact"/>
        <w:rPr>
          <w:sz w:val="20"/>
          <w:szCs w:val="20"/>
          <w:color w:val="auto"/>
        </w:rPr>
      </w:pPr>
    </w:p>
    <w:p>
      <w:pPr>
        <w:ind w:left="120" w:right="160" w:firstLine="551"/>
        <w:spacing w:after="0" w:line="272" w:lineRule="auto"/>
        <w:rPr>
          <w:sz w:val="20"/>
          <w:szCs w:val="20"/>
          <w:color w:val="auto"/>
        </w:rPr>
      </w:pPr>
      <w:r>
        <w:rPr>
          <w:rFonts w:ascii="Arial" w:cs="Arial" w:eastAsia="Arial" w:hAnsi="Arial"/>
          <w:sz w:val="19"/>
          <w:szCs w:val="19"/>
          <w:color w:val="auto"/>
        </w:rPr>
        <w:t>We consider setrusumab’s current closest potential competitors in development for the treatment of OI to be Amgen denosumab (Prolia) an anti-resorptive agent, which is in an open label study in pediatric patients with OI, and Amgen and UCB’s anti-sclerostin antibody, romosozumab (Evenity), which was approved in the United States in April 2019 for osteoporosis.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Romosozumab is also in a Phase 1 trial in OI in Europe, looking at the pharmacokinetics and pharmacodynamics of romosozumab in OI. In December 2019, the European Commission approved the MAA for romosozumab (Evenity). In addition, Jiangsu Hengrui has commenced Phase 1 development of an anti-sclerostin antibody for osteoporosis in China, and Transcenta Holding has licensed the Chinese rights to the anti-sclerostin antibody blosozumab from Eli Lilly and Company (“Lilly”) and plans to develop it for osteoporosis. Additionally, Bone Therapeutics S.A. (“Bone Therapeutics”) is developing osteoblastic cell therapy product candidates. Baylor College of Medicine is conducting a Phase 1 open label trial of fresolimumab, a TGF-B inhibitor, in adult OI patients.</w:t>
      </w:r>
    </w:p>
    <w:p>
      <w:pPr>
        <w:spacing w:after="0" w:line="200" w:lineRule="exact"/>
        <w:rPr>
          <w:sz w:val="20"/>
          <w:szCs w:val="20"/>
          <w:color w:val="auto"/>
        </w:rPr>
      </w:pPr>
    </w:p>
    <w:p>
      <w:pPr>
        <w:spacing w:after="0" w:line="20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22"/>
          <w:szCs w:val="22"/>
          <w:color w:val="auto"/>
        </w:rPr>
        <w:t>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and AstraZeneca each conducting Phase 2 trials on drugs for the treatment of COPD.</w:t>
      </w:r>
    </w:p>
    <w:p>
      <w:pPr>
        <w:spacing w:after="0" w:line="185" w:lineRule="exact"/>
        <w:rPr>
          <w:sz w:val="20"/>
          <w:szCs w:val="20"/>
          <w:color w:val="auto"/>
        </w:rPr>
      </w:pPr>
    </w:p>
    <w:p>
      <w:pPr>
        <w:ind w:left="120" w:right="160" w:firstLine="551"/>
        <w:spacing w:after="0" w:line="297" w:lineRule="auto"/>
        <w:rPr>
          <w:sz w:val="20"/>
          <w:szCs w:val="20"/>
          <w:color w:val="auto"/>
        </w:rPr>
      </w:pPr>
      <w:r>
        <w:rPr>
          <w:rFonts w:ascii="Arial" w:cs="Arial" w:eastAsia="Arial" w:hAnsi="Arial"/>
          <w:sz w:val="19"/>
          <w:szCs w:val="19"/>
          <w:color w:val="auto"/>
        </w:rPr>
        <w:t>We consider leflutrozole’s current closest potential competitors for the treatment of male infertility due to HH to be Follicle Stimulating Hormone (FSH), injectable recombinant follitropin alpha (Gonal-F, Serono) which is FDA approved for male infertility; Injectable Human Chorionic Gonadotropin (HCG) which is not approved for male infertility but is used ‘off-</w:t>
      </w:r>
    </w:p>
    <w:p>
      <w:pPr>
        <w:sectPr>
          <w:pgSz w:w="11900" w:h="16838" w:orient="portrait"/>
          <w:cols w:equalWidth="0" w:num="1">
            <w:col w:w="11080"/>
          </w:cols>
          <w:pgMar w:left="320" w:top="486" w:right="499" w:bottom="0" w:gutter="0" w:footer="0" w:header="0"/>
        </w:sectPr>
      </w:pPr>
    </w:p>
    <w:bookmarkStart w:id="78" w:name="page79"/>
    <w:bookmarkEnd w:id="78"/>
    <w:p>
      <w:pPr>
        <w:spacing w:after="0" w:line="251" w:lineRule="auto"/>
        <w:rPr>
          <w:sz w:val="20"/>
          <w:szCs w:val="20"/>
          <w:color w:val="auto"/>
        </w:rPr>
      </w:pPr>
      <w:r>
        <w:rPr>
          <w:rFonts w:ascii="Arial" w:cs="Arial" w:eastAsia="Arial" w:hAnsi="Arial"/>
          <w:sz w:val="22"/>
          <w:szCs w:val="22"/>
          <w:color w:val="auto"/>
        </w:rPr>
        <w:t>label’ and AZD-5904 (myeloperoxidase inhibitor) from the AstraZeneca and St George Street Capital collaboration is in a Phase 1b trial for idiopathic male infertility.</w:t>
      </w:r>
    </w:p>
    <w:p>
      <w:pPr>
        <w:spacing w:after="0" w:line="106"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540"/>
          </w:cols>
          <w:pgMar w:left="440" w:top="118" w:right="9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firstLine="551"/>
        <w:spacing w:after="0" w:line="274" w:lineRule="auto"/>
        <w:rPr>
          <w:sz w:val="20"/>
          <w:szCs w:val="20"/>
          <w:color w:val="auto"/>
        </w:rPr>
      </w:pPr>
      <w:r>
        <w:rPr>
          <w:rFonts w:ascii="Arial" w:cs="Arial" w:eastAsia="Arial" w:hAnsi="Arial"/>
          <w:sz w:val="19"/>
          <w:szCs w:val="19"/>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15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The key competitive factors affecting the success of etigilimab, alvelestat, setrusumab, acumapimod and leflutrozole,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85" w:lineRule="exact"/>
        <w:rPr>
          <w:sz w:val="20"/>
          <w:szCs w:val="20"/>
          <w:color w:val="auto"/>
        </w:rPr>
      </w:pPr>
    </w:p>
    <w:p>
      <w:pPr>
        <w:ind w:left="120" w:right="20" w:firstLine="551"/>
        <w:spacing w:after="0" w:line="274" w:lineRule="auto"/>
        <w:rPr>
          <w:sz w:val="20"/>
          <w:szCs w:val="20"/>
          <w:color w:val="auto"/>
        </w:rPr>
      </w:pPr>
      <w:r>
        <w:rPr>
          <w:rFonts w:ascii="Arial" w:cs="Arial" w:eastAsia="Arial" w:hAnsi="Arial"/>
          <w:sz w:val="19"/>
          <w:szCs w:val="19"/>
          <w:color w:val="auto"/>
        </w:rPr>
        <w:t>Our commercial opportunity could be reduced or eliminated if our competitors develop and commercialize product candidates that are safer, more effective, less expensive, more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etigilimab, alvelestat, setrusumab, acumapimod or leflutrozole achieve marketing approval, they may be priced at a significant premium over competing product candidates if any have been approved by then. For more information, please see “Risk Factors—Risks Related to Commercialization—We operate in a highly competitive and rapidly changing industry, which may result in others acquiring, developing, or commercializing competing product candidates before or more successfully than we do.”</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04"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We have acquired or exclusively licensed our intellectual property portfolio from Mereo BioPharma 5 (formerly OncoMed), Novartis and AstraZeneca.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4" w:lineRule="exact"/>
        <w:rPr>
          <w:sz w:val="20"/>
          <w:szCs w:val="20"/>
          <w:color w:val="auto"/>
        </w:rPr>
      </w:pPr>
    </w:p>
    <w:p>
      <w:pPr>
        <w:ind w:left="120" w:right="600" w:firstLine="551"/>
        <w:spacing w:after="0" w:line="328" w:lineRule="auto"/>
        <w:rPr>
          <w:sz w:val="20"/>
          <w:szCs w:val="20"/>
          <w:color w:val="auto"/>
        </w:rPr>
      </w:pPr>
      <w:r>
        <w:rPr>
          <w:rFonts w:ascii="Arial" w:cs="Arial" w:eastAsia="Arial" w:hAnsi="Arial"/>
          <w:sz w:val="19"/>
          <w:szCs w:val="19"/>
          <w:color w:val="auto"/>
        </w:rPr>
        <w:t>Our intellectual property is held by our wholly owned subsidiaries. As of December 31, 2021, our patent portfolio comprises approximately 600 issued patents and approximately 140 pending patent applications on a global basis.</w:t>
      </w:r>
    </w:p>
    <w:p>
      <w:pPr>
        <w:spacing w:after="0" w:line="105" w:lineRule="exact"/>
        <w:rPr>
          <w:sz w:val="20"/>
          <w:szCs w:val="20"/>
          <w:color w:val="auto"/>
        </w:rPr>
      </w:pPr>
    </w:p>
    <w:p>
      <w:pPr>
        <w:ind w:left="120" w:right="60" w:firstLine="551"/>
        <w:spacing w:after="0" w:line="279" w:lineRule="auto"/>
        <w:rPr>
          <w:sz w:val="20"/>
          <w:szCs w:val="20"/>
          <w:color w:val="auto"/>
        </w:rPr>
      </w:pPr>
      <w:r>
        <w:rPr>
          <w:rFonts w:ascii="Arial" w:cs="Arial" w:eastAsia="Arial" w:hAnsi="Arial"/>
          <w:sz w:val="19"/>
          <w:szCs w:val="19"/>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line="282" w:lineRule="auto"/>
        <w:rPr>
          <w:sz w:val="20"/>
          <w:szCs w:val="20"/>
          <w:color w:val="auto"/>
        </w:rPr>
      </w:pPr>
      <w:r>
        <w:rPr>
          <w:rFonts w:ascii="Arial" w:cs="Arial" w:eastAsia="Arial" w:hAnsi="Arial"/>
          <w:sz w:val="19"/>
          <w:szCs w:val="19"/>
          <w:color w:val="auto"/>
        </w:rPr>
        <w:t>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47"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61" w:lineRule="exact"/>
        <w:rPr>
          <w:sz w:val="20"/>
          <w:szCs w:val="20"/>
          <w:color w:val="auto"/>
        </w:rPr>
      </w:pPr>
    </w:p>
    <w:p>
      <w:pPr>
        <w:ind w:left="120" w:right="40" w:firstLine="551"/>
        <w:spacing w:after="0" w:line="277" w:lineRule="auto"/>
        <w:rPr>
          <w:sz w:val="20"/>
          <w:szCs w:val="20"/>
          <w:color w:val="auto"/>
        </w:rPr>
      </w:pPr>
      <w:r>
        <w:rPr>
          <w:rFonts w:ascii="Arial" w:cs="Arial" w:eastAsia="Arial" w:hAnsi="Arial"/>
          <w:sz w:val="19"/>
          <w:szCs w:val="19"/>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Etigilimab (MPH-313)</w:t>
      </w:r>
    </w:p>
    <w:p>
      <w:pPr>
        <w:spacing w:after="0" w:line="98" w:lineRule="exact"/>
        <w:rPr>
          <w:sz w:val="20"/>
          <w:szCs w:val="20"/>
          <w:color w:val="auto"/>
        </w:rPr>
      </w:pPr>
    </w:p>
    <w:p>
      <w:pPr>
        <w:ind w:left="120" w:right="120" w:firstLine="551"/>
        <w:spacing w:after="0"/>
        <w:rPr>
          <w:sz w:val="20"/>
          <w:szCs w:val="20"/>
          <w:color w:val="auto"/>
        </w:rPr>
      </w:pPr>
      <w:r>
        <w:rPr>
          <w:rFonts w:ascii="Arial" w:cs="Arial" w:eastAsia="Arial" w:hAnsi="Arial"/>
          <w:sz w:val="22"/>
          <w:szCs w:val="22"/>
          <w:color w:val="auto"/>
        </w:rPr>
        <w:t>As of December 31, 2021, our patent portfolio relating to our therapeutic candidate etigilimab consisted of four granted U.S. patents and three pending U.S. patent applications, as well as corresponding patent applications in major foreign jurisdictions.</w:t>
      </w:r>
    </w:p>
    <w:p>
      <w:pPr>
        <w:spacing w:after="0" w:line="18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22"/>
          <w:szCs w:val="22"/>
          <w:color w:val="auto"/>
        </w:rPr>
        <w:t>The patent portfolio relating to our therapeutic candidate etigilimab contains one core patent family that covers the product per se as well as medical uses thereof. This patent family currently consists of two granted U.S. patents, fifty granted or allowed foreign patents and seventeen pending foreign patent applications. Patents that issue from this core family are generally expected to expire in 2036.</w:t>
      </w:r>
    </w:p>
    <w:p>
      <w:pPr>
        <w:spacing w:after="0" w:line="185" w:lineRule="exact"/>
        <w:rPr>
          <w:sz w:val="20"/>
          <w:szCs w:val="20"/>
          <w:color w:val="auto"/>
        </w:rPr>
      </w:pPr>
    </w:p>
    <w:p>
      <w:pPr>
        <w:jc w:val="both"/>
        <w:ind w:left="120" w:right="360" w:firstLine="551"/>
        <w:spacing w:after="0" w:line="238" w:lineRule="auto"/>
        <w:rPr>
          <w:sz w:val="20"/>
          <w:szCs w:val="20"/>
          <w:color w:val="auto"/>
        </w:rPr>
      </w:pPr>
      <w:r>
        <w:rPr>
          <w:rFonts w:ascii="Arial" w:cs="Arial" w:eastAsia="Arial" w:hAnsi="Arial"/>
          <w:sz w:val="22"/>
          <w:szCs w:val="22"/>
          <w:color w:val="auto"/>
        </w:rPr>
        <w:t>The portfolio also includes a second patent family that relates to specific methods of treatment using etigilimab. This patent family currently consists of two granted U.S. patents, one US pending patent application, and 11 granted or allowed foreign patents and 9 pending foreign patent applications. Any patents that issue from this family are generally expected to expire in 2037.</w:t>
      </w:r>
    </w:p>
    <w:p>
      <w:pPr>
        <w:spacing w:after="0" w:line="185" w:lineRule="exact"/>
        <w:rPr>
          <w:sz w:val="20"/>
          <w:szCs w:val="20"/>
          <w:color w:val="auto"/>
        </w:rPr>
      </w:pPr>
    </w:p>
    <w:p>
      <w:pPr>
        <w:ind w:left="120" w:right="660" w:firstLine="551"/>
        <w:spacing w:after="0" w:line="250" w:lineRule="auto"/>
        <w:rPr>
          <w:sz w:val="20"/>
          <w:szCs w:val="20"/>
          <w:color w:val="auto"/>
        </w:rPr>
      </w:pPr>
      <w:r>
        <w:rPr>
          <w:rFonts w:ascii="Arial" w:cs="Arial" w:eastAsia="Arial" w:hAnsi="Arial"/>
          <w:sz w:val="22"/>
          <w:szCs w:val="22"/>
          <w:color w:val="auto"/>
        </w:rPr>
        <w:t>The portfolio also includes two US provisional patent applications. Any patents that issue from these families are generally expected to expire in 2043.</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Alvelestat (MPH-966)</w:t>
      </w:r>
    </w:p>
    <w:p>
      <w:pPr>
        <w:spacing w:after="0" w:line="98"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As of December 31, 2021, our patent portfolio relating to our product candidate alvelestat consisted of three issued U.S. patents, no pending U.S. patent applications, 36 issued or allowed foreign patents and two pending foreign patent applications. These patents have all been licensed under our agreement with AstraZeneca. See “Business—Material Agreements—Licensing Agreement with AstraZeneca.” These issued patents and patent applications, if issued, include claims directed to 2-pyridone derivatives as NE inhibitors and their uses as well as claims to polymorphs of the tosylate salt of a 5-pyrazolyl-2-pyridone derivative, with expected expiry dates between 2024 and 2030.</w:t>
      </w:r>
    </w:p>
    <w:p>
      <w:pPr>
        <w:spacing w:after="0" w:line="150" w:lineRule="exact"/>
        <w:rPr>
          <w:sz w:val="20"/>
          <w:szCs w:val="20"/>
          <w:color w:val="auto"/>
        </w:rPr>
      </w:pPr>
    </w:p>
    <w:p>
      <w:pPr>
        <w:ind w:left="120" w:right="220" w:firstLine="551"/>
        <w:spacing w:after="0" w:line="287" w:lineRule="auto"/>
        <w:rPr>
          <w:sz w:val="20"/>
          <w:szCs w:val="20"/>
          <w:color w:val="auto"/>
        </w:rPr>
      </w:pPr>
      <w:r>
        <w:rPr>
          <w:rFonts w:ascii="Arial" w:cs="Arial" w:eastAsia="Arial" w:hAnsi="Arial"/>
          <w:sz w:val="19"/>
          <w:szCs w:val="19"/>
          <w:color w:val="auto"/>
        </w:rPr>
        <w:t>Our patent portfolio relating to our product candidate alvelestat also includes three pending international patent application filed under the PCT and one pending U.S. patent application which have been filed subsequent to the license agreement with AstraZeneca. These patent applications, if issued, include claims directed to dosing regimes of alvelestat and methods of treatment using alvelestat with expected expiry dates between 2040 and 2041.</w:t>
      </w:r>
    </w:p>
    <w:p>
      <w:pPr>
        <w:sectPr>
          <w:pgSz w:w="11900" w:h="16838" w:orient="portrait"/>
          <w:cols w:equalWidth="0" w:num="1">
            <w:col w:w="11120"/>
          </w:cols>
          <w:pgMar w:left="320" w:top="486" w:right="459" w:bottom="1440" w:gutter="0" w:footer="0" w:header="0"/>
        </w:sectPr>
      </w:pP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120"/>
          </w:cols>
          <w:pgMar w:left="320" w:top="486" w:right="4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Setrusumab (BPS-804)</w:t>
      </w:r>
    </w:p>
    <w:p>
      <w:pPr>
        <w:spacing w:after="0" w:line="98"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As of December 31, 2021, we have 123 patents globally (including four issued U.S. patents) and 26 patent applications globally (including three pending U.S. patent applications) relating to setrusumab and its use for the treatment of OI. A first patent family includes three issued U.S. patents and 86 corresponding issued foreign patents that relate to the setrusumab antibody, nucleic acids encoding setrusumab, processes for producing setrusumab, and setrusumab’s use as a medicament. Patents emanating from this first patent family expire in 2028 (not accounting for any available patent term extension). We also have two additional patent families, including an issued U.S. patent and 33 issued foreign patents that relate to methods of using anti-sclerostin antibodies, including setrusumab, for the treatment of OI. Patents emanating from these additional patent families expire in 2037 (not accounting for any available patent term extension). Beyond these patents and patent applications, we jointly own with Ultragenyx two additional patent families relating to dosing regimens for the use of anti-sclerostin antibodies, including setrusumab, in the treatment of OI and other bone disorders; we expect any patents emanating from these patent families to expire in 2042 (not accounting for any available PTE). In December 2020, we entered into a license and collaboration agreement with Ultragenyx for setrusumab for OI, under which Ultragenyx have exclusive rights under all setrusumab patent families outside of Europe. See “—Licensing Agreement with Ultragenyx for setrusumab.”</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Navicixizumab (OMP-305B83)</w:t>
      </w:r>
    </w:p>
    <w:p>
      <w:pPr>
        <w:spacing w:after="0" w:line="98" w:lineRule="exact"/>
        <w:rPr>
          <w:sz w:val="20"/>
          <w:szCs w:val="20"/>
          <w:color w:val="auto"/>
        </w:rPr>
      </w:pPr>
    </w:p>
    <w:p>
      <w:pPr>
        <w:ind w:left="120" w:right="140" w:firstLine="551"/>
        <w:spacing w:after="0" w:line="328" w:lineRule="auto"/>
        <w:rPr>
          <w:sz w:val="20"/>
          <w:szCs w:val="20"/>
          <w:color w:val="auto"/>
        </w:rPr>
      </w:pPr>
      <w:r>
        <w:rPr>
          <w:rFonts w:ascii="Arial" w:cs="Arial" w:eastAsia="Arial" w:hAnsi="Arial"/>
          <w:sz w:val="19"/>
          <w:szCs w:val="19"/>
          <w:color w:val="auto"/>
        </w:rPr>
        <w:t>As of December 31, 2021, our patent portfolio relating to Navi consisted of 18 issued or allowed U.S. patents and three pending U.S. patent applications, as well as corresponding patents or patent applications in major foreign jurisdictions.</w:t>
      </w:r>
    </w:p>
    <w:p>
      <w:pPr>
        <w:spacing w:after="0" w:line="105" w:lineRule="exact"/>
        <w:rPr>
          <w:sz w:val="20"/>
          <w:szCs w:val="20"/>
          <w:color w:val="auto"/>
        </w:rPr>
      </w:pPr>
    </w:p>
    <w:p>
      <w:pPr>
        <w:jc w:val="both"/>
        <w:ind w:left="120" w:right="80" w:firstLine="551"/>
        <w:spacing w:after="0"/>
        <w:rPr>
          <w:sz w:val="20"/>
          <w:szCs w:val="20"/>
          <w:color w:val="auto"/>
        </w:rPr>
      </w:pPr>
      <w:r>
        <w:rPr>
          <w:rFonts w:ascii="Arial" w:cs="Arial" w:eastAsia="Arial" w:hAnsi="Arial"/>
          <w:sz w:val="22"/>
          <w:szCs w:val="22"/>
          <w:color w:val="auto"/>
        </w:rPr>
        <w:t>The patent portfolio relating to Navi contains two core patent families, both of which cover the product per se as well as medical uses thereof. Patents and patent applications, if issued, in these core families are expected to expire between 2030 and 2032.</w:t>
      </w:r>
    </w:p>
    <w:p>
      <w:pPr>
        <w:spacing w:after="0" w:line="186" w:lineRule="exact"/>
        <w:rPr>
          <w:sz w:val="20"/>
          <w:szCs w:val="20"/>
          <w:color w:val="auto"/>
        </w:rPr>
      </w:pPr>
    </w:p>
    <w:p>
      <w:pPr>
        <w:ind w:left="120" w:right="80" w:firstLine="551"/>
        <w:spacing w:after="0" w:line="287" w:lineRule="auto"/>
        <w:rPr>
          <w:sz w:val="20"/>
          <w:szCs w:val="20"/>
          <w:color w:val="auto"/>
        </w:rPr>
      </w:pPr>
      <w:r>
        <w:rPr>
          <w:rFonts w:ascii="Arial" w:cs="Arial" w:eastAsia="Arial" w:hAnsi="Arial"/>
          <w:sz w:val="19"/>
          <w:szCs w:val="19"/>
          <w:color w:val="auto"/>
        </w:rPr>
        <w:t>The portfolio also includes several other patent families including issued U.S. and foreign patents and pending applications that relate to specific methods of treatment using Navi. Patents and patent applications, if issued, in these families are expected to expire between 2030 and 2039. Navi was licensed by the Group to OncXerna Inc. in January 2020 pursuant to the terms of a global licensing agreement. See “—Licensing Agreement for Navicixizumab.”</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Acumapimod (BCT-197)</w:t>
      </w:r>
    </w:p>
    <w:p>
      <w:pPr>
        <w:spacing w:after="0" w:line="98" w:lineRule="exact"/>
        <w:rPr>
          <w:sz w:val="20"/>
          <w:szCs w:val="20"/>
          <w:color w:val="auto"/>
        </w:rPr>
      </w:pPr>
    </w:p>
    <w:p>
      <w:pPr>
        <w:ind w:left="120" w:right="280" w:firstLine="551"/>
        <w:spacing w:after="0" w:line="279" w:lineRule="auto"/>
        <w:rPr>
          <w:sz w:val="20"/>
          <w:szCs w:val="20"/>
          <w:color w:val="auto"/>
        </w:rPr>
      </w:pPr>
      <w:r>
        <w:rPr>
          <w:rFonts w:ascii="Arial" w:cs="Arial" w:eastAsia="Arial" w:hAnsi="Arial"/>
          <w:sz w:val="19"/>
          <w:szCs w:val="19"/>
          <w:color w:val="auto"/>
        </w:rPr>
        <w:t>As of December 31, 2021, our patent portfolio relating to our product acumapimod consisted of 12 issued or allowed U.S. patents, 4 pending U.S. patent applications, 245 issued or allowed foreign patents and 66 pending foreign applications. These issued patents and patent applications, if issued, include claims directed to 5-membered heterocycle-based p38 kinase inhibitors, the use of a pyrazole derivative in the treatment of AECOPD, dosage regimens of acumapimod, the use of acumapimod in the treatment of specific patient subpopulations, methods of producing specific polymorphs of acumapimod and synthetic methods of production of acumapimod with expected expiry dates between 2024 and 2039.</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Leflutrozole (BGS-649)</w:t>
      </w:r>
    </w:p>
    <w:p>
      <w:pPr>
        <w:spacing w:after="0" w:line="98" w:lineRule="exact"/>
        <w:rPr>
          <w:sz w:val="20"/>
          <w:szCs w:val="20"/>
          <w:color w:val="auto"/>
        </w:rPr>
      </w:pPr>
    </w:p>
    <w:p>
      <w:pPr>
        <w:ind w:left="120" w:firstLine="551"/>
        <w:spacing w:after="0" w:line="252" w:lineRule="auto"/>
        <w:rPr>
          <w:sz w:val="20"/>
          <w:szCs w:val="20"/>
          <w:color w:val="auto"/>
        </w:rPr>
      </w:pPr>
      <w:r>
        <w:rPr>
          <w:rFonts w:ascii="Arial" w:cs="Arial" w:eastAsia="Arial" w:hAnsi="Arial"/>
          <w:sz w:val="21"/>
          <w:szCs w:val="21"/>
          <w:color w:val="auto"/>
        </w:rPr>
        <w:t>As of December 31, 2021, our patent portfolio relating to our product leflutrozole consisted of four issued U.S. patents, 91 issued foreign patents, and 1 pending foreign patent applications. These issued patents and patent applications, if issued, include claims directed to leflutrozole formulations and the use of leflutrozole in treating hypogonadism according to a specific dosing regimen, with expected expiry dates between 2032 and 2037.</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 Regulation</w:t>
      </w:r>
    </w:p>
    <w:p>
      <w:pPr>
        <w:spacing w:after="0" w:line="104"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ectPr>
          <w:pgSz w:w="11900" w:h="16838" w:orient="portrait"/>
          <w:cols w:equalWidth="0" w:num="1">
            <w:col w:w="11120"/>
          </w:cols>
          <w:pgMar w:left="320" w:top="486" w:right="459" w:bottom="1440" w:gutter="0" w:footer="0" w:header="0"/>
        </w:sectPr>
      </w:pP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120"/>
          </w:cols>
          <w:pgMar w:left="320" w:top="486" w:right="4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U.S. Government Regulation</w:t>
      </w:r>
    </w:p>
    <w:p>
      <w:pPr>
        <w:spacing w:after="0" w:line="98" w:lineRule="exact"/>
        <w:rPr>
          <w:sz w:val="20"/>
          <w:szCs w:val="20"/>
          <w:color w:val="auto"/>
        </w:rPr>
      </w:pPr>
    </w:p>
    <w:p>
      <w:pPr>
        <w:ind w:left="120" w:right="100" w:firstLine="551"/>
        <w:spacing w:after="0" w:line="274" w:lineRule="auto"/>
        <w:rPr>
          <w:sz w:val="20"/>
          <w:szCs w:val="20"/>
          <w:color w:val="auto"/>
        </w:rPr>
      </w:pPr>
      <w:r>
        <w:rPr>
          <w:rFonts w:ascii="Arial" w:cs="Arial" w:eastAsia="Arial" w:hAnsi="Arial"/>
          <w:sz w:val="21"/>
          <w:szCs w:val="21"/>
          <w:color w:val="auto"/>
        </w:rPr>
        <w:t>In the United States, the FDA regulates drugs under the FDCA and its implementing regulations, and biological product candidates (“biologics”), under both the FDCA and the PHSA and its implementing regulations.</w:t>
      </w:r>
    </w:p>
    <w:p>
      <w:pPr>
        <w:spacing w:after="0" w:line="151"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21"/>
          <w:szCs w:val="21"/>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4" w:lineRule="exact"/>
        <w:rPr>
          <w:sz w:val="20"/>
          <w:szCs w:val="20"/>
          <w:color w:val="auto"/>
        </w:rPr>
      </w:pPr>
    </w:p>
    <w:p>
      <w:pPr>
        <w:ind w:left="120" w:right="140" w:firstLine="551"/>
        <w:spacing w:after="0" w:line="250" w:lineRule="auto"/>
        <w:rPr>
          <w:sz w:val="20"/>
          <w:szCs w:val="20"/>
          <w:color w:val="auto"/>
        </w:rPr>
      </w:pPr>
      <w:r>
        <w:rPr>
          <w:rFonts w:ascii="Arial" w:cs="Arial" w:eastAsia="Arial" w:hAnsi="Arial"/>
          <w:sz w:val="22"/>
          <w:szCs w:val="22"/>
          <w:color w:val="auto"/>
        </w:rPr>
        <w:t>The process required by the FDA before a drug or biologic may be marketed in the United States generally involves the following:</w:t>
      </w:r>
    </w:p>
    <w:p>
      <w:pPr>
        <w:spacing w:after="0" w:line="80" w:lineRule="exact"/>
        <w:rPr>
          <w:sz w:val="20"/>
          <w:szCs w:val="20"/>
          <w:color w:val="auto"/>
        </w:rPr>
      </w:pPr>
    </w:p>
    <w:p>
      <w:pPr>
        <w:ind w:left="1420" w:right="20" w:hanging="535"/>
        <w:spacing w:after="0" w:line="250" w:lineRule="auto"/>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completion of pre-clinical laboratory tests, animal studies and formulation studies in compliance with the FDA’s GLP regulations;</w:t>
      </w:r>
    </w:p>
    <w:p>
      <w:pPr>
        <w:spacing w:after="0" w:line="80" w:lineRule="exact"/>
        <w:rPr>
          <w:rFonts w:ascii="Arial" w:cs="Arial" w:eastAsia="Arial" w:hAnsi="Arial"/>
          <w:sz w:val="22"/>
          <w:szCs w:val="22"/>
          <w:color w:val="auto"/>
        </w:rPr>
      </w:pPr>
    </w:p>
    <w:p>
      <w:pPr>
        <w:ind w:left="1420" w:right="340" w:hanging="535"/>
        <w:spacing w:after="0" w:line="250" w:lineRule="auto"/>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submission to the FDA of an investigational new drug application (an “IND”), which must become effective before human clinical trials may begin;</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approval by an IRB at each clinical site before each trial may be initiated;</w:t>
      </w:r>
    </w:p>
    <w:p>
      <w:pPr>
        <w:spacing w:after="0" w:line="111" w:lineRule="exact"/>
        <w:rPr>
          <w:rFonts w:ascii="Arial" w:cs="Arial" w:eastAsia="Arial" w:hAnsi="Arial"/>
          <w:sz w:val="22"/>
          <w:szCs w:val="22"/>
          <w:color w:val="auto"/>
        </w:rPr>
      </w:pPr>
    </w:p>
    <w:p>
      <w:pPr>
        <w:ind w:left="1420" w:right="440" w:hanging="535"/>
        <w:spacing w:after="0" w:line="274" w:lineRule="auto"/>
        <w:tabs>
          <w:tab w:leader="none" w:pos="1420" w:val="left"/>
        </w:tabs>
        <w:numPr>
          <w:ilvl w:val="0"/>
          <w:numId w:val="50"/>
        </w:numPr>
        <w:rPr>
          <w:rFonts w:ascii="Arial" w:cs="Arial" w:eastAsia="Arial" w:hAnsi="Arial"/>
          <w:sz w:val="21"/>
          <w:szCs w:val="21"/>
          <w:color w:val="auto"/>
        </w:rPr>
      </w:pPr>
      <w:r>
        <w:rPr>
          <w:rFonts w:ascii="Arial" w:cs="Arial" w:eastAsia="Arial" w:hAnsi="Arial"/>
          <w:sz w:val="21"/>
          <w:szCs w:val="21"/>
          <w:color w:val="auto"/>
        </w:rPr>
        <w:t>performance of adequate and well-controlled human clinical trials in accordance with GCP requirements to establish the safety and efficacy of the proposed drug product for each indication;</w:t>
      </w:r>
    </w:p>
    <w:p>
      <w:pPr>
        <w:spacing w:after="0" w:line="56" w:lineRule="exact"/>
        <w:rPr>
          <w:rFonts w:ascii="Arial" w:cs="Arial" w:eastAsia="Arial" w:hAnsi="Arial"/>
          <w:sz w:val="21"/>
          <w:szCs w:val="21"/>
          <w:color w:val="auto"/>
        </w:rPr>
      </w:pPr>
    </w:p>
    <w:p>
      <w:pPr>
        <w:ind w:left="1420" w:hanging="535"/>
        <w:spacing w:after="0"/>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submission to the FDA of an NDA or BLA;</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satisfactory completion of an FDA advisory committee review, if applicable;</w:t>
      </w:r>
    </w:p>
    <w:p>
      <w:pPr>
        <w:spacing w:after="0" w:line="111" w:lineRule="exact"/>
        <w:rPr>
          <w:rFonts w:ascii="Arial" w:cs="Arial" w:eastAsia="Arial" w:hAnsi="Arial"/>
          <w:sz w:val="22"/>
          <w:szCs w:val="22"/>
          <w:color w:val="auto"/>
        </w:rPr>
      </w:pPr>
    </w:p>
    <w:p>
      <w:pPr>
        <w:jc w:val="both"/>
        <w:ind w:left="1420" w:right="180" w:hanging="535"/>
        <w:spacing w:after="0" w:line="257" w:lineRule="auto"/>
        <w:tabs>
          <w:tab w:leader="none" w:pos="1420" w:val="left"/>
        </w:tabs>
        <w:numPr>
          <w:ilvl w:val="0"/>
          <w:numId w:val="50"/>
        </w:numPr>
        <w:rPr>
          <w:rFonts w:ascii="Arial" w:cs="Arial" w:eastAsia="Arial" w:hAnsi="Arial"/>
          <w:sz w:val="21"/>
          <w:szCs w:val="21"/>
          <w:color w:val="auto"/>
        </w:rPr>
      </w:pPr>
      <w:r>
        <w:rPr>
          <w:rFonts w:ascii="Arial" w:cs="Arial" w:eastAsia="Arial" w:hAnsi="Arial"/>
          <w:sz w:val="21"/>
          <w:szCs w:val="21"/>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74" w:lineRule="exact"/>
        <w:rPr>
          <w:rFonts w:ascii="Arial" w:cs="Arial" w:eastAsia="Arial" w:hAnsi="Arial"/>
          <w:sz w:val="21"/>
          <w:szCs w:val="21"/>
          <w:color w:val="auto"/>
        </w:rPr>
      </w:pPr>
    </w:p>
    <w:p>
      <w:pPr>
        <w:ind w:left="1420" w:right="180" w:hanging="535"/>
        <w:spacing w:after="0" w:line="250" w:lineRule="auto"/>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satisfactory completion of potential FDA audits of clinical trials sites and the sponsor’s clinical trial records to assure compliance with GCPs and the integrity of the clinical data;</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payment of user fees, if applicable, and FDA review and approval of the NDA or BLA; and</w:t>
      </w:r>
    </w:p>
    <w:p>
      <w:pPr>
        <w:spacing w:after="0" w:line="111" w:lineRule="exact"/>
        <w:rPr>
          <w:rFonts w:ascii="Arial" w:cs="Arial" w:eastAsia="Arial" w:hAnsi="Arial"/>
          <w:sz w:val="22"/>
          <w:szCs w:val="22"/>
          <w:color w:val="auto"/>
        </w:rPr>
      </w:pPr>
    </w:p>
    <w:p>
      <w:pPr>
        <w:ind w:left="1420" w:right="340" w:hanging="535"/>
        <w:spacing w:after="0" w:line="250" w:lineRule="auto"/>
        <w:tabs>
          <w:tab w:leader="none" w:pos="1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compliance with any post-approval requirements, including the potential requirement to implement a REMS and the potential requirement to conduct post-approval studies.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Pre-clinical Studies</w:t>
      </w:r>
    </w:p>
    <w:p>
      <w:pPr>
        <w:spacing w:after="0" w:line="98" w:lineRule="exact"/>
        <w:rPr>
          <w:sz w:val="20"/>
          <w:szCs w:val="20"/>
          <w:color w:val="auto"/>
        </w:rPr>
      </w:pPr>
    </w:p>
    <w:p>
      <w:pPr>
        <w:ind w:left="120" w:firstLine="551"/>
        <w:spacing w:after="0" w:line="245" w:lineRule="auto"/>
        <w:rPr>
          <w:sz w:val="20"/>
          <w:szCs w:val="20"/>
          <w:color w:val="auto"/>
        </w:rPr>
      </w:pPr>
      <w:r>
        <w:rPr>
          <w:rFonts w:ascii="Arial" w:cs="Arial" w:eastAsia="Arial" w:hAnsi="Arial"/>
          <w:sz w:val="21"/>
          <w:szCs w:val="21"/>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140"/>
          </w:cols>
          <w:pgMar w:left="320" w:top="486"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Clinical Trials</w:t>
      </w:r>
    </w:p>
    <w:p>
      <w:pPr>
        <w:spacing w:after="0" w:line="98"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Human clinical trials are typically conducted in three sequential phases, which may overlap or be combined:</w:t>
      </w:r>
    </w:p>
    <w:p>
      <w:pPr>
        <w:spacing w:after="0" w:line="123" w:lineRule="exact"/>
        <w:rPr>
          <w:sz w:val="20"/>
          <w:szCs w:val="20"/>
          <w:color w:val="auto"/>
        </w:rPr>
      </w:pPr>
    </w:p>
    <w:p>
      <w:pPr>
        <w:ind w:left="1420" w:right="300" w:hanging="535"/>
        <w:spacing w:after="0"/>
        <w:tabs>
          <w:tab w:leader="none" w:pos="14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Phase 1: The product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91" w:lineRule="exact"/>
        <w:rPr>
          <w:rFonts w:ascii="Arial" w:cs="Arial" w:eastAsia="Arial" w:hAnsi="Arial"/>
          <w:sz w:val="22"/>
          <w:szCs w:val="22"/>
          <w:color w:val="auto"/>
        </w:rPr>
      </w:pPr>
    </w:p>
    <w:p>
      <w:pPr>
        <w:ind w:left="1420" w:right="100" w:hanging="535"/>
        <w:spacing w:after="0"/>
        <w:tabs>
          <w:tab w:leader="none" w:pos="14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Phase 2: The product is administered to a limited patient population to identify possible adverse effects and safety risks, to preliminarily evaluate the efficacy of the product for specific targeted diseases and to determine dosage tolerance and optimal dosage.</w:t>
      </w:r>
    </w:p>
    <w:p>
      <w:pPr>
        <w:spacing w:after="0" w:line="91" w:lineRule="exact"/>
        <w:rPr>
          <w:rFonts w:ascii="Arial" w:cs="Arial" w:eastAsia="Arial" w:hAnsi="Arial"/>
          <w:sz w:val="22"/>
          <w:szCs w:val="22"/>
          <w:color w:val="auto"/>
        </w:rPr>
      </w:pPr>
    </w:p>
    <w:p>
      <w:pPr>
        <w:jc w:val="both"/>
        <w:ind w:left="1420" w:right="60" w:hanging="535"/>
        <w:spacing w:after="0" w:line="252" w:lineRule="auto"/>
        <w:tabs>
          <w:tab w:leader="none" w:pos="14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Phase 3: The product is administered to an expanded patient population, generally at geographically dispersed clinical trial sites, in well- 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4"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patients.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Special FDA Expedited Review and Approval</w:t>
      </w:r>
    </w:p>
    <w:p>
      <w:pPr>
        <w:spacing w:after="0" w:line="98" w:lineRule="exact"/>
        <w:rPr>
          <w:sz w:val="20"/>
          <w:szCs w:val="20"/>
          <w:color w:val="auto"/>
        </w:rPr>
      </w:pPr>
    </w:p>
    <w:p>
      <w:pPr>
        <w:ind w:left="120" w:right="40" w:firstLine="551"/>
        <w:spacing w:after="0" w:line="249" w:lineRule="auto"/>
        <w:rPr>
          <w:sz w:val="20"/>
          <w:szCs w:val="20"/>
          <w:color w:val="auto"/>
        </w:rPr>
      </w:pPr>
      <w:r>
        <w:rPr>
          <w:rFonts w:ascii="Arial" w:cs="Arial" w:eastAsia="Arial" w:hAnsi="Arial"/>
          <w:sz w:val="21"/>
          <w:szCs w:val="21"/>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178"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21"/>
          <w:szCs w:val="21"/>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180"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9"/>
          <w:szCs w:val="19"/>
          <w:color w:val="auto"/>
        </w:rPr>
        <w:t>In addition, under the provisions of the Food and Drug Administration Safety and Innovation Act passed in July 2012,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ectPr>
          <w:pgSz w:w="11900" w:h="16838" w:orient="portrait"/>
          <w:cols w:equalWidth="0" w:num="1">
            <w:col w:w="11100"/>
          </w:cols>
          <w:pgMar w:left="320" w:top="486" w:right="479" w:bottom="992" w:gutter="0" w:footer="0" w:header="0"/>
        </w:sectPr>
      </w:pP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100"/>
          </w:cols>
          <w:pgMar w:left="320" w:top="486" w:right="479" w:bottom="992"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21"/>
          <w:szCs w:val="21"/>
          <w:color w:val="auto"/>
        </w:rPr>
        <w:t>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184"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22"/>
          <w:szCs w:val="22"/>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 candidates that are eligible for fast-track or breakthrough therapy designation are also likely to be considered appropriate to receive a priority review.</w:t>
      </w:r>
    </w:p>
    <w:p>
      <w:pPr>
        <w:spacing w:after="0" w:line="187" w:lineRule="exact"/>
        <w:rPr>
          <w:sz w:val="20"/>
          <w:szCs w:val="20"/>
          <w:color w:val="auto"/>
        </w:rPr>
      </w:pPr>
    </w:p>
    <w:p>
      <w:pPr>
        <w:ind w:left="120" w:right="60" w:firstLine="551"/>
        <w:spacing w:after="0" w:line="287" w:lineRule="auto"/>
        <w:rPr>
          <w:sz w:val="20"/>
          <w:szCs w:val="20"/>
          <w:color w:val="auto"/>
        </w:rPr>
      </w:pPr>
      <w:r>
        <w:rPr>
          <w:rFonts w:ascii="Arial" w:cs="Arial" w:eastAsia="Arial" w:hAnsi="Arial"/>
          <w:sz w:val="19"/>
          <w:szCs w:val="19"/>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Priority Review Voucher Program</w:t>
      </w:r>
    </w:p>
    <w:p>
      <w:pPr>
        <w:spacing w:after="0" w:line="98"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21"/>
          <w:szCs w:val="21"/>
          <w:color w:val="auto"/>
        </w:rPr>
        <w:t>This FDA Priority Review Voucher program is intended to encourage development of new drug and biological products for prevention and treatment of certain rare pediatric diseases. Under this program, a sponsor who receives an approval for a drug or biologic designated as a “rare pediatric disease” may qualify for a voucher that can be redeemed to receive a priority review of a subsequent marketing application for a different product. Priority review means that the FDA aims to render a decision in six months. The sponsor receives the priority review voucher upon approval of the rare pediatric disease product application and it can be sold or transferred.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Orphan Product Designation and Exclusivity</w:t>
      </w:r>
    </w:p>
    <w:p>
      <w:pPr>
        <w:spacing w:after="0" w:line="98"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Under the Orphan Drug Act, the FDA may grant orphan designation to a drug or biologic product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setrusumab for the treatment of OI. Orphan product designation does not convey any advantage in or shorten the duration of the regulatory review and approval process.</w:t>
      </w:r>
    </w:p>
    <w:p>
      <w:pPr>
        <w:spacing w:after="0" w:line="180"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9"/>
          <w:szCs w:val="19"/>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 candidates contain different active ingredients. Moreover, competitors may receive approval of different product candidates for the indication for which the orphan product has exclusivity or obtain approval for the same product but for a different indication for which the orphan product has exclusivity.</w:t>
      </w:r>
    </w:p>
    <w:p>
      <w:pPr>
        <w:sectPr>
          <w:pgSz w:w="11900" w:h="16838" w:orient="portrait"/>
          <w:cols w:equalWidth="0" w:num="1">
            <w:col w:w="11120"/>
          </w:cols>
          <w:pgMar w:left="320" w:top="486" w:right="459" w:bottom="1440" w:gutter="0" w:footer="0" w:header="0"/>
        </w:sect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120"/>
          </w:cols>
          <w:pgMar w:left="320" w:top="486" w:right="45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Marketing Approval</w:t>
      </w:r>
    </w:p>
    <w:p>
      <w:pPr>
        <w:spacing w:after="0" w:line="98" w:lineRule="exact"/>
        <w:rPr>
          <w:sz w:val="20"/>
          <w:szCs w:val="20"/>
          <w:color w:val="auto"/>
        </w:rPr>
      </w:pPr>
    </w:p>
    <w:p>
      <w:pPr>
        <w:ind w:left="120" w:right="20" w:firstLine="551"/>
        <w:spacing w:after="0" w:line="273" w:lineRule="auto"/>
        <w:rPr>
          <w:sz w:val="20"/>
          <w:szCs w:val="20"/>
          <w:color w:val="auto"/>
        </w:rPr>
      </w:pPr>
      <w:r>
        <w:rPr>
          <w:rFonts w:ascii="Arial" w:cs="Arial" w:eastAsia="Arial" w:hAnsi="Arial"/>
          <w:sz w:val="19"/>
          <w:szCs w:val="19"/>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161"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21"/>
          <w:szCs w:val="21"/>
          <w:color w:val="auto"/>
        </w:rPr>
        <w:t>In addition, under the Pediatric Research Equity Act of 2003, as amended and reauthorized,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7" w:lineRule="exact"/>
        <w:rPr>
          <w:sz w:val="20"/>
          <w:szCs w:val="20"/>
          <w:color w:val="auto"/>
        </w:rPr>
      </w:pPr>
    </w:p>
    <w:p>
      <w:pPr>
        <w:ind w:left="120" w:right="140" w:firstLine="551"/>
        <w:spacing w:after="0" w:line="287" w:lineRule="auto"/>
        <w:rPr>
          <w:sz w:val="20"/>
          <w:szCs w:val="20"/>
          <w:color w:val="auto"/>
        </w:rPr>
      </w:pPr>
      <w:r>
        <w:rPr>
          <w:rFonts w:ascii="Arial" w:cs="Arial" w:eastAsia="Arial" w:hAnsi="Arial"/>
          <w:sz w:val="19"/>
          <w:szCs w:val="19"/>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143"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180" w:lineRule="exact"/>
        <w:rPr>
          <w:sz w:val="20"/>
          <w:szCs w:val="20"/>
          <w:color w:val="auto"/>
        </w:rPr>
      </w:pPr>
    </w:p>
    <w:p>
      <w:pPr>
        <w:ind w:left="120" w:right="540" w:firstLine="551"/>
        <w:spacing w:after="0" w:line="236" w:lineRule="auto"/>
        <w:rPr>
          <w:sz w:val="20"/>
          <w:szCs w:val="20"/>
          <w:color w:val="auto"/>
        </w:rPr>
      </w:pPr>
      <w:r>
        <w:rPr>
          <w:rFonts w:ascii="Arial" w:cs="Arial" w:eastAsia="Arial" w:hAnsi="Arial"/>
          <w:sz w:val="22"/>
          <w:szCs w:val="22"/>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20" w:firstLine="551"/>
        <w:spacing w:after="0" w:line="282" w:lineRule="auto"/>
        <w:rPr>
          <w:sz w:val="20"/>
          <w:szCs w:val="20"/>
          <w:color w:val="auto"/>
        </w:rPr>
      </w:pPr>
      <w:r>
        <w:rPr>
          <w:rFonts w:ascii="Arial" w:cs="Arial" w:eastAsia="Arial" w:hAnsi="Arial"/>
          <w:sz w:val="19"/>
          <w:szCs w:val="19"/>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47"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ectPr>
          <w:pgSz w:w="11900" w:h="16838" w:orient="portrait"/>
          <w:cols w:equalWidth="0" w:num="1">
            <w:col w:w="11140"/>
          </w:cols>
          <w:pgMar w:left="320" w:top="486" w:right="439" w:bottom="1440" w:gutter="0" w:footer="0" w:header="0"/>
        </w:sectPr>
      </w:pP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140"/>
          </w:cols>
          <w:pgMar w:left="320" w:top="486"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21"/>
          <w:szCs w:val="21"/>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Post-Approval Requirements</w:t>
      </w:r>
    </w:p>
    <w:p>
      <w:pPr>
        <w:spacing w:after="0" w:line="98" w:lineRule="exact"/>
        <w:rPr>
          <w:sz w:val="20"/>
          <w:szCs w:val="20"/>
          <w:color w:val="auto"/>
        </w:rPr>
      </w:pPr>
    </w:p>
    <w:p>
      <w:pPr>
        <w:ind w:left="120" w:firstLine="551"/>
        <w:spacing w:after="0" w:line="234" w:lineRule="auto"/>
        <w:rPr>
          <w:sz w:val="20"/>
          <w:szCs w:val="20"/>
          <w:color w:val="auto"/>
        </w:rPr>
      </w:pPr>
      <w:r>
        <w:rPr>
          <w:rFonts w:ascii="Arial" w:cs="Arial" w:eastAsia="Arial" w:hAnsi="Arial"/>
          <w:sz w:val="22"/>
          <w:szCs w:val="22"/>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191" w:lineRule="exact"/>
        <w:rPr>
          <w:sz w:val="20"/>
          <w:szCs w:val="20"/>
          <w:color w:val="auto"/>
        </w:rPr>
      </w:pPr>
    </w:p>
    <w:p>
      <w:pPr>
        <w:ind w:left="120" w:right="160" w:firstLine="551"/>
        <w:spacing w:after="0"/>
        <w:rPr>
          <w:sz w:val="20"/>
          <w:szCs w:val="20"/>
          <w:color w:val="auto"/>
        </w:rPr>
      </w:pPr>
      <w:r>
        <w:rPr>
          <w:rFonts w:ascii="Arial" w:cs="Arial" w:eastAsia="Arial" w:hAnsi="Arial"/>
          <w:sz w:val="22"/>
          <w:szCs w:val="22"/>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6"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22"/>
          <w:szCs w:val="22"/>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56" w:lineRule="exact"/>
        <w:rPr>
          <w:sz w:val="20"/>
          <w:szCs w:val="20"/>
          <w:color w:val="auto"/>
        </w:rPr>
      </w:pPr>
    </w:p>
    <w:p>
      <w:pPr>
        <w:ind w:left="1420" w:right="400" w:hanging="535"/>
        <w:spacing w:after="0" w:line="250" w:lineRule="auto"/>
        <w:tabs>
          <w:tab w:leader="none" w:pos="14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restrictions on the marketing or manufacturing of the product, complete withdrawal of the product from the market or product recalls;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fines, warning letters or holds on post-approval clinical trials;</w:t>
      </w:r>
    </w:p>
    <w:p>
      <w:pPr>
        <w:spacing w:after="0" w:line="111" w:lineRule="exact"/>
        <w:rPr>
          <w:rFonts w:ascii="Arial" w:cs="Arial" w:eastAsia="Arial" w:hAnsi="Arial"/>
          <w:sz w:val="22"/>
          <w:szCs w:val="22"/>
          <w:color w:val="auto"/>
        </w:rPr>
      </w:pPr>
    </w:p>
    <w:p>
      <w:pPr>
        <w:ind w:left="1420" w:right="220" w:hanging="535"/>
        <w:spacing w:after="0" w:line="250" w:lineRule="auto"/>
        <w:tabs>
          <w:tab w:leader="none" w:pos="14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refusal of the FDA to approve pending applications or supplements to approved applications or suspension or revocation of product approvals;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product seizure or detention or refusal to permit the import or export of product candidates;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injunctions or the imposition of civil or criminal penalties;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consent decrees, corporate integrity agreements, debarment or exclusion from federal healthcare programs;</w:t>
      </w:r>
    </w:p>
    <w:p>
      <w:pPr>
        <w:spacing w:after="0" w:line="146" w:lineRule="exact"/>
        <w:rPr>
          <w:rFonts w:ascii="Arial" w:cs="Arial" w:eastAsia="Arial" w:hAnsi="Arial"/>
          <w:sz w:val="19"/>
          <w:szCs w:val="19"/>
          <w:color w:val="auto"/>
        </w:rPr>
      </w:pPr>
    </w:p>
    <w:p>
      <w:pPr>
        <w:ind w:left="1420" w:hanging="535"/>
        <w:spacing w:after="0"/>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mandated modification of promotional materials and labeling and the issuance of corrective information; or</w:t>
      </w:r>
    </w:p>
    <w:p>
      <w:pPr>
        <w:spacing w:after="0" w:line="146" w:lineRule="exact"/>
        <w:rPr>
          <w:rFonts w:ascii="Arial" w:cs="Arial" w:eastAsia="Arial" w:hAnsi="Arial"/>
          <w:sz w:val="19"/>
          <w:szCs w:val="19"/>
          <w:color w:val="auto"/>
        </w:rPr>
      </w:pPr>
    </w:p>
    <w:p>
      <w:pPr>
        <w:ind w:left="1420" w:right="640" w:hanging="535"/>
        <w:spacing w:after="0" w:line="328" w:lineRule="auto"/>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FDA or other regulatory authorities may issue safety alerts, “Dear Healthcare Provider” letters, press releases or other communications containing warnings or other safety information about the product.</w:t>
      </w:r>
    </w:p>
    <w:p>
      <w:pPr>
        <w:sectPr>
          <w:pgSz w:w="11900" w:h="16838" w:orient="portrait"/>
          <w:cols w:equalWidth="0" w:num="1">
            <w:col w:w="11100"/>
          </w:cols>
          <w:pgMar w:left="320" w:top="486" w:right="479" w:bottom="1440" w:gutter="0" w:footer="0" w:header="0"/>
        </w:sectPr>
      </w:pP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1100"/>
          </w:cols>
          <w:pgMar w:left="320" w:top="486" w:right="47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20" w:right="200" w:firstLine="551"/>
        <w:spacing w:after="0" w:line="287" w:lineRule="auto"/>
        <w:rPr>
          <w:sz w:val="20"/>
          <w:szCs w:val="20"/>
          <w:color w:val="auto"/>
        </w:rPr>
      </w:pPr>
      <w:r>
        <w:rPr>
          <w:rFonts w:ascii="Arial" w:cs="Arial" w:eastAsia="Arial" w:hAnsi="Arial"/>
          <w:sz w:val="19"/>
          <w:szCs w:val="19"/>
          <w:color w:val="auto"/>
        </w:rPr>
        <w:t>The FDA strictly regulates marketing, labeling, advertising and promotion of product candidates that are placed on the market. Product candidates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Foreign Government Regulation</w:t>
      </w:r>
    </w:p>
    <w:p>
      <w:pPr>
        <w:spacing w:after="0" w:line="98" w:lineRule="exact"/>
        <w:rPr>
          <w:sz w:val="20"/>
          <w:szCs w:val="20"/>
          <w:color w:val="auto"/>
        </w:rPr>
      </w:pPr>
    </w:p>
    <w:p>
      <w:pPr>
        <w:jc w:val="both"/>
        <w:ind w:left="120" w:right="280" w:firstLine="551"/>
        <w:spacing w:after="0" w:line="238" w:lineRule="auto"/>
        <w:rPr>
          <w:sz w:val="20"/>
          <w:szCs w:val="20"/>
          <w:color w:val="auto"/>
        </w:rPr>
      </w:pPr>
      <w:r>
        <w:rPr>
          <w:rFonts w:ascii="Arial" w:cs="Arial" w:eastAsia="Arial" w:hAnsi="Arial"/>
          <w:sz w:val="22"/>
          <w:szCs w:val="22"/>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85"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21"/>
          <w:szCs w:val="21"/>
          <w:color w:val="auto"/>
        </w:rPr>
        <w:t>In order to market our future product candidates in the European Economic Area (which is comprised of the 27 Member States of the EU plus Norway, Iceland and Liechtenstein) (the “EEA”), and many other foreign jurisdictions, we must obtain separate regulatory approvals. More concretely, in the EEA, medicinal product candidates can only be commercialized after obtaining a Marketing Authorization (“MA”). There are two types of marketing authorizations:</w:t>
      </w:r>
    </w:p>
    <w:p>
      <w:pPr>
        <w:spacing w:after="0" w:line="79" w:lineRule="exact"/>
        <w:rPr>
          <w:sz w:val="20"/>
          <w:szCs w:val="20"/>
          <w:color w:val="auto"/>
        </w:rPr>
      </w:pPr>
    </w:p>
    <w:p>
      <w:pPr>
        <w:ind w:left="1420" w:right="80" w:hanging="535"/>
        <w:spacing w:after="0" w:line="245" w:lineRule="auto"/>
        <w:tabs>
          <w:tab w:leader="none" w:pos="14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“Community MA,” which is issued by the European Commission through the Centralized Procedure, based on the opinion of the Committee for Medicinal Products for Human Use of the EMA and which is valid throughout the entire territory of the EEA. The Centralized Procedure is mandatory for certain types of product candidates, such as biotechnology medicinal product candidates, orphan medicinal product candidates and medicinal product candidates indicated for the treatment of AIDS, cancer, neurodegenerative disorders, diabetes, auto-immune and viral diseases. The Centralized Procedure is optional for product candidates containing a new active substance not yet authorized in the EEA, or for product candidates that constitute a significant therapeutic, scientific or technical innovation or which are in the interest of public health in the EU; and</w:t>
      </w:r>
    </w:p>
    <w:p>
      <w:pPr>
        <w:spacing w:after="0" w:line="89" w:lineRule="exact"/>
        <w:rPr>
          <w:rFonts w:ascii="Arial" w:cs="Arial" w:eastAsia="Arial" w:hAnsi="Arial"/>
          <w:sz w:val="21"/>
          <w:szCs w:val="21"/>
          <w:color w:val="auto"/>
        </w:rPr>
      </w:pPr>
    </w:p>
    <w:p>
      <w:pPr>
        <w:ind w:left="1420" w:right="20" w:hanging="535"/>
        <w:spacing w:after="0" w:line="279" w:lineRule="auto"/>
        <w:tabs>
          <w:tab w:leader="none" w:pos="14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“National MAs,” which are issued by the competent authorities of the Member States of the EEA and only cover their respective territory, are available for product candidates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50"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6"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i w:val="1"/>
          <w:iCs w:val="1"/>
          <w:color w:val="auto"/>
        </w:rPr>
        <w:t>Data and marketing exclusivity</w:t>
      </w:r>
      <w:r>
        <w:rPr>
          <w:rFonts w:ascii="Arial" w:cs="Arial" w:eastAsia="Arial" w:hAnsi="Arial"/>
          <w:sz w:val="19"/>
          <w:szCs w:val="19"/>
          <w:color w:val="auto"/>
        </w:rPr>
        <w:t>. In the EEA, new product candidates authorized for marketing, or reference product</w:t>
      </w:r>
      <w:r>
        <w:rPr>
          <w:rFonts w:ascii="Arial" w:cs="Arial" w:eastAsia="Arial" w:hAnsi="Arial"/>
          <w:sz w:val="19"/>
          <w:szCs w:val="19"/>
          <w:i w:val="1"/>
          <w:iCs w:val="1"/>
          <w:color w:val="auto"/>
        </w:rPr>
        <w:t xml:space="preserve"> </w:t>
      </w:r>
      <w:r>
        <w:rPr>
          <w:rFonts w:ascii="Arial" w:cs="Arial" w:eastAsia="Arial" w:hAnsi="Arial"/>
          <w:sz w:val="19"/>
          <w:szCs w:val="19"/>
          <w:color w:val="auto"/>
        </w:rPr>
        <w:t>candidates,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1" w:lineRule="exact"/>
        <w:rPr>
          <w:sz w:val="20"/>
          <w:szCs w:val="20"/>
          <w:color w:val="auto"/>
        </w:rPr>
      </w:pPr>
    </w:p>
    <w:p>
      <w:pPr>
        <w:ind w:left="120" w:firstLine="551"/>
        <w:spacing w:after="0" w:line="275" w:lineRule="auto"/>
        <w:rPr>
          <w:sz w:val="20"/>
          <w:szCs w:val="20"/>
          <w:color w:val="auto"/>
        </w:rPr>
      </w:pPr>
      <w:r>
        <w:rPr>
          <w:rFonts w:ascii="Arial" w:cs="Arial" w:eastAsia="Arial" w:hAnsi="Arial"/>
          <w:sz w:val="19"/>
          <w:szCs w:val="19"/>
          <w:i w:val="1"/>
          <w:iCs w:val="1"/>
          <w:color w:val="auto"/>
        </w:rPr>
        <w:t>Pediatric investigation plan</w:t>
      </w:r>
      <w:r>
        <w:rPr>
          <w:rFonts w:ascii="Arial" w:cs="Arial" w:eastAsia="Arial" w:hAnsi="Arial"/>
          <w:sz w:val="19"/>
          <w:szCs w:val="19"/>
          <w:color w:val="auto"/>
        </w:rPr>
        <w:t>. In the EEA, marketing authorization applications for new medicinal product candidates</w:t>
      </w:r>
      <w:r>
        <w:rPr>
          <w:rFonts w:ascii="Arial" w:cs="Arial" w:eastAsia="Arial" w:hAnsi="Arial"/>
          <w:sz w:val="19"/>
          <w:szCs w:val="19"/>
          <w:i w:val="1"/>
          <w:iCs w:val="1"/>
          <w:color w:val="auto"/>
        </w:rPr>
        <w:t xml:space="preserve"> </w:t>
      </w:r>
      <w:r>
        <w:rPr>
          <w:rFonts w:ascii="Arial" w:cs="Arial" w:eastAsia="Arial" w:hAnsi="Arial"/>
          <w:sz w:val="19"/>
          <w:szCs w:val="19"/>
          <w:color w:val="auto"/>
        </w:rPr>
        <w:t>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w:t>
      </w:r>
    </w:p>
    <w:p>
      <w:pPr>
        <w:sectPr>
          <w:pgSz w:w="11900" w:h="16838" w:orient="portrait"/>
          <w:cols w:equalWidth="0" w:num="1">
            <w:col w:w="11120"/>
          </w:cols>
          <w:pgMar w:left="320" w:top="486" w:right="45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120"/>
          </w:cols>
          <w:pgMar w:left="320" w:top="486" w:right="4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40"/>
        <w:spacing w:after="0" w:line="252" w:lineRule="auto"/>
        <w:rPr>
          <w:sz w:val="20"/>
          <w:szCs w:val="20"/>
          <w:color w:val="auto"/>
        </w:rPr>
      </w:pPr>
      <w:r>
        <w:rPr>
          <w:rFonts w:ascii="Arial" w:cs="Arial" w:eastAsia="Arial" w:hAnsi="Arial"/>
          <w:sz w:val="21"/>
          <w:szCs w:val="21"/>
          <w:color w:val="auto"/>
        </w:rPr>
        <w:t>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 supplementary protection certificate extension or, in the case of orphan medicinal products, a two-year extension of orphan market exclusivity.</w:t>
      </w:r>
    </w:p>
    <w:p>
      <w:pPr>
        <w:spacing w:after="0" w:line="174" w:lineRule="exact"/>
        <w:rPr>
          <w:sz w:val="20"/>
          <w:szCs w:val="20"/>
          <w:color w:val="auto"/>
        </w:rPr>
      </w:pPr>
    </w:p>
    <w:p>
      <w:pPr>
        <w:ind w:left="120" w:firstLine="551"/>
        <w:spacing w:after="0" w:line="275" w:lineRule="auto"/>
        <w:rPr>
          <w:sz w:val="20"/>
          <w:szCs w:val="20"/>
          <w:color w:val="auto"/>
        </w:rPr>
      </w:pPr>
      <w:r>
        <w:rPr>
          <w:rFonts w:ascii="Arial" w:cs="Arial" w:eastAsia="Arial" w:hAnsi="Arial"/>
          <w:sz w:val="19"/>
          <w:szCs w:val="19"/>
          <w:i w:val="1"/>
          <w:iCs w:val="1"/>
          <w:color w:val="auto"/>
        </w:rPr>
        <w:t>Orphan drug designation</w:t>
      </w:r>
      <w:r>
        <w:rPr>
          <w:rFonts w:ascii="Arial" w:cs="Arial" w:eastAsia="Arial" w:hAnsi="Arial"/>
          <w:sz w:val="19"/>
          <w:szCs w:val="19"/>
          <w:color w:val="auto"/>
        </w:rPr>
        <w:t>. In the EEA, a medicinal product can be designated as an orphan drug if its sponsor can</w:t>
      </w:r>
      <w:r>
        <w:rPr>
          <w:rFonts w:ascii="Arial" w:cs="Arial" w:eastAsia="Arial" w:hAnsi="Arial"/>
          <w:sz w:val="19"/>
          <w:szCs w:val="19"/>
          <w:i w:val="1"/>
          <w:iCs w:val="1"/>
          <w:color w:val="auto"/>
        </w:rPr>
        <w:t xml:space="preserve"> </w:t>
      </w:r>
      <w:r>
        <w:rPr>
          <w:rFonts w:ascii="Arial" w:cs="Arial" w:eastAsia="Arial" w:hAnsi="Arial"/>
          <w:sz w:val="19"/>
          <w:szCs w:val="19"/>
          <w:color w:val="auto"/>
        </w:rPr>
        <w:t>establish that the 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57"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22"/>
          <w:szCs w:val="22"/>
          <w:color w:val="auto"/>
        </w:rPr>
        <w:t>In the EEA, an application for designation as an orphan product can be made any time prior to the filing of an application for approval to market the product. Marketing authorization for an orphan drug leads to a 10 year period of market exclusivity. During this market exclusivity period, the EMA or the competent authorities of the Member States, cannot accept another application for a marketing authorization, or grant a marketing authorization, for a similar medicinal product for the same indication. The period of market exclusivity is extended by two years for orphan medicinal products that have also complied with an agreed PIP.</w:t>
      </w:r>
    </w:p>
    <w:p>
      <w:pPr>
        <w:spacing w:after="0" w:line="188" w:lineRule="exact"/>
        <w:rPr>
          <w:sz w:val="20"/>
          <w:szCs w:val="20"/>
          <w:color w:val="auto"/>
        </w:rPr>
      </w:pPr>
    </w:p>
    <w:p>
      <w:pPr>
        <w:ind w:left="120" w:right="40" w:firstLine="551"/>
        <w:spacing w:after="0" w:line="273" w:lineRule="auto"/>
        <w:rPr>
          <w:sz w:val="20"/>
          <w:szCs w:val="20"/>
          <w:color w:val="auto"/>
        </w:rPr>
      </w:pPr>
      <w:r>
        <w:rPr>
          <w:rFonts w:ascii="Arial" w:cs="Arial" w:eastAsia="Arial" w:hAnsi="Arial"/>
          <w:sz w:val="19"/>
          <w:szCs w:val="19"/>
          <w:color w:val="auto"/>
        </w:rPr>
        <w:t>This period of orphan market exclusivity may, however, be reduced to six years if, at the end of the fifth year, it is established that the product no longer meets the criteria for which it received orphan drug destination, i.e. the prevalence of the condition has increased above the threshold or it is judged that the product is sufficiently profitable not to justify maintenance of market exclusivity. Granting of an authorization for another similar orphan medicinal product where another product has market exclusivity can happen only in selected cases, such as, for example, demonstration of “clinical superiority” by a similar medicinal product, inability of a manufacturer to supply sufficient quantities of the first product or where the manufacturer itself gives consent. A company may voluntarily remove a product from the orphan register. Medicinal products or medicinal product candidates designated as orphan are eligible for incentives made available by the EU and its Member States to support research into, development and availability of orphan medicinal products. In March 2016, we obtained orphan drug designation for setrusumab for the treatment of OI in the EU. We intend to pursue orphan designation for alvelestat and for future, eligible rare disease programs.</w:t>
      </w:r>
    </w:p>
    <w:p>
      <w:pPr>
        <w:spacing w:after="0" w:line="155" w:lineRule="exact"/>
        <w:rPr>
          <w:sz w:val="20"/>
          <w:szCs w:val="20"/>
          <w:color w:val="auto"/>
        </w:rPr>
      </w:pPr>
    </w:p>
    <w:p>
      <w:pPr>
        <w:ind w:left="120" w:right="140" w:firstLine="551"/>
        <w:spacing w:after="0" w:line="272" w:lineRule="auto"/>
        <w:rPr>
          <w:sz w:val="20"/>
          <w:szCs w:val="20"/>
          <w:color w:val="auto"/>
        </w:rPr>
      </w:pPr>
      <w:r>
        <w:rPr>
          <w:rFonts w:ascii="Arial" w:cs="Arial" w:eastAsia="Arial" w:hAnsi="Arial"/>
          <w:sz w:val="19"/>
          <w:szCs w:val="19"/>
          <w:i w:val="1"/>
          <w:iCs w:val="1"/>
          <w:color w:val="auto"/>
        </w:rPr>
        <w:t>Adaptive pathways</w:t>
      </w:r>
      <w:r>
        <w:rPr>
          <w:rFonts w:ascii="Arial" w:cs="Arial" w:eastAsia="Arial" w:hAnsi="Arial"/>
          <w:sz w:val="19"/>
          <w:szCs w:val="19"/>
          <w:color w:val="auto"/>
        </w:rPr>
        <w:t>. The EMA has an adaptive pathways program which allows for early and progressive patient access</w:t>
      </w:r>
      <w:r>
        <w:rPr>
          <w:rFonts w:ascii="Arial" w:cs="Arial" w:eastAsia="Arial" w:hAnsi="Arial"/>
          <w:sz w:val="19"/>
          <w:szCs w:val="19"/>
          <w:i w:val="1"/>
          <w:iCs w:val="1"/>
          <w:color w:val="auto"/>
        </w:rPr>
        <w:t xml:space="preserve"> </w:t>
      </w:r>
      <w:r>
        <w:rPr>
          <w:rFonts w:ascii="Arial" w:cs="Arial" w:eastAsia="Arial" w:hAnsi="Arial"/>
          <w:sz w:val="19"/>
          <w:szCs w:val="19"/>
          <w:color w:val="auto"/>
        </w:rPr>
        <w:t>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61" w:lineRule="exact"/>
        <w:rPr>
          <w:sz w:val="20"/>
          <w:szCs w:val="20"/>
          <w:color w:val="auto"/>
        </w:rPr>
      </w:pPr>
    </w:p>
    <w:p>
      <w:pPr>
        <w:ind w:left="120" w:right="20" w:firstLine="551"/>
        <w:spacing w:after="0"/>
        <w:rPr>
          <w:sz w:val="20"/>
          <w:szCs w:val="20"/>
          <w:color w:val="auto"/>
        </w:rPr>
      </w:pPr>
      <w:r>
        <w:rPr>
          <w:rFonts w:ascii="Arial" w:cs="Arial" w:eastAsia="Arial" w:hAnsi="Arial"/>
          <w:sz w:val="22"/>
          <w:szCs w:val="22"/>
          <w:color w:val="auto"/>
        </w:rPr>
        <w:t>The adaptive pathways program does not change the standards for the evaluation of benefits and risks or the requirement to demonstrate a positive benefit-risk balance to obtain marketing authorization. In February 2017, setrusumab was accepted into the adaptive pathways program.</w:t>
      </w:r>
    </w:p>
    <w:p>
      <w:pPr>
        <w:spacing w:after="0" w:line="18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21"/>
          <w:szCs w:val="21"/>
          <w:i w:val="1"/>
          <w:iCs w:val="1"/>
          <w:color w:val="auto"/>
        </w:rPr>
        <w:t>PRIME scheme</w:t>
      </w:r>
      <w:r>
        <w:rPr>
          <w:rFonts w:ascii="Arial" w:cs="Arial" w:eastAsia="Arial" w:hAnsi="Arial"/>
          <w:sz w:val="21"/>
          <w:szCs w:val="21"/>
          <w:color w:val="auto"/>
        </w:rPr>
        <w:t>. In July 2016, the EMA launched the PRIME scheme. PRIME is a voluntary scheme aimed at enhancing</w:t>
      </w:r>
      <w:r>
        <w:rPr>
          <w:rFonts w:ascii="Arial" w:cs="Arial" w:eastAsia="Arial" w:hAnsi="Arial"/>
          <w:sz w:val="21"/>
          <w:szCs w:val="21"/>
          <w:i w:val="1"/>
          <w:iCs w:val="1"/>
          <w:color w:val="auto"/>
        </w:rPr>
        <w:t xml:space="preserve"> </w:t>
      </w:r>
      <w:r>
        <w:rPr>
          <w:rFonts w:ascii="Arial" w:cs="Arial" w:eastAsia="Arial" w:hAnsi="Arial"/>
          <w:sz w:val="21"/>
          <w:szCs w:val="21"/>
          <w:color w:val="auto"/>
        </w:rPr>
        <w:t>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 candidates for accelerated review earlier in the application process. In November 2017, the EMA granted PRIME designation for setrusumab for the treatment of OI.</w:t>
      </w:r>
    </w:p>
    <w:p>
      <w:pPr>
        <w:sectPr>
          <w:pgSz w:w="11900" w:h="16838" w:orient="portrait"/>
          <w:cols w:equalWidth="0" w:num="1">
            <w:col w:w="11120"/>
          </w:cols>
          <w:pgMar w:left="320" w:top="486" w:right="459" w:bottom="736" w:gutter="0" w:footer="0" w:header="0"/>
        </w:sectPr>
      </w:pP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120"/>
          </w:cols>
          <w:pgMar w:left="320" w:top="486" w:right="459" w:bottom="736"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Regulation in the United Kingdom</w:t>
      </w:r>
    </w:p>
    <w:p>
      <w:pPr>
        <w:spacing w:after="0" w:line="98" w:lineRule="exact"/>
        <w:rPr>
          <w:sz w:val="20"/>
          <w:szCs w:val="20"/>
          <w:color w:val="auto"/>
        </w:rPr>
      </w:pPr>
    </w:p>
    <w:p>
      <w:pPr>
        <w:ind w:left="120" w:right="100" w:firstLine="551"/>
        <w:spacing w:after="0" w:line="273" w:lineRule="auto"/>
        <w:rPr>
          <w:sz w:val="20"/>
          <w:szCs w:val="20"/>
          <w:color w:val="auto"/>
        </w:rPr>
      </w:pPr>
      <w:r>
        <w:rPr>
          <w:rFonts w:ascii="Arial" w:cs="Arial" w:eastAsia="Arial" w:hAnsi="Arial"/>
          <w:sz w:val="19"/>
          <w:szCs w:val="19"/>
          <w:color w:val="auto"/>
        </w:rPr>
        <w:t>Brexit may influence the attractiveness of the United Kingdom as a place to conduct clinical trials. The EU’s regulatory environment for clinical trials is being harmonized as part of the Clinical Trial Regulations, which entered into force on January 31, 2022. The United Kingdom did not align with the Clinical Trial Regulations and the United Kingdom’s legislation that governs clinical trials still aligns with the previous EU Clinical Trials Directive. The Medicines and Healthcare products Regulatory Agency (the “MHRA”) recently published a consultation on proposals for legislative changes for clinical trials. This indicates an intention to ensure United Kingdom legislation has international interoperability. However, the United Kingdom does not intend to align with the Clinical Trial Regulations on all requirements and it is currently unclear as to what extent the United Kingdom will seek to align its regulations with the European Union. Failure of the United Kingdom to closely align its regulations with the EU may have an effect on the cost of conducting clinical trials in the United Kingdom as opposed to other countries and/or make it harder to seek a marketing authorization for our product candidates on the basis of clinical trials conducted in the United Kingdom.</w:t>
      </w:r>
    </w:p>
    <w:p>
      <w:pPr>
        <w:spacing w:after="0" w:line="200" w:lineRule="exact"/>
        <w:rPr>
          <w:sz w:val="20"/>
          <w:szCs w:val="20"/>
          <w:color w:val="auto"/>
        </w:rPr>
      </w:pPr>
    </w:p>
    <w:p>
      <w:pPr>
        <w:spacing w:after="0" w:line="20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21"/>
          <w:szCs w:val="21"/>
          <w:color w:val="auto"/>
        </w:rPr>
        <w:t>In the short term, there will be few changes to clinical trials that only have sites in the United Kingdom. The MHRA have confirmed that the sponsor of a clinical trial can still be based in the EEA. Since January 1, 2022, investigational medicinal products can be directly imported from the EU/EEA by the holder of a U.K. Manufacturing and Import Authorization, provided it has an assurance system overseen by a Qualified Person (“QP”). If the investigational medicinal product was certified by a QP in the EU/EEA it does not require recertification in the U.K. The Northern Irish Protocol provides that certain provisions of the EU clinical trials regulatory framework apply in Northern Ireland and investigational medicinal products can be imported from the EU/EEA into Northern Ireland without further oversight. The United Kingdom is now a “third country” for the purpose of clinical trials that have sites in the EEA. For such trials the sponsor/legal representative must be based in the EEA, and the trial must be registered on the EU Clinical Trials Register (including data on sites outside of the EEA).</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Other U.S. Healthcare Laws</w:t>
      </w:r>
    </w:p>
    <w:p>
      <w:pPr>
        <w:spacing w:after="0" w:line="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85"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9"/>
          <w:szCs w:val="19"/>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60" w:lineRule="exact"/>
        <w:rPr>
          <w:sz w:val="20"/>
          <w:szCs w:val="20"/>
          <w:color w:val="auto"/>
        </w:rPr>
      </w:pPr>
    </w:p>
    <w:p>
      <w:pPr>
        <w:ind w:left="120" w:right="200" w:firstLine="551"/>
        <w:spacing w:after="0" w:line="279" w:lineRule="auto"/>
        <w:rPr>
          <w:sz w:val="20"/>
          <w:szCs w:val="20"/>
          <w:color w:val="auto"/>
        </w:rPr>
      </w:pPr>
      <w:r>
        <w:rPr>
          <w:rFonts w:ascii="Arial" w:cs="Arial" w:eastAsia="Arial" w:hAnsi="Arial"/>
          <w:sz w:val="19"/>
          <w:szCs w:val="19"/>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FCA. The majority of states also have anti-kickback laws, which establish similar prohibitions and in some cases may apply to items or services reimbursed by any third-party payor, including commercial insurers, or to self-pay patients.</w:t>
      </w:r>
    </w:p>
    <w:p>
      <w:pPr>
        <w:spacing w:after="0" w:line="150" w:lineRule="exact"/>
        <w:rPr>
          <w:sz w:val="20"/>
          <w:szCs w:val="20"/>
          <w:color w:val="auto"/>
        </w:rPr>
      </w:pPr>
    </w:p>
    <w:p>
      <w:pPr>
        <w:ind w:left="120" w:right="120" w:firstLine="551"/>
        <w:spacing w:after="0" w:line="279" w:lineRule="auto"/>
        <w:rPr>
          <w:sz w:val="20"/>
          <w:szCs w:val="20"/>
          <w:color w:val="auto"/>
        </w:rPr>
      </w:pPr>
      <w:r>
        <w:rPr>
          <w:rFonts w:ascii="Arial" w:cs="Arial" w:eastAsia="Arial" w:hAnsi="Arial"/>
          <w:sz w:val="19"/>
          <w:szCs w:val="19"/>
          <w:color w:val="auto"/>
        </w:rPr>
        <w:t>The federal false claims and civil monetary penalties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w:t>
      </w:r>
    </w:p>
    <w:p>
      <w:pPr>
        <w:sectPr>
          <w:pgSz w:w="11900" w:h="16838" w:orient="portrait"/>
          <w:cols w:equalWidth="0" w:num="1">
            <w:col w:w="11140"/>
          </w:cols>
          <w:pgMar w:left="320" w:top="486" w:right="439" w:bottom="385" w:gutter="0" w:footer="0" w:header="0"/>
        </w:sectPr>
      </w:pP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1140"/>
          </w:cols>
          <w:pgMar w:left="320" w:top="486" w:right="439" w:bottom="385"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spacing w:after="0" w:line="274" w:lineRule="auto"/>
        <w:rPr>
          <w:sz w:val="20"/>
          <w:szCs w:val="20"/>
          <w:color w:val="auto"/>
        </w:rPr>
      </w:pPr>
      <w:r>
        <w:rPr>
          <w:rFonts w:ascii="Arial" w:cs="Arial" w:eastAsia="Arial" w:hAnsi="Arial"/>
          <w:sz w:val="19"/>
          <w:szCs w:val="19"/>
          <w:color w:val="auto"/>
        </w:rPr>
        <w:t>Attorney General or as a qui tam action by a private individual in the name of the government. Violations of the civil FCA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58" w:lineRule="exact"/>
        <w:rPr>
          <w:sz w:val="20"/>
          <w:szCs w:val="20"/>
          <w:color w:val="auto"/>
        </w:rPr>
      </w:pPr>
    </w:p>
    <w:p>
      <w:pPr>
        <w:ind w:left="120" w:firstLine="551"/>
        <w:spacing w:after="0" w:line="275" w:lineRule="auto"/>
        <w:rPr>
          <w:sz w:val="20"/>
          <w:szCs w:val="20"/>
          <w:color w:val="auto"/>
        </w:rPr>
      </w:pPr>
      <w:r>
        <w:rPr>
          <w:rFonts w:ascii="Arial" w:cs="Arial" w:eastAsia="Arial" w:hAnsi="Arial"/>
          <w:sz w:val="19"/>
          <w:szCs w:val="19"/>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157" w:lineRule="exact"/>
        <w:rPr>
          <w:sz w:val="20"/>
          <w:szCs w:val="20"/>
          <w:color w:val="auto"/>
        </w:rPr>
      </w:pPr>
    </w:p>
    <w:p>
      <w:pPr>
        <w:jc w:val="both"/>
        <w:ind w:left="120" w:right="100" w:firstLine="551"/>
        <w:spacing w:after="0" w:line="271" w:lineRule="auto"/>
        <w:rPr>
          <w:sz w:val="20"/>
          <w:szCs w:val="20"/>
          <w:color w:val="auto"/>
        </w:rPr>
      </w:pPr>
      <w:r>
        <w:rPr>
          <w:rFonts w:ascii="Arial" w:cs="Arial" w:eastAsia="Arial" w:hAnsi="Arial"/>
          <w:sz w:val="19"/>
          <w:szCs w:val="19"/>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w:t>
      </w:r>
    </w:p>
    <w:p>
      <w:pPr>
        <w:spacing w:after="0" w:line="3" w:lineRule="exact"/>
        <w:rPr>
          <w:sz w:val="20"/>
          <w:szCs w:val="20"/>
          <w:color w:val="auto"/>
        </w:rPr>
      </w:pPr>
    </w:p>
    <w:p>
      <w:pPr>
        <w:ind w:left="120"/>
        <w:spacing w:after="0" w:line="275" w:lineRule="auto"/>
        <w:rPr>
          <w:sz w:val="20"/>
          <w:szCs w:val="20"/>
          <w:color w:val="auto"/>
        </w:rPr>
      </w:pPr>
      <w:r>
        <w:rPr>
          <w:rFonts w:ascii="Arial" w:cs="Arial" w:eastAsia="Arial" w:hAnsi="Arial"/>
          <w:sz w:val="19"/>
          <w:szCs w:val="19"/>
          <w:color w:val="auto"/>
        </w:rPr>
        <w:t>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54"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We may also be subject to data privacy and security regulation by both the federal government and the states in which we conduct our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and other personal information in certain circumstances. For example, the California Consumer Privacy Act of 2018 came into effect on January 1, 2020. State laws are rapidly evolving and often differ from each other in significant ways and may not have the same requirements, thus complicating compliance efforts.</w:t>
      </w:r>
    </w:p>
    <w:p>
      <w:pPr>
        <w:spacing w:after="0" w:line="156" w:lineRule="exact"/>
        <w:rPr>
          <w:sz w:val="20"/>
          <w:szCs w:val="20"/>
          <w:color w:val="auto"/>
        </w:rPr>
      </w:pPr>
    </w:p>
    <w:p>
      <w:pPr>
        <w:jc w:val="both"/>
        <w:ind w:left="120" w:right="120" w:firstLine="551"/>
        <w:spacing w:after="0" w:line="297" w:lineRule="auto"/>
        <w:rPr>
          <w:sz w:val="20"/>
          <w:szCs w:val="20"/>
          <w:color w:val="auto"/>
        </w:rPr>
      </w:pPr>
      <w:r>
        <w:rPr>
          <w:rFonts w:ascii="Arial" w:cs="Arial" w:eastAsia="Arial" w:hAnsi="Arial"/>
          <w:sz w:val="19"/>
          <w:szCs w:val="19"/>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3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21"/>
          <w:szCs w:val="21"/>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ectPr>
          <w:pgSz w:w="11900" w:h="16838" w:orient="portrait"/>
          <w:cols w:equalWidth="0" w:num="1">
            <w:col w:w="11120"/>
          </w:cols>
          <w:pgMar w:left="320" w:top="486" w:right="459" w:bottom="1440" w:gutter="0" w:footer="0" w:header="0"/>
        </w:sectPr>
      </w:pP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120"/>
          </w:cols>
          <w:pgMar w:left="320" w:top="486" w:right="4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Privacy and Data Protection Laws in Europe</w:t>
      </w:r>
    </w:p>
    <w:p>
      <w:pPr>
        <w:spacing w:after="0" w:line="98"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9"/>
          <w:szCs w:val="19"/>
          <w:color w:val="auto"/>
        </w:rPr>
        <w:t>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data protection laws in those jurisdictions where we are established and processing personal data. We are also subject to such laws, when outside the EU or U.K. (as the case may be), where we process personal data relating to individuals in the EU or U.K. “in the context of” an establishment in those markets, where we specifically target goods or services to EU or U.K. residents and where we monitor the behavior of individuals in the EU or U.K. (e.g.,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GDPR, the e-Privacy Directive and the e-Privacy Regulation (intended to replace the Directive once in force) and the national laws and regulations implementing or supplementing each of them. In the U.K., we are subject to the U.K. Data Protection Act 2018 and the GDPR, as implemented into U.K. law by regulation, along with U.K. regulations implementing the e-Privacy Directive. The U.K.’s data protection regime, while currently closely aligned with the EU’s, may diverge over time. The UK courts also recognize a civil tort for misuse of private information, distinct from a claim for breach of confidence, which may engender some exposure. Additionally, in Europe, there are strict regulations on electronic marketing communications and the use of cookies and related technologies, with which we are required to adhere.</w:t>
      </w:r>
    </w:p>
    <w:p>
      <w:pPr>
        <w:spacing w:after="0" w:line="157" w:lineRule="exact"/>
        <w:rPr>
          <w:sz w:val="20"/>
          <w:szCs w:val="20"/>
          <w:color w:val="auto"/>
        </w:rPr>
      </w:pPr>
    </w:p>
    <w:p>
      <w:pPr>
        <w:ind w:left="120" w:right="40" w:firstLine="551"/>
        <w:spacing w:after="0" w:line="272" w:lineRule="auto"/>
        <w:rPr>
          <w:sz w:val="20"/>
          <w:szCs w:val="20"/>
          <w:color w:val="auto"/>
        </w:rPr>
      </w:pPr>
      <w:r>
        <w:rPr>
          <w:rFonts w:ascii="Arial" w:cs="Arial" w:eastAsia="Arial" w:hAnsi="Arial"/>
          <w:sz w:val="19"/>
          <w:szCs w:val="19"/>
          <w:color w:val="auto"/>
        </w:rPr>
        <w:t>The GDPR requires that personal data is only collected for specified, explicit and legal purposes as set out in the GDPR or local laws, and the data generally may then only be processed in a manner consistent with those purposes. The personal data collected and processed must be adequate, relevant and not excessive in relation to the purposes for which it is collected and processed, it must be held securely, not transferred outside of the EEA or U.K., in the case of the U.K.’s GDPR,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data breach notification requirements with a low threshold for notifying regulators and imposes additional obligations on us when we are contracting with service providers.</w:t>
      </w:r>
    </w:p>
    <w:p>
      <w:pPr>
        <w:spacing w:after="0" w:line="156" w:lineRule="exact"/>
        <w:rPr>
          <w:sz w:val="20"/>
          <w:szCs w:val="20"/>
          <w:color w:val="auto"/>
        </w:rPr>
      </w:pPr>
    </w:p>
    <w:p>
      <w:pPr>
        <w:ind w:left="120" w:right="320" w:firstLine="551"/>
        <w:spacing w:after="0" w:line="277" w:lineRule="auto"/>
        <w:rPr>
          <w:sz w:val="20"/>
          <w:szCs w:val="20"/>
          <w:color w:val="auto"/>
        </w:rPr>
      </w:pPr>
      <w:r>
        <w:rPr>
          <w:rFonts w:ascii="Arial" w:cs="Arial" w:eastAsia="Arial" w:hAnsi="Arial"/>
          <w:sz w:val="19"/>
          <w:szCs w:val="19"/>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EU’s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our ability to use and share such data or could cause our costs to increase, and harm our business and financial condition.</w:t>
      </w:r>
    </w:p>
    <w:p>
      <w:pPr>
        <w:spacing w:after="0" w:line="152" w:lineRule="exact"/>
        <w:rPr>
          <w:sz w:val="20"/>
          <w:szCs w:val="20"/>
          <w:color w:val="auto"/>
        </w:rPr>
      </w:pPr>
    </w:p>
    <w:p>
      <w:pPr>
        <w:ind w:left="120" w:right="100" w:firstLine="551"/>
        <w:spacing w:after="0" w:line="279" w:lineRule="auto"/>
        <w:rPr>
          <w:sz w:val="20"/>
          <w:szCs w:val="20"/>
          <w:color w:val="auto"/>
        </w:rPr>
      </w:pPr>
      <w:r>
        <w:rPr>
          <w:rFonts w:ascii="Arial" w:cs="Arial" w:eastAsia="Arial" w:hAnsi="Arial"/>
          <w:sz w:val="19"/>
          <w:szCs w:val="19"/>
          <w:color w:val="auto"/>
        </w:rPr>
        <w:t>We depend on a number of third parties in relation to the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These arrangements could expose use to liability under the EU and UK data protection and privacy regimes. We take our data protection obligations seriously, as any improper, unlawful or accidental disclosure, loss, alteration or access to, personal data, particularly sensitive personal data (i.e., special category), could negatively impact our business and/or our reputation.</w:t>
      </w:r>
    </w:p>
    <w:p>
      <w:pPr>
        <w:spacing w:after="0" w:line="150"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We are also subject to EU and U.K. laws on personal data export, as we may transfer personal data from the EU or U.K. to other jurisdictions which are not considered by the European Commission or U.K. Government, respectively, to offer adequate protection of personal data. Such transfers need to be legitimized by a valid transfer mechanism under the GDPR. In 2020, the Court of Justice of the European Union (“CJEU”) invalidated the EU-U.S. Privacy Shield (the “Privacy Shield”), which had been a well-recognized cross-border data transfer framework. In the wake of that judgment, referred to as Schrems II, the European Commission has issued new “model clauses” for companies to use to transfer personal data, which take into account concerns expressed by the CJEU. In the U.K., the Information Commissioner has issued an addendum to the new “model clauses”, which is intended to allow for the use of the “model clauses” for ex-U.K. transfers, along with its own international data transfer agreement. We expect EU and U.K. data protection authorities to more closely scrutinize international data transfers going forwards, along with the diligence undertaken in respect of any international transfers and the protections taken to secure personal data. At present, the precise conditions upon which data may be lawfully transferred from the EEA to inadequate jurisdictions such as the U.S., subject to the EU “model clauses” (and so-called “binding corporate rules”) remains unclear, as companies are now required to undertake transfer impact assessments and, where appropriate, apply supplementary measures to ensure that such mechanisms provide adequate protections for EU data.</w:t>
      </w:r>
    </w:p>
    <w:p>
      <w:pPr>
        <w:sectPr>
          <w:pgSz w:w="11900" w:h="16838" w:orient="portrait"/>
          <w:cols w:equalWidth="0" w:num="1">
            <w:col w:w="11120"/>
          </w:cols>
          <w:pgMar w:left="320" w:top="486" w:right="459" w:bottom="88" w:gutter="0" w:footer="0" w:header="0"/>
        </w:sectPr>
      </w:pP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1120"/>
          </w:cols>
          <w:pgMar w:left="320" w:top="486" w:right="459" w:bottom="88"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22"/>
          <w:szCs w:val="22"/>
          <w:color w:val="auto"/>
        </w:rPr>
        <w:t>There are costs and administrative burdens associated with compliance with the GDPR and the resultant changes in the EU and EEA member states’ national laws. Any failure or perceived failure to comply with global privacy laws carries with it the risk of significant penalties and sanctions, such as fines of up to 20 million euros or 4% of global turnover in the EU. These laws or new interpretations, enactments or supplementary forms of these laws, could create liability for us, could impose additional operational requirements on our business, could affect the manner in which we use and transmit patient information and could increase our cost of doing business. Claims of violations of privacy rights or contractual breaches, even if we are not found liable, could be expensive and time-consuming to defend and could result in adverse publicity that could harm our business.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Coverage and Reimbursement</w:t>
      </w:r>
    </w:p>
    <w:p>
      <w:pPr>
        <w:spacing w:after="0" w:line="104" w:lineRule="exact"/>
        <w:rPr>
          <w:sz w:val="20"/>
          <w:szCs w:val="20"/>
          <w:color w:val="auto"/>
        </w:rPr>
      </w:pPr>
    </w:p>
    <w:p>
      <w:pPr>
        <w:ind w:left="120" w:right="240" w:firstLine="551"/>
        <w:spacing w:after="0" w:line="275" w:lineRule="auto"/>
        <w:rPr>
          <w:sz w:val="20"/>
          <w:szCs w:val="20"/>
          <w:color w:val="auto"/>
        </w:rPr>
      </w:pPr>
      <w:r>
        <w:rPr>
          <w:rFonts w:ascii="Arial" w:cs="Arial" w:eastAsia="Arial" w:hAnsi="Arial"/>
          <w:sz w:val="19"/>
          <w:szCs w:val="19"/>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57"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9"/>
          <w:szCs w:val="19"/>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164"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In the EEA, governments set the price of product candidates through their health technology assessment, and reimbursement rules and control of national health care systems that fund a large part of the cost of those product candidates to consumers. Some jurisdictions operate positive and negative list systems under which product candidates may only be marketed once a reimbursement price has been agreed to by the government.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140"/>
          </w:cols>
          <w:pgMar w:left="320" w:top="486"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spacing w:after="0" w:line="297" w:lineRule="auto"/>
        <w:rPr>
          <w:sz w:val="20"/>
          <w:szCs w:val="20"/>
          <w:color w:val="auto"/>
        </w:rPr>
      </w:pPr>
      <w:r>
        <w:rPr>
          <w:rFonts w:ascii="Arial" w:cs="Arial" w:eastAsia="Arial" w:hAnsi="Arial"/>
          <w:sz w:val="19"/>
          <w:szCs w:val="19"/>
          <w:color w:val="auto"/>
        </w:rPr>
        <w:t>health care costs in general, particularly prescription product candidates, has become very intense. As a result, increasingly high barriers are being erected to the entry of new product candidates. In addition, in some countries, legally permissible cross-border imports from low-priced markets within the EU single market exert a commercial pressure on pricing within a country.</w:t>
      </w:r>
    </w:p>
    <w:p>
      <w:pPr>
        <w:spacing w:after="0" w:line="134" w:lineRule="exact"/>
        <w:rPr>
          <w:sz w:val="20"/>
          <w:szCs w:val="20"/>
          <w:color w:val="auto"/>
        </w:rPr>
      </w:pPr>
    </w:p>
    <w:p>
      <w:pPr>
        <w:ind w:left="120" w:right="20" w:firstLine="551"/>
        <w:spacing w:after="0" w:line="277" w:lineRule="auto"/>
        <w:rPr>
          <w:sz w:val="20"/>
          <w:szCs w:val="20"/>
          <w:color w:val="auto"/>
        </w:rPr>
      </w:pPr>
      <w:r>
        <w:rPr>
          <w:rFonts w:ascii="Arial" w:cs="Arial" w:eastAsia="Arial" w:hAnsi="Arial"/>
          <w:sz w:val="19"/>
          <w:szCs w:val="19"/>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Healthcare Reform</w:t>
      </w:r>
    </w:p>
    <w:p>
      <w:pPr>
        <w:spacing w:after="0" w:line="104"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157"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 candidates. The implementation of cost containment measures or other healthcare reforms may prevent us from being able to generate revenue, attain profitability or commercialize our product candidates.</w:t>
      </w:r>
    </w:p>
    <w:p>
      <w:pPr>
        <w:spacing w:after="0" w:line="18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21"/>
          <w:szCs w:val="21"/>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188" w:lineRule="exact"/>
        <w:rPr>
          <w:sz w:val="20"/>
          <w:szCs w:val="20"/>
          <w:color w:val="auto"/>
        </w:rPr>
      </w:pPr>
    </w:p>
    <w:p>
      <w:pPr>
        <w:ind w:left="120" w:right="80" w:firstLine="551"/>
        <w:spacing w:after="0" w:line="297" w:lineRule="auto"/>
        <w:rPr>
          <w:sz w:val="20"/>
          <w:szCs w:val="20"/>
          <w:color w:val="auto"/>
        </w:rPr>
      </w:pPr>
      <w:r>
        <w:rPr>
          <w:rFonts w:ascii="Arial" w:cs="Arial" w:eastAsia="Arial" w:hAnsi="Arial"/>
          <w:sz w:val="19"/>
          <w:szCs w:val="19"/>
          <w:color w:val="auto"/>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ectPr>
          <w:pgSz w:w="11900" w:h="16838" w:orient="portrait"/>
          <w:cols w:equalWidth="0" w:num="1">
            <w:col w:w="11120"/>
          </w:cols>
          <w:pgMar w:left="320" w:top="486" w:right="459" w:bottom="1440" w:gutter="0" w:footer="0" w:header="0"/>
        </w:sectPr>
      </w:pPr>
    </w:p>
    <w:p>
      <w:pPr>
        <w:spacing w:after="0" w:line="6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1120"/>
          </w:cols>
          <w:pgMar w:left="320" w:top="486" w:right="4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w:t>
      </w:r>
    </w:p>
    <w:p>
      <w:pPr>
        <w:spacing w:after="0" w:line="104" w:lineRule="exact"/>
        <w:rPr>
          <w:sz w:val="20"/>
          <w:szCs w:val="20"/>
          <w:color w:val="auto"/>
        </w:rPr>
      </w:pPr>
    </w:p>
    <w:p>
      <w:pPr>
        <w:ind w:left="120" w:right="60" w:firstLine="551"/>
        <w:spacing w:after="0" w:line="274" w:lineRule="auto"/>
        <w:rPr>
          <w:sz w:val="20"/>
          <w:szCs w:val="20"/>
          <w:color w:val="auto"/>
        </w:rPr>
      </w:pPr>
      <w:r>
        <w:rPr>
          <w:rFonts w:ascii="Arial" w:cs="Arial" w:eastAsia="Arial" w:hAnsi="Arial"/>
          <w:sz w:val="21"/>
          <w:szCs w:val="21"/>
          <w:color w:val="auto"/>
        </w:rPr>
        <w:t>As of December 31, 2021, 2020 and 2019, Mereo had 49, 38, and 50 employees, respectively. As at December 31, 2021, 33 employees are located in the United Kingdom and 16 employees are located in the United States.</w:t>
      </w:r>
    </w:p>
    <w:p>
      <w:pPr>
        <w:spacing w:after="0" w:line="151" w:lineRule="exact"/>
        <w:rPr>
          <w:sz w:val="20"/>
          <w:szCs w:val="20"/>
          <w:color w:val="auto"/>
        </w:rPr>
      </w:pPr>
    </w:p>
    <w:p>
      <w:pPr>
        <w:ind w:left="120" w:right="100" w:firstLine="551"/>
        <w:spacing w:after="0" w:line="328" w:lineRule="auto"/>
        <w:rPr>
          <w:sz w:val="20"/>
          <w:szCs w:val="20"/>
          <w:color w:val="auto"/>
        </w:rPr>
      </w:pPr>
      <w:r>
        <w:rPr>
          <w:rFonts w:ascii="Arial" w:cs="Arial" w:eastAsia="Arial" w:hAnsi="Arial"/>
          <w:sz w:val="19"/>
          <w:szCs w:val="19"/>
          <w:color w:val="auto"/>
        </w:rPr>
        <w:t>All of our employees are engaged in either general and administrative or research and development functions. None of our employees are covered by a collective bargaining agreement. We consider our relationship with our employees to be good.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04" w:lineRule="exact"/>
        <w:rPr>
          <w:sz w:val="20"/>
          <w:szCs w:val="20"/>
          <w:color w:val="auto"/>
        </w:rPr>
      </w:pPr>
    </w:p>
    <w:p>
      <w:pPr>
        <w:ind w:left="120" w:right="580" w:firstLine="551"/>
        <w:spacing w:after="0" w:line="297" w:lineRule="auto"/>
        <w:rPr>
          <w:sz w:val="20"/>
          <w:szCs w:val="20"/>
          <w:color w:val="auto"/>
        </w:rPr>
      </w:pPr>
      <w:r>
        <w:rPr>
          <w:rFonts w:ascii="Arial" w:cs="Arial" w:eastAsia="Arial" w:hAnsi="Arial"/>
          <w:sz w:val="19"/>
          <w:szCs w:val="19"/>
          <w:color w:val="auto"/>
        </w:rPr>
        <w:t>There are no governmental, legal or arbitration proceedings (including any such proceedings which are pending or threatened of which we are aware) that may have, or have had in the recent past (covering the 12 months immediately preceding the date of this annual report), significant effects on our financial position or profitability.</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4.C. Organizational Structure</w:t>
      </w:r>
    </w:p>
    <w:p>
      <w:pPr>
        <w:spacing w:after="0" w:line="104" w:lineRule="exact"/>
        <w:rPr>
          <w:sz w:val="20"/>
          <w:szCs w:val="20"/>
          <w:color w:val="auto"/>
        </w:rPr>
      </w:pPr>
    </w:p>
    <w:p>
      <w:pPr>
        <w:ind w:left="120" w:right="180" w:firstLine="551"/>
        <w:spacing w:after="0" w:line="250" w:lineRule="auto"/>
        <w:rPr>
          <w:sz w:val="20"/>
          <w:szCs w:val="20"/>
          <w:color w:val="auto"/>
        </w:rPr>
      </w:pPr>
      <w:r>
        <w:rPr>
          <w:rFonts w:ascii="Arial" w:cs="Arial" w:eastAsia="Arial" w:hAnsi="Arial"/>
          <w:sz w:val="22"/>
          <w:szCs w:val="22"/>
          <w:color w:val="auto"/>
        </w:rPr>
        <w:t>Mereo BioPharma Group plc was formed as a private limited company organized under the laws of England and Wales on March 10, 2015 and re-registered as a public limited company on June 3, 2016.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at December 31, 2021, Mereo BioPharma Group plc has the following wholly-owned direct or indirect subsidiaries: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20"/>
                <w:szCs w:val="20"/>
                <w:b w:val="1"/>
                <w:bCs w:val="1"/>
                <w:color w:val="auto"/>
                <w:w w:val="88"/>
              </w:rPr>
              <w:t>Jurisdiction of</w:t>
            </w:r>
          </w:p>
        </w:tc>
        <w:tc>
          <w:tcPr>
            <w:tcW w:w="0" w:type="dxa"/>
            <w:vAlign w:val="bottom"/>
          </w:tcPr>
          <w:p>
            <w:pPr>
              <w:spacing w:after="0"/>
              <w:rPr>
                <w:sz w:val="1"/>
                <w:szCs w:val="1"/>
                <w:color w:val="auto"/>
              </w:rPr>
            </w:pPr>
          </w:p>
        </w:tc>
      </w:tr>
      <w:tr>
        <w:trPr>
          <w:trHeight w:val="261"/>
        </w:trPr>
        <w:tc>
          <w:tcPr>
            <w:tcW w:w="5740" w:type="dxa"/>
            <w:vAlign w:val="bottom"/>
            <w:vMerge w:val="restart"/>
          </w:tcPr>
          <w:p>
            <w:pPr>
              <w:spacing w:after="0"/>
              <w:rPr>
                <w:sz w:val="20"/>
                <w:szCs w:val="20"/>
                <w:color w:val="auto"/>
              </w:rPr>
            </w:pPr>
            <w:r>
              <w:rPr>
                <w:rFonts w:ascii="Arial" w:cs="Arial" w:eastAsia="Arial" w:hAnsi="Arial"/>
                <w:sz w:val="20"/>
                <w:szCs w:val="20"/>
                <w:b w:val="1"/>
                <w:bCs w:val="1"/>
                <w:color w:val="auto"/>
              </w:rPr>
              <w:t>Legal Name of Subsidiary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Organization</w:t>
            </w:r>
          </w:p>
        </w:tc>
        <w:tc>
          <w:tcPr>
            <w:tcW w:w="0" w:type="dxa"/>
            <w:vAlign w:val="bottom"/>
          </w:tcPr>
          <w:p>
            <w:pPr>
              <w:spacing w:after="0"/>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20"/>
                <w:szCs w:val="20"/>
                <w:color w:val="auto"/>
              </w:rPr>
              <w:t>Mereo BioPharma 1 Limited</w:t>
            </w:r>
          </w:p>
        </w:tc>
        <w:tc>
          <w:tcPr>
            <w:tcW w:w="5280" w:type="dxa"/>
            <w:vAlign w:val="bottom"/>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Mereo BioPharma 2 Limited</w:t>
            </w:r>
          </w:p>
        </w:tc>
        <w:tc>
          <w:tcPr>
            <w:tcW w:w="5280" w:type="dxa"/>
            <w:vAlign w:val="bottom"/>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Mereo BioPharma 3 Limited</w:t>
            </w:r>
          </w:p>
        </w:tc>
        <w:tc>
          <w:tcPr>
            <w:tcW w:w="5280" w:type="dxa"/>
            <w:vAlign w:val="bottom"/>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20"/>
                <w:szCs w:val="20"/>
                <w:color w:val="auto"/>
              </w:rPr>
              <w:t>Mereo BioPharma 4 Limited</w:t>
            </w:r>
          </w:p>
        </w:tc>
        <w:tc>
          <w:tcPr>
            <w:tcW w:w="5280" w:type="dxa"/>
            <w:vAlign w:val="bottom"/>
          </w:tcPr>
          <w:p>
            <w:pPr>
              <w:jc w:val="center"/>
              <w:spacing w:after="0"/>
              <w:rPr>
                <w:sz w:val="20"/>
                <w:szCs w:val="20"/>
                <w:color w:val="auto"/>
              </w:rPr>
            </w:pPr>
            <w:r>
              <w:rPr>
                <w:rFonts w:ascii="Arial" w:cs="Arial" w:eastAsia="Arial" w:hAnsi="Arial"/>
                <w:sz w:val="20"/>
                <w:szCs w:val="20"/>
                <w:color w:val="auto"/>
                <w:w w:val="94"/>
              </w:rPr>
              <w:t>United Kingdom</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Mereo BioPharma Ireland Limited</w:t>
            </w:r>
          </w:p>
        </w:tc>
        <w:tc>
          <w:tcPr>
            <w:tcW w:w="5280" w:type="dxa"/>
            <w:vAlign w:val="bottom"/>
          </w:tcPr>
          <w:p>
            <w:pPr>
              <w:jc w:val="center"/>
              <w:spacing w:after="0"/>
              <w:rPr>
                <w:sz w:val="20"/>
                <w:szCs w:val="20"/>
                <w:color w:val="auto"/>
              </w:rPr>
            </w:pPr>
            <w:r>
              <w:rPr>
                <w:rFonts w:ascii="Arial" w:cs="Arial" w:eastAsia="Arial" w:hAnsi="Arial"/>
                <w:sz w:val="20"/>
                <w:szCs w:val="20"/>
                <w:color w:val="auto"/>
                <w:w w:val="91"/>
              </w:rPr>
              <w:t>Ireland</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Mereo US Holdings Inc.</w:t>
            </w:r>
          </w:p>
        </w:tc>
        <w:tc>
          <w:tcPr>
            <w:tcW w:w="5280" w:type="dxa"/>
            <w:vAlign w:val="bottom"/>
          </w:tcPr>
          <w:p>
            <w:pPr>
              <w:jc w:val="center"/>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Mereo BioPharma 5, Inc.</w:t>
            </w:r>
          </w:p>
        </w:tc>
        <w:tc>
          <w:tcPr>
            <w:tcW w:w="5280" w:type="dxa"/>
            <w:vAlign w:val="bottom"/>
          </w:tcPr>
          <w:p>
            <w:pPr>
              <w:jc w:val="center"/>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0"/>
                <w:szCs w:val="20"/>
                <w:color w:val="auto"/>
              </w:rPr>
            </w:pPr>
            <w:r>
              <w:rPr>
                <w:rFonts w:ascii="Arial" w:cs="Arial" w:eastAsia="Arial" w:hAnsi="Arial"/>
                <w:sz w:val="20"/>
                <w:szCs w:val="20"/>
                <w:color w:val="auto"/>
              </w:rPr>
              <w:t>Navi Subsidiary, Inc.</w:t>
            </w:r>
          </w:p>
        </w:tc>
        <w:tc>
          <w:tcPr>
            <w:tcW w:w="5280" w:type="dxa"/>
            <w:vAlign w:val="bottom"/>
          </w:tcPr>
          <w:p>
            <w:pPr>
              <w:jc w:val="center"/>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4.D. Property, Plants and Equipment</w:t>
      </w:r>
    </w:p>
    <w:p>
      <w:pPr>
        <w:spacing w:after="0" w:line="104" w:lineRule="exact"/>
        <w:rPr>
          <w:sz w:val="20"/>
          <w:szCs w:val="20"/>
          <w:color w:val="auto"/>
        </w:rPr>
      </w:pPr>
    </w:p>
    <w:p>
      <w:pPr>
        <w:ind w:left="120" w:right="260" w:firstLine="551"/>
        <w:spacing w:after="0"/>
        <w:rPr>
          <w:sz w:val="20"/>
          <w:szCs w:val="20"/>
          <w:color w:val="auto"/>
        </w:rPr>
      </w:pPr>
      <w:r>
        <w:rPr>
          <w:rFonts w:ascii="Arial" w:cs="Arial" w:eastAsia="Arial" w:hAnsi="Arial"/>
          <w:sz w:val="22"/>
          <w:szCs w:val="22"/>
          <w:color w:val="auto"/>
        </w:rPr>
        <w:t>Mereo’s principal office is located at 4th Floor, One Cavendish Place, London W1G 0QF, United Kingdom, where Mereo leases approximately 7,400 square feet of office space. Mereo leases this office space under a lease that terminates on June 24, 2026.</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Mereo leases approximately 10,000 square feet of office space in Redwood City, California which expires on August 30,</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2022.</w:t>
      </w:r>
    </w:p>
    <w:p>
      <w:pPr>
        <w:spacing w:after="0" w:line="33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4A.</w:t>
      </w:r>
      <w:r>
        <w:rPr>
          <w:sz w:val="20"/>
          <w:szCs w:val="20"/>
          <w:color w:val="auto"/>
        </w:rPr>
        <w:tab/>
      </w:r>
      <w:r>
        <w:rPr>
          <w:rFonts w:ascii="Arial" w:cs="Arial" w:eastAsia="Arial" w:hAnsi="Arial"/>
          <w:sz w:val="19"/>
          <w:szCs w:val="19"/>
          <w:b w:val="1"/>
          <w:bCs w:val="1"/>
          <w:color w:val="auto"/>
        </w:rPr>
        <w:t>Unresolved Staff Comments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34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Operating And Financial Review And Prospects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5.A. Operating Results</w:t>
      </w:r>
    </w:p>
    <w:p>
      <w:pPr>
        <w:spacing w:after="0" w:line="109"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9"/>
          <w:szCs w:val="19"/>
          <w:i w:val="1"/>
          <w:iCs w:val="1"/>
          <w:color w:val="auto"/>
        </w:rPr>
        <w:t>The following discussion of our financial condition and results of operations should be read in conjunction with Mereo’s audited consolidated financial statements and related notes included elsewhere in this annual report. The following discussion is based on Mereo’s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“Item 3. Key Information—D. Risk Factors” and elsewhere in this annual report.</w:t>
      </w:r>
    </w:p>
    <w:p>
      <w:pPr>
        <w:sectPr>
          <w:pgSz w:w="11900" w:h="16838" w:orient="portrait"/>
          <w:cols w:equalWidth="0" w:num="1">
            <w:col w:w="11140"/>
          </w:cols>
          <w:pgMar w:left="320" w:top="486" w:right="439" w:bottom="1440" w:gutter="0" w:footer="0" w:header="0"/>
        </w:sectPr>
      </w:pP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1140"/>
          </w:cols>
          <w:pgMar w:left="320" w:top="486"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0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9"/>
          <w:szCs w:val="19"/>
          <w:color w:val="auto"/>
        </w:rPr>
        <w:t>We are a biopharmaceutical company focused on the development of innovative therapeutics that aim to improve outcomes for oncology and rare diseases and plan to commercialize selected rare disease programs. Our existing portfolio consists of six clinical stage product candidates two of which, etigilimab and alvelestat, are in ongoing clinical studies. Our lead oncology product candidate, etigilimab (an “anti-TIGIT antibody”), has completed a Phase 1a dose escalation clinical trial in patients with advanced solid tumors and has been evaluated in a Phase 1b study in combination with nivolumab in select tumor types. We initiated a Phase1b/2 basket study for etigilimab in combination with nivolumab in three rare tumors, sarcoma, uveal melanoma and germ cell cancer, three gynecological carcinomas, cervical, ovarian and endometrial carcinomas and tumors with high mutation burden, along with a Phase 1b/2 study in clear cell ovarian cancer with a partner. Our rare disease product candidates are alvelestat, which is being investigated in two ongoing Phase 2 proof-of-concept studies for the treatment of severe AATD and in an investigator-sponsored study in Bronchiolitis Obliterans Syndrome (BOS) following allogenic stem cell transplant, and setrusumab for the treatment of OI. Following the announcement of the results for setrusumab in a Phase 2b study in adults with OI which demonstrated a dose dependent statistically significant increase in bone mineral density and bone strength, we announced a strategic partnership with Ultragenyx in December 2020 for the development of setrusumab in children and adults with OI. Ultragenyx plans to start a pivotal, Phase 2/3 pediatric and young adult study (5-25 year olds) in the first half of 2022, and intend to initiate a separate Phase 2 study of patients under age five with OI to commence in the second half of 2022.</w:t>
      </w:r>
    </w:p>
    <w:p>
      <w:pPr>
        <w:spacing w:after="0" w:line="200" w:lineRule="exact"/>
        <w:rPr>
          <w:sz w:val="20"/>
          <w:szCs w:val="20"/>
          <w:color w:val="auto"/>
        </w:rPr>
      </w:pP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We plan to develop our product candidates through the next key clinical milestone and then partner where it makes sense strategically to do so, but also in select cases for our rare disease product candidates, to develop them through regulatory approval and potentially commercialization.</w:t>
      </w:r>
    </w:p>
    <w:p>
      <w:pPr>
        <w:spacing w:after="0" w:line="186" w:lineRule="exact"/>
        <w:rPr>
          <w:sz w:val="20"/>
          <w:szCs w:val="20"/>
          <w:color w:val="auto"/>
        </w:rPr>
      </w:pPr>
    </w:p>
    <w:p>
      <w:pPr>
        <w:ind w:left="120" w:right="40" w:firstLine="551"/>
        <w:spacing w:after="0" w:line="250" w:lineRule="auto"/>
        <w:rPr>
          <w:sz w:val="20"/>
          <w:szCs w:val="20"/>
          <w:color w:val="auto"/>
        </w:rPr>
      </w:pPr>
      <w:r>
        <w:rPr>
          <w:rFonts w:ascii="Arial" w:cs="Arial" w:eastAsia="Arial" w:hAnsi="Arial"/>
          <w:sz w:val="22"/>
          <w:szCs w:val="22"/>
          <w:color w:val="auto"/>
        </w:rPr>
        <w:t>Our second oncology product, navicixizumab for the treatment of late line ovarian cancer has completed a Phase 1 study and has been partnered for further development with OncXerna on a global basis.</w:t>
      </w:r>
    </w:p>
    <w:p>
      <w:pPr>
        <w:spacing w:after="0" w:line="175" w:lineRule="exact"/>
        <w:rPr>
          <w:sz w:val="20"/>
          <w:szCs w:val="20"/>
          <w:color w:val="auto"/>
        </w:rPr>
      </w:pPr>
    </w:p>
    <w:p>
      <w:pPr>
        <w:ind w:left="120" w:right="80" w:firstLine="551"/>
        <w:spacing w:after="0" w:line="328" w:lineRule="auto"/>
        <w:rPr>
          <w:sz w:val="20"/>
          <w:szCs w:val="20"/>
          <w:color w:val="auto"/>
        </w:rPr>
      </w:pPr>
      <w:r>
        <w:rPr>
          <w:rFonts w:ascii="Arial" w:cs="Arial" w:eastAsia="Arial" w:hAnsi="Arial"/>
          <w:sz w:val="19"/>
          <w:szCs w:val="19"/>
          <w:color w:val="auto"/>
        </w:rPr>
        <w:t>We plan to partner or sell our other two product candidates, acumapimod for the treatment of AECOPD and leflutrozole for the treatment of male infertility, recognizing the need for greater resources to take these product candidates to market.</w:t>
      </w:r>
    </w:p>
    <w:p>
      <w:pPr>
        <w:spacing w:after="0" w:line="105" w:lineRule="exact"/>
        <w:rPr>
          <w:sz w:val="20"/>
          <w:szCs w:val="20"/>
          <w:color w:val="auto"/>
        </w:rPr>
      </w:pPr>
    </w:p>
    <w:p>
      <w:pPr>
        <w:ind w:left="120" w:right="60" w:firstLine="551"/>
        <w:spacing w:after="0" w:line="270" w:lineRule="auto"/>
        <w:rPr>
          <w:sz w:val="20"/>
          <w:szCs w:val="20"/>
          <w:color w:val="auto"/>
        </w:rPr>
      </w:pPr>
      <w:r>
        <w:rPr>
          <w:rFonts w:ascii="Arial" w:cs="Arial" w:eastAsia="Arial" w:hAnsi="Arial"/>
          <w:sz w:val="19"/>
          <w:szCs w:val="19"/>
          <w:color w:val="auto"/>
        </w:rPr>
        <w:t>We do not have any approved product candidates and, as a result, have not generated any revenue from product sales. Our ability to generate revenue sufficient to achieve profitability will depend on successful development and eventual commercialization of our product candidates either directly or with partners, if approved. Since our inception, we have incurred significant operating losses. For the year-ended December 31, 20221 we had a net profit of £12.7 million, including a £40.0 million gain on changes in fair value of financial instruments. For the years ended December 31, 2020 and 2019, we had net losses of £163.6 million, including a £109.8 million loss on changes in fair value of financial instruments, and</w:t>
      </w:r>
    </w:p>
    <w:p>
      <w:pPr>
        <w:spacing w:after="0" w:line="1" w:lineRule="exact"/>
        <w:rPr>
          <w:sz w:val="20"/>
          <w:szCs w:val="20"/>
          <w:color w:val="auto"/>
        </w:rPr>
      </w:pPr>
    </w:p>
    <w:p>
      <w:pPr>
        <w:ind w:left="120" w:right="100"/>
        <w:spacing w:after="0" w:line="236" w:lineRule="auto"/>
        <w:rPr>
          <w:sz w:val="20"/>
          <w:szCs w:val="20"/>
          <w:color w:val="auto"/>
        </w:rPr>
      </w:pPr>
      <w:r>
        <w:rPr>
          <w:rFonts w:ascii="Arial" w:cs="Arial" w:eastAsia="Arial" w:hAnsi="Arial"/>
          <w:sz w:val="22"/>
          <w:szCs w:val="22"/>
          <w:color w:val="auto"/>
        </w:rPr>
        <w:t>£34.8 million, respectively. As of December 31, 2021, we had an accumulated net loss of £297.0 million (£309.7 million as of December 31, 2020).</w:t>
      </w:r>
    </w:p>
    <w:p>
      <w:pPr>
        <w:spacing w:after="0" w:line="187" w:lineRule="exact"/>
        <w:rPr>
          <w:sz w:val="20"/>
          <w:szCs w:val="20"/>
          <w:color w:val="auto"/>
        </w:rPr>
      </w:pPr>
    </w:p>
    <w:p>
      <w:pPr>
        <w:ind w:left="120" w:firstLine="551"/>
        <w:spacing w:after="0" w:line="297" w:lineRule="auto"/>
        <w:rPr>
          <w:sz w:val="20"/>
          <w:szCs w:val="20"/>
          <w:color w:val="auto"/>
        </w:rPr>
      </w:pPr>
      <w:r>
        <w:rPr>
          <w:rFonts w:ascii="Arial" w:cs="Arial" w:eastAsia="Arial" w:hAnsi="Arial"/>
          <w:sz w:val="19"/>
          <w:szCs w:val="19"/>
          <w:color w:val="auto"/>
        </w:rPr>
        <w:t>We expect to continue to incur significant expenses and operating losses for the foreseeable future as we advance the clinical and manufacturing development of our product candidates and seek regulatory approval. If approved, we also expect to incur significant commercialization expenses related to product manufacturing, marketing, sales, and distribution.</w:t>
      </w:r>
    </w:p>
    <w:p>
      <w:pPr>
        <w:spacing w:after="0" w:line="134" w:lineRule="exact"/>
        <w:rPr>
          <w:sz w:val="20"/>
          <w:szCs w:val="20"/>
          <w:color w:val="auto"/>
        </w:rPr>
      </w:pPr>
    </w:p>
    <w:p>
      <w:pPr>
        <w:ind w:left="120" w:right="560" w:firstLine="551"/>
        <w:spacing w:after="0" w:line="250" w:lineRule="auto"/>
        <w:rPr>
          <w:sz w:val="20"/>
          <w:szCs w:val="20"/>
          <w:color w:val="auto"/>
        </w:rPr>
      </w:pPr>
      <w:r>
        <w:rPr>
          <w:rFonts w:ascii="Arial" w:cs="Arial" w:eastAsia="Arial" w:hAnsi="Arial"/>
          <w:sz w:val="22"/>
          <w:szCs w:val="22"/>
          <w:color w:val="auto"/>
        </w:rPr>
        <w:t>We also expect to incur expenses in connection with the in-license or acquisition of additional rare disease product candidates and the potential clinical development of any such product candidates.</w:t>
      </w:r>
    </w:p>
    <w:p>
      <w:pPr>
        <w:spacing w:after="0" w:line="175" w:lineRule="exact"/>
        <w:rPr>
          <w:sz w:val="20"/>
          <w:szCs w:val="20"/>
          <w:color w:val="auto"/>
        </w:rPr>
      </w:pPr>
    </w:p>
    <w:p>
      <w:pPr>
        <w:ind w:left="120" w:right="200" w:firstLine="551"/>
        <w:spacing w:after="0" w:line="297" w:lineRule="auto"/>
        <w:rPr>
          <w:sz w:val="20"/>
          <w:szCs w:val="20"/>
          <w:color w:val="auto"/>
        </w:rPr>
      </w:pPr>
      <w:r>
        <w:rPr>
          <w:rFonts w:ascii="Arial" w:cs="Arial" w:eastAsia="Arial" w:hAnsi="Arial"/>
          <w:sz w:val="19"/>
          <w:szCs w:val="19"/>
          <w:color w:val="auto"/>
        </w:rPr>
        <w:t>We are organized into a single operating segment following management’s view of the business as a single portfolio of product candidates. Research and development expenses are monitored at a product level; however, decisions over resource allocation are made at an overall portfolio level. Our financing is managed and monitored on a consolidated basis.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Financial Operations Overview</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Revenue</w:t>
      </w:r>
    </w:p>
    <w:p>
      <w:pPr>
        <w:spacing w:after="0" w:line="98" w:lineRule="exact"/>
        <w:rPr>
          <w:sz w:val="20"/>
          <w:szCs w:val="20"/>
          <w:color w:val="auto"/>
        </w:rPr>
      </w:pPr>
    </w:p>
    <w:p>
      <w:pPr>
        <w:ind w:left="120" w:right="80" w:firstLine="551"/>
        <w:spacing w:after="0" w:line="274" w:lineRule="auto"/>
        <w:rPr>
          <w:sz w:val="20"/>
          <w:szCs w:val="20"/>
          <w:color w:val="auto"/>
        </w:rPr>
      </w:pPr>
      <w:r>
        <w:rPr>
          <w:rFonts w:ascii="Arial" w:cs="Arial" w:eastAsia="Arial" w:hAnsi="Arial"/>
          <w:sz w:val="19"/>
          <w:szCs w:val="19"/>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w:t>
      </w:r>
    </w:p>
    <w:p>
      <w:pPr>
        <w:spacing w:after="0" w:line="158" w:lineRule="exact"/>
        <w:rPr>
          <w:sz w:val="20"/>
          <w:szCs w:val="20"/>
          <w:color w:val="auto"/>
        </w:rPr>
      </w:pPr>
    </w:p>
    <w:p>
      <w:pPr>
        <w:jc w:val="both"/>
        <w:ind w:left="120" w:right="60" w:firstLine="551"/>
        <w:spacing w:after="0" w:line="297" w:lineRule="auto"/>
        <w:rPr>
          <w:sz w:val="20"/>
          <w:szCs w:val="20"/>
          <w:color w:val="auto"/>
        </w:rPr>
      </w:pPr>
      <w:r>
        <w:rPr>
          <w:rFonts w:ascii="Arial" w:cs="Arial" w:eastAsia="Arial" w:hAnsi="Arial"/>
          <w:sz w:val="19"/>
          <w:szCs w:val="19"/>
          <w:color w:val="auto"/>
        </w:rPr>
        <w:t>Revenue includes income from licensing and collaboration agreements. Consideration received up front is recognized at the point in time in which the right to use an intangible asset is transferred. Income from development, regulatory, commercial or similar milestones is recognized when considered highly probable that a significant reversal will not occur.</w:t>
      </w:r>
    </w:p>
    <w:p>
      <w:pPr>
        <w:sectPr>
          <w:pgSz w:w="11900" w:h="16838" w:orient="portrait"/>
          <w:cols w:equalWidth="0" w:num="1">
            <w:col w:w="11120"/>
          </w:cols>
          <w:pgMar w:left="320" w:top="486" w:right="459" w:bottom="0" w:gutter="0" w:footer="0" w:header="0"/>
        </w:sectPr>
      </w:pPr>
    </w:p>
    <w:bookmarkStart w:id="96" w:name="page97"/>
    <w:bookmarkEnd w:id="96"/>
    <w:p>
      <w:pPr>
        <w:jc w:val="both"/>
        <w:ind w:right="260" w:firstLine="551"/>
        <w:spacing w:after="0" w:line="287" w:lineRule="auto"/>
        <w:rPr>
          <w:sz w:val="20"/>
          <w:szCs w:val="20"/>
          <w:color w:val="auto"/>
        </w:rPr>
      </w:pPr>
      <w:r>
        <w:rPr>
          <w:rFonts w:ascii="Arial" w:cs="Arial" w:eastAsia="Arial" w:hAnsi="Arial"/>
          <w:sz w:val="19"/>
          <w:szCs w:val="19"/>
          <w:color w:val="auto"/>
        </w:rPr>
        <w:t>Intangible assets out-licensed under a license or collaboration agreement are recorded within “Cost of revenue” in the Company’s consolidated statement of comprehensive income/(loss) based on an allocation of cost or value of the rights that have been out-licensed. Payments to third parties arising as a direct consequence of the income recognized are also recorded within “Cost of revenue” in the Company’s consolidated statement of comprehensive income/(loss).</w:t>
      </w:r>
    </w:p>
    <w:p>
      <w:pPr>
        <w:spacing w:after="0" w:line="143" w:lineRule="exact"/>
        <w:rPr>
          <w:sz w:val="20"/>
          <w:szCs w:val="20"/>
          <w:color w:val="auto"/>
        </w:rPr>
      </w:pPr>
    </w:p>
    <w:p>
      <w:pPr>
        <w:ind w:firstLine="551"/>
        <w:spacing w:after="0" w:line="287" w:lineRule="auto"/>
        <w:rPr>
          <w:sz w:val="20"/>
          <w:szCs w:val="20"/>
          <w:color w:val="auto"/>
        </w:rPr>
      </w:pPr>
      <w:r>
        <w:rPr>
          <w:rFonts w:ascii="Arial" w:cs="Arial" w:eastAsia="Arial" w:hAnsi="Arial"/>
          <w:sz w:val="19"/>
          <w:szCs w:val="19"/>
          <w:color w:val="auto"/>
        </w:rPr>
        <w:t>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 or through the recognition of milestones and other potential revenues from out-licensing or partnering arrangements for any of our product candidates.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000"/>
          </w:cols>
          <w:pgMar w:left="440" w:top="118"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Research and Development Expenses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Research and development expenses include:</w:t>
      </w:r>
    </w:p>
    <w:p>
      <w:pPr>
        <w:spacing w:after="0" w:line="112" w:lineRule="exact"/>
        <w:rPr>
          <w:sz w:val="20"/>
          <w:szCs w:val="20"/>
          <w:color w:val="auto"/>
        </w:rPr>
      </w:pPr>
    </w:p>
    <w:p>
      <w:pPr>
        <w:ind w:left="1420" w:hanging="764"/>
        <w:spacing w:after="0" w:line="250" w:lineRule="auto"/>
        <w:tabs>
          <w:tab w:leader="none" w:pos="1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employee-related expenses, such as salaries, share-based compensation, and other benefits, for Mereo’s research and development personnel;</w:t>
      </w:r>
    </w:p>
    <w:p>
      <w:pPr>
        <w:spacing w:after="0" w:line="80" w:lineRule="exact"/>
        <w:rPr>
          <w:rFonts w:ascii="Arial" w:cs="Arial" w:eastAsia="Arial" w:hAnsi="Arial"/>
          <w:sz w:val="22"/>
          <w:szCs w:val="22"/>
          <w:color w:val="auto"/>
        </w:rPr>
      </w:pPr>
    </w:p>
    <w:p>
      <w:pPr>
        <w:ind w:left="1420" w:right="140" w:hanging="764"/>
        <w:spacing w:after="0" w:line="250" w:lineRule="auto"/>
        <w:tabs>
          <w:tab w:leader="none" w:pos="1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costs for production of drug substance and drug product and development of Mereo’s manufacturing processes by CMOs;</w:t>
      </w:r>
    </w:p>
    <w:p>
      <w:pPr>
        <w:spacing w:after="0" w:line="80" w:lineRule="exact"/>
        <w:rPr>
          <w:rFonts w:ascii="Arial" w:cs="Arial" w:eastAsia="Arial" w:hAnsi="Arial"/>
          <w:sz w:val="22"/>
          <w:szCs w:val="22"/>
          <w:color w:val="auto"/>
        </w:rPr>
      </w:pPr>
    </w:p>
    <w:p>
      <w:pPr>
        <w:ind w:left="1420" w:right="280" w:hanging="764"/>
        <w:spacing w:after="0" w:line="250" w:lineRule="auto"/>
        <w:tabs>
          <w:tab w:leader="none" w:pos="1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fees and other costs paid to CROs, consultants, and other suppliers to conduct Mereo’s clinical trials and pre-clinical and non-clinical studies; and</w:t>
      </w:r>
    </w:p>
    <w:p>
      <w:pPr>
        <w:spacing w:after="0" w:line="80" w:lineRule="exact"/>
        <w:rPr>
          <w:rFonts w:ascii="Arial" w:cs="Arial" w:eastAsia="Arial" w:hAnsi="Arial"/>
          <w:sz w:val="22"/>
          <w:szCs w:val="22"/>
          <w:color w:val="auto"/>
        </w:rPr>
      </w:pPr>
    </w:p>
    <w:p>
      <w:pPr>
        <w:ind w:left="1420" w:right="580" w:hanging="764"/>
        <w:spacing w:after="0" w:line="250" w:lineRule="auto"/>
        <w:tabs>
          <w:tab w:leader="none" w:pos="1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costs of facilities, materials, and equipment related to drug production and Mereo’s clinical trials and pre-clinical and non-clinical studies.</w:t>
      </w:r>
    </w:p>
    <w:p>
      <w:pPr>
        <w:spacing w:after="0" w:line="175" w:lineRule="exact"/>
        <w:rPr>
          <w:sz w:val="20"/>
          <w:szCs w:val="20"/>
          <w:color w:val="auto"/>
        </w:rPr>
      </w:pPr>
    </w:p>
    <w:p>
      <w:pPr>
        <w:ind w:left="120" w:right="560" w:firstLine="551"/>
        <w:spacing w:after="0"/>
        <w:rPr>
          <w:sz w:val="20"/>
          <w:szCs w:val="20"/>
          <w:color w:val="auto"/>
        </w:rPr>
      </w:pPr>
      <w:r>
        <w:rPr>
          <w:rFonts w:ascii="Arial" w:cs="Arial" w:eastAsia="Arial" w:hAnsi="Arial"/>
          <w:sz w:val="22"/>
          <w:szCs w:val="22"/>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8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We expect that our research and development expense will increase substantially as we continue to advance the clinical development of our product candidates, including through our Phase1b/2 basket study for etigilimab and our ongoing Phase 2 proof-of-concept trial for alvelestat; hire additional clinical, scientific, and commercial personnel; and acquire or in-license future product candidates and technologies. As a result, we expect our research and development expenses will increase for the foreseeable future.</w:t>
      </w:r>
    </w:p>
    <w:p>
      <w:pPr>
        <w:spacing w:after="0" w:line="180" w:lineRule="exact"/>
        <w:rPr>
          <w:sz w:val="20"/>
          <w:szCs w:val="20"/>
          <w:color w:val="auto"/>
        </w:rPr>
      </w:pPr>
    </w:p>
    <w:p>
      <w:pPr>
        <w:ind w:left="120" w:right="20" w:firstLine="551"/>
        <w:spacing w:after="0" w:line="297" w:lineRule="auto"/>
        <w:rPr>
          <w:sz w:val="20"/>
          <w:szCs w:val="20"/>
          <w:color w:val="auto"/>
        </w:rPr>
      </w:pPr>
      <w:r>
        <w:rPr>
          <w:rFonts w:ascii="Arial" w:cs="Arial" w:eastAsia="Arial" w:hAnsi="Arial"/>
          <w:sz w:val="19"/>
          <w:szCs w:val="19"/>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34" w:lineRule="exact"/>
        <w:rPr>
          <w:sz w:val="20"/>
          <w:szCs w:val="20"/>
          <w:color w:val="auto"/>
        </w:rPr>
      </w:pPr>
    </w:p>
    <w:p>
      <w:pPr>
        <w:ind w:left="120" w:right="20" w:firstLine="551"/>
        <w:spacing w:after="0" w:line="274" w:lineRule="auto"/>
        <w:rPr>
          <w:sz w:val="20"/>
          <w:szCs w:val="20"/>
          <w:color w:val="auto"/>
        </w:rPr>
      </w:pPr>
      <w:r>
        <w:rPr>
          <w:rFonts w:ascii="Arial" w:cs="Arial" w:eastAsia="Arial" w:hAnsi="Arial"/>
          <w:sz w:val="21"/>
          <w:szCs w:val="21"/>
          <w:color w:val="auto"/>
        </w:rPr>
        <w:t>Our future expenditure on developing our product candidates is therefore highly uncertain. This is due to numerous risks and uncertainties associated with developing our product candidates, including the uncertainty of:</w:t>
      </w:r>
    </w:p>
    <w:p>
      <w:pPr>
        <w:spacing w:after="0" w:line="56" w:lineRule="exact"/>
        <w:rPr>
          <w:sz w:val="20"/>
          <w:szCs w:val="20"/>
          <w:color w:val="auto"/>
        </w:rPr>
      </w:pPr>
    </w:p>
    <w:p>
      <w:pPr>
        <w:ind w:left="1420" w:hanging="764"/>
        <w:spacing w:after="0"/>
        <w:tabs>
          <w:tab w:leader="none" w:pos="1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scope, rate of progress, and expense of our research and development activities;</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progress and results of our clinical trials and our pre-clinical and non-clinical studies;</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terms and timing of regulatory approvals, if any;</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establishment of arrangements with our third-party manufacturers to obtain manufacturing supply;</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protection of our rights in its intellectual property portfolio;</w:t>
      </w:r>
    </w:p>
    <w:p>
      <w:pPr>
        <w:spacing w:after="0" w:line="111" w:lineRule="exact"/>
        <w:rPr>
          <w:rFonts w:ascii="Arial" w:cs="Arial" w:eastAsia="Arial" w:hAnsi="Arial"/>
          <w:sz w:val="22"/>
          <w:szCs w:val="22"/>
          <w:color w:val="auto"/>
        </w:rPr>
      </w:pPr>
    </w:p>
    <w:p>
      <w:pPr>
        <w:ind w:left="1420" w:right="420" w:hanging="764"/>
        <w:spacing w:after="0" w:line="250" w:lineRule="auto"/>
        <w:tabs>
          <w:tab w:leader="none" w:pos="1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launch of commercial sales of any of our product candidates, if approved, whether alone or in collaboration with others;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right="840" w:hanging="764"/>
        <w:spacing w:after="0" w:line="250" w:lineRule="auto"/>
        <w:tabs>
          <w:tab w:leader="none" w:pos="14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out-licensing opportunities for clinical development and/or commercialization of our non-core product candidates and performance of our partners under these arrangements;</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sale, if any, of one or more of our non-core disease product candidates;</w:t>
      </w:r>
    </w:p>
    <w:p>
      <w:pPr>
        <w:spacing w:after="0" w:line="111" w:lineRule="exact"/>
        <w:rPr>
          <w:rFonts w:ascii="Arial" w:cs="Arial" w:eastAsia="Arial" w:hAnsi="Arial"/>
          <w:sz w:val="22"/>
          <w:szCs w:val="22"/>
          <w:color w:val="auto"/>
        </w:rPr>
      </w:pPr>
    </w:p>
    <w:p>
      <w:pPr>
        <w:ind w:left="1420" w:right="60" w:hanging="764"/>
        <w:spacing w:after="0" w:line="250" w:lineRule="auto"/>
        <w:tabs>
          <w:tab w:leader="none" w:pos="14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acceptance of any of our product candidates, if approved, by patients, the medical community and payors at our desired pricing levels;</w:t>
      </w:r>
    </w:p>
    <w:p>
      <w:pPr>
        <w:spacing w:after="0" w:line="80" w:lineRule="exact"/>
        <w:rPr>
          <w:rFonts w:ascii="Arial" w:cs="Arial" w:eastAsia="Arial" w:hAnsi="Arial"/>
          <w:sz w:val="22"/>
          <w:szCs w:val="22"/>
          <w:color w:val="auto"/>
        </w:rPr>
      </w:pPr>
    </w:p>
    <w:p>
      <w:pPr>
        <w:ind w:left="1420" w:hanging="764"/>
        <w:spacing w:after="0"/>
        <w:tabs>
          <w:tab w:leader="none" w:pos="14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competition with other therapies; and</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continued acceptable safety profile of any of our product candidates following approval.</w:t>
      </w:r>
    </w:p>
    <w:p>
      <w:pPr>
        <w:spacing w:after="0" w:line="20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Administrative Expenses</w:t>
      </w:r>
    </w:p>
    <w:p>
      <w:pPr>
        <w:spacing w:after="0" w:line="98"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22"/>
          <w:szCs w:val="22"/>
          <w:color w:val="auto"/>
        </w:rPr>
        <w:t>Our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our requirements of being a public company listed on Nasdaq, costs incurred relating to the issue of equity to the extent not capitalized and the costs associated with the cancellation of admission of our ordinary shares to trading on the AIM market of London Stock Exchange plc in December 2020.</w:t>
      </w:r>
    </w:p>
    <w:p>
      <w:pPr>
        <w:spacing w:after="0" w:line="188" w:lineRule="exact"/>
        <w:rPr>
          <w:sz w:val="20"/>
          <w:szCs w:val="20"/>
          <w:color w:val="auto"/>
        </w:rPr>
      </w:pPr>
    </w:p>
    <w:p>
      <w:pPr>
        <w:ind w:left="120" w:firstLine="551"/>
        <w:spacing w:after="0" w:line="274" w:lineRule="auto"/>
        <w:rPr>
          <w:sz w:val="20"/>
          <w:szCs w:val="20"/>
          <w:color w:val="auto"/>
        </w:rPr>
      </w:pPr>
      <w:r>
        <w:rPr>
          <w:rFonts w:ascii="Arial" w:cs="Arial" w:eastAsia="Arial" w:hAnsi="Arial"/>
          <w:sz w:val="19"/>
          <w:szCs w:val="19"/>
          <w:color w:val="auto"/>
        </w:rPr>
        <w:t>We expect that our general and administrative costs will increase in the future as our business expands and we increase our headcount to support the planned growth in our operating activities. These increases will likely include increased costs related to the hiring of additional personnel, additional facility-related costs and fees to outside consultants, lawyers and accountants, among other expenses. In addition, we expect to continue to grant share- 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relations costs. If any of our product candidates that we intend to directly commercialize or co-commercialize obtains regulatory approval, we expect that we will incur expenses associated with building a sales and marketing team.</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Finance Income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Finance income consists of interest earned on short-term cash deposits and short-term investments.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Changes in Fair Value of Financial Instruments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fair value changes in financial instruments are recognized in the statement of comprehensive loss.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Loss on Disposal of Intangible Assets</w:t>
      </w:r>
    </w:p>
    <w:p>
      <w:pPr>
        <w:spacing w:after="0" w:line="98" w:lineRule="exact"/>
        <w:rPr>
          <w:sz w:val="20"/>
          <w:szCs w:val="20"/>
          <w:color w:val="auto"/>
        </w:rPr>
      </w:pPr>
    </w:p>
    <w:p>
      <w:pPr>
        <w:jc w:val="both"/>
        <w:ind w:left="120" w:right="20" w:firstLine="551"/>
        <w:spacing w:after="0" w:line="236" w:lineRule="auto"/>
        <w:rPr>
          <w:sz w:val="20"/>
          <w:szCs w:val="20"/>
          <w:color w:val="auto"/>
        </w:rPr>
      </w:pPr>
      <w:r>
        <w:rPr>
          <w:rFonts w:ascii="Arial" w:cs="Arial" w:eastAsia="Arial" w:hAnsi="Arial"/>
          <w:sz w:val="22"/>
          <w:szCs w:val="22"/>
          <w:color w:val="auto"/>
        </w:rPr>
        <w:t>On January 13, 2020, we entered into a license agreement with OncXerna for the development and commercialization of navicixizumab. The transaction was recorded as a disposal of an intangible asset and IP with a carrying value of £13.4 million ($16.5 million) was derecognized as a result of the agreement. Under the terms of the agreement, we received an upfront gross payment of £3.1 million ($4 million). After transaction costs and exchange differences, a loss on disposal of £10.9 million was recognized.</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1120"/>
          </w:cols>
          <w:pgMar w:left="320" w:top="486" w:right="45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Finance Costs</w:t>
      </w:r>
    </w:p>
    <w:p>
      <w:pPr>
        <w:spacing w:after="0" w:line="98" w:lineRule="exact"/>
        <w:rPr>
          <w:sz w:val="20"/>
          <w:szCs w:val="20"/>
          <w:color w:val="auto"/>
        </w:rPr>
      </w:pPr>
    </w:p>
    <w:p>
      <w:pPr>
        <w:ind w:left="120" w:right="340" w:firstLine="551"/>
        <w:spacing w:after="0"/>
        <w:rPr>
          <w:sz w:val="20"/>
          <w:szCs w:val="20"/>
          <w:color w:val="auto"/>
        </w:rPr>
      </w:pPr>
      <w:r>
        <w:rPr>
          <w:rFonts w:ascii="Arial" w:cs="Arial" w:eastAsia="Arial" w:hAnsi="Arial"/>
          <w:sz w:val="22"/>
          <w:szCs w:val="22"/>
          <w:color w:val="auto"/>
        </w:rPr>
        <w:t>Finance costs comprise interest on convertible loan notes, interest on our credit facility, finance charges on lease liabilities and any loan modification gains and losses. For further information on the terms of our convertible loan notes see “—Liquidity and Capital Resources—Indebtedness”.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Net Foreign Exchange Gain/(Loss)</w:t>
      </w:r>
    </w:p>
    <w:p>
      <w:pPr>
        <w:spacing w:after="0" w:line="98" w:lineRule="exact"/>
        <w:rPr>
          <w:sz w:val="20"/>
          <w:szCs w:val="20"/>
          <w:color w:val="auto"/>
        </w:rPr>
      </w:pPr>
    </w:p>
    <w:p>
      <w:pPr>
        <w:ind w:left="120" w:right="140" w:firstLine="551"/>
        <w:spacing w:after="0" w:line="257" w:lineRule="auto"/>
        <w:rPr>
          <w:sz w:val="20"/>
          <w:szCs w:val="20"/>
          <w:color w:val="auto"/>
        </w:rPr>
      </w:pPr>
      <w:r>
        <w:rPr>
          <w:rFonts w:ascii="Arial" w:cs="Arial" w:eastAsia="Arial" w:hAnsi="Arial"/>
          <w:sz w:val="21"/>
          <w:szCs w:val="21"/>
          <w:color w:val="auto"/>
        </w:rPr>
        <w:t>Our functional currency is pound sterling. We initially record transactions in foreign currencies at the rate prevailing on the date the transaction first qualifies for recognition. Net foreign exchange gain/(loss) consists of the difference arising on settlement or translation of our foreign currencies, which are primarily held in U.S. dollars.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Taxation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a U.K. resident trading entity, we are subject to U.K. corporate taxation. Due to the nature of our business, we have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generated losses since formation. As at December 31, 2021, 2020 and 2019, we had cumulative carry-forward tax losses of</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£122.6 million, £136.9 million and £70.2 million, respectively. The availability to carry forward and offset these tax loss carry</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forwards against future operating profits is subject to certain restrictions. As a company that carries out extensive research and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development (“R&amp;D”) activities, we benefit from the U.K. R&amp;D small or medium-sized enterprise tax credit regime and are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able to surrender some of our trading losses that arise from our research and development activities for a cash rebate of up to</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33.35% of eligible R&amp;D expenditure. Qualifying expenditures largely comprise employment costs for research staff,</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subcontracted CRO and CMO costs, consumables and certain internal overhead cost incurred as part of research projects.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Certain subcontracted qualifying research expenditures are eligible for a cash rebate of up to 21.67%. We may not be able to</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continue to claim payable R&amp;D tax credits in the future because we may no longer qualify as a small or medium-sized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ind w:left="120" w:right="100" w:firstLine="551"/>
        <w:spacing w:after="0" w:line="277" w:lineRule="auto"/>
        <w:rPr>
          <w:sz w:val="20"/>
          <w:szCs w:val="20"/>
          <w:color w:val="auto"/>
        </w:rPr>
      </w:pPr>
      <w:r>
        <w:rPr>
          <w:rFonts w:ascii="Arial" w:cs="Arial" w:eastAsia="Arial" w:hAnsi="Arial"/>
          <w:sz w:val="19"/>
          <w:szCs w:val="19"/>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52"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As of December 31, 2021, the Company had U.S. federal tax losses to be carried forward of approximately £65.6 million (2020: £50.1 million), of which £59.4 million can be carried forward indefinitely and £6.2 million which will begin to expire in 2022. As of December 31, 2021, the Company had U.S. state tax losses to be carried forward of approximately £3.5 million which begin to expire in 2027.</w:t>
      </w:r>
    </w:p>
    <w:p>
      <w:pPr>
        <w:spacing w:after="0" w:line="185"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21"/>
          <w:szCs w:val="21"/>
          <w:color w:val="auto"/>
        </w:rPr>
        <w:t>As of December 31, 2021, total receivables related to tax credits previously recognized amount to £0.8 million which relates to an Alternative Minimum Tax (“AMT”) refund in the U.S. In 2021, the Company recovered £2.8 million of the cash rebate from the R&amp;D claims for the financial year ended December 31, 2020.</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140"/>
          </w:cols>
          <w:pgMar w:left="320" w:top="486"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Critical Accounting Judgments and Estimates</w:t>
      </w:r>
    </w:p>
    <w:p>
      <w:pPr>
        <w:spacing w:after="0" w:line="98"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Our consolidated financial statements have been prepared in accordance with IFRS as issued by the IASB. In the application of our accounting policies, we are required to make judgments, estimates, and assumptions about the value of assets and liabilities for which there is no definitive third- party reference. The estimates and associated assumptions are based on historical experience and other factors that we consider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84" w:lineRule="exact"/>
        <w:rPr>
          <w:sz w:val="20"/>
          <w:szCs w:val="20"/>
          <w:color w:val="auto"/>
        </w:rPr>
      </w:pPr>
    </w:p>
    <w:p>
      <w:pPr>
        <w:ind w:left="120" w:right="700" w:firstLine="551"/>
        <w:spacing w:after="0" w:line="250" w:lineRule="auto"/>
        <w:rPr>
          <w:sz w:val="20"/>
          <w:szCs w:val="20"/>
          <w:color w:val="auto"/>
        </w:rPr>
      </w:pPr>
      <w:r>
        <w:rPr>
          <w:rFonts w:ascii="Arial" w:cs="Arial" w:eastAsia="Arial" w:hAnsi="Arial"/>
          <w:sz w:val="22"/>
          <w:szCs w:val="22"/>
          <w:color w:val="auto"/>
        </w:rPr>
        <w:t>Further details relating to critical accounting judgments and estimates can be found in the consolidated financial statements, incorporated herein by reference.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Results of Operations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sets forth Mereo’s results of operations for the years ended December 31, 2021 and 2020.</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5920" w:type="dxa"/>
            <w:vAlign w:val="bottom"/>
          </w:tcPr>
          <w:p>
            <w:pPr>
              <w:spacing w:after="0"/>
              <w:rPr>
                <w:sz w:val="21"/>
                <w:szCs w:val="21"/>
                <w:color w:val="auto"/>
              </w:rPr>
            </w:pPr>
          </w:p>
        </w:tc>
        <w:tc>
          <w:tcPr>
            <w:tcW w:w="2440" w:type="dxa"/>
            <w:vAlign w:val="bottom"/>
            <w:gridSpan w:val="4"/>
          </w:tcPr>
          <w:p>
            <w:pPr>
              <w:jc w:val="right"/>
              <w:ind w:right="180"/>
              <w:spacing w:after="0"/>
              <w:rPr>
                <w:sz w:val="20"/>
                <w:szCs w:val="20"/>
                <w:color w:val="auto"/>
              </w:rPr>
            </w:pPr>
            <w:r>
              <w:rPr>
                <w:rFonts w:ascii="Arial" w:cs="Arial" w:eastAsia="Arial" w:hAnsi="Arial"/>
                <w:sz w:val="20"/>
                <w:szCs w:val="20"/>
                <w:b w:val="1"/>
                <w:bCs w:val="1"/>
                <w:color w:val="auto"/>
                <w:w w:val="91"/>
              </w:rPr>
              <w:t>Year Ended December 31,</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34"/>
              <w:spacing w:after="0" w:line="223" w:lineRule="exact"/>
              <w:rPr>
                <w:sz w:val="20"/>
                <w:szCs w:val="20"/>
                <w:color w:val="auto"/>
              </w:rPr>
            </w:pPr>
            <w:r>
              <w:rPr>
                <w:rFonts w:ascii="Arial" w:cs="Arial" w:eastAsia="Arial" w:hAnsi="Arial"/>
                <w:sz w:val="20"/>
                <w:szCs w:val="20"/>
                <w:b w:val="1"/>
                <w:bCs w:val="1"/>
                <w:color w:val="auto"/>
              </w:rPr>
              <w:t>2021</w:t>
            </w: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3"/>
              <w:spacing w:after="0" w:line="223" w:lineRule="exact"/>
              <w:rPr>
                <w:sz w:val="20"/>
                <w:szCs w:val="20"/>
                <w:color w:val="auto"/>
              </w:rPr>
            </w:pPr>
            <w:r>
              <w:rPr>
                <w:rFonts w:ascii="Arial" w:cs="Arial" w:eastAsia="Arial" w:hAnsi="Arial"/>
                <w:sz w:val="20"/>
                <w:szCs w:val="20"/>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88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88"/>
              </w:rPr>
              <w:t>£’000s</w:t>
            </w:r>
          </w:p>
        </w:tc>
        <w:tc>
          <w:tcPr>
            <w:tcW w:w="400" w:type="dxa"/>
            <w:vAlign w:val="bottom"/>
          </w:tcPr>
          <w:p>
            <w:pPr>
              <w:spacing w:after="0"/>
              <w:rPr>
                <w:sz w:val="19"/>
                <w:szCs w:val="19"/>
                <w:color w:val="auto"/>
              </w:rPr>
            </w:pPr>
          </w:p>
        </w:tc>
        <w:tc>
          <w:tcPr>
            <w:tcW w:w="104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88"/>
              </w:rPr>
              <w:t>£’000s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Revenue</w:t>
            </w:r>
          </w:p>
        </w:tc>
        <w:tc>
          <w:tcPr>
            <w:tcW w:w="1280" w:type="dxa"/>
            <w:vAlign w:val="bottom"/>
            <w:gridSpan w:val="2"/>
            <w:shd w:val="clear" w:color="auto" w:fill="CCEEFF"/>
          </w:tcPr>
          <w:p>
            <w:pPr>
              <w:jc w:val="right"/>
              <w:ind w:right="400"/>
              <w:spacing w:after="0" w:line="243" w:lineRule="exact"/>
              <w:rPr>
                <w:sz w:val="20"/>
                <w:szCs w:val="20"/>
                <w:color w:val="auto"/>
              </w:rPr>
            </w:pPr>
            <w:r>
              <w:rPr>
                <w:rFonts w:ascii="Arial" w:cs="Arial" w:eastAsia="Arial" w:hAnsi="Arial"/>
                <w:sz w:val="22"/>
                <w:szCs w:val="22"/>
                <w:color w:val="auto"/>
              </w:rPr>
              <w:t>36,464</w:t>
            </w:r>
          </w:p>
        </w:tc>
        <w:tc>
          <w:tcPr>
            <w:tcW w:w="11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920" w:type="dxa"/>
            <w:vAlign w:val="bottom"/>
          </w:tcPr>
          <w:p>
            <w:pPr>
              <w:spacing w:after="0" w:line="243" w:lineRule="exact"/>
              <w:rPr>
                <w:sz w:val="20"/>
                <w:szCs w:val="20"/>
                <w:color w:val="auto"/>
              </w:rPr>
            </w:pPr>
            <w:r>
              <w:rPr>
                <w:rFonts w:ascii="Arial" w:cs="Arial" w:eastAsia="Arial" w:hAnsi="Arial"/>
                <w:sz w:val="22"/>
                <w:szCs w:val="22"/>
                <w:color w:val="auto"/>
              </w:rPr>
              <w:t>Cost of revenue</w:t>
            </w:r>
          </w:p>
        </w:tc>
        <w:tc>
          <w:tcPr>
            <w:tcW w:w="128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(17,908)</w:t>
            </w:r>
          </w:p>
        </w:tc>
        <w:tc>
          <w:tcPr>
            <w:tcW w:w="11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 expenses</w:t>
            </w:r>
          </w:p>
        </w:tc>
        <w:tc>
          <w:tcPr>
            <w:tcW w:w="128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(23,559)</w:t>
            </w:r>
          </w:p>
        </w:tc>
        <w:tc>
          <w:tcPr>
            <w:tcW w:w="11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(16,347)</w:t>
            </w:r>
          </w:p>
        </w:tc>
        <w:tc>
          <w:tcPr>
            <w:tcW w:w="0" w:type="dxa"/>
            <w:vAlign w:val="bottom"/>
          </w:tcPr>
          <w:p>
            <w:pPr>
              <w:spacing w:after="0"/>
              <w:rPr>
                <w:sz w:val="1"/>
                <w:szCs w:val="1"/>
                <w:color w:val="auto"/>
              </w:rPr>
            </w:pPr>
          </w:p>
        </w:tc>
      </w:tr>
      <w:tr>
        <w:trPr>
          <w:trHeight w:val="243"/>
        </w:trPr>
        <w:tc>
          <w:tcPr>
            <w:tcW w:w="5920" w:type="dxa"/>
            <w:vAlign w:val="bottom"/>
          </w:tcPr>
          <w:p>
            <w:pPr>
              <w:spacing w:after="0" w:line="243" w:lineRule="exact"/>
              <w:rPr>
                <w:sz w:val="20"/>
                <w:szCs w:val="20"/>
                <w:color w:val="auto"/>
              </w:rPr>
            </w:pPr>
            <w:r>
              <w:rPr>
                <w:rFonts w:ascii="Arial" w:cs="Arial" w:eastAsia="Arial" w:hAnsi="Arial"/>
                <w:sz w:val="22"/>
                <w:szCs w:val="22"/>
                <w:color w:val="auto"/>
              </w:rPr>
              <w:t>Administrative expenses</w:t>
            </w:r>
          </w:p>
        </w:tc>
        <w:tc>
          <w:tcPr>
            <w:tcW w:w="128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(15,933)</w:t>
            </w:r>
          </w:p>
        </w:tc>
        <w:tc>
          <w:tcPr>
            <w:tcW w:w="11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(21,222)</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loss</w:t>
            </w:r>
          </w:p>
        </w:tc>
        <w:tc>
          <w:tcPr>
            <w:tcW w:w="128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(20,936)</w:t>
            </w:r>
          </w:p>
        </w:tc>
        <w:tc>
          <w:tcPr>
            <w:tcW w:w="11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b w:val="1"/>
                <w:bCs w:val="1"/>
                <w:color w:val="auto"/>
              </w:rPr>
              <w:t>(37,569)</w:t>
            </w:r>
          </w:p>
        </w:tc>
        <w:tc>
          <w:tcPr>
            <w:tcW w:w="0" w:type="dxa"/>
            <w:vAlign w:val="bottom"/>
          </w:tcPr>
          <w:p>
            <w:pPr>
              <w:spacing w:after="0"/>
              <w:rPr>
                <w:sz w:val="1"/>
                <w:szCs w:val="1"/>
                <w:color w:val="auto"/>
              </w:rPr>
            </w:pPr>
          </w:p>
        </w:tc>
      </w:tr>
      <w:tr>
        <w:trPr>
          <w:trHeight w:val="250"/>
        </w:trPr>
        <w:tc>
          <w:tcPr>
            <w:tcW w:w="5920" w:type="dxa"/>
            <w:vAlign w:val="bottom"/>
          </w:tcPr>
          <w:p>
            <w:pPr>
              <w:spacing w:after="0" w:line="250" w:lineRule="exact"/>
              <w:rPr>
                <w:sz w:val="20"/>
                <w:szCs w:val="20"/>
                <w:color w:val="auto"/>
              </w:rPr>
            </w:pPr>
            <w:r>
              <w:rPr>
                <w:rFonts w:ascii="Arial" w:cs="Arial" w:eastAsia="Arial" w:hAnsi="Arial"/>
                <w:sz w:val="22"/>
                <w:szCs w:val="22"/>
                <w:color w:val="auto"/>
              </w:rPr>
              <w:t>Finance income</w:t>
            </w:r>
          </w:p>
        </w:tc>
        <w:tc>
          <w:tcPr>
            <w:tcW w:w="8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1</w:t>
            </w:r>
          </w:p>
        </w:tc>
        <w:tc>
          <w:tcPr>
            <w:tcW w:w="400" w:type="dxa"/>
            <w:vAlign w:val="bottom"/>
          </w:tcPr>
          <w:p>
            <w:pPr>
              <w:spacing w:after="0"/>
              <w:rPr>
                <w:sz w:val="21"/>
                <w:szCs w:val="21"/>
                <w:color w:val="auto"/>
              </w:rPr>
            </w:pPr>
          </w:p>
        </w:tc>
        <w:tc>
          <w:tcPr>
            <w:tcW w:w="10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Finance costs</w:t>
            </w:r>
          </w:p>
        </w:tc>
        <w:tc>
          <w:tcPr>
            <w:tcW w:w="128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(4,022)</w:t>
            </w:r>
          </w:p>
        </w:tc>
        <w:tc>
          <w:tcPr>
            <w:tcW w:w="11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(6,383)</w:t>
            </w:r>
          </w:p>
        </w:tc>
        <w:tc>
          <w:tcPr>
            <w:tcW w:w="0" w:type="dxa"/>
            <w:vAlign w:val="bottom"/>
          </w:tcPr>
          <w:p>
            <w:pPr>
              <w:spacing w:after="0"/>
              <w:rPr>
                <w:sz w:val="1"/>
                <w:szCs w:val="1"/>
                <w:color w:val="auto"/>
              </w:rPr>
            </w:pPr>
          </w:p>
        </w:tc>
      </w:tr>
      <w:tr>
        <w:trPr>
          <w:trHeight w:val="243"/>
        </w:trPr>
        <w:tc>
          <w:tcPr>
            <w:tcW w:w="5920" w:type="dxa"/>
            <w:vAlign w:val="bottom"/>
          </w:tcPr>
          <w:p>
            <w:pPr>
              <w:spacing w:after="0" w:line="243" w:lineRule="exact"/>
              <w:rPr>
                <w:sz w:val="20"/>
                <w:szCs w:val="20"/>
                <w:color w:val="auto"/>
              </w:rPr>
            </w:pPr>
            <w:r>
              <w:rPr>
                <w:rFonts w:ascii="Arial" w:cs="Arial" w:eastAsia="Arial" w:hAnsi="Arial"/>
                <w:sz w:val="22"/>
                <w:szCs w:val="22"/>
                <w:color w:val="auto"/>
              </w:rPr>
              <w:t>Changes in fair value of financial instruments</w:t>
            </w:r>
          </w:p>
        </w:tc>
        <w:tc>
          <w:tcPr>
            <w:tcW w:w="128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rPr>
              <w:t>40,039</w:t>
            </w:r>
          </w:p>
        </w:tc>
        <w:tc>
          <w:tcPr>
            <w:tcW w:w="11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(109,849)</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Gain/(loss) on disposal of intangible assets</w:t>
            </w:r>
          </w:p>
        </w:tc>
        <w:tc>
          <w:tcPr>
            <w:tcW w:w="1280" w:type="dxa"/>
            <w:vAlign w:val="bottom"/>
            <w:gridSpan w:val="2"/>
            <w:shd w:val="clear" w:color="auto" w:fill="CCEEFF"/>
          </w:tcPr>
          <w:p>
            <w:pPr>
              <w:jc w:val="right"/>
              <w:ind w:right="400"/>
              <w:spacing w:after="0" w:line="243" w:lineRule="exact"/>
              <w:rPr>
                <w:sz w:val="20"/>
                <w:szCs w:val="20"/>
                <w:color w:val="auto"/>
              </w:rPr>
            </w:pPr>
            <w:r>
              <w:rPr>
                <w:rFonts w:ascii="Arial" w:cs="Arial" w:eastAsia="Arial" w:hAnsi="Arial"/>
                <w:sz w:val="22"/>
                <w:szCs w:val="22"/>
                <w:color w:val="auto"/>
              </w:rPr>
              <w:t>113</w:t>
            </w:r>
          </w:p>
        </w:tc>
        <w:tc>
          <w:tcPr>
            <w:tcW w:w="11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(10,872)</w:t>
            </w:r>
          </w:p>
        </w:tc>
        <w:tc>
          <w:tcPr>
            <w:tcW w:w="0" w:type="dxa"/>
            <w:vAlign w:val="bottom"/>
          </w:tcPr>
          <w:p>
            <w:pPr>
              <w:spacing w:after="0"/>
              <w:rPr>
                <w:sz w:val="1"/>
                <w:szCs w:val="1"/>
                <w:color w:val="auto"/>
              </w:rPr>
            </w:pPr>
          </w:p>
        </w:tc>
      </w:tr>
      <w:tr>
        <w:trPr>
          <w:trHeight w:val="243"/>
        </w:trPr>
        <w:tc>
          <w:tcPr>
            <w:tcW w:w="5920" w:type="dxa"/>
            <w:vAlign w:val="bottom"/>
          </w:tcPr>
          <w:p>
            <w:pPr>
              <w:spacing w:after="0" w:line="243" w:lineRule="exact"/>
              <w:rPr>
                <w:sz w:val="20"/>
                <w:szCs w:val="20"/>
                <w:color w:val="auto"/>
              </w:rPr>
            </w:pPr>
            <w:r>
              <w:rPr>
                <w:rFonts w:ascii="Arial" w:cs="Arial" w:eastAsia="Arial" w:hAnsi="Arial"/>
                <w:sz w:val="22"/>
                <w:szCs w:val="22"/>
                <w:color w:val="auto"/>
              </w:rPr>
              <w:t>Net foreign exchange loss</w:t>
            </w:r>
          </w:p>
        </w:tc>
        <w:tc>
          <w:tcPr>
            <w:tcW w:w="128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(954)</w:t>
            </w:r>
          </w:p>
        </w:tc>
        <w:tc>
          <w:tcPr>
            <w:tcW w:w="11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(1,821)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Profit/(loss) before tax</w:t>
            </w:r>
          </w:p>
        </w:tc>
        <w:tc>
          <w:tcPr>
            <w:tcW w:w="1280" w:type="dxa"/>
            <w:vAlign w:val="bottom"/>
            <w:gridSpan w:val="2"/>
            <w:shd w:val="clear" w:color="auto" w:fill="CCEEFF"/>
          </w:tcPr>
          <w:p>
            <w:pPr>
              <w:jc w:val="right"/>
              <w:ind w:right="400"/>
              <w:spacing w:after="0" w:line="243" w:lineRule="exact"/>
              <w:rPr>
                <w:sz w:val="20"/>
                <w:szCs w:val="20"/>
                <w:color w:val="auto"/>
              </w:rPr>
            </w:pPr>
            <w:r>
              <w:rPr>
                <w:rFonts w:ascii="Arial" w:cs="Arial" w:eastAsia="Arial" w:hAnsi="Arial"/>
                <w:sz w:val="22"/>
                <w:szCs w:val="22"/>
                <w:color w:val="auto"/>
              </w:rPr>
              <w:t>14,241</w:t>
            </w:r>
          </w:p>
        </w:tc>
        <w:tc>
          <w:tcPr>
            <w:tcW w:w="11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(166,450)</w:t>
            </w:r>
          </w:p>
        </w:tc>
        <w:tc>
          <w:tcPr>
            <w:tcW w:w="0" w:type="dxa"/>
            <w:vAlign w:val="bottom"/>
          </w:tcPr>
          <w:p>
            <w:pPr>
              <w:spacing w:after="0"/>
              <w:rPr>
                <w:sz w:val="1"/>
                <w:szCs w:val="1"/>
                <w:color w:val="auto"/>
              </w:rPr>
            </w:pPr>
          </w:p>
        </w:tc>
      </w:tr>
      <w:tr>
        <w:trPr>
          <w:trHeight w:val="250"/>
        </w:trPr>
        <w:tc>
          <w:tcPr>
            <w:tcW w:w="5920" w:type="dxa"/>
            <w:vAlign w:val="bottom"/>
          </w:tcPr>
          <w:p>
            <w:pPr>
              <w:spacing w:after="0" w:line="250" w:lineRule="exact"/>
              <w:rPr>
                <w:sz w:val="20"/>
                <w:szCs w:val="20"/>
                <w:color w:val="auto"/>
              </w:rPr>
            </w:pPr>
            <w:r>
              <w:rPr>
                <w:rFonts w:ascii="Arial" w:cs="Arial" w:eastAsia="Arial" w:hAnsi="Arial"/>
                <w:sz w:val="22"/>
                <w:szCs w:val="22"/>
                <w:color w:val="auto"/>
              </w:rPr>
              <w:t>Taxation</w:t>
            </w:r>
          </w:p>
        </w:tc>
        <w:tc>
          <w:tcPr>
            <w:tcW w:w="8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(1,516)</w:t>
            </w:r>
          </w:p>
        </w:tc>
        <w:tc>
          <w:tcPr>
            <w:tcW w:w="400" w:type="dxa"/>
            <w:vAlign w:val="bottom"/>
          </w:tcPr>
          <w:p>
            <w:pPr>
              <w:spacing w:after="0"/>
              <w:rPr>
                <w:sz w:val="21"/>
                <w:szCs w:val="21"/>
                <w:color w:val="auto"/>
              </w:rPr>
            </w:pPr>
          </w:p>
        </w:tc>
        <w:tc>
          <w:tcPr>
            <w:tcW w:w="10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2,822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Loss attributable to equity holders of the parent</w:t>
            </w:r>
          </w:p>
        </w:tc>
        <w:tc>
          <w:tcPr>
            <w:tcW w:w="1280" w:type="dxa"/>
            <w:vAlign w:val="bottom"/>
            <w:gridSpan w:val="2"/>
            <w:shd w:val="clear" w:color="auto" w:fill="CCEEFF"/>
          </w:tcPr>
          <w:p>
            <w:pPr>
              <w:jc w:val="right"/>
              <w:ind w:right="400"/>
              <w:spacing w:after="0" w:line="243" w:lineRule="exact"/>
              <w:rPr>
                <w:sz w:val="20"/>
                <w:szCs w:val="20"/>
                <w:color w:val="auto"/>
              </w:rPr>
            </w:pPr>
            <w:r>
              <w:rPr>
                <w:rFonts w:ascii="Arial" w:cs="Arial" w:eastAsia="Arial" w:hAnsi="Arial"/>
                <w:sz w:val="22"/>
                <w:szCs w:val="22"/>
                <w:b w:val="1"/>
                <w:bCs w:val="1"/>
                <w:color w:val="auto"/>
              </w:rPr>
              <w:t>12,725</w:t>
            </w:r>
          </w:p>
        </w:tc>
        <w:tc>
          <w:tcPr>
            <w:tcW w:w="11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b w:val="1"/>
                <w:bCs w:val="1"/>
                <w:color w:val="auto"/>
              </w:rPr>
              <w:t>(163,628)</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22"/>
                <w:szCs w:val="22"/>
                <w:color w:val="auto"/>
              </w:rPr>
              <w:t>Exchange differences on translation of foreign operations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(191)</w:t>
            </w:r>
          </w:p>
        </w:tc>
        <w:tc>
          <w:tcPr>
            <w:tcW w:w="400" w:type="dxa"/>
            <w:vAlign w:val="bottom"/>
          </w:tcPr>
          <w:p>
            <w:pPr>
              <w:spacing w:after="0"/>
              <w:rPr>
                <w:sz w:val="20"/>
                <w:szCs w:val="20"/>
                <w:color w:val="auto"/>
              </w:rPr>
            </w:pP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Arial" w:cs="Arial" w:eastAsia="Arial" w:hAnsi="Arial"/>
                <w:sz w:val="22"/>
                <w:szCs w:val="22"/>
                <w:color w:val="auto"/>
                <w:w w:val="99"/>
              </w:rPr>
              <w:t>Total comprehensive loss attributable to equity holders of the</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20" w:type="dxa"/>
            <w:vAlign w:val="bottom"/>
            <w:shd w:val="clear" w:color="auto" w:fill="CCEEFF"/>
          </w:tcPr>
          <w:p>
            <w:pPr>
              <w:ind w:left="220"/>
              <w:spacing w:after="0"/>
              <w:rPr>
                <w:sz w:val="20"/>
                <w:szCs w:val="20"/>
                <w:color w:val="auto"/>
              </w:rPr>
            </w:pPr>
            <w:r>
              <w:rPr>
                <w:rFonts w:ascii="Arial" w:cs="Arial" w:eastAsia="Arial" w:hAnsi="Arial"/>
                <w:sz w:val="22"/>
                <w:szCs w:val="22"/>
                <w:color w:val="auto"/>
              </w:rPr>
              <w:t>parent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22"/>
                <w:szCs w:val="22"/>
                <w:color w:val="auto"/>
              </w:rPr>
              <w:t>12,534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(163,279)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Comparison of Years Ended December 31, 2021 and 2020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Revenue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Revenue was £36.5 million for the year ended December 31, 2021 compared to nil for year ended December 31, 2020.</w:t>
      </w:r>
    </w:p>
    <w:p>
      <w:pPr>
        <w:spacing w:after="0" w:line="241" w:lineRule="exact"/>
        <w:rPr>
          <w:sz w:val="20"/>
          <w:szCs w:val="20"/>
          <w:color w:val="auto"/>
        </w:rPr>
      </w:pPr>
    </w:p>
    <w:p>
      <w:pPr>
        <w:ind w:left="120" w:right="60" w:firstLine="551"/>
        <w:spacing w:after="0" w:line="282" w:lineRule="auto"/>
        <w:rPr>
          <w:sz w:val="20"/>
          <w:szCs w:val="20"/>
          <w:color w:val="auto"/>
        </w:rPr>
      </w:pPr>
      <w:r>
        <w:rPr>
          <w:rFonts w:ascii="Arial" w:cs="Arial" w:eastAsia="Arial" w:hAnsi="Arial"/>
          <w:sz w:val="19"/>
          <w:szCs w:val="19"/>
          <w:color w:val="auto"/>
        </w:rPr>
        <w:t>In January 2021, the Company’s licensing and collaboration agreement with Ultragenyx for the development and commercialization of setrusumab for OI became effective. Under the terms of the agreement, Ultragenyx will lead future global development of setrusumab in both pediatric and adult patients. We granted Ultragenyx an exclusive license to develop and commercialize setrusumab in the US and rest of the world, excluding Europe and the U.K. where we retain commercial rights. Each party will be responsible for post-marketing commitments in their respective territories.</w:t>
      </w:r>
    </w:p>
    <w:p>
      <w:pPr>
        <w:spacing w:after="0" w:line="14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22"/>
          <w:szCs w:val="22"/>
          <w:color w:val="auto"/>
        </w:rPr>
        <w:t>Ultragenyx made an upfront payment of £36.5 million ($50 million) to Mereo in January 2021 and will fund global development of the program until approval and has agreed to pay a total of up to $254 million upon achievement of certain clinical, regulatory and commercial milestones. Ultragenyx will pay tiered double digit percentage royalties to us on net sales outside of Europe and the U.K. and we will pay a fixed double digit percentage royalty to Ultragenyx on net sales in Europe and the U.K..</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Cost of revenue</w:t>
      </w:r>
    </w:p>
    <w:p>
      <w:pPr>
        <w:spacing w:after="0" w:line="98" w:lineRule="exact"/>
        <w:rPr>
          <w:sz w:val="20"/>
          <w:szCs w:val="20"/>
          <w:color w:val="auto"/>
        </w:rPr>
      </w:pPr>
    </w:p>
    <w:p>
      <w:pPr>
        <w:ind w:left="120" w:firstLine="551"/>
        <w:spacing w:after="0" w:line="282" w:lineRule="auto"/>
        <w:rPr>
          <w:sz w:val="20"/>
          <w:szCs w:val="20"/>
          <w:color w:val="auto"/>
        </w:rPr>
      </w:pPr>
      <w:r>
        <w:rPr>
          <w:rFonts w:ascii="Arial" w:cs="Arial" w:eastAsia="Arial" w:hAnsi="Arial"/>
          <w:sz w:val="19"/>
          <w:szCs w:val="19"/>
          <w:color w:val="auto"/>
        </w:rPr>
        <w:t>Cost of revenue for the year ended December 31, 2021 was £17.9 million compared to nil for the year ended December 31, 2020. This was comprised of £9.5 million, representing the carrying value of the setrusumab rights granted to Ultragenyx under the licensing and collaboration agreement, and £8.4 million in relation to our 2015 agreement with Novartis, under which the Company pays a percentage of proceeds, subject to certain exceptions. Under the terms of this agreement, we made a payment of £7.2 million to Novartis for the year-ended December 31, 2021.</w:t>
      </w:r>
    </w:p>
    <w:p>
      <w:pPr>
        <w:sectPr>
          <w:pgSz w:w="11900" w:h="16838" w:orient="portrait"/>
          <w:cols w:equalWidth="0" w:num="1">
            <w:col w:w="11060"/>
          </w:cols>
          <w:pgMar w:left="320" w:top="486" w:right="519" w:bottom="0" w:gutter="0" w:footer="0" w:header="0"/>
        </w:sect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Research and development (“R&amp;D”) Expenses</w:t>
      </w:r>
    </w:p>
    <w:p>
      <w:pPr>
        <w:sectPr>
          <w:pgSz w:w="11900" w:h="16838" w:orient="portrait"/>
          <w:cols w:equalWidth="0" w:num="1">
            <w:col w:w="11060"/>
          </w:cols>
          <w:pgMar w:left="320" w:top="486" w:right="519" w:bottom="0" w:gutter="0" w:footer="0" w:header="0"/>
          <w:type w:val="continuous"/>
        </w:sectPr>
      </w:pPr>
    </w:p>
    <w:bookmarkStart w:id="101" w:name="page102"/>
    <w:bookmarkEnd w:id="101"/>
    <w:p>
      <w:pPr>
        <w:ind w:firstLine="551"/>
        <w:spacing w:after="0" w:line="251" w:lineRule="auto"/>
        <w:rPr>
          <w:sz w:val="20"/>
          <w:szCs w:val="20"/>
          <w:color w:val="auto"/>
        </w:rPr>
      </w:pPr>
      <w:r>
        <w:rPr>
          <w:rFonts w:ascii="Arial" w:cs="Arial" w:eastAsia="Arial" w:hAnsi="Arial"/>
          <w:sz w:val="22"/>
          <w:szCs w:val="22"/>
          <w:color w:val="auto"/>
        </w:rPr>
        <w:t>The following table sets forth our R&amp;D expenses by product development program for the years ended December 31, 2021 and 2020.</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252"/>
        </w:trPr>
        <w:tc>
          <w:tcPr>
            <w:tcW w:w="3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20" w:type="dxa"/>
            <w:vAlign w:val="bottom"/>
            <w:gridSpan w:val="4"/>
          </w:tcPr>
          <w:p>
            <w:pPr>
              <w:ind w:left="200"/>
              <w:spacing w:after="0"/>
              <w:rPr>
                <w:sz w:val="20"/>
                <w:szCs w:val="20"/>
                <w:color w:val="auto"/>
              </w:rPr>
            </w:pPr>
            <w:r>
              <w:rPr>
                <w:rFonts w:ascii="Arial" w:cs="Arial" w:eastAsia="Arial" w:hAnsi="Arial"/>
                <w:sz w:val="20"/>
                <w:szCs w:val="20"/>
                <w:b w:val="1"/>
                <w:bCs w:val="1"/>
                <w:color w:val="auto"/>
                <w:w w:val="97"/>
              </w:rPr>
              <w:t>Year Ended December 31,</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177"/>
              <w:spacing w:after="0" w:line="223" w:lineRule="exact"/>
              <w:rPr>
                <w:sz w:val="20"/>
                <w:szCs w:val="20"/>
                <w:color w:val="auto"/>
              </w:rPr>
            </w:pPr>
            <w:r>
              <w:rPr>
                <w:rFonts w:ascii="Arial" w:cs="Arial" w:eastAsia="Arial" w:hAnsi="Arial"/>
                <w:sz w:val="20"/>
                <w:szCs w:val="20"/>
                <w:b w:val="1"/>
                <w:bCs w:val="1"/>
                <w:color w:val="auto"/>
              </w:rPr>
              <w:t>2021</w:t>
            </w: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4"/>
              <w:spacing w:after="0" w:line="223" w:lineRule="exact"/>
              <w:rPr>
                <w:sz w:val="20"/>
                <w:szCs w:val="20"/>
                <w:color w:val="auto"/>
              </w:rPr>
            </w:pPr>
            <w:r>
              <w:rPr>
                <w:rFonts w:ascii="Arial" w:cs="Arial" w:eastAsia="Arial" w:hAnsi="Arial"/>
                <w:sz w:val="20"/>
                <w:szCs w:val="20"/>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98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88"/>
              </w:rPr>
              <w:t>£’000s</w:t>
            </w:r>
          </w:p>
        </w:tc>
        <w:tc>
          <w:tcPr>
            <w:tcW w:w="600" w:type="dxa"/>
            <w:vAlign w:val="bottom"/>
          </w:tcPr>
          <w:p>
            <w:pPr>
              <w:spacing w:after="0"/>
              <w:rPr>
                <w:sz w:val="19"/>
                <w:szCs w:val="19"/>
                <w:color w:val="auto"/>
              </w:rPr>
            </w:pPr>
          </w:p>
        </w:tc>
        <w:tc>
          <w:tcPr>
            <w:tcW w:w="100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88"/>
              </w:rPr>
              <w:t>£’000s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Setrusumab (BPS-804)</w:t>
            </w:r>
          </w:p>
        </w:tc>
        <w:tc>
          <w:tcPr>
            <w:tcW w:w="4200" w:type="dxa"/>
            <w:vAlign w:val="bottom"/>
            <w:gridSpan w:val="3"/>
            <w:shd w:val="clear" w:color="auto" w:fill="CCEEFF"/>
          </w:tcPr>
          <w:p>
            <w:pPr>
              <w:jc w:val="right"/>
              <w:ind w:right="600"/>
              <w:spacing w:after="0" w:line="243" w:lineRule="exact"/>
              <w:rPr>
                <w:sz w:val="20"/>
                <w:szCs w:val="20"/>
                <w:color w:val="auto"/>
              </w:rPr>
            </w:pPr>
            <w:r>
              <w:rPr>
                <w:rFonts w:ascii="Arial" w:cs="Arial" w:eastAsia="Arial" w:hAnsi="Arial"/>
                <w:sz w:val="22"/>
                <w:szCs w:val="22"/>
                <w:color w:val="auto"/>
              </w:rPr>
              <w:t>3,597</w:t>
            </w: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7,695</w:t>
            </w:r>
          </w:p>
        </w:tc>
        <w:tc>
          <w:tcPr>
            <w:tcW w:w="0" w:type="dxa"/>
            <w:vAlign w:val="bottom"/>
          </w:tcPr>
          <w:p>
            <w:pPr>
              <w:spacing w:after="0"/>
              <w:rPr>
                <w:sz w:val="1"/>
                <w:szCs w:val="1"/>
                <w:color w:val="auto"/>
              </w:rPr>
            </w:pPr>
          </w:p>
        </w:tc>
      </w:tr>
      <w:tr>
        <w:trPr>
          <w:trHeight w:val="243"/>
        </w:trPr>
        <w:tc>
          <w:tcPr>
            <w:tcW w:w="3120" w:type="dxa"/>
            <w:vAlign w:val="bottom"/>
          </w:tcPr>
          <w:p>
            <w:pPr>
              <w:spacing w:after="0" w:line="243" w:lineRule="exact"/>
              <w:rPr>
                <w:sz w:val="20"/>
                <w:szCs w:val="20"/>
                <w:color w:val="auto"/>
              </w:rPr>
            </w:pPr>
            <w:r>
              <w:rPr>
                <w:rFonts w:ascii="Arial" w:cs="Arial" w:eastAsia="Arial" w:hAnsi="Arial"/>
                <w:sz w:val="22"/>
                <w:szCs w:val="22"/>
                <w:color w:val="auto"/>
              </w:rPr>
              <w:t>Alvelestat (MPH-966)</w:t>
            </w:r>
          </w:p>
        </w:tc>
        <w:tc>
          <w:tcPr>
            <w:tcW w:w="4200" w:type="dxa"/>
            <w:vAlign w:val="bottom"/>
            <w:gridSpan w:val="3"/>
          </w:tcPr>
          <w:p>
            <w:pPr>
              <w:jc w:val="right"/>
              <w:ind w:right="600"/>
              <w:spacing w:after="0" w:line="243" w:lineRule="exact"/>
              <w:rPr>
                <w:sz w:val="20"/>
                <w:szCs w:val="20"/>
                <w:color w:val="auto"/>
              </w:rPr>
            </w:pPr>
            <w:r>
              <w:rPr>
                <w:rFonts w:ascii="Arial" w:cs="Arial" w:eastAsia="Arial" w:hAnsi="Arial"/>
                <w:sz w:val="22"/>
                <w:szCs w:val="22"/>
                <w:color w:val="auto"/>
              </w:rPr>
              <w:t>5,303</w:t>
            </w: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4,709</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Etigilimab (MPH-313)</w:t>
            </w:r>
          </w:p>
        </w:tc>
        <w:tc>
          <w:tcPr>
            <w:tcW w:w="4200" w:type="dxa"/>
            <w:vAlign w:val="bottom"/>
            <w:gridSpan w:val="3"/>
            <w:shd w:val="clear" w:color="auto" w:fill="CCEEFF"/>
          </w:tcPr>
          <w:p>
            <w:pPr>
              <w:jc w:val="right"/>
              <w:ind w:right="600"/>
              <w:spacing w:after="0" w:line="243" w:lineRule="exact"/>
              <w:rPr>
                <w:sz w:val="20"/>
                <w:szCs w:val="20"/>
                <w:color w:val="auto"/>
              </w:rPr>
            </w:pPr>
            <w:r>
              <w:rPr>
                <w:rFonts w:ascii="Arial" w:cs="Arial" w:eastAsia="Arial" w:hAnsi="Arial"/>
                <w:sz w:val="22"/>
                <w:szCs w:val="22"/>
                <w:color w:val="auto"/>
              </w:rPr>
              <w:t>13,499</w:t>
            </w: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1,029</w:t>
            </w:r>
          </w:p>
        </w:tc>
        <w:tc>
          <w:tcPr>
            <w:tcW w:w="0" w:type="dxa"/>
            <w:vAlign w:val="bottom"/>
          </w:tcPr>
          <w:p>
            <w:pPr>
              <w:spacing w:after="0"/>
              <w:rPr>
                <w:sz w:val="1"/>
                <w:szCs w:val="1"/>
                <w:color w:val="auto"/>
              </w:rPr>
            </w:pPr>
          </w:p>
        </w:tc>
      </w:tr>
      <w:tr>
        <w:trPr>
          <w:trHeight w:val="243"/>
        </w:trPr>
        <w:tc>
          <w:tcPr>
            <w:tcW w:w="3120" w:type="dxa"/>
            <w:vAlign w:val="bottom"/>
          </w:tcPr>
          <w:p>
            <w:pPr>
              <w:spacing w:after="0" w:line="243" w:lineRule="exact"/>
              <w:rPr>
                <w:sz w:val="20"/>
                <w:szCs w:val="20"/>
                <w:color w:val="auto"/>
              </w:rPr>
            </w:pPr>
            <w:r>
              <w:rPr>
                <w:rFonts w:ascii="Arial" w:cs="Arial" w:eastAsia="Arial" w:hAnsi="Arial"/>
                <w:sz w:val="22"/>
                <w:szCs w:val="22"/>
                <w:color w:val="auto"/>
              </w:rPr>
              <w:t>Leflutrozole (BGS-649)</w:t>
            </w:r>
          </w:p>
        </w:tc>
        <w:tc>
          <w:tcPr>
            <w:tcW w:w="4200" w:type="dxa"/>
            <w:vAlign w:val="bottom"/>
            <w:gridSpan w:val="3"/>
          </w:tcPr>
          <w:p>
            <w:pPr>
              <w:jc w:val="right"/>
              <w:ind w:right="600"/>
              <w:spacing w:after="0" w:line="243" w:lineRule="exact"/>
              <w:rPr>
                <w:sz w:val="20"/>
                <w:szCs w:val="20"/>
                <w:color w:val="auto"/>
              </w:rPr>
            </w:pPr>
            <w:r>
              <w:rPr>
                <w:rFonts w:ascii="Arial" w:cs="Arial" w:eastAsia="Arial" w:hAnsi="Arial"/>
                <w:sz w:val="22"/>
                <w:szCs w:val="22"/>
                <w:color w:val="auto"/>
              </w:rPr>
              <w:t>157</w:t>
            </w: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135</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Acumapimod (BCT-197)</w:t>
            </w:r>
          </w:p>
        </w:tc>
        <w:tc>
          <w:tcPr>
            <w:tcW w:w="4200" w:type="dxa"/>
            <w:vAlign w:val="bottom"/>
            <w:gridSpan w:val="3"/>
            <w:shd w:val="clear" w:color="auto" w:fill="CCEEFF"/>
          </w:tcPr>
          <w:p>
            <w:pPr>
              <w:jc w:val="right"/>
              <w:ind w:right="600"/>
              <w:spacing w:after="0" w:line="243" w:lineRule="exact"/>
              <w:rPr>
                <w:sz w:val="20"/>
                <w:szCs w:val="20"/>
                <w:color w:val="auto"/>
              </w:rPr>
            </w:pPr>
            <w:r>
              <w:rPr>
                <w:rFonts w:ascii="Arial" w:cs="Arial" w:eastAsia="Arial" w:hAnsi="Arial"/>
                <w:sz w:val="22"/>
                <w:szCs w:val="22"/>
                <w:color w:val="auto"/>
              </w:rPr>
              <w:t>94</w:t>
            </w: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43"/>
        </w:trPr>
        <w:tc>
          <w:tcPr>
            <w:tcW w:w="3120" w:type="dxa"/>
            <w:vAlign w:val="bottom"/>
          </w:tcPr>
          <w:p>
            <w:pPr>
              <w:spacing w:after="0" w:line="243" w:lineRule="exact"/>
              <w:rPr>
                <w:sz w:val="20"/>
                <w:szCs w:val="20"/>
                <w:color w:val="auto"/>
              </w:rPr>
            </w:pPr>
            <w:r>
              <w:rPr>
                <w:rFonts w:ascii="Arial" w:cs="Arial" w:eastAsia="Arial" w:hAnsi="Arial"/>
                <w:sz w:val="22"/>
                <w:szCs w:val="22"/>
                <w:color w:val="auto"/>
              </w:rPr>
              <w:t>Navicixizumab (“Navi”)</w:t>
            </w:r>
          </w:p>
        </w:tc>
        <w:tc>
          <w:tcPr>
            <w:tcW w:w="4200" w:type="dxa"/>
            <w:vAlign w:val="bottom"/>
            <w:gridSpan w:val="3"/>
          </w:tcPr>
          <w:p>
            <w:pPr>
              <w:jc w:val="right"/>
              <w:ind w:right="600"/>
              <w:spacing w:after="0" w:line="243" w:lineRule="exact"/>
              <w:rPr>
                <w:sz w:val="20"/>
                <w:szCs w:val="20"/>
                <w:color w:val="auto"/>
              </w:rPr>
            </w:pPr>
            <w:r>
              <w:rPr>
                <w:rFonts w:ascii="Arial" w:cs="Arial" w:eastAsia="Arial" w:hAnsi="Arial"/>
                <w:sz w:val="22"/>
                <w:szCs w:val="22"/>
                <w:color w:val="auto"/>
              </w:rPr>
              <w:t>15</w:t>
            </w: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1,734</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w:t>
            </w:r>
          </w:p>
        </w:tc>
        <w:tc>
          <w:tcPr>
            <w:tcW w:w="4200" w:type="dxa"/>
            <w:vAlign w:val="bottom"/>
            <w:gridSpan w:val="3"/>
            <w:shd w:val="clear" w:color="auto" w:fill="CCEEFF"/>
          </w:tcPr>
          <w:p>
            <w:pPr>
              <w:jc w:val="right"/>
              <w:ind w:right="600"/>
              <w:spacing w:after="0" w:line="243" w:lineRule="exact"/>
              <w:rPr>
                <w:sz w:val="20"/>
                <w:szCs w:val="20"/>
                <w:color w:val="auto"/>
              </w:rPr>
            </w:pPr>
            <w:r>
              <w:rPr>
                <w:rFonts w:ascii="Arial" w:cs="Arial" w:eastAsia="Arial" w:hAnsi="Arial"/>
                <w:sz w:val="22"/>
                <w:szCs w:val="22"/>
                <w:color w:val="auto"/>
              </w:rPr>
              <w:t>63</w:t>
            </w: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153</w:t>
            </w:r>
          </w:p>
        </w:tc>
        <w:tc>
          <w:tcPr>
            <w:tcW w:w="0" w:type="dxa"/>
            <w:vAlign w:val="bottom"/>
          </w:tcPr>
          <w:p>
            <w:pPr>
              <w:spacing w:after="0"/>
              <w:rPr>
                <w:sz w:val="1"/>
                <w:szCs w:val="1"/>
                <w:color w:val="auto"/>
              </w:rPr>
            </w:pPr>
          </w:p>
        </w:tc>
      </w:tr>
      <w:tr>
        <w:trPr>
          <w:trHeight w:val="243"/>
        </w:trPr>
        <w:tc>
          <w:tcPr>
            <w:tcW w:w="3120" w:type="dxa"/>
            <w:vAlign w:val="bottom"/>
          </w:tcPr>
          <w:p>
            <w:pPr>
              <w:spacing w:after="0" w:line="243" w:lineRule="exact"/>
              <w:rPr>
                <w:sz w:val="20"/>
                <w:szCs w:val="20"/>
                <w:color w:val="auto"/>
              </w:rPr>
            </w:pPr>
            <w:r>
              <w:rPr>
                <w:rFonts w:ascii="Arial" w:cs="Arial" w:eastAsia="Arial" w:hAnsi="Arial"/>
                <w:sz w:val="22"/>
                <w:szCs w:val="22"/>
                <w:color w:val="auto"/>
              </w:rPr>
              <w:t>Unallocated costs</w:t>
            </w:r>
          </w:p>
        </w:tc>
        <w:tc>
          <w:tcPr>
            <w:tcW w:w="2620" w:type="dxa"/>
            <w:vAlign w:val="bottom"/>
          </w:tcPr>
          <w:p>
            <w:pPr>
              <w:spacing w:after="0"/>
              <w:rPr>
                <w:sz w:val="21"/>
                <w:szCs w:val="21"/>
                <w:color w:val="auto"/>
              </w:rPr>
            </w:pPr>
          </w:p>
        </w:tc>
        <w:tc>
          <w:tcPr>
            <w:tcW w:w="1580" w:type="dxa"/>
            <w:vAlign w:val="bottom"/>
            <w:gridSpan w:val="2"/>
          </w:tcPr>
          <w:p>
            <w:pPr>
              <w:jc w:val="right"/>
              <w:ind w:right="600"/>
              <w:spacing w:after="0" w:line="243" w:lineRule="exact"/>
              <w:rPr>
                <w:sz w:val="20"/>
                <w:szCs w:val="20"/>
                <w:color w:val="auto"/>
              </w:rPr>
            </w:pPr>
            <w:r>
              <w:rPr>
                <w:rFonts w:ascii="Arial" w:cs="Arial" w:eastAsia="Arial" w:hAnsi="Arial"/>
                <w:sz w:val="22"/>
                <w:szCs w:val="22"/>
                <w:color w:val="auto"/>
              </w:rPr>
              <w:t>831</w:t>
            </w: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784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 R&amp;D expenses</w:t>
            </w:r>
          </w:p>
        </w:tc>
        <w:tc>
          <w:tcPr>
            <w:tcW w:w="26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600"/>
              <w:spacing w:after="0" w:line="243" w:lineRule="exact"/>
              <w:rPr>
                <w:sz w:val="20"/>
                <w:szCs w:val="20"/>
                <w:color w:val="auto"/>
              </w:rPr>
            </w:pPr>
            <w:r>
              <w:rPr>
                <w:rFonts w:ascii="Arial" w:cs="Arial" w:eastAsia="Arial" w:hAnsi="Arial"/>
                <w:sz w:val="22"/>
                <w:szCs w:val="22"/>
                <w:b w:val="1"/>
                <w:bCs w:val="1"/>
                <w:color w:val="auto"/>
              </w:rPr>
              <w:t>23,559</w:t>
            </w: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b w:val="1"/>
                <w:bCs w:val="1"/>
                <w:color w:val="auto"/>
              </w:rPr>
              <w:t>16,347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620" w:type="dxa"/>
            <w:vAlign w:val="bottom"/>
            <w:vMerge w:val="restart"/>
          </w:tcPr>
          <w:p>
            <w:pPr>
              <w:jc w:val="right"/>
              <w:ind w:right="1332"/>
              <w:spacing w:after="0"/>
              <w:rPr>
                <w:sz w:val="20"/>
                <w:szCs w:val="20"/>
                <w:color w:val="auto"/>
              </w:rPr>
            </w:pPr>
            <w:r>
              <w:rPr>
                <w:rFonts w:ascii="Arial" w:cs="Arial" w:eastAsia="Arial" w:hAnsi="Arial"/>
                <w:sz w:val="22"/>
                <w:szCs w:val="22"/>
                <w:color w:val="auto"/>
              </w:rPr>
              <w:t>88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440" w:top="118" w:right="7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Total R&amp;D expenses increased by £7.2 million, or 44%, from £16.3 million in 2020 to £23.6 million in 2021.</w:t>
      </w:r>
    </w:p>
    <w:p>
      <w:pPr>
        <w:spacing w:after="0" w:line="206"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22"/>
          <w:szCs w:val="22"/>
          <w:color w:val="auto"/>
        </w:rPr>
        <w:t>R&amp;D expenses relating to etigilimab increased by £12.5 million. The increase was due to the costs associated with commencement of the open label Phase 1b/2 basket study in combination with nivolumab in a range of tumor types. R&amp;D expenses relating to alvelestat increased £0.6 million, or 13%, primarily related to the ongoing Phase 2 proof-of-concept study. Partially offsetting the increases, R&amp;D expenses relating to setrusumab and navicixizumab decreased by £4.1 million and £1.7 million, respectively. The decrease related to setrusumab was primarily driven by the licensing and collaboration agreement with Ultragenyx, under which Ultragenyx will fund global development of the program, and the decrease related to navicixizumab was driven by the global out-licensing agreement with OncXerna for the development and commercialization of navicixizumab.</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Administrative expenses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Administrative expenses decreased by £5.3 million, or 25%, from £21.2 million in 2020 to £15.9 million in 2021.</w:t>
      </w:r>
    </w:p>
    <w:p>
      <w:pPr>
        <w:spacing w:after="0" w:line="218" w:lineRule="exact"/>
        <w:rPr>
          <w:sz w:val="20"/>
          <w:szCs w:val="20"/>
          <w:color w:val="auto"/>
        </w:rPr>
      </w:pPr>
    </w:p>
    <w:p>
      <w:pPr>
        <w:ind w:left="120" w:right="40"/>
        <w:spacing w:after="0" w:line="236" w:lineRule="auto"/>
        <w:rPr>
          <w:sz w:val="20"/>
          <w:szCs w:val="20"/>
          <w:color w:val="auto"/>
        </w:rPr>
      </w:pPr>
      <w:r>
        <w:rPr>
          <w:rFonts w:ascii="Arial" w:cs="Arial" w:eastAsia="Arial" w:hAnsi="Arial"/>
          <w:sz w:val="22"/>
          <w:szCs w:val="22"/>
          <w:color w:val="auto"/>
        </w:rPr>
        <w:t>The decrease was primarily driven by a £4.0 million reduction in legal and professional fees in 2021, reflecting lower activity and related transaction costs in 2021 compared to 2020, which included the June 2020 Private Placement and the cancellation of admission of our ordinary shares to trading on the AIM market of London Stock Exchange in December 2020. Premises-related costs decreased by £1.3 million in 2021 primarily due to one-off transaction costs in 2020 associated with renegotiation of our office lease in Redwood City.</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Finance income and costs</w:t>
      </w:r>
    </w:p>
    <w:p>
      <w:pPr>
        <w:spacing w:after="0" w:line="98"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22"/>
          <w:szCs w:val="22"/>
          <w:color w:val="auto"/>
        </w:rPr>
        <w:t>Total finance costs decreased from £6.4 million in 2020 to £4.0 million in 2021. The decrease is primarily related to a decrease in bank loan interest of £2.9 million following the settlement of the bank loan in December 2020 and a decrease in lease liability finance charges of £0.9 million, partially offset by £1.3 million of additional interest primarily on the June 2020 Private Placement convertible loan notes.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Changes in fair value of financial instruments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total change in fair value of financial instruments for 2021 was a gain of £40.0 million. The gain resulted from a</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£39.5 million unrealized gain on Warrants in respect of the June 2020 Private Placement and a £0.5 million unrealized gain on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warrants issued to our former lenders in connection with the loan facility.</w:t>
      </w:r>
    </w:p>
    <w:p>
      <w:pPr>
        <w:spacing w:after="0" w:line="188" w:lineRule="exact"/>
        <w:rPr>
          <w:sz w:val="20"/>
          <w:szCs w:val="20"/>
          <w:color w:val="auto"/>
        </w:rPr>
      </w:pPr>
    </w:p>
    <w:p>
      <w:pPr>
        <w:jc w:val="both"/>
        <w:ind w:left="120" w:firstLine="551"/>
        <w:spacing w:after="0" w:line="282" w:lineRule="auto"/>
        <w:rPr>
          <w:sz w:val="20"/>
          <w:szCs w:val="20"/>
          <w:color w:val="auto"/>
        </w:rPr>
      </w:pPr>
      <w:r>
        <w:rPr>
          <w:rFonts w:ascii="Arial" w:cs="Arial" w:eastAsia="Arial" w:hAnsi="Arial"/>
          <w:sz w:val="19"/>
          <w:szCs w:val="19"/>
          <w:color w:val="auto"/>
        </w:rPr>
        <w:t>The total change in fair value of financial instruments for 2020 was a loss of £109.8 million. The loss primarily resulted from the Loan Notes and Warrants in respect of the June 2020 Private Placement, including: (i) a £63.2 million loss realized on the embedded derivative associated with the Loan Notes that was conditional on the passing of the Resolutions at a subsequent general meeting of shareholders held on June 30, 2020, and (ii) a £46.0 million unrealized loss on the Warrants. In addition, the unrealized loss on warrants issued to our former lenders in connection with the loan facility was £0.7 million in 2020.</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Net foreign exchange gain/(loss)</w:t>
      </w:r>
    </w:p>
    <w:p>
      <w:pPr>
        <w:spacing w:after="0" w:line="206" w:lineRule="exact"/>
        <w:rPr>
          <w:sz w:val="20"/>
          <w:szCs w:val="20"/>
          <w:color w:val="auto"/>
        </w:rPr>
      </w:pPr>
    </w:p>
    <w:p>
      <w:pPr>
        <w:jc w:val="both"/>
        <w:ind w:left="120" w:right="280" w:firstLine="551"/>
        <w:spacing w:after="0"/>
        <w:rPr>
          <w:sz w:val="20"/>
          <w:szCs w:val="20"/>
          <w:color w:val="auto"/>
        </w:rPr>
      </w:pPr>
      <w:r>
        <w:rPr>
          <w:rFonts w:ascii="Arial" w:cs="Arial" w:eastAsia="Arial" w:hAnsi="Arial"/>
          <w:sz w:val="22"/>
          <w:szCs w:val="22"/>
          <w:color w:val="auto"/>
        </w:rPr>
        <w:t>The net foreign exchange loss for 2021 was £1.0 million, a decrease of £0.8 million from a £1.8 million loss in 2020. The net foreign exchange loss consists primarily of foreign exchange loss on the translation of non-functional currency cash deposits, primarily held in U.S. dollars.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Taxation</w:t>
      </w:r>
    </w:p>
    <w:p>
      <w:pPr>
        <w:spacing w:after="0" w:line="98" w:lineRule="exact"/>
        <w:rPr>
          <w:sz w:val="20"/>
          <w:szCs w:val="20"/>
          <w:color w:val="auto"/>
        </w:rPr>
      </w:pPr>
    </w:p>
    <w:p>
      <w:pPr>
        <w:ind w:left="120" w:right="860" w:firstLine="551"/>
        <w:spacing w:after="0" w:line="250" w:lineRule="auto"/>
        <w:rPr>
          <w:sz w:val="20"/>
          <w:szCs w:val="20"/>
          <w:color w:val="auto"/>
        </w:rPr>
      </w:pPr>
      <w:r>
        <w:rPr>
          <w:rFonts w:ascii="Arial" w:cs="Arial" w:eastAsia="Arial" w:hAnsi="Arial"/>
          <w:sz w:val="22"/>
          <w:szCs w:val="22"/>
          <w:color w:val="auto"/>
        </w:rPr>
        <w:t>The income tax charge for 2021 was £1.5 million. The income tax charge arises primarily from a £40.0 million unrealized gain resulting from changes in the fair value of warrant instruments.</w:t>
      </w:r>
    </w:p>
    <w:p>
      <w:pPr>
        <w:spacing w:after="0" w:line="175" w:lineRule="exact"/>
        <w:rPr>
          <w:sz w:val="20"/>
          <w:szCs w:val="20"/>
          <w:color w:val="auto"/>
        </w:rPr>
      </w:pPr>
    </w:p>
    <w:p>
      <w:pPr>
        <w:ind w:left="120" w:right="140" w:firstLine="551"/>
        <w:spacing w:after="0" w:line="282" w:lineRule="auto"/>
        <w:rPr>
          <w:sz w:val="20"/>
          <w:szCs w:val="20"/>
          <w:color w:val="auto"/>
        </w:rPr>
      </w:pPr>
      <w:r>
        <w:rPr>
          <w:rFonts w:ascii="Arial" w:cs="Arial" w:eastAsia="Arial" w:hAnsi="Arial"/>
          <w:sz w:val="19"/>
          <w:szCs w:val="19"/>
          <w:color w:val="auto"/>
        </w:rPr>
        <w:t>The income tax benefit for 2020 was £2.8 million. The income tax benefit represents eligible cash rebates paid or receivable from the tax authorities in the jurisdictions within which we operate for eligible types of research and development activities and associated expenditure (the “R&amp;D tax credit”). Further, in February 2020, Mereo BioPharma 5 received a tax refund in respect of AMT of £0.2 million from the U.S. Internal Revenue Service (“IRS”). We currently estimate that an additional £0.8 million of tax refund in respect of AMT will be received in 2022 with respect to 2019.</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Comparison of the Years Ended December 31, 2020 and 2019</w:t>
      </w:r>
    </w:p>
    <w:p>
      <w:pPr>
        <w:spacing w:after="0" w:line="98" w:lineRule="exact"/>
        <w:rPr>
          <w:sz w:val="20"/>
          <w:szCs w:val="20"/>
          <w:color w:val="auto"/>
        </w:rPr>
      </w:pPr>
    </w:p>
    <w:p>
      <w:pPr>
        <w:jc w:val="both"/>
        <w:ind w:left="120" w:right="20" w:firstLine="551"/>
        <w:spacing w:after="0"/>
        <w:rPr>
          <w:sz w:val="20"/>
          <w:szCs w:val="20"/>
          <w:color w:val="auto"/>
        </w:rPr>
      </w:pPr>
      <w:r>
        <w:rPr>
          <w:rFonts w:ascii="Arial" w:cs="Arial" w:eastAsia="Arial" w:hAnsi="Arial"/>
          <w:sz w:val="22"/>
          <w:szCs w:val="22"/>
          <w:color w:val="auto"/>
        </w:rPr>
        <w:t>For information relating to the comparison of the years ended December 31, 2020 and 2019, see “Item 5. Operating and Financial Review and Prospects” in our annual report on Form 20-F for the fiscal year ended December 31, 2020 filed with the SEC on March 31, 2021.</w:t>
      </w:r>
    </w:p>
    <w:p>
      <w:pPr>
        <w:sectPr>
          <w:pgSz w:w="11900" w:h="16838" w:orient="portrait"/>
          <w:cols w:equalWidth="0" w:num="1">
            <w:col w:w="11120"/>
          </w:cols>
          <w:pgMar w:left="320" w:top="486" w:right="459" w:bottom="169"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1120"/>
          </w:cols>
          <w:pgMar w:left="320" w:top="486" w:right="459" w:bottom="169"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5.B. Liquidity and Capital Resources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Overview</w:t>
      </w:r>
    </w:p>
    <w:p>
      <w:pPr>
        <w:spacing w:after="0" w:line="98" w:lineRule="exact"/>
        <w:rPr>
          <w:sz w:val="20"/>
          <w:szCs w:val="20"/>
          <w:color w:val="auto"/>
        </w:rPr>
      </w:pPr>
    </w:p>
    <w:p>
      <w:pPr>
        <w:ind w:left="120" w:firstLine="551"/>
        <w:spacing w:after="0" w:line="277" w:lineRule="auto"/>
        <w:rPr>
          <w:sz w:val="20"/>
          <w:szCs w:val="20"/>
          <w:color w:val="auto"/>
        </w:rPr>
      </w:pPr>
      <w:r>
        <w:rPr>
          <w:rFonts w:ascii="Arial" w:cs="Arial" w:eastAsia="Arial" w:hAnsi="Arial"/>
          <w:sz w:val="19"/>
          <w:szCs w:val="19"/>
          <w:color w:val="auto"/>
        </w:rPr>
        <w:t>Under the current business plan and cash flow forecasts, and in consideration of (i) our ongoing research and development efforts which are focused on our etigilimab, our oncology product candidate, and on our rare disease product candidates, setrusumab and alvelestat, (ii) our general corporate funding requirements, (iii) the upfront payment of $50 million received under the license and collaboration agreement with Ultragenyx for setrusumab, and (iv) our public offering of ADSs in February 2021 which raised approximately $108.2 million (£78.4 million) net cash proceeds, we anticipate that our current on-hand cash resources will extend into 2024. However, we will need additional external funding to complete our development plans and take selected products through to commercialization.</w:t>
      </w:r>
    </w:p>
    <w:p>
      <w:pPr>
        <w:spacing w:after="0" w:line="152" w:lineRule="exact"/>
        <w:rPr>
          <w:sz w:val="20"/>
          <w:szCs w:val="20"/>
          <w:color w:val="auto"/>
        </w:rPr>
      </w:pPr>
    </w:p>
    <w:p>
      <w:pPr>
        <w:ind w:left="120" w:right="40" w:firstLine="551"/>
        <w:spacing w:after="0" w:line="249" w:lineRule="auto"/>
        <w:rPr>
          <w:sz w:val="20"/>
          <w:szCs w:val="20"/>
          <w:color w:val="auto"/>
        </w:rPr>
      </w:pPr>
      <w:r>
        <w:rPr>
          <w:rFonts w:ascii="Arial" w:cs="Arial" w:eastAsia="Arial" w:hAnsi="Arial"/>
          <w:sz w:val="21"/>
          <w:szCs w:val="21"/>
          <w:color w:val="auto"/>
        </w:rPr>
        <w:t>We do not currently have any approved product candidates and as a result, have not generated any revenue from product sales. As a result, to date, we have financed our operations primarily through the issuances of our equity securities and convertible debt and our credit facility, which we entered into in August 2017 and subsequently repaid in full in December 2020. We raised $183 million (£137.9 million) in private placements of ordinary shares and convertible loan notes in 2020 and in a public offering of ADSs in February 2021.</w:t>
      </w:r>
    </w:p>
    <w:p>
      <w:pPr>
        <w:spacing w:after="0" w:line="178"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9"/>
          <w:szCs w:val="19"/>
          <w:color w:val="auto"/>
        </w:rPr>
        <w:t>In September 2018, we entered into a revised loan agreement which enabled us to extend the interest only period of the credit facility from September 30, 2018 to April 30, 2019. On April 23, 2019, we agreed a revision to the loan agreement which extended the interest only period of the credit facility through December 31, 2020. On December 15, 2020, we repaid the outstanding principal and accrued interest in full. In connection with the credit facility, we have issued warrants for</w:t>
      </w:r>
    </w:p>
    <w:p>
      <w:pPr>
        <w:spacing w:after="0" w:line="3" w:lineRule="exact"/>
        <w:rPr>
          <w:sz w:val="20"/>
          <w:szCs w:val="20"/>
          <w:color w:val="auto"/>
        </w:rPr>
      </w:pPr>
    </w:p>
    <w:p>
      <w:pPr>
        <w:ind w:left="120" w:right="220" w:hanging="4"/>
        <w:spacing w:after="0" w:line="236" w:lineRule="auto"/>
        <w:tabs>
          <w:tab w:leader="none" w:pos="378" w:val="left"/>
        </w:tabs>
        <w:numPr>
          <w:ilvl w:val="0"/>
          <w:numId w:val="57"/>
        </w:numPr>
        <w:rPr>
          <w:rFonts w:ascii="Arial" w:cs="Arial" w:eastAsia="Arial" w:hAnsi="Arial"/>
          <w:sz w:val="22"/>
          <w:szCs w:val="22"/>
          <w:color w:val="auto"/>
        </w:rPr>
      </w:pPr>
      <w:r>
        <w:rPr>
          <w:rFonts w:ascii="Arial" w:cs="Arial" w:eastAsia="Arial" w:hAnsi="Arial"/>
          <w:sz w:val="22"/>
          <w:szCs w:val="22"/>
          <w:color w:val="auto"/>
        </w:rPr>
        <w:t>1,243,908 ordinary shares at an exercise price of £2.95 per share, and (ii). 1,243,908 ordinary shares at a price of $0.4144 per share.</w:t>
      </w:r>
    </w:p>
    <w:p>
      <w:pPr>
        <w:spacing w:after="0" w:line="187"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22"/>
          <w:szCs w:val="22"/>
          <w:color w:val="auto"/>
        </w:rPr>
        <w:t>On October 8, 2018, we entered into a funding agreement with The Alpha-1 Project, Inc. (“TAP”), which provided for funding of up to $0.4 million as a contribution towards the development of our product candidate alvelestat. On November 1, 2018, the first tranche of $0.1 million was received and as a result we issued 41,286 warrants to subscribe for our ordinary shares at an exercise price of £0.003 per share.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Aspire Capital Transaction</w:t>
      </w:r>
    </w:p>
    <w:p>
      <w:pPr>
        <w:spacing w:after="0" w:line="98"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9"/>
          <w:szCs w:val="19"/>
          <w:color w:val="auto"/>
        </w:rPr>
        <w:t>On February 10, 2020, we entered into a Purchase Agreement with Aspire Capital,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11,432,925 ordinary shares equivalent to 2,286,585 ADSs for $3.0 million (£2.3 million). In consideration for entering into the Purchase Agreement, concurrently with the execution of the Purchase Agreement, we paid Aspire Capital a commission fee of $0.3 million, which was wholly satisfied by the issuance to Aspire Capital of 2,862,595 ordinary shares equivalent to 572,519 ADSs.</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Novartis Loan Note</w:t>
      </w:r>
    </w:p>
    <w:p>
      <w:pPr>
        <w:spacing w:after="0" w:line="98"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On February 10, 2020, we entered into a £3.8 million convertible loan note instrument with Novartis pursuant to which we issued 3,841,479 unsecured convertible loan notes (the “Novartis Loan Note”) and warrants to purchase 1,449,614 ordinary shares, exercisable until February 2025.</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100"/>
          </w:cols>
          <w:pgMar w:left="320" w:top="486"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Boxer Capital Transaction</w:t>
      </w:r>
    </w:p>
    <w:p>
      <w:pPr>
        <w:spacing w:after="0" w:line="98" w:lineRule="exact"/>
        <w:rPr>
          <w:sz w:val="20"/>
          <w:szCs w:val="20"/>
          <w:color w:val="auto"/>
        </w:rPr>
      </w:pPr>
    </w:p>
    <w:p>
      <w:pPr>
        <w:ind w:left="120" w:right="160" w:firstLine="551"/>
        <w:spacing w:after="0"/>
        <w:rPr>
          <w:sz w:val="20"/>
          <w:szCs w:val="20"/>
          <w:color w:val="auto"/>
        </w:rPr>
      </w:pPr>
      <w:r>
        <w:rPr>
          <w:rFonts w:ascii="Arial" w:cs="Arial" w:eastAsia="Arial" w:hAnsi="Arial"/>
          <w:sz w:val="22"/>
          <w:szCs w:val="22"/>
          <w:color w:val="auto"/>
        </w:rPr>
        <w:t>On February 19, 2020, we entered into a securities purchase agreement with Boxer Capital. Under the terms of the agreement, Boxer Capital agreed to invest $3.0 million (£2.3 million) by purchasing 12,252,715 ordinary shares equivalent to 2,450,543 ADSs.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June 2020 Private Placement</w:t>
      </w:r>
    </w:p>
    <w:p>
      <w:pPr>
        <w:spacing w:after="0" w:line="98"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21"/>
          <w:szCs w:val="21"/>
          <w:color w:val="auto"/>
        </w:rPr>
        <w:t>On June 3, 2020, we entered into a securities purchase agreement with institutional investors pursuant to which we received approximately $70.0 million (£56.0 million) from the purchasers comprising: $19.4 million (£15.5 million) of ordinary shares and the subscription for Loan Notes in an aggregate principal amount of approximately $50.6 million (£40.5 million). Following the passing of resolutions at our General Meeting on June 30, 2020 the Loan Notes automatically converted into ordinary shares except that no new ordinary shares were issued which would result in any person holding in excess of 9.99 percent of the aggregate voting rights in the Company as a result of the relevant conversion. As a result of automatic conversion, Loan Notes in an aggregate principal amount of £21.8 million (together with accrued interest) converted into 125,061,475 new ordinary shares (“New Ordinary Shares”) on June 30, 2020. As of December 31, 2021, Loan Notes in an aggregate principal amount of £12.4 million remained outstanding and convertible into new ordinary shares or ADSs in accordance with their terms.</w:t>
      </w:r>
    </w:p>
    <w:p>
      <w:pPr>
        <w:spacing w:after="0" w:line="181"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21"/>
          <w:szCs w:val="21"/>
          <w:color w:val="auto"/>
        </w:rPr>
        <w:t>Investors in the June 2020 Private Placement also received warrants entitling the holders to subscribe for an aggregate of 161,048,366 new ordinary shares. As of December 31, 2020, there were 160,358,161 warrants outstanding to purchase ordinary shares at an exercise price of £0.348 per ordinary share, exercisable until June 2023 and subject to the terms of the warrants. In accordance with the terms of the warrants, holders may elect to exercise their warrants on a cashless basis. As of December 31, 2021, there were 144,943,535 warrants outstanding.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February 2021 Public Offering</w:t>
      </w:r>
    </w:p>
    <w:p>
      <w:pPr>
        <w:spacing w:after="0" w:line="9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On February 12, 2021, we announced the completion of an underwritten public offering of 39,675,000 ADSs, at a public offering price of $2.90 per ADS, which includes 5,175,000 additional ADSs issued upon the exercise in full of the underwriters’ option to purchase additional ADSs. The aggregate gross proceeds to us from the offering, before deducting underwriting discounts and commissions and offering expenses were $115.1 million. The net proceeds, after transaction costs, were £78.4 million ($108.2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Partnership with Cancer Focus Fund and The University of Texas MD Anderson Cancer Center</w:t>
      </w:r>
    </w:p>
    <w:p>
      <w:pPr>
        <w:spacing w:after="0" w:line="98" w:lineRule="exact"/>
        <w:rPr>
          <w:sz w:val="20"/>
          <w:szCs w:val="20"/>
          <w:color w:val="auto"/>
        </w:rPr>
      </w:pPr>
    </w:p>
    <w:p>
      <w:pPr>
        <w:ind w:left="120" w:right="200" w:firstLine="551"/>
        <w:spacing w:after="0" w:line="252" w:lineRule="auto"/>
        <w:rPr>
          <w:sz w:val="20"/>
          <w:szCs w:val="20"/>
          <w:color w:val="auto"/>
        </w:rPr>
      </w:pPr>
      <w:r>
        <w:rPr>
          <w:rFonts w:ascii="Arial" w:cs="Arial" w:eastAsia="Arial" w:hAnsi="Arial"/>
          <w:sz w:val="21"/>
          <w:szCs w:val="21"/>
          <w:color w:val="auto"/>
        </w:rPr>
        <w:t>On April 30, 2021, we entered into partnership with Cancer Focus Fund for a Phase 1b/2 study of etigilimab in Clear Cell Ovarian Cancer to be conducted at The University of Texas MD Anderson Cancer Center. The study will be financed by Cancer Focus Fund, in exchange for upfront consideration of $1.5 million (£1.09 million) of the Company’s ordinary shares and additional payments based on the achievement of certain milestones.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Contractual Obligations</w:t>
      </w:r>
    </w:p>
    <w:p>
      <w:pPr>
        <w:spacing w:after="0" w:line="9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22"/>
          <w:szCs w:val="22"/>
          <w:color w:val="auto"/>
        </w:rPr>
        <w:t>As further described above under “—A. Operating Results—Asset Purchase Agreements with Novartis” and “—A. Operating Results—License Agreement with AstraZeneca,” under various agreements with Novartis and AstraZeneca, Mereo has agreed to make milestone payments and pay royalties. The amount, timing, and likelihood of such payments are not known and will remain uncertain for the foreseeable future.</w:t>
      </w:r>
    </w:p>
    <w:p>
      <w:pPr>
        <w:spacing w:after="0" w:line="185"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In addition, Mereo enters into contracts in the ordinary course of business with CROs, CMOs, and other vendors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£1.4 million as of December 31,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Cash Flows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Comparison of Years Ended December 31, 2021 and 2020</w:t>
      </w:r>
    </w:p>
    <w:p>
      <w:pPr>
        <w:spacing w:after="0" w:line="98" w:lineRule="exact"/>
        <w:rPr>
          <w:sz w:val="20"/>
          <w:szCs w:val="20"/>
          <w:color w:val="auto"/>
        </w:rPr>
      </w:pPr>
    </w:p>
    <w:p>
      <w:pPr>
        <w:ind w:left="120" w:right="400" w:firstLine="551"/>
        <w:spacing w:after="0" w:line="250" w:lineRule="auto"/>
        <w:rPr>
          <w:sz w:val="20"/>
          <w:szCs w:val="20"/>
          <w:color w:val="auto"/>
        </w:rPr>
      </w:pPr>
      <w:r>
        <w:rPr>
          <w:rFonts w:ascii="Arial" w:cs="Arial" w:eastAsia="Arial" w:hAnsi="Arial"/>
          <w:sz w:val="22"/>
          <w:szCs w:val="22"/>
          <w:color w:val="auto"/>
        </w:rPr>
        <w:t>The table below summarizes our cash flows from (used in) operating, investing and financing activities for the years ended December 31, 2021 and 2020.</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5800" w:type="dxa"/>
            <w:vAlign w:val="bottom"/>
          </w:tcPr>
          <w:p>
            <w:pPr>
              <w:spacing w:after="0"/>
              <w:rPr>
                <w:sz w:val="21"/>
                <w:szCs w:val="21"/>
                <w:color w:val="auto"/>
              </w:rPr>
            </w:pPr>
          </w:p>
        </w:tc>
        <w:tc>
          <w:tcPr>
            <w:tcW w:w="2560" w:type="dxa"/>
            <w:vAlign w:val="bottom"/>
            <w:gridSpan w:val="4"/>
          </w:tcPr>
          <w:p>
            <w:pPr>
              <w:jc w:val="right"/>
              <w:ind w:right="260"/>
              <w:spacing w:after="0"/>
              <w:rPr>
                <w:sz w:val="20"/>
                <w:szCs w:val="20"/>
                <w:color w:val="auto"/>
              </w:rPr>
            </w:pPr>
            <w:r>
              <w:rPr>
                <w:rFonts w:ascii="Arial" w:cs="Arial" w:eastAsia="Arial" w:hAnsi="Arial"/>
                <w:sz w:val="20"/>
                <w:szCs w:val="20"/>
                <w:b w:val="1"/>
                <w:bCs w:val="1"/>
                <w:color w:val="auto"/>
                <w:w w:val="92"/>
              </w:rPr>
              <w:t>Year Ended December 31,</w:t>
            </w:r>
          </w:p>
        </w:tc>
      </w:tr>
      <w:tr>
        <w:trPr>
          <w:trHeight w:val="223"/>
        </w:trPr>
        <w:tc>
          <w:tcPr>
            <w:tcW w:w="58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36"/>
              <w:spacing w:after="0" w:line="223" w:lineRule="exact"/>
              <w:rPr>
                <w:sz w:val="20"/>
                <w:szCs w:val="20"/>
                <w:color w:val="auto"/>
              </w:rPr>
            </w:pPr>
            <w:r>
              <w:rPr>
                <w:rFonts w:ascii="Arial" w:cs="Arial" w:eastAsia="Arial" w:hAnsi="Arial"/>
                <w:sz w:val="20"/>
                <w:szCs w:val="20"/>
                <w:b w:val="1"/>
                <w:bCs w:val="1"/>
                <w:color w:val="auto"/>
              </w:rPr>
              <w:t>2021</w:t>
            </w: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5"/>
              <w:spacing w:after="0" w:line="223" w:lineRule="exact"/>
              <w:rPr>
                <w:sz w:val="20"/>
                <w:szCs w:val="20"/>
                <w:color w:val="auto"/>
              </w:rPr>
            </w:pPr>
            <w:r>
              <w:rPr>
                <w:rFonts w:ascii="Arial" w:cs="Arial" w:eastAsia="Arial" w:hAnsi="Arial"/>
                <w:sz w:val="20"/>
                <w:szCs w:val="20"/>
                <w:b w:val="1"/>
                <w:bCs w:val="1"/>
                <w:color w:val="auto"/>
              </w:rPr>
              <w:t>2020</w:t>
            </w:r>
          </w:p>
        </w:tc>
        <w:tc>
          <w:tcPr>
            <w:tcW w:w="120" w:type="dxa"/>
            <w:vAlign w:val="bottom"/>
          </w:tcPr>
          <w:p>
            <w:pPr>
              <w:spacing w:after="0"/>
              <w:rPr>
                <w:sz w:val="19"/>
                <w:szCs w:val="19"/>
                <w:color w:val="auto"/>
              </w:rPr>
            </w:pPr>
          </w:p>
        </w:tc>
      </w:tr>
      <w:tr>
        <w:trPr>
          <w:trHeight w:val="223"/>
        </w:trPr>
        <w:tc>
          <w:tcPr>
            <w:tcW w:w="5800" w:type="dxa"/>
            <w:vAlign w:val="bottom"/>
          </w:tcPr>
          <w:p>
            <w:pPr>
              <w:spacing w:after="0"/>
              <w:rPr>
                <w:sz w:val="19"/>
                <w:szCs w:val="19"/>
                <w:color w:val="auto"/>
              </w:rPr>
            </w:pPr>
          </w:p>
        </w:tc>
        <w:tc>
          <w:tcPr>
            <w:tcW w:w="86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88"/>
              </w:rPr>
              <w:t>£’000s</w:t>
            </w:r>
          </w:p>
        </w:tc>
        <w:tc>
          <w:tcPr>
            <w:tcW w:w="560" w:type="dxa"/>
            <w:vAlign w:val="bottom"/>
          </w:tcPr>
          <w:p>
            <w:pPr>
              <w:spacing w:after="0"/>
              <w:rPr>
                <w:sz w:val="19"/>
                <w:szCs w:val="19"/>
                <w:color w:val="auto"/>
              </w:rPr>
            </w:pPr>
          </w:p>
        </w:tc>
        <w:tc>
          <w:tcPr>
            <w:tcW w:w="1020" w:type="dxa"/>
            <w:vAlign w:val="bottom"/>
          </w:tcPr>
          <w:p>
            <w:pPr>
              <w:jc w:val="center"/>
              <w:spacing w:after="0" w:line="223" w:lineRule="exact"/>
              <w:rPr>
                <w:sz w:val="20"/>
                <w:szCs w:val="20"/>
                <w:color w:val="auto"/>
              </w:rPr>
            </w:pPr>
            <w:r>
              <w:rPr>
                <w:rFonts w:ascii="Arial" w:cs="Arial" w:eastAsia="Arial" w:hAnsi="Arial"/>
                <w:sz w:val="20"/>
                <w:szCs w:val="20"/>
                <w:b w:val="1"/>
                <w:bCs w:val="1"/>
                <w:color w:val="auto"/>
                <w:w w:val="88"/>
              </w:rPr>
              <w:t>£’000s</w:t>
            </w:r>
          </w:p>
        </w:tc>
        <w:tc>
          <w:tcPr>
            <w:tcW w:w="120" w:type="dxa"/>
            <w:vAlign w:val="bottom"/>
          </w:tcPr>
          <w:p>
            <w:pPr>
              <w:spacing w:after="0"/>
              <w:rPr>
                <w:sz w:val="19"/>
                <w:szCs w:val="19"/>
                <w:color w:val="auto"/>
              </w:rPr>
            </w:pPr>
          </w:p>
        </w:tc>
      </w:tr>
      <w:tr>
        <w:trPr>
          <w:trHeight w:val="243"/>
        </w:trPr>
        <w:tc>
          <w:tcPr>
            <w:tcW w:w="5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in operating activities</w:t>
            </w:r>
          </w:p>
        </w:tc>
        <w:tc>
          <w:tcPr>
            <w:tcW w:w="142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(5,239)</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(28,341)</w:t>
            </w:r>
          </w:p>
        </w:tc>
      </w:tr>
      <w:tr>
        <w:trPr>
          <w:trHeight w:val="243"/>
        </w:trPr>
        <w:tc>
          <w:tcPr>
            <w:tcW w:w="5800" w:type="dxa"/>
            <w:vAlign w:val="bottom"/>
          </w:tcPr>
          <w:p>
            <w:pPr>
              <w:spacing w:after="0" w:line="243" w:lineRule="exact"/>
              <w:rPr>
                <w:sz w:val="20"/>
                <w:szCs w:val="20"/>
                <w:color w:val="auto"/>
              </w:rPr>
            </w:pPr>
            <w:r>
              <w:rPr>
                <w:rFonts w:ascii="Arial" w:cs="Arial" w:eastAsia="Arial" w:hAnsi="Arial"/>
                <w:sz w:val="22"/>
                <w:szCs w:val="22"/>
                <w:color w:val="auto"/>
              </w:rPr>
              <w:t>Net cash (used in)/from investing activities</w:t>
            </w:r>
          </w:p>
        </w:tc>
        <w:tc>
          <w:tcPr>
            <w:tcW w:w="142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(421)</w:t>
            </w:r>
          </w:p>
        </w:tc>
        <w:tc>
          <w:tcPr>
            <w:tcW w:w="11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1,495</w:t>
            </w:r>
          </w:p>
        </w:tc>
      </w:tr>
      <w:tr>
        <w:trPr>
          <w:trHeight w:val="243"/>
        </w:trPr>
        <w:tc>
          <w:tcPr>
            <w:tcW w:w="5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from financing activities</w:t>
            </w:r>
          </w:p>
        </w:tc>
        <w:tc>
          <w:tcPr>
            <w:tcW w:w="8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77,652</w:t>
            </w:r>
          </w:p>
        </w:tc>
        <w:tc>
          <w:tcPr>
            <w:tcW w:w="5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34,737</w:t>
            </w:r>
          </w:p>
        </w:tc>
      </w:tr>
      <w:tr>
        <w:trPr>
          <w:trHeight w:val="250"/>
        </w:trPr>
        <w:tc>
          <w:tcPr>
            <w:tcW w:w="5800" w:type="dxa"/>
            <w:vAlign w:val="bottom"/>
          </w:tcPr>
          <w:p>
            <w:pPr>
              <w:spacing w:after="0" w:line="250" w:lineRule="exact"/>
              <w:rPr>
                <w:sz w:val="20"/>
                <w:szCs w:val="20"/>
                <w:color w:val="auto"/>
              </w:rPr>
            </w:pPr>
            <w:r>
              <w:rPr>
                <w:rFonts w:ascii="Arial" w:cs="Arial" w:eastAsia="Arial" w:hAnsi="Arial"/>
                <w:sz w:val="22"/>
                <w:szCs w:val="22"/>
                <w:color w:val="auto"/>
              </w:rPr>
              <w:t>Net increase in cash and cash equivalents</w:t>
            </w:r>
          </w:p>
        </w:tc>
        <w:tc>
          <w:tcPr>
            <w:tcW w:w="8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71,992</w:t>
            </w:r>
          </w:p>
        </w:tc>
        <w:tc>
          <w:tcPr>
            <w:tcW w:w="56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7,891</w:t>
            </w:r>
          </w:p>
        </w:tc>
        <w:tc>
          <w:tcPr>
            <w:tcW w:w="120" w:type="dxa"/>
            <w:vAlign w:val="bottom"/>
          </w:tcPr>
          <w:p>
            <w:pPr>
              <w:spacing w:after="0"/>
              <w:rPr>
                <w:sz w:val="21"/>
                <w:szCs w:val="21"/>
                <w:color w:val="auto"/>
              </w:rPr>
            </w:pPr>
          </w:p>
        </w:tc>
      </w:tr>
    </w:tbl>
    <w:p>
      <w:pPr>
        <w:sectPr>
          <w:pgSz w:w="11900" w:h="16838" w:orient="portrait"/>
          <w:cols w:equalWidth="0" w:num="1">
            <w:col w:w="11120"/>
          </w:cols>
          <w:pgMar w:left="320" w:top="486" w:right="459" w:bottom="0" w:gutter="0" w:footer="0" w:header="0"/>
        </w:sectPr>
      </w:pPr>
    </w:p>
    <w:bookmarkStart w:id="105" w:name="page106"/>
    <w:bookmarkEnd w:id="105"/>
    <w:p>
      <w:pPr>
        <w:ind w:left="540"/>
        <w:spacing w:after="0"/>
        <w:rPr>
          <w:sz w:val="20"/>
          <w:szCs w:val="20"/>
          <w:color w:val="auto"/>
        </w:rPr>
      </w:pPr>
      <w:r>
        <w:rPr>
          <w:rFonts w:ascii="Arial" w:cs="Arial" w:eastAsia="Arial" w:hAnsi="Arial"/>
          <w:sz w:val="22"/>
          <w:szCs w:val="22"/>
          <w:i w:val="1"/>
          <w:iCs w:val="1"/>
          <w:color w:val="auto"/>
        </w:rPr>
        <w:t>Operating Activities</w:t>
      </w:r>
    </w:p>
    <w:p>
      <w:pPr>
        <w:spacing w:after="0" w:line="99" w:lineRule="exact"/>
        <w:rPr>
          <w:sz w:val="20"/>
          <w:szCs w:val="20"/>
          <w:color w:val="auto"/>
        </w:rPr>
      </w:pPr>
    </w:p>
    <w:p>
      <w:pPr>
        <w:ind w:firstLine="551"/>
        <w:spacing w:after="0" w:line="276" w:lineRule="auto"/>
        <w:rPr>
          <w:sz w:val="20"/>
          <w:szCs w:val="20"/>
          <w:color w:val="auto"/>
        </w:rPr>
      </w:pPr>
      <w:r>
        <w:rPr>
          <w:rFonts w:ascii="Arial" w:cs="Arial" w:eastAsia="Arial" w:hAnsi="Arial"/>
          <w:sz w:val="19"/>
          <w:szCs w:val="19"/>
          <w:color w:val="auto"/>
        </w:rPr>
        <w:t>Net cash used in operating activities for the year ended December 31, 2021 was £5.2 million, a decrease of £23.1 million from £28.3 million in 2020. The decrease was primarily driven by the receipt of upfront payments from Ultragenyx of</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£36.5 million, offset by associated payments to Novartis of £7.2 million. In 2021, we received R&amp;D tax credits from the U.K.</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tax authorities of £2.8 million compared to £10.4 million in 2020.</w:t>
      </w:r>
    </w:p>
    <w:p>
      <w:pPr>
        <w:spacing w:after="0" w:line="29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Investing Activities</w:t>
      </w:r>
    </w:p>
    <w:p>
      <w:pPr>
        <w:spacing w:after="0" w:line="98" w:lineRule="exact"/>
        <w:rPr>
          <w:sz w:val="20"/>
          <w:szCs w:val="20"/>
          <w:color w:val="auto"/>
        </w:rPr>
      </w:pPr>
    </w:p>
    <w:p>
      <w:pPr>
        <w:ind w:right="220" w:firstLine="551"/>
        <w:spacing w:after="0"/>
        <w:rPr>
          <w:sz w:val="20"/>
          <w:szCs w:val="20"/>
          <w:color w:val="auto"/>
        </w:rPr>
      </w:pPr>
      <w:r>
        <w:rPr>
          <w:rFonts w:ascii="Arial" w:cs="Arial" w:eastAsia="Arial" w:hAnsi="Arial"/>
          <w:sz w:val="22"/>
          <w:szCs w:val="22"/>
          <w:color w:val="auto"/>
        </w:rPr>
        <w:t>Net cash used in investing activities for the year ended December 31, 2021 was £0.4 million, a decrease from a cash inflow of £1.5 million in 2020. In 2020, we received net proceeds of £1.8 million following the global licensing arrangement for navicixizumab to OncXerna.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000"/>
          </w:cols>
          <w:pgMar w:left="440" w:top="118"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Financing Activities</w:t>
      </w:r>
    </w:p>
    <w:p>
      <w:pPr>
        <w:spacing w:after="0" w:line="9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Net cash from financing activities for the year ended December 31, 2021 was £77.7 million, an increase of £42.9 million from £34.7 million in 2020. The increase is primarily attributable to: £78.4 million net proceeds from the Public Offering in February 2021 compared to £59.6 million net proceeds from the issuance of ordinary shares and convertible loan notes in 2020; partially offset by repayment of £22.7 million of capital and interest on our bank loan and £2.1 million of lease liabilities in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Comparison of the Years Ended December 31, 2020 and 2019</w:t>
      </w:r>
    </w:p>
    <w:p>
      <w:pPr>
        <w:spacing w:after="0" w:line="98" w:lineRule="exact"/>
        <w:rPr>
          <w:sz w:val="20"/>
          <w:szCs w:val="20"/>
          <w:color w:val="auto"/>
        </w:rPr>
      </w:pPr>
    </w:p>
    <w:p>
      <w:pPr>
        <w:jc w:val="both"/>
        <w:ind w:left="120" w:right="20" w:firstLine="551"/>
        <w:spacing w:after="0"/>
        <w:rPr>
          <w:sz w:val="20"/>
          <w:szCs w:val="20"/>
          <w:color w:val="auto"/>
        </w:rPr>
      </w:pPr>
      <w:r>
        <w:rPr>
          <w:rFonts w:ascii="Arial" w:cs="Arial" w:eastAsia="Arial" w:hAnsi="Arial"/>
          <w:sz w:val="22"/>
          <w:szCs w:val="22"/>
          <w:color w:val="auto"/>
        </w:rPr>
        <w:t>For information relating to the comparison of the years ended December 31, 2020 and 2019, see “Item 5. Operating and Financial Review and Prospects” in our annual report on Form 20-F for the fiscal year ended December 31, 2020 filed with the SEC on March 31, 2021.</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Operating and Capital Expenditure Requirements</w:t>
      </w:r>
    </w:p>
    <w:p>
      <w:pPr>
        <w:spacing w:after="0" w:line="98" w:lineRule="exact"/>
        <w:rPr>
          <w:sz w:val="20"/>
          <w:szCs w:val="20"/>
          <w:color w:val="auto"/>
        </w:rPr>
      </w:pPr>
    </w:p>
    <w:p>
      <w:pPr>
        <w:ind w:left="120" w:right="40" w:firstLine="551"/>
        <w:spacing w:after="0" w:line="287" w:lineRule="auto"/>
        <w:rPr>
          <w:sz w:val="20"/>
          <w:szCs w:val="20"/>
          <w:color w:val="auto"/>
        </w:rPr>
      </w:pPr>
      <w:r>
        <w:rPr>
          <w:rFonts w:ascii="Arial" w:cs="Arial" w:eastAsia="Arial" w:hAnsi="Arial"/>
          <w:sz w:val="19"/>
          <w:szCs w:val="19"/>
          <w:color w:val="auto"/>
        </w:rPr>
        <w:t>As of December 31, 2021, we had an accumulated loss of £297.0 million. We expect to continue to report significant operating losses for the foreseeable future as it continues its research and development efforts and seek to obtain regulatory approval of our product candidates and any future product we develop. See also “Risk Factors—Risks Related to Our Business and Industry—If we do not obtain adequate and timely funding, we may not be able to continue as a going concern”.</w:t>
      </w:r>
    </w:p>
    <w:p>
      <w:pPr>
        <w:spacing w:after="0" w:line="143" w:lineRule="exact"/>
        <w:rPr>
          <w:sz w:val="20"/>
          <w:szCs w:val="20"/>
          <w:color w:val="auto"/>
        </w:rPr>
      </w:pPr>
    </w:p>
    <w:p>
      <w:pPr>
        <w:ind w:left="120" w:right="440" w:firstLine="551"/>
        <w:spacing w:after="0" w:line="328" w:lineRule="auto"/>
        <w:rPr>
          <w:sz w:val="20"/>
          <w:szCs w:val="20"/>
          <w:color w:val="auto"/>
        </w:rPr>
      </w:pPr>
      <w:r>
        <w:rPr>
          <w:rFonts w:ascii="Arial" w:cs="Arial" w:eastAsia="Arial" w:hAnsi="Arial"/>
          <w:sz w:val="19"/>
          <w:szCs w:val="19"/>
          <w:color w:val="auto"/>
        </w:rPr>
        <w:t>We expect our expenses to increase substantially in connection with its ongoing development activities related to its product candidates. We also expect to incur costs associated with operating as a U.S. public company listed on Nasdaq.</w:t>
      </w:r>
    </w:p>
    <w:p>
      <w:pPr>
        <w:spacing w:after="0" w:line="105" w:lineRule="exact"/>
        <w:rPr>
          <w:sz w:val="20"/>
          <w:szCs w:val="20"/>
          <w:color w:val="auto"/>
        </w:rPr>
      </w:pPr>
    </w:p>
    <w:p>
      <w:pPr>
        <w:ind w:left="120" w:right="100" w:firstLine="551"/>
        <w:spacing w:after="0"/>
        <w:rPr>
          <w:sz w:val="20"/>
          <w:szCs w:val="20"/>
          <w:color w:val="auto"/>
        </w:rPr>
      </w:pPr>
      <w:r>
        <w:rPr>
          <w:rFonts w:ascii="Arial" w:cs="Arial" w:eastAsia="Arial" w:hAnsi="Arial"/>
          <w:sz w:val="22"/>
          <w:szCs w:val="22"/>
          <w:color w:val="auto"/>
        </w:rPr>
        <w:t>We anticipate that our expenses will increase substantially due to the costs associated with its current and planned clinical trials, our outsourced manufacturing activities and other associated costs including the management of our intellectual property portfolio. These costs will increase further if we:</w:t>
      </w:r>
    </w:p>
    <w:p>
      <w:pPr>
        <w:spacing w:after="0" w:line="92" w:lineRule="exact"/>
        <w:rPr>
          <w:sz w:val="20"/>
          <w:szCs w:val="20"/>
          <w:color w:val="auto"/>
        </w:rPr>
      </w:pPr>
    </w:p>
    <w:p>
      <w:pPr>
        <w:ind w:left="1420" w:hanging="764"/>
        <w:spacing w:after="0"/>
        <w:tabs>
          <w:tab w:leader="none" w:pos="1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seek to develop additional product candidates;</w:t>
      </w:r>
    </w:p>
    <w:p>
      <w:pPr>
        <w:spacing w:after="0" w:line="111" w:lineRule="exact"/>
        <w:rPr>
          <w:rFonts w:ascii="Arial" w:cs="Arial" w:eastAsia="Arial" w:hAnsi="Arial"/>
          <w:sz w:val="22"/>
          <w:szCs w:val="22"/>
          <w:color w:val="auto"/>
        </w:rPr>
      </w:pPr>
    </w:p>
    <w:p>
      <w:pPr>
        <w:ind w:left="1420" w:hanging="764"/>
        <w:spacing w:after="0"/>
        <w:tabs>
          <w:tab w:leader="none" w:pos="14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seek regulatory approvals for any of our product candidates that successfully completes clinical trials;</w:t>
      </w:r>
    </w:p>
    <w:p>
      <w:pPr>
        <w:spacing w:after="0" w:line="123" w:lineRule="exact"/>
        <w:rPr>
          <w:rFonts w:ascii="Arial" w:cs="Arial" w:eastAsia="Arial" w:hAnsi="Arial"/>
          <w:sz w:val="21"/>
          <w:szCs w:val="21"/>
          <w:color w:val="auto"/>
        </w:rPr>
      </w:pPr>
    </w:p>
    <w:p>
      <w:pPr>
        <w:ind w:left="1420" w:hanging="764"/>
        <w:spacing w:after="0"/>
        <w:tabs>
          <w:tab w:leader="none" w:pos="1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91" w:lineRule="exact"/>
        <w:rPr>
          <w:rFonts w:ascii="Arial" w:cs="Arial" w:eastAsia="Arial" w:hAnsi="Arial"/>
          <w:sz w:val="22"/>
          <w:szCs w:val="22"/>
          <w:color w:val="auto"/>
        </w:rPr>
      </w:pPr>
    </w:p>
    <w:p>
      <w:pPr>
        <w:ind w:left="1420" w:hanging="764"/>
        <w:spacing w:after="0"/>
        <w:tabs>
          <w:tab w:leader="none" w:pos="1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expand our intellectual property portfolio;</w:t>
      </w:r>
    </w:p>
    <w:p>
      <w:pPr>
        <w:spacing w:after="0" w:line="111" w:lineRule="exact"/>
        <w:rPr>
          <w:rFonts w:ascii="Arial" w:cs="Arial" w:eastAsia="Arial" w:hAnsi="Arial"/>
          <w:sz w:val="22"/>
          <w:szCs w:val="22"/>
          <w:color w:val="auto"/>
        </w:rPr>
      </w:pPr>
    </w:p>
    <w:p>
      <w:pPr>
        <w:ind w:left="1420" w:right="620" w:hanging="764"/>
        <w:spacing w:after="0"/>
        <w:tabs>
          <w:tab w:leader="none" w:pos="1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add further central clinical, scientific, operational, financial and management information systems, and personnel, including personnel to support our development and to support our operations as a U.S. public company listed on Nasdaq; or</w:t>
      </w:r>
    </w:p>
    <w:p>
      <w:pPr>
        <w:spacing w:after="0" w:line="91" w:lineRule="exact"/>
        <w:rPr>
          <w:rFonts w:ascii="Arial" w:cs="Arial" w:eastAsia="Arial" w:hAnsi="Arial"/>
          <w:sz w:val="22"/>
          <w:szCs w:val="22"/>
          <w:color w:val="auto"/>
        </w:rPr>
      </w:pPr>
    </w:p>
    <w:p>
      <w:pPr>
        <w:ind w:left="1420" w:right="40" w:hanging="764"/>
        <w:spacing w:after="0" w:line="250" w:lineRule="auto"/>
        <w:tabs>
          <w:tab w:leader="none" w:pos="14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experience any delays or encounter any issues from any of the above, including but not limited to failed studies, complex results, safety issues, or other regulatory challenges.</w:t>
      </w:r>
    </w:p>
    <w:p>
      <w:pPr>
        <w:spacing w:after="0" w:line="175"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21"/>
          <w:szCs w:val="21"/>
          <w:color w:val="auto"/>
        </w:rPr>
        <w:t>We expect that our existing cash and short-term deposits will enable us to fund our currently committed clinical trials and operating expenses and capital expenditure requirements into 2024.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85" w:lineRule="exact"/>
        <w:rPr>
          <w:sz w:val="20"/>
          <w:szCs w:val="20"/>
          <w:color w:val="auto"/>
        </w:rPr>
      </w:pPr>
    </w:p>
    <w:p>
      <w:pPr>
        <w:ind w:left="1420" w:right="40" w:hanging="764"/>
        <w:spacing w:after="0" w:line="287" w:lineRule="auto"/>
        <w:tabs>
          <w:tab w:leader="none" w:pos="14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costs, timing and results of our ongoing Phase 1b/2 study for etigilimab, and our ongoing clinical trials for alvelestat in AATD and the investigator-sponsored study for patients with BOS; and the costs for our activities related to our ongoing collaboration with Ultragenyx for setrusumab for the treatment of adults and children with OI and the costs for our preparation for eventual commercialization of setrusumab in Europe and the U.K.;</w:t>
      </w:r>
    </w:p>
    <w:p>
      <w:pPr>
        <w:spacing w:after="0" w:line="48" w:lineRule="exact"/>
        <w:rPr>
          <w:rFonts w:ascii="Arial" w:cs="Arial" w:eastAsia="Arial" w:hAnsi="Arial"/>
          <w:sz w:val="19"/>
          <w:szCs w:val="19"/>
          <w:color w:val="auto"/>
        </w:rPr>
      </w:pPr>
    </w:p>
    <w:p>
      <w:pPr>
        <w:ind w:left="1420" w:hanging="764"/>
        <w:spacing w:after="0"/>
        <w:tabs>
          <w:tab w:leader="none" w:pos="14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costs and timing of manufacturing clinical supplies of our product candidates;</w:t>
      </w:r>
    </w:p>
    <w:p>
      <w:pPr>
        <w:spacing w:after="0" w:line="111" w:lineRule="exact"/>
        <w:rPr>
          <w:rFonts w:ascii="Arial" w:cs="Arial" w:eastAsia="Arial" w:hAnsi="Arial"/>
          <w:sz w:val="22"/>
          <w:szCs w:val="22"/>
          <w:color w:val="auto"/>
        </w:rPr>
      </w:pPr>
    </w:p>
    <w:p>
      <w:pPr>
        <w:ind w:left="1420" w:right="60" w:hanging="764"/>
        <w:spacing w:after="0" w:line="250" w:lineRule="auto"/>
        <w:tabs>
          <w:tab w:leader="none" w:pos="14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costs, timing, and outcome of regulatory review of our product candidates, including post-marketing studies that could be required by regulatory authorities;</w:t>
      </w:r>
    </w:p>
    <w:p>
      <w:pPr>
        <w:spacing w:after="0" w:line="80" w:lineRule="exact"/>
        <w:rPr>
          <w:rFonts w:ascii="Arial" w:cs="Arial" w:eastAsia="Arial" w:hAnsi="Arial"/>
          <w:sz w:val="22"/>
          <w:szCs w:val="22"/>
          <w:color w:val="auto"/>
        </w:rPr>
      </w:pPr>
    </w:p>
    <w:p>
      <w:pPr>
        <w:ind w:left="1420" w:right="440" w:hanging="764"/>
        <w:spacing w:after="0"/>
        <w:tabs>
          <w:tab w:leader="none" w:pos="14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costs, timing, and outcome of potential future commercialization activities, including manufacturing, marketing, sales, life cycle management and distribution, for our product candidates that we commercialize directly;</w:t>
      </w:r>
    </w:p>
    <w:p>
      <w:pPr>
        <w:spacing w:after="0" w:line="91" w:lineRule="exact"/>
        <w:rPr>
          <w:rFonts w:ascii="Arial" w:cs="Arial" w:eastAsia="Arial" w:hAnsi="Arial"/>
          <w:sz w:val="22"/>
          <w:szCs w:val="22"/>
          <w:color w:val="auto"/>
        </w:rPr>
      </w:pPr>
    </w:p>
    <w:p>
      <w:pPr>
        <w:ind w:left="1420" w:hanging="764"/>
        <w:spacing w:after="0"/>
        <w:tabs>
          <w:tab w:leader="none" w:pos="14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timing and amount of revenue, if any, received from commercial sales of our product candidates;</w:t>
      </w:r>
    </w:p>
    <w:p>
      <w:pPr>
        <w:sectPr>
          <w:pgSz w:w="11900" w:h="16838" w:orient="portrait"/>
          <w:cols w:equalWidth="0" w:num="1">
            <w:col w:w="11120"/>
          </w:cols>
          <w:pgMar w:left="320" w:top="486" w:right="459" w:bottom="173" w:gutter="0" w:footer="0" w:header="0"/>
        </w:sectPr>
      </w:pPr>
    </w:p>
    <w:bookmarkStart w:id="107" w:name="page108"/>
    <w:bookmarkEnd w:id="107"/>
    <w:p>
      <w:pPr>
        <w:ind w:left="1300" w:hanging="764"/>
        <w:spacing w:after="0" w:line="297" w:lineRule="auto"/>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39" w:lineRule="exact"/>
        <w:rPr>
          <w:rFonts w:ascii="Arial" w:cs="Arial" w:eastAsia="Arial" w:hAnsi="Arial"/>
          <w:sz w:val="19"/>
          <w:szCs w:val="19"/>
          <w:color w:val="auto"/>
        </w:rPr>
      </w:pPr>
    </w:p>
    <w:p>
      <w:pPr>
        <w:ind w:left="1300" w:hanging="764"/>
        <w:spacing w:after="0"/>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sales price and availability of adequate third-party coverage and reimbursement for our product candidates;</w:t>
      </w:r>
    </w:p>
    <w:p>
      <w:pPr>
        <w:spacing w:after="0" w:line="146" w:lineRule="exact"/>
        <w:rPr>
          <w:rFonts w:ascii="Arial" w:cs="Arial" w:eastAsia="Arial" w:hAnsi="Arial"/>
          <w:sz w:val="19"/>
          <w:szCs w:val="19"/>
          <w:color w:val="auto"/>
        </w:rPr>
      </w:pPr>
    </w:p>
    <w:p>
      <w:pPr>
        <w:ind w:left="1300" w:hanging="76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effect of competitors and market developments;</w:t>
      </w:r>
    </w:p>
    <w:p>
      <w:pPr>
        <w:spacing w:after="0" w:line="111" w:lineRule="exact"/>
        <w:rPr>
          <w:rFonts w:ascii="Arial" w:cs="Arial" w:eastAsia="Arial" w:hAnsi="Arial"/>
          <w:sz w:val="22"/>
          <w:szCs w:val="22"/>
          <w:color w:val="auto"/>
        </w:rPr>
      </w:pPr>
    </w:p>
    <w:p>
      <w:pPr>
        <w:ind w:left="1300" w:right="1140" w:hanging="764"/>
        <w:spacing w:after="0" w:line="250"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performance of our collaborators and partners under the existing agreements on setrusumab and navicixizumab;</w:t>
      </w:r>
    </w:p>
    <w:p>
      <w:pPr>
        <w:spacing w:after="0" w:line="80" w:lineRule="exact"/>
        <w:rPr>
          <w:rFonts w:ascii="Arial" w:cs="Arial" w:eastAsia="Arial" w:hAnsi="Arial"/>
          <w:sz w:val="22"/>
          <w:szCs w:val="22"/>
          <w:color w:val="auto"/>
        </w:rPr>
      </w:pPr>
    </w:p>
    <w:p>
      <w:pPr>
        <w:ind w:left="1300" w:right="660" w:hanging="764"/>
        <w:spacing w:after="0" w:line="250"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extent to which we are able to acquire new product candidates or enter into licensing or collaboration arrangements for our product candidates;</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milestone and deferred payments under Mereo’s license and option agreement with AstraZeneca; and</w:t>
      </w:r>
    </w:p>
    <w:p>
      <w:pPr>
        <w:spacing w:after="0" w:line="123" w:lineRule="exact"/>
        <w:rPr>
          <w:rFonts w:ascii="Arial" w:cs="Arial" w:eastAsia="Arial" w:hAnsi="Arial"/>
          <w:sz w:val="21"/>
          <w:szCs w:val="21"/>
          <w:color w:val="auto"/>
        </w:rPr>
      </w:pPr>
    </w:p>
    <w:p>
      <w:pPr>
        <w:ind w:left="1300" w:hanging="76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tax liabilities or other assessments and our ability to claim R&amp;D tax credits or other reliefs.</w:t>
      </w:r>
    </w:p>
    <w:p>
      <w:pPr>
        <w:spacing w:after="0" w:line="206" w:lineRule="exact"/>
        <w:rPr>
          <w:sz w:val="20"/>
          <w:szCs w:val="20"/>
          <w:color w:val="auto"/>
        </w:rPr>
      </w:pPr>
    </w:p>
    <w:p>
      <w:pPr>
        <w:ind w:right="80" w:firstLine="551"/>
        <w:spacing w:after="0"/>
        <w:rPr>
          <w:sz w:val="20"/>
          <w:szCs w:val="20"/>
          <w:color w:val="auto"/>
        </w:rPr>
      </w:pPr>
      <w:r>
        <w:rPr>
          <w:rFonts w:ascii="Arial" w:cs="Arial" w:eastAsia="Arial" w:hAnsi="Arial"/>
          <w:sz w:val="22"/>
          <w:szCs w:val="22"/>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86" w:lineRule="exact"/>
        <w:rPr>
          <w:sz w:val="20"/>
          <w:szCs w:val="20"/>
          <w:color w:val="auto"/>
        </w:rPr>
      </w:pPr>
    </w:p>
    <w:p>
      <w:pPr>
        <w:ind w:right="40" w:firstLine="551"/>
        <w:spacing w:after="0" w:line="279" w:lineRule="auto"/>
        <w:rPr>
          <w:sz w:val="20"/>
          <w:szCs w:val="20"/>
          <w:color w:val="auto"/>
        </w:rPr>
      </w:pPr>
      <w:r>
        <w:rPr>
          <w:rFonts w:ascii="Arial" w:cs="Arial" w:eastAsia="Arial" w:hAnsi="Arial"/>
          <w:sz w:val="19"/>
          <w:szCs w:val="19"/>
          <w:color w:val="auto"/>
        </w:rPr>
        <w:t>Adequate additional funds may not be available to us on acceptable terms, or at all. To the extent that we raise additional capital through the sale of equity or convertible debt securities, your ownership interest may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020"/>
          </w:cols>
          <w:pgMar w:left="440" w:top="118"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35" w:lineRule="auto"/>
        <w:rPr>
          <w:sz w:val="20"/>
          <w:szCs w:val="20"/>
          <w:color w:val="auto"/>
        </w:rPr>
      </w:pPr>
      <w:r>
        <w:rPr>
          <w:rFonts w:ascii="Arial" w:cs="Arial" w:eastAsia="Arial" w:hAnsi="Arial"/>
          <w:sz w:val="22"/>
          <w:szCs w:val="22"/>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Indebtedness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Credit Facility</w:t>
      </w:r>
    </w:p>
    <w:p>
      <w:pPr>
        <w:spacing w:after="0" w:line="98" w:lineRule="exact"/>
        <w:rPr>
          <w:sz w:val="20"/>
          <w:szCs w:val="20"/>
          <w:color w:val="auto"/>
        </w:rPr>
      </w:pPr>
    </w:p>
    <w:p>
      <w:pPr>
        <w:jc w:val="both"/>
        <w:ind w:left="120" w:right="260" w:firstLine="551"/>
        <w:spacing w:after="0"/>
        <w:rPr>
          <w:sz w:val="20"/>
          <w:szCs w:val="20"/>
          <w:color w:val="auto"/>
        </w:rPr>
      </w:pPr>
      <w:r>
        <w:rPr>
          <w:rFonts w:ascii="Arial" w:cs="Arial" w:eastAsia="Arial" w:hAnsi="Arial"/>
          <w:sz w:val="22"/>
          <w:szCs w:val="22"/>
          <w:color w:val="auto"/>
        </w:rPr>
        <w:t>As of December 31, 2021, the former lenders, Silicon Valley Bank and Kreos Capital V (UK) Limited, have warrants outstanding to purchase a total of 1,243,908 ordinary shares at an exercise price of £2.95 per share and a total of 1,243,908 ordinary shares at an exercise price of $0.4144 per share.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June 2020 Private Placement</w:t>
      </w:r>
    </w:p>
    <w:p>
      <w:pPr>
        <w:spacing w:after="0" w:line="98" w:lineRule="exact"/>
        <w:rPr>
          <w:sz w:val="20"/>
          <w:szCs w:val="20"/>
          <w:color w:val="auto"/>
        </w:rPr>
      </w:pPr>
    </w:p>
    <w:p>
      <w:pPr>
        <w:ind w:left="120" w:firstLine="551"/>
        <w:spacing w:after="0" w:line="282" w:lineRule="auto"/>
        <w:rPr>
          <w:sz w:val="20"/>
          <w:szCs w:val="20"/>
          <w:color w:val="auto"/>
        </w:rPr>
      </w:pPr>
      <w:r>
        <w:rPr>
          <w:rFonts w:ascii="Arial" w:cs="Arial" w:eastAsia="Arial" w:hAnsi="Arial"/>
          <w:sz w:val="19"/>
          <w:szCs w:val="19"/>
          <w:color w:val="auto"/>
        </w:rPr>
        <w:t>On June 3, 2020, we entered into a securities purchase agreement (the “June 2020 Purchase Agreement”) with a number of new and existing principally U.S based institutional and accredited investors (the “June 2020 Private Placement”) pursuant to which we received $70.0 million (£56.0 million) comprising: the allotment of ordinary shares at a subscription price of $19.4 million (£15.5 million) utilizing the pre-existing share authorities of the Company, and the subscription for Tranche 1 convertible loan notes (“Loan Notes”) in an aggregate principal amount of $50.6 million (£40.5 million).</w:t>
      </w:r>
    </w:p>
    <w:p>
      <w:pPr>
        <w:spacing w:after="0" w:line="8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060"/>
          </w:cols>
          <w:pgMar w:left="320" w:top="486"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21"/>
          <w:szCs w:val="21"/>
          <w:color w:val="auto"/>
        </w:rPr>
        <w:t>Following the passing of resolutions at our General Meeting on June 30, 2020 the Loan Notes automatically converted into ordinary shares of £0.003 each in the capital of the Company except that no new ordinary shares were issued which would result in any person holding in excess of 9.99 percent. of the aggregate voting rights in the Company as a result of the relevant conversion. Accordingly, the automatic conversion resulted in Loan Notes in an aggregate principal amount of £21.8 million (together with accrued interest) converted into 125,061,475 ordinary shares on June 30, 2020. As of December 31, 2020 Loan Notes in an aggregate principal amount of £18.9 million remained outstanding and convertible into ordinary shares or ADSs in accordance with their terms. As of December 31, 2021, Loan Notes in an aggregate principal amount of £12.4 million remained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Novartis Notes</w:t>
      </w:r>
    </w:p>
    <w:p>
      <w:pPr>
        <w:spacing w:after="0" w:line="98" w:lineRule="exact"/>
        <w:rPr>
          <w:sz w:val="20"/>
          <w:szCs w:val="20"/>
          <w:color w:val="auto"/>
        </w:rPr>
      </w:pPr>
    </w:p>
    <w:p>
      <w:pPr>
        <w:ind w:left="120" w:right="40" w:firstLine="551"/>
        <w:spacing w:after="0" w:line="279" w:lineRule="auto"/>
        <w:rPr>
          <w:sz w:val="20"/>
          <w:szCs w:val="20"/>
          <w:color w:val="auto"/>
        </w:rPr>
      </w:pPr>
      <w:r>
        <w:rPr>
          <w:rFonts w:ascii="Arial" w:cs="Arial" w:eastAsia="Arial" w:hAnsi="Arial"/>
          <w:sz w:val="19"/>
          <w:szCs w:val="19"/>
          <w:color w:val="auto"/>
        </w:rPr>
        <w:t>On February 10, 2020, we entered into a £3.8 million convertible loan note instrument relating to the issue of 3,841,479 New Novartis Notes. The New Novartis Notes are convertible at any time at a fixed price of £0.265 per ordinary share. In addition, 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New Novartis Notes and the warrants include an adjustment provision to prevent the dilution of the ordinary shares issuable to Novartis under certain circumstances.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Contingent Value Rights (“CVR”) arrangement</w:t>
      </w:r>
    </w:p>
    <w:p>
      <w:pPr>
        <w:spacing w:after="0" w:line="98" w:lineRule="exact"/>
        <w:rPr>
          <w:sz w:val="20"/>
          <w:szCs w:val="20"/>
          <w:color w:val="auto"/>
        </w:rPr>
      </w:pPr>
    </w:p>
    <w:p>
      <w:pPr>
        <w:ind w:left="120" w:right="40" w:firstLine="551"/>
        <w:spacing w:after="0" w:line="274" w:lineRule="auto"/>
        <w:rPr>
          <w:sz w:val="20"/>
          <w:szCs w:val="20"/>
          <w:color w:val="auto"/>
        </w:rPr>
      </w:pPr>
      <w:r>
        <w:rPr>
          <w:rFonts w:ascii="Arial" w:cs="Arial" w:eastAsia="Arial" w:hAnsi="Arial"/>
          <w:sz w:val="19"/>
          <w:szCs w:val="19"/>
          <w:color w:val="auto"/>
        </w:rPr>
        <w:t>As a consequence of the License Agreement with OncXerna, and in accordance with the terms and conditions of the Contingent Value Rights Agreement for former stockholders of Mereo BioPharma 5 (formerly OncoMed), dated April 23, 2019, by and among Mereo and Computershare Inc., as rights agent, (the “CVR Agreement”), holders of contingent value rights (“CVRs”) pursuant to the CVR Agreement will be entitled to receive certain eligible cash milestone payments made to Mereo under the License Agreement relating to Navi. The receipt of the upfront milestone payment of $4.0 million by us in January 2020 resulted in a payment to CVR holders of approximately 1.2 cents per CVR, a total of approximately $0.5 million (after deductions of costs, charges and expenditures). Future milestone payments occurring prior to the fifth anniversary of the closing of the Merger are also subject to a cash consideration cap, pursuant to which the aggregate principal amount of all cash payments made to holders of CVRs under the CVR Agreement shall in no case exceed $79.7 million.</w:t>
      </w:r>
    </w:p>
    <w:p>
      <w:pPr>
        <w:spacing w:after="0" w:line="158" w:lineRule="exact"/>
        <w:rPr>
          <w:sz w:val="20"/>
          <w:szCs w:val="20"/>
          <w:color w:val="auto"/>
        </w:rPr>
      </w:pPr>
    </w:p>
    <w:p>
      <w:pPr>
        <w:ind w:left="120" w:right="100" w:firstLine="551"/>
        <w:spacing w:after="0" w:line="282" w:lineRule="auto"/>
        <w:rPr>
          <w:sz w:val="20"/>
          <w:szCs w:val="20"/>
          <w:color w:val="auto"/>
        </w:rPr>
      </w:pPr>
      <w:r>
        <w:rPr>
          <w:rFonts w:ascii="Arial" w:cs="Arial" w:eastAsia="Arial" w:hAnsi="Arial"/>
          <w:sz w:val="19"/>
          <w:szCs w:val="19"/>
          <w:color w:val="auto"/>
        </w:rPr>
        <w:t>Mereo accounts for the CVR arrangement as contingent consideration at fair value. As at December 31, 2021, the fair value of the contingent consideration is estimated to be nil. The estimated contingent consideration payable is based on a risk-adjusted, probability-based scenario. Under this approach, the likelihood of future payments being made to the former shareholders of Mereo BioPharma 5 under the CVR arrangement is considered. The estimate could materially change over time in line with the development plan and subsequent commercialization of the Navi product.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5.C. Research and Development, Patents and Licenses, etc.</w:t>
      </w:r>
    </w:p>
    <w:p>
      <w:pPr>
        <w:spacing w:after="0" w:line="104" w:lineRule="exact"/>
        <w:rPr>
          <w:sz w:val="20"/>
          <w:szCs w:val="20"/>
          <w:color w:val="auto"/>
        </w:rPr>
      </w:pPr>
    </w:p>
    <w:p>
      <w:pPr>
        <w:ind w:left="120" w:firstLine="551"/>
        <w:spacing w:after="0" w:line="282" w:lineRule="auto"/>
        <w:rPr>
          <w:sz w:val="20"/>
          <w:szCs w:val="20"/>
          <w:color w:val="auto"/>
        </w:rPr>
      </w:pPr>
      <w:r>
        <w:rPr>
          <w:rFonts w:ascii="Arial" w:cs="Arial" w:eastAsia="Arial" w:hAnsi="Arial"/>
          <w:sz w:val="19"/>
          <w:szCs w:val="19"/>
          <w:color w:val="auto"/>
        </w:rPr>
        <w:t>As a development stage company, most of our business operations are focused on research and development. Please refer to “Item 4. Information On the Company—B. Business Overview—Our Strategy and –Intellectual Property”. For a description of the Company’s research and development policies for the last three years see “Item 5. Operating and Financial Review and Prospects—A. Operating Results—Financial Overview—Research and Development Expenses.” For a description of Mereo’s intellectual property, see “Item 4. Information On the Company—B. Business Overview—Intellectual Property.”</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5.D. Trend Information</w:t>
      </w:r>
    </w:p>
    <w:p>
      <w:pPr>
        <w:spacing w:after="0" w:line="104" w:lineRule="exact"/>
        <w:rPr>
          <w:sz w:val="20"/>
          <w:szCs w:val="20"/>
          <w:color w:val="auto"/>
        </w:rPr>
      </w:pPr>
    </w:p>
    <w:p>
      <w:pPr>
        <w:ind w:left="120" w:right="40" w:firstLine="551"/>
        <w:spacing w:after="0" w:line="249" w:lineRule="auto"/>
        <w:rPr>
          <w:sz w:val="20"/>
          <w:szCs w:val="20"/>
          <w:color w:val="auto"/>
        </w:rPr>
      </w:pPr>
      <w:r>
        <w:rPr>
          <w:rFonts w:ascii="Arial" w:cs="Arial" w:eastAsia="Arial" w:hAnsi="Arial"/>
          <w:sz w:val="21"/>
          <w:szCs w:val="21"/>
          <w:color w:val="auto"/>
        </w:rPr>
        <w:t>Other than as disclosed elsewhere in this Annual Report, we are not aware of any trends, uncertainties, demands, commitments or events that are reasonably likely to have a material adverse effect on our results of operations, financial condition, liquidity or capital resources, or that would cause the disclosed financial information to be not necessarily indicative of future operating results or financial conditions. For more information, see Item 4.B. Business Overview, Item 5.A. Operating Results, and Item 5.B. Liquidity and Capital Resources.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5.E. Not Applicable</w:t>
      </w:r>
    </w:p>
    <w:p>
      <w:pPr>
        <w:sectPr>
          <w:pgSz w:w="11900" w:h="16838" w:orient="portrait"/>
          <w:cols w:equalWidth="0" w:num="1">
            <w:col w:w="11120"/>
          </w:cols>
          <w:pgMar w:left="320" w:top="486" w:right="459" w:bottom="1440" w:gutter="0" w:footer="0" w:header="0"/>
        </w:sectPr>
      </w:pP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94</w:t>
      </w:r>
    </w:p>
    <w:p>
      <w:pPr>
        <w:sectPr>
          <w:pgSz w:w="11900" w:h="16838" w:orient="portrait"/>
          <w:cols w:equalWidth="0" w:num="1">
            <w:col w:w="11120"/>
          </w:cols>
          <w:pgMar w:left="320" w:top="486" w:right="45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Directors, Senior Management And Employees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6.A. Directors and Senior Management</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Non-Executive Directors</w:t>
      </w:r>
    </w:p>
    <w:p>
      <w:pPr>
        <w:spacing w:after="0" w:line="104" w:lineRule="exact"/>
        <w:rPr>
          <w:sz w:val="20"/>
          <w:szCs w:val="20"/>
          <w:color w:val="auto"/>
        </w:rPr>
      </w:pPr>
    </w:p>
    <w:p>
      <w:pPr>
        <w:ind w:left="120" w:right="220" w:firstLine="551"/>
        <w:spacing w:after="0" w:line="250" w:lineRule="auto"/>
        <w:rPr>
          <w:sz w:val="20"/>
          <w:szCs w:val="20"/>
          <w:color w:val="auto"/>
        </w:rPr>
      </w:pPr>
      <w:r>
        <w:rPr>
          <w:rFonts w:ascii="Arial" w:cs="Arial" w:eastAsia="Arial" w:hAnsi="Arial"/>
          <w:sz w:val="22"/>
          <w:szCs w:val="22"/>
          <w:color w:val="auto"/>
        </w:rPr>
        <w:t>The following table presents information about Mereo’s executive officers and non-executive directors, including their ages, as of the date of this annual report:</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66"/>
        </w:trPr>
        <w:tc>
          <w:tcPr>
            <w:tcW w:w="5440" w:type="dxa"/>
            <w:vAlign w:val="bottom"/>
            <w:gridSpan w:val="2"/>
          </w:tcPr>
          <w:p>
            <w:pPr>
              <w:ind w:left="2420"/>
              <w:spacing w:after="0"/>
              <w:rPr>
                <w:sz w:val="20"/>
                <w:szCs w:val="20"/>
                <w:color w:val="auto"/>
              </w:rPr>
            </w:pPr>
            <w:r>
              <w:rPr>
                <w:rFonts w:ascii="Arial" w:cs="Arial" w:eastAsia="Arial" w:hAnsi="Arial"/>
                <w:sz w:val="20"/>
                <w:szCs w:val="20"/>
                <w:b w:val="1"/>
                <w:bCs w:val="1"/>
                <w:color w:val="auto"/>
              </w:rPr>
              <w:t>Name</w:t>
            </w:r>
          </w:p>
        </w:tc>
        <w:tc>
          <w:tcPr>
            <w:tcW w:w="4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9"/>
              </w:rPr>
              <w:t>Age</w:t>
            </w:r>
          </w:p>
        </w:tc>
        <w:tc>
          <w:tcPr>
            <w:tcW w:w="5140" w:type="dxa"/>
            <w:vAlign w:val="bottom"/>
          </w:tcPr>
          <w:p>
            <w:pPr>
              <w:ind w:left="2220"/>
              <w:spacing w:after="0"/>
              <w:rPr>
                <w:sz w:val="20"/>
                <w:szCs w:val="20"/>
                <w:color w:val="auto"/>
              </w:rPr>
            </w:pPr>
            <w:r>
              <w:rPr>
                <w:rFonts w:ascii="Arial" w:cs="Arial" w:eastAsia="Arial" w:hAnsi="Arial"/>
                <w:sz w:val="20"/>
                <w:szCs w:val="20"/>
                <w:b w:val="1"/>
                <w:bCs w:val="1"/>
                <w:color w:val="auto"/>
              </w:rPr>
              <w:t>Position</w:t>
            </w:r>
          </w:p>
        </w:tc>
      </w:tr>
      <w:tr>
        <w:trPr>
          <w:trHeight w:val="223"/>
        </w:trPr>
        <w:tc>
          <w:tcPr>
            <w:tcW w:w="53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Executive Officers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auto"/>
            </w:tcBorders>
            <w:shd w:val="clear" w:color="auto" w:fill="CCEEFF"/>
          </w:tcPr>
          <w:p>
            <w:pPr>
              <w:spacing w:after="0"/>
              <w:rPr>
                <w:sz w:val="19"/>
                <w:szCs w:val="19"/>
                <w:color w:val="auto"/>
              </w:rPr>
            </w:pPr>
          </w:p>
        </w:tc>
      </w:tr>
      <w:tr>
        <w:trPr>
          <w:trHeight w:val="229"/>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Denise Scots-Knight</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62</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Chief Executive Officer and Director</w:t>
            </w:r>
          </w:p>
        </w:tc>
      </w:tr>
      <w:tr>
        <w:trPr>
          <w:trHeight w:val="230"/>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Christine Fox</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41</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Chief Financial Officer</w:t>
            </w:r>
          </w:p>
        </w:tc>
      </w:tr>
      <w:tr>
        <w:trPr>
          <w:trHeight w:val="229"/>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Alastair MacKinnon</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51</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Chief Portfolio Management and Pipeline Strategy</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John Richard</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64</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Chief Business Officer</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Charles Sermon</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52</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General Counsel</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Alexandra (Wills) Hughes-Wilson</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Chief Patient Access and Commercial Planning</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John Lewicki</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70</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Chief Scientific Officer</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Dr. Suba Krishnan</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57</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Senior Vice President Clinical Development</w:t>
            </w:r>
          </w:p>
        </w:tc>
      </w:tr>
      <w:tr>
        <w:trPr>
          <w:trHeight w:val="229"/>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Jackie Parkin</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64</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Senior Vice President and Therapeutic Head</w:t>
            </w:r>
          </w:p>
        </w:tc>
      </w:tr>
      <w:tr>
        <w:trPr>
          <w:trHeight w:val="230"/>
        </w:trPr>
        <w:tc>
          <w:tcPr>
            <w:tcW w:w="544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Non-Executive Directors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19"/>
                <w:szCs w:val="19"/>
                <w:color w:val="auto"/>
              </w:rPr>
            </w:pPr>
          </w:p>
        </w:tc>
      </w:tr>
      <w:tr>
        <w:trPr>
          <w:trHeight w:val="229"/>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Peter Fellner</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78</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Chairman of the Board and Director</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Dr. Jeremy Bender</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Director</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Anders Ekblom</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67</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Director</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Anne Hyland</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61</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Director</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Pierre Jacquet</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55</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Director</w:t>
            </w:r>
          </w:p>
        </w:tc>
      </w:tr>
      <w:tr>
        <w:trPr>
          <w:trHeight w:val="230"/>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Dr. Deepika R. Pakianathan</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57</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Director</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20"/>
                <w:szCs w:val="20"/>
                <w:color w:val="auto"/>
              </w:rPr>
              <w:t>Dr. Brian Schwartz</w:t>
            </w:r>
          </w:p>
        </w:tc>
        <w:tc>
          <w:tcPr>
            <w:tcW w:w="340" w:type="dxa"/>
            <w:vAlign w:val="bottom"/>
          </w:tcPr>
          <w:p>
            <w:pPr>
              <w:jc w:val="center"/>
              <w:spacing w:after="0"/>
              <w:rPr>
                <w:sz w:val="20"/>
                <w:szCs w:val="20"/>
                <w:color w:val="auto"/>
              </w:rPr>
            </w:pPr>
            <w:r>
              <w:rPr>
                <w:rFonts w:ascii="Arial" w:cs="Arial" w:eastAsia="Arial" w:hAnsi="Arial"/>
                <w:sz w:val="20"/>
                <w:szCs w:val="20"/>
                <w:color w:val="auto"/>
                <w:w w:val="89"/>
              </w:rPr>
              <w:t>60</w:t>
            </w:r>
          </w:p>
        </w:tc>
        <w:tc>
          <w:tcPr>
            <w:tcW w:w="1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Director</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Michael S. Wyzga</w:t>
            </w:r>
          </w:p>
        </w:tc>
        <w:tc>
          <w:tcPr>
            <w:tcW w:w="3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67</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20"/>
                <w:szCs w:val="20"/>
                <w:color w:val="auto"/>
              </w:rPr>
              <w:t>Deputy Chairman of the Board and Director</w:t>
            </w:r>
          </w:p>
        </w:tc>
      </w:tr>
    </w:tbl>
    <w:p>
      <w:pPr>
        <w:spacing w:after="0" w:line="195" w:lineRule="exact"/>
        <w:rPr>
          <w:sz w:val="20"/>
          <w:szCs w:val="20"/>
          <w:color w:val="auto"/>
        </w:rPr>
      </w:pPr>
    </w:p>
    <w:p>
      <w:pPr>
        <w:jc w:val="both"/>
        <w:ind w:left="120" w:right="40" w:firstLine="551"/>
        <w:spacing w:after="0" w:line="250" w:lineRule="auto"/>
        <w:rPr>
          <w:sz w:val="20"/>
          <w:szCs w:val="20"/>
          <w:color w:val="auto"/>
        </w:rPr>
      </w:pPr>
      <w:r>
        <w:rPr>
          <w:rFonts w:ascii="Arial" w:cs="Arial" w:eastAsia="Arial" w:hAnsi="Arial"/>
          <w:sz w:val="22"/>
          <w:szCs w:val="22"/>
          <w:color w:val="auto"/>
        </w:rPr>
        <w:t>The current business addresses for Mereo’s executive officers and directors is c/o Mereo BioPharma Group plc, 4</w:t>
      </w:r>
      <w:r>
        <w:rPr>
          <w:rFonts w:ascii="Arial" w:cs="Arial" w:eastAsia="Arial" w:hAnsi="Arial"/>
          <w:sz w:val="8"/>
          <w:szCs w:val="8"/>
          <w:color w:val="auto"/>
        </w:rPr>
        <w:t>th</w:t>
      </w:r>
      <w:r>
        <w:rPr>
          <w:rFonts w:ascii="Arial" w:cs="Arial" w:eastAsia="Arial" w:hAnsi="Arial"/>
          <w:sz w:val="22"/>
          <w:szCs w:val="22"/>
          <w:color w:val="auto"/>
        </w:rPr>
        <w:t xml:space="preserve"> Floor, One Cavendish Place, London, W1G 0QF, United Kingdom.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are brief biographies of Mereo’s executive officers and non-executive directors:</w:t>
      </w:r>
    </w:p>
    <w:p>
      <w:pPr>
        <w:spacing w:after="0" w:line="206" w:lineRule="exact"/>
        <w:rPr>
          <w:sz w:val="20"/>
          <w:szCs w:val="20"/>
          <w:color w:val="auto"/>
        </w:rPr>
      </w:pPr>
    </w:p>
    <w:p>
      <w:pPr>
        <w:ind w:left="120" w:right="180" w:firstLine="551"/>
        <w:spacing w:after="0" w:line="235" w:lineRule="auto"/>
        <w:rPr>
          <w:sz w:val="20"/>
          <w:szCs w:val="20"/>
          <w:color w:val="auto"/>
        </w:rPr>
      </w:pPr>
      <w:r>
        <w:rPr>
          <w:rFonts w:ascii="Arial" w:cs="Arial" w:eastAsia="Arial" w:hAnsi="Arial"/>
          <w:sz w:val="22"/>
          <w:szCs w:val="22"/>
          <w:b w:val="1"/>
          <w:bCs w:val="1"/>
          <w:i w:val="1"/>
          <w:iCs w:val="1"/>
          <w:color w:val="auto"/>
        </w:rPr>
        <w:t xml:space="preserve">Dr. Denise Scots-Knight. </w:t>
      </w:r>
      <w:r>
        <w:rPr>
          <w:rFonts w:ascii="Arial" w:cs="Arial" w:eastAsia="Arial" w:hAnsi="Arial"/>
          <w:sz w:val="22"/>
          <w:szCs w:val="22"/>
          <w:color w:val="auto"/>
        </w:rPr>
        <w:t>Dr. Scots-Knight has served as our Chief Executive Officer since July 2015 and as a member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our Board since our formation. From 2010 until joining us, Dr. Scots-Knight was the Managing Partner of Phase4 Partners Ltd. (“Phase4”), a global life science venture capital firm. Dr. Scots-Knight is currently a board member of Elanco Animal Health Incorporated (NYSE: ELAN). Dr. Scots-Knight previously served as a member of the board of directors of Idenix Pharmaceuticals, Nabriva, Albireo and OncoMed. Dr. Scots-Knight holds a B.Sc. (Hons.) and a Ph.D. from Birmingham University.</w:t>
      </w:r>
    </w:p>
    <w:p>
      <w:pPr>
        <w:spacing w:after="0" w:line="188" w:lineRule="exact"/>
        <w:rPr>
          <w:sz w:val="20"/>
          <w:szCs w:val="20"/>
          <w:color w:val="auto"/>
        </w:rPr>
      </w:pPr>
    </w:p>
    <w:p>
      <w:pPr>
        <w:jc w:val="both"/>
        <w:ind w:left="120" w:right="100" w:firstLine="551"/>
        <w:spacing w:after="0" w:line="238" w:lineRule="auto"/>
        <w:rPr>
          <w:sz w:val="20"/>
          <w:szCs w:val="20"/>
          <w:color w:val="auto"/>
        </w:rPr>
      </w:pPr>
      <w:r>
        <w:rPr>
          <w:rFonts w:ascii="Arial" w:cs="Arial" w:eastAsia="Arial" w:hAnsi="Arial"/>
          <w:sz w:val="22"/>
          <w:szCs w:val="22"/>
          <w:b w:val="1"/>
          <w:bCs w:val="1"/>
          <w:i w:val="1"/>
          <w:iCs w:val="1"/>
          <w:color w:val="auto"/>
        </w:rPr>
        <w:t xml:space="preserve">Christine Fox. </w:t>
      </w:r>
      <w:r>
        <w:rPr>
          <w:rFonts w:ascii="Arial" w:cs="Arial" w:eastAsia="Arial" w:hAnsi="Arial"/>
          <w:sz w:val="22"/>
          <w:szCs w:val="22"/>
          <w:color w:val="auto"/>
        </w:rPr>
        <w:t>Ms. Fox joined as our Chief Financial Officer in January 2021. From 2015 until joining us, Ms. Fox was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Vice President Finance, External Reporting and most recently Group Financial Controller and Treasurer of Travelport, and prior to that served more than 10 years at KPMG in the U.S. and Switzerland. Ms. Fox is a Certified Public Accountant (CPA) and holds a B.S. in Accounting from Butler University.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140"/>
          </w:cols>
          <w:pgMar w:left="320" w:top="486"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22"/>
          <w:szCs w:val="22"/>
          <w:b w:val="1"/>
          <w:bCs w:val="1"/>
          <w:i w:val="1"/>
          <w:iCs w:val="1"/>
          <w:color w:val="auto"/>
        </w:rPr>
        <w:t xml:space="preserve">Dr. Alastair MacKinnon. </w:t>
      </w:r>
      <w:r>
        <w:rPr>
          <w:rFonts w:ascii="Arial" w:cs="Arial" w:eastAsia="Arial" w:hAnsi="Arial"/>
          <w:sz w:val="22"/>
          <w:szCs w:val="22"/>
          <w:color w:val="auto"/>
        </w:rPr>
        <w:t>Dr. MacKinnon has served as our Chief of Portfolio and Pipeline Strategy since January 2021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previously as our Chief Medical Officer from July 2015 to December 2020. From 2010 until joining us, Dr. MacKinnon was a Partner of Phase4. Dr. MacKinnon holds a B.Sc. and a MBBS from King’s College London and is a Member of the Royal College of Surgeons in Edinburgh.</w:t>
      </w:r>
    </w:p>
    <w:p>
      <w:pPr>
        <w:spacing w:after="0" w:line="185"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22"/>
          <w:szCs w:val="22"/>
          <w:b w:val="1"/>
          <w:bCs w:val="1"/>
          <w:i w:val="1"/>
          <w:iCs w:val="1"/>
          <w:color w:val="auto"/>
        </w:rPr>
        <w:t xml:space="preserve">John Richard. </w:t>
      </w:r>
      <w:r>
        <w:rPr>
          <w:rFonts w:ascii="Arial" w:cs="Arial" w:eastAsia="Arial" w:hAnsi="Arial"/>
          <w:sz w:val="22"/>
          <w:szCs w:val="22"/>
          <w:color w:val="auto"/>
        </w:rPr>
        <w:t>Mr. Richard has served as our Chief Business Officer, previously titled Head of Corporate Development,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since July 2015. Prior to joining us, he was a consultant for Nomura, a global investment bank, and Phase4, and previously served as the head of business development for Sequus Pharmaceuticals Inc., VIVUS Inc. and Genome Therapeutics Corporation. Mr. Richard serves on the boards of Aruna Bio, Inc. and previously served on the boards of Catalyst Biosciences, Vaxart, Inc., Aviragen Therapeutics, Inc., and Targacept, Inc. Mr. Richard holds a B.S. from Stanford University and an MBA from Harvard Business School.</w:t>
      </w:r>
    </w:p>
    <w:p>
      <w:pPr>
        <w:spacing w:after="0" w:line="188" w:lineRule="exact"/>
        <w:rPr>
          <w:sz w:val="20"/>
          <w:szCs w:val="20"/>
          <w:color w:val="auto"/>
        </w:rPr>
      </w:pPr>
    </w:p>
    <w:p>
      <w:pPr>
        <w:jc w:val="both"/>
        <w:ind w:left="120" w:right="240" w:firstLine="551"/>
        <w:spacing w:after="0" w:line="287" w:lineRule="auto"/>
        <w:rPr>
          <w:sz w:val="20"/>
          <w:szCs w:val="20"/>
          <w:color w:val="auto"/>
        </w:rPr>
      </w:pPr>
      <w:r>
        <w:rPr>
          <w:rFonts w:ascii="Arial" w:cs="Arial" w:eastAsia="Arial" w:hAnsi="Arial"/>
          <w:sz w:val="19"/>
          <w:szCs w:val="19"/>
          <w:b w:val="1"/>
          <w:bCs w:val="1"/>
          <w:i w:val="1"/>
          <w:iCs w:val="1"/>
          <w:color w:val="auto"/>
        </w:rPr>
        <w:t xml:space="preserve">Charles Sermon. </w:t>
      </w:r>
      <w:r>
        <w:rPr>
          <w:rFonts w:ascii="Arial" w:cs="Arial" w:eastAsia="Arial" w:hAnsi="Arial"/>
          <w:sz w:val="19"/>
          <w:szCs w:val="19"/>
          <w:color w:val="auto"/>
        </w:rPr>
        <w:t>Mr. Sermon has served as our General Counsel and Company Secretary since July 2015. From 2010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until joining us, Mr. Sermon was a Partner of Phase4. Mr Sermon serves as a Director on the Board of Trustees of Rainbow Trust Children’s Charity. Mr. Sermon trained and qualified as a lawyer with Freshfields in London after completing the Law Society’s Final Examination. Mr. Sermon holds an LL.B. (Hons.) from Hull University.</w:t>
      </w:r>
    </w:p>
    <w:p>
      <w:pPr>
        <w:spacing w:after="0" w:line="143"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22"/>
          <w:szCs w:val="22"/>
          <w:b w:val="1"/>
          <w:bCs w:val="1"/>
          <w:i w:val="1"/>
          <w:iCs w:val="1"/>
          <w:color w:val="auto"/>
        </w:rPr>
        <w:t xml:space="preserve">Alexandra (Wills) Hughes-Wilson. </w:t>
      </w:r>
      <w:r>
        <w:rPr>
          <w:rFonts w:ascii="Arial" w:cs="Arial" w:eastAsia="Arial" w:hAnsi="Arial"/>
          <w:sz w:val="22"/>
          <w:szCs w:val="22"/>
          <w:color w:val="auto"/>
        </w:rPr>
        <w:t>Ms. Hughes-Wilson has served as our Chief of Patient Access and Commercial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Planning, previously titled Head of Patient Access and Commercial Planning, since 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88" w:lineRule="exact"/>
        <w:rPr>
          <w:sz w:val="20"/>
          <w:szCs w:val="20"/>
          <w:color w:val="auto"/>
        </w:rPr>
      </w:pPr>
    </w:p>
    <w:p>
      <w:pPr>
        <w:ind w:left="120" w:right="500" w:firstLine="529"/>
        <w:spacing w:after="0" w:line="279" w:lineRule="auto"/>
        <w:rPr>
          <w:sz w:val="20"/>
          <w:szCs w:val="20"/>
          <w:color w:val="auto"/>
        </w:rPr>
      </w:pPr>
      <w:r>
        <w:rPr>
          <w:rFonts w:ascii="Arial" w:cs="Arial" w:eastAsia="Arial" w:hAnsi="Arial"/>
          <w:sz w:val="19"/>
          <w:szCs w:val="19"/>
          <w:b w:val="1"/>
          <w:bCs w:val="1"/>
          <w:i w:val="1"/>
          <w:iCs w:val="1"/>
          <w:color w:val="auto"/>
        </w:rPr>
        <w:t xml:space="preserve">Dr. John Lewicki. </w:t>
      </w:r>
      <w:r>
        <w:rPr>
          <w:rFonts w:ascii="Arial" w:cs="Arial" w:eastAsia="Arial" w:hAnsi="Arial"/>
          <w:sz w:val="19"/>
          <w:szCs w:val="19"/>
          <w:color w:val="auto"/>
        </w:rPr>
        <w:t>Dr. Lewicki has served as our Chief Scientific Officer since July 2020. He has over 35 years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experience in the biotechnology industry. Dr. Lewicki was President, CEO and a board member of OncoMed from March 2018 to April 2019. Previously, Dr. Lewicki served as Vice President of Research, at Scios Inc. where he co-discovered human B-type natriuretic peptide (BNP). Dr. Lewicki contributed to development of BNP into an FDA-approved treatment (Natrecor) for acute congestive heart failure. Dr. Lewicki received his PhD from the University of California, San Diego. He has co-authored over 80 papers and is co-inventor on over 30 issued US patents.</w:t>
      </w:r>
    </w:p>
    <w:p>
      <w:pPr>
        <w:spacing w:after="0" w:line="144"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9"/>
          <w:szCs w:val="19"/>
          <w:b w:val="1"/>
          <w:bCs w:val="1"/>
          <w:i w:val="1"/>
          <w:iCs w:val="1"/>
          <w:color w:val="auto"/>
        </w:rPr>
        <w:t>Dr. Suba Krishnan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Dr Krishnan has served as our SVP Clinical Development since she joined us in December 2020</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Genmab, where, as Global Program Head Immuno-Oncology, she led cross-functional teams in the strategy and execution of multiple first-in-class bispecific antibodies. Dr. Krishnan has held positions of increasing scope, working across all stages of drug development, to evaluate PARP-inhibitors, ADCs and IO agents, and filing for approvals of nivolumab in second-line bladder cancer and pembrolizumab in small cell lung cancer. Earlier, Dr. Krishnan was Assistant Professor, Pediatric Hematology, Columbia University, and held the Sickle Cell Scholar position at Thomas Jefferson University.</w:t>
      </w:r>
    </w:p>
    <w:p>
      <w:pPr>
        <w:spacing w:after="0" w:line="2" w:lineRule="exact"/>
        <w:rPr>
          <w:sz w:val="20"/>
          <w:szCs w:val="20"/>
          <w:color w:val="auto"/>
        </w:rPr>
      </w:pPr>
    </w:p>
    <w:p>
      <w:pPr>
        <w:ind w:left="120" w:right="1320"/>
        <w:spacing w:after="0" w:line="236" w:lineRule="auto"/>
        <w:rPr>
          <w:sz w:val="20"/>
          <w:szCs w:val="20"/>
          <w:color w:val="auto"/>
        </w:rPr>
      </w:pPr>
      <w:r>
        <w:rPr>
          <w:rFonts w:ascii="Arial" w:cs="Arial" w:eastAsia="Arial" w:hAnsi="Arial"/>
          <w:sz w:val="22"/>
          <w:szCs w:val="22"/>
          <w:color w:val="auto"/>
        </w:rPr>
        <w:t>Dr. Krishnan completed her MBBS at the Armed Forces Medical College in Pune, India and trained in Pediatric Hematology/Oncology at Columbia University.</w:t>
      </w:r>
    </w:p>
    <w:p>
      <w:pPr>
        <w:spacing w:after="0" w:line="187" w:lineRule="exact"/>
        <w:rPr>
          <w:sz w:val="20"/>
          <w:szCs w:val="20"/>
          <w:color w:val="auto"/>
        </w:rPr>
      </w:pPr>
    </w:p>
    <w:p>
      <w:pPr>
        <w:ind w:left="120" w:firstLine="551"/>
        <w:spacing w:after="0" w:line="248" w:lineRule="auto"/>
        <w:rPr>
          <w:sz w:val="20"/>
          <w:szCs w:val="20"/>
          <w:color w:val="auto"/>
        </w:rPr>
      </w:pPr>
      <w:r>
        <w:rPr>
          <w:rFonts w:ascii="Arial" w:cs="Arial" w:eastAsia="Arial" w:hAnsi="Arial"/>
          <w:sz w:val="21"/>
          <w:szCs w:val="21"/>
          <w:b w:val="1"/>
          <w:bCs w:val="1"/>
          <w:i w:val="1"/>
          <w:iCs w:val="1"/>
          <w:color w:val="auto"/>
        </w:rPr>
        <w:t xml:space="preserve">Dr. Jackie Parkin. </w:t>
      </w:r>
      <w:r>
        <w:rPr>
          <w:rFonts w:ascii="Arial" w:cs="Arial" w:eastAsia="Arial" w:hAnsi="Arial"/>
          <w:sz w:val="21"/>
          <w:szCs w:val="21"/>
          <w:color w:val="auto"/>
        </w:rPr>
        <w:t>Dr. Parkin is our SVP and Therapeutic Head, leading clinical development of alvelestat for alpha-1</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antitrypsin deficiency (AATD) lung disease and collaborations for studies in COVID-19 and Bronchiolitis Obliterans Syndrome (BOS). She is also responsible for acumapimod in AECOPD and leflutrozole in male hypogonadism. Dr. Parkin previously served as Vice President for Clinical Development at GlaxoSmithKline, leading immuno-inflammatory and infectious diseases. Prior to GSK, Dr. Parkin was a Clinical Senior Lecturer in Immunology at the St Bartholomew’s and Royal London Hospital, caring for patients with HIV infection.</w:t>
      </w:r>
    </w:p>
    <w:p>
      <w:pPr>
        <w:spacing w:after="0" w:line="177" w:lineRule="exact"/>
        <w:rPr>
          <w:sz w:val="20"/>
          <w:szCs w:val="20"/>
          <w:color w:val="auto"/>
        </w:rPr>
      </w:pPr>
    </w:p>
    <w:p>
      <w:pPr>
        <w:ind w:left="120" w:right="80" w:firstLine="551"/>
        <w:spacing w:after="0" w:line="277" w:lineRule="auto"/>
        <w:rPr>
          <w:sz w:val="20"/>
          <w:szCs w:val="20"/>
          <w:color w:val="auto"/>
        </w:rPr>
      </w:pPr>
      <w:r>
        <w:rPr>
          <w:rFonts w:ascii="Arial" w:cs="Arial" w:eastAsia="Arial" w:hAnsi="Arial"/>
          <w:sz w:val="19"/>
          <w:szCs w:val="19"/>
          <w:b w:val="1"/>
          <w:bCs w:val="1"/>
          <w:i w:val="1"/>
          <w:iCs w:val="1"/>
          <w:color w:val="auto"/>
        </w:rPr>
        <w:t xml:space="preserve">Dr. Peter Fellner. </w:t>
      </w:r>
      <w:r>
        <w:rPr>
          <w:rFonts w:ascii="Arial" w:cs="Arial" w:eastAsia="Arial" w:hAnsi="Arial"/>
          <w:sz w:val="19"/>
          <w:szCs w:val="19"/>
          <w:color w:val="auto"/>
        </w:rPr>
        <w:t>Dr. Fellner has been Chairman of our Board since July 2015. He served as Chairman of the board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of Consort Medical plc from May 2009 until April 2019, was Chairman of the board of directors of Ablynx NV from November 2013 until January 2018 and Vernalis plc until October 2018. Dr. Fellner was previously Chairman of the board of directors of Acambis plc from 2006 until its acquisition by Sanofi Pasteur, Optos plc from 2000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52"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9"/>
          <w:szCs w:val="19"/>
          <w:b w:val="1"/>
          <w:bCs w:val="1"/>
          <w:i w:val="1"/>
          <w:iCs w:val="1"/>
          <w:color w:val="auto"/>
        </w:rPr>
        <w:t xml:space="preserve">Dr. Jeremy Bender. </w:t>
      </w:r>
      <w:r>
        <w:rPr>
          <w:rFonts w:ascii="Arial" w:cs="Arial" w:eastAsia="Arial" w:hAnsi="Arial"/>
          <w:sz w:val="19"/>
          <w:szCs w:val="19"/>
          <w:color w:val="auto"/>
        </w:rPr>
        <w:t>Dr. Bender has served on our board since October 2020. Dr. Bender is Chief Executive Officer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DayOne Biopharmaceuticals, Inc. (NASDAQ: DAWN). Previously he served as Vice President of Corporate Development at Gilead Sciences, Inc., where he was responsible for development and negotiation of partnerships, alliances, joint ventures, equity investments, licensing agreements and M&amp;A transactions. Dr. Bender joined Gilead from Tizona Therapeutics, Inc., where he was Chief Operating Officer. Prior to Tizona, he was Chief Business Officer of Sutro Biopharma, Inc. Dr. Bender received his undergraduate degree in Biological Sciences from Stanford University and his Ph.D. in Microbiology &amp; Immunology from the University of Colorado. He also holds an M.B.A. from the MIT Sloan School of Management.</w:t>
      </w:r>
    </w:p>
    <w:p>
      <w:pPr>
        <w:sectPr>
          <w:pgSz w:w="11900" w:h="16838" w:orient="portrait"/>
          <w:cols w:equalWidth="0" w:num="1">
            <w:col w:w="11120"/>
          </w:cols>
          <w:pgMar w:left="320" w:top="486" w:right="459" w:bottom="61" w:gutter="0" w:footer="0" w:header="0"/>
        </w:sectPr>
      </w:pP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96</w:t>
      </w:r>
    </w:p>
    <w:p>
      <w:pPr>
        <w:sectPr>
          <w:pgSz w:w="11900" w:h="16838" w:orient="portrait"/>
          <w:cols w:equalWidth="0" w:num="1">
            <w:col w:w="11120"/>
          </w:cols>
          <w:pgMar w:left="320" w:top="486" w:right="459" w:bottom="61"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40" w:firstLine="551"/>
        <w:spacing w:after="0" w:line="279" w:lineRule="auto"/>
        <w:rPr>
          <w:sz w:val="20"/>
          <w:szCs w:val="20"/>
          <w:color w:val="auto"/>
        </w:rPr>
      </w:pPr>
      <w:r>
        <w:rPr>
          <w:rFonts w:ascii="Arial" w:cs="Arial" w:eastAsia="Arial" w:hAnsi="Arial"/>
          <w:sz w:val="19"/>
          <w:szCs w:val="19"/>
          <w:b w:val="1"/>
          <w:bCs w:val="1"/>
          <w:i w:val="1"/>
          <w:iCs w:val="1"/>
          <w:color w:val="auto"/>
        </w:rPr>
        <w:t>Dr. Anders Ekblom</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Dr. Ekblom has served on our Board since July 2015. Dr. Ekblom has held a number of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positions at AstraZeneca, including Executive Vice President Global Drug Development, Executive Vice President Global Medicines Development, Global Head Clinical Development and Chief Executive Officer of AstraZeneca AB Sweden. He currently serves as Chairman of the Board of Elypta AB and Xspray Pharma AB, and on the boards of directors of Alligator Bioscience AB and AnaMar AB. Dr. Ekblom is a board-certified medical doctor and an Associate Professor at the Karolinska Institutet. Dr. Ekblom holds a M.D., Ph.D. and a D.D.S. from Karolinska Institutet.</w:t>
      </w:r>
    </w:p>
    <w:p>
      <w:pPr>
        <w:spacing w:after="0" w:line="42" w:lineRule="exact"/>
        <w:rPr>
          <w:sz w:val="20"/>
          <w:szCs w:val="20"/>
          <w:color w:val="auto"/>
        </w:rPr>
      </w:pPr>
    </w:p>
    <w:p>
      <w:pPr>
        <w:ind w:left="120" w:right="40" w:firstLine="551"/>
        <w:spacing w:after="0" w:line="273" w:lineRule="auto"/>
        <w:rPr>
          <w:sz w:val="20"/>
          <w:szCs w:val="20"/>
          <w:color w:val="auto"/>
        </w:rPr>
      </w:pPr>
      <w:r>
        <w:rPr>
          <w:rFonts w:ascii="Arial" w:cs="Arial" w:eastAsia="Arial" w:hAnsi="Arial"/>
          <w:sz w:val="19"/>
          <w:szCs w:val="19"/>
          <w:b w:val="1"/>
          <w:bCs w:val="1"/>
          <w:i w:val="1"/>
          <w:iCs w:val="1"/>
          <w:color w:val="auto"/>
        </w:rPr>
        <w:t xml:space="preserve">Anne Hyland. </w:t>
      </w:r>
      <w:r>
        <w:rPr>
          <w:rFonts w:ascii="Arial" w:cs="Arial" w:eastAsia="Arial" w:hAnsi="Arial"/>
          <w:sz w:val="19"/>
          <w:szCs w:val="19"/>
          <w:color w:val="auto"/>
        </w:rPr>
        <w:t>Ms. Hyland has served on our Board of Directors since March 2022. Ms. Hyland is a non-executive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 of Clinigen Group plc (AIM: CLN) (since 2018), a global pharmaceutical and services company and Chair of their Audit and Risk Committee. She is also Chair of the Audit Committee and a non-executive director of Elementis plc (LON: ELM) (since 2013), a global specialty chemicals company. Ms. Hyland was Chief Financial Officer and Company Secretary of Kymab Group Ltd a biopharmaceutical company acquired by Sanofi in April 2021 for an upfront payment of US$1.1 billion and up to US$350 million in deferred consideration. Prior to this Ms. Hyland had significant experience in biopharmaceutical companies, having worked as CFO and Company Secretary of BBI Diagnostics Group plc, a diversified global diagnostics business and Vectura Group plc, a company that develops therapeutic products and devices principally for the treatment of respiratory diseases. Ms. Hyland is a Chartered Accountant (FCA), a Corporate Tax Adviser (CTA – AITI) and holds a degree in business studies from Trinity College, Dublin. Ms. Hyland was a Trustee of Sustrans, the charity that created the National Cycle Network, from 2012 to 2017.</w:t>
      </w:r>
    </w:p>
    <w:p>
      <w:pPr>
        <w:spacing w:after="0" w:line="296"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b w:val="1"/>
          <w:bCs w:val="1"/>
          <w:i w:val="1"/>
          <w:iCs w:val="1"/>
          <w:color w:val="auto"/>
        </w:rPr>
        <w:t xml:space="preserve">Dr. Pierre Jacquet. </w:t>
      </w:r>
      <w:r>
        <w:rPr>
          <w:rFonts w:ascii="Arial" w:cs="Arial" w:eastAsia="Arial" w:hAnsi="Arial"/>
          <w:sz w:val="19"/>
          <w:szCs w:val="19"/>
          <w:color w:val="auto"/>
        </w:rPr>
        <w:t>Dr. Jacquet has served on our Board of Directors since September 2021. Dr. Jacquet is currently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Managing Director and Vice Chairman of L.E.K. Consulting’s Global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Liège, Belgium and served as a Fellow at the Washington Cancer Institute, where he authored over 40 publications and presentations. In addition to serving on Mereo’s Board of Directors, Dr. Jacquet is a Director of Exact Sciences, on the Advisory Board of Life Science Cares, and previously served as a Director of Osprey Pharmaceuticals. He earned a Master of Business Administration from the Darden Graduate School at the University of Virginia, graduated Magna Cum Laude in Medicine from the University of Liège in Belgium and was awarded a Summa Cum Laude Doctor of Philosophy in biomedical sciences from the University of Liège in Belgium.</w:t>
      </w:r>
    </w:p>
    <w:p>
      <w:pPr>
        <w:spacing w:after="0" w:line="53"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9"/>
          <w:szCs w:val="19"/>
          <w:b w:val="1"/>
          <w:bCs w:val="1"/>
          <w:i w:val="1"/>
          <w:iCs w:val="1"/>
          <w:color w:val="auto"/>
        </w:rPr>
        <w:t>Dr. Deepika R. Pakianathan</w:t>
      </w:r>
      <w:r>
        <w:rPr>
          <w:rFonts w:ascii="Arial" w:cs="Arial" w:eastAsia="Arial" w:hAnsi="Arial"/>
          <w:sz w:val="19"/>
          <w:szCs w:val="19"/>
          <w:color w:val="auto"/>
        </w:rPr>
        <w:t>. Dr. Pakianathan has served on our Board since April 2019 following completion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Merger and served as a director of OncoMed since December 2008 until the closing of the Merger. Since 2001,</w:t>
      </w:r>
    </w:p>
    <w:p>
      <w:pPr>
        <w:spacing w:after="0" w:line="1" w:lineRule="exact"/>
        <w:rPr>
          <w:sz w:val="20"/>
          <w:szCs w:val="20"/>
          <w:color w:val="auto"/>
        </w:rPr>
      </w:pPr>
    </w:p>
    <w:p>
      <w:pPr>
        <w:ind w:left="120" w:right="180"/>
        <w:spacing w:after="0" w:line="244" w:lineRule="auto"/>
        <w:rPr>
          <w:sz w:val="20"/>
          <w:szCs w:val="20"/>
          <w:color w:val="auto"/>
        </w:rPr>
      </w:pPr>
      <w:r>
        <w:rPr>
          <w:rFonts w:ascii="Arial" w:cs="Arial" w:eastAsia="Arial" w:hAnsi="Arial"/>
          <w:sz w:val="21"/>
          <w:szCs w:val="21"/>
          <w:color w:val="auto"/>
        </w:rPr>
        <w:t>Dr. Pakianathan has been a Managing Member at Delphi Ventures, a venture capital firm focused on biotechnology and medical device investments. Dr. Pakianathan serves on the boards of directors of Karyopharm Therapeutics, Inc., Theravance Biopharma, Inc., and Calithera Biosciences, Inc. Dr. Pakianathan previously served on the boards of directors of Foresite Development Corp II, Alder Biopharmaceuticals, Inc. and Foresite Development Corp I. and Relypsa, Inc. Dr. Pakianathan received a B.Sc. from the University of Bombay, India, a M.Sc. from The Cancer Research Institute at the University of Bombay, India, and an M.S. and Ph.D. from Wake Forest University.</w:t>
      </w:r>
    </w:p>
    <w:p>
      <w:pPr>
        <w:spacing w:after="0" w:line="75"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9"/>
          <w:szCs w:val="19"/>
          <w:b w:val="1"/>
          <w:bCs w:val="1"/>
          <w:i w:val="1"/>
          <w:iCs w:val="1"/>
          <w:color w:val="auto"/>
        </w:rPr>
        <w:t xml:space="preserve">Dr. Brian Schwartz. </w:t>
      </w:r>
      <w:r>
        <w:rPr>
          <w:rFonts w:ascii="Arial" w:cs="Arial" w:eastAsia="Arial" w:hAnsi="Arial"/>
          <w:sz w:val="19"/>
          <w:szCs w:val="19"/>
          <w:color w:val="auto"/>
        </w:rPr>
        <w:t>Dr. Schwartz has served on our Board of Directors since October 2020. During the past decade 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served as Senior Vice President, Head of Research &amp; Development and Chief Medical Officer of ArQule Inc., which was acquired for $2.7bn by Merck &amp; Co. in 2020. Prior to ArQule Inc., Dr. Schwartz was Chief Medical Officer at Ziopharm, having previously held several senior leadership roles at Bayer and LEO Pharma. Dr. Schwartz is a Board Member of Cyclacel Pharmaceuticals, Infinity and Enlivex Therapeutics, an advisor for the California Institute of Regenerative Medicine, and acts as an independent consultant for numerous biotech companies. Dr. Schwartz previously served on the board of directors of LifeSci Acquisition Corp. He received his medical degree from the University of Pretoria, South Africa, completed a fellowship at the University of Toronto, Canada, and practiced medicine prior to his career in the biopharmaceutical industry.</w:t>
      </w:r>
    </w:p>
    <w:p>
      <w:pPr>
        <w:spacing w:after="0" w:line="49" w:lineRule="exact"/>
        <w:rPr>
          <w:sz w:val="20"/>
          <w:szCs w:val="20"/>
          <w:color w:val="auto"/>
        </w:rPr>
      </w:pPr>
    </w:p>
    <w:p>
      <w:pPr>
        <w:ind w:left="120" w:right="260" w:firstLine="551"/>
        <w:spacing w:after="0" w:line="273" w:lineRule="auto"/>
        <w:rPr>
          <w:sz w:val="20"/>
          <w:szCs w:val="20"/>
          <w:color w:val="auto"/>
        </w:rPr>
      </w:pPr>
      <w:r>
        <w:rPr>
          <w:rFonts w:ascii="Arial" w:cs="Arial" w:eastAsia="Arial" w:hAnsi="Arial"/>
          <w:sz w:val="19"/>
          <w:szCs w:val="19"/>
          <w:b w:val="1"/>
          <w:bCs w:val="1"/>
          <w:i w:val="1"/>
          <w:iCs w:val="1"/>
          <w:color w:val="auto"/>
        </w:rPr>
        <w:t xml:space="preserve">Michael S. Wyzga. </w:t>
      </w:r>
      <w:r>
        <w:rPr>
          <w:rFonts w:ascii="Arial" w:cs="Arial" w:eastAsia="Arial" w:hAnsi="Arial"/>
          <w:sz w:val="19"/>
          <w:szCs w:val="19"/>
          <w:color w:val="auto"/>
        </w:rPr>
        <w:t>Mr. Wyzga has served on our Board since April 2019 following completion of the Merger and had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served as a director of OncoMed since October 2013 until the closing of the Merger. On May 14, 2020, we entered into the Consulting and Interim Chief Financial Officer Agreement with MSW Consulting Inc. and Michael Wyzga by which</w:t>
      </w:r>
    </w:p>
    <w:p>
      <w:pPr>
        <w:spacing w:after="0" w:line="1" w:lineRule="exact"/>
        <w:rPr>
          <w:sz w:val="20"/>
          <w:szCs w:val="20"/>
          <w:color w:val="auto"/>
        </w:rPr>
      </w:pPr>
    </w:p>
    <w:p>
      <w:pPr>
        <w:ind w:left="120" w:right="40"/>
        <w:spacing w:after="0" w:line="272" w:lineRule="auto"/>
        <w:rPr>
          <w:sz w:val="20"/>
          <w:szCs w:val="20"/>
          <w:color w:val="auto"/>
        </w:rPr>
      </w:pPr>
      <w:r>
        <w:rPr>
          <w:rFonts w:ascii="Arial" w:cs="Arial" w:eastAsia="Arial" w:hAnsi="Arial"/>
          <w:sz w:val="19"/>
          <w:szCs w:val="19"/>
          <w:color w:val="auto"/>
        </w:rPr>
        <w:t>Mr. Wyzga served as Interim Chief Financial Officer from August 1, 2020 to January 4, 2021.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Adagio Therapeutics, Inc. and LogicBio and is Chairman of the board of directors of GenSight Biologics S.A. and of X4 Biologics. Mr. Wyzga previously served as a member of the boards of directors of Exact Sciences Corporation, Idenix Pharmaceuticals, Inc. and Altus Pharmaceuticals, Inc., and as a member of the supervisory board of Prosensa Holding B.V. He received an M.B.A. from Providence College and a B.S. from Suffolk University.</w:t>
      </w:r>
    </w:p>
    <w:p>
      <w:pPr>
        <w:sectPr>
          <w:pgSz w:w="11900" w:h="16838" w:orient="portrait"/>
          <w:cols w:equalWidth="0" w:num="1">
            <w:col w:w="11120"/>
          </w:cols>
          <w:pgMar w:left="320" w:top="486" w:right="459" w:bottom="1006" w:gutter="0" w:footer="0" w:header="0"/>
        </w:sectPr>
      </w:pP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97</w:t>
      </w:r>
    </w:p>
    <w:p>
      <w:pPr>
        <w:sectPr>
          <w:pgSz w:w="11900" w:h="16838" w:orient="portrait"/>
          <w:cols w:equalWidth="0" w:num="1">
            <w:col w:w="11120"/>
          </w:cols>
          <w:pgMar w:left="320" w:top="486" w:right="459" w:bottom="1006"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Arrangements Concerning Election of Directors; Family Relationships</w:t>
      </w:r>
    </w:p>
    <w:p>
      <w:pPr>
        <w:spacing w:after="0" w:line="98" w:lineRule="exact"/>
        <w:rPr>
          <w:sz w:val="20"/>
          <w:szCs w:val="20"/>
          <w:color w:val="auto"/>
        </w:rPr>
      </w:pPr>
    </w:p>
    <w:p>
      <w:pPr>
        <w:ind w:left="120" w:right="360" w:firstLine="551"/>
        <w:spacing w:after="0" w:line="250" w:lineRule="auto"/>
        <w:rPr>
          <w:sz w:val="20"/>
          <w:szCs w:val="20"/>
          <w:color w:val="auto"/>
        </w:rPr>
      </w:pPr>
      <w:r>
        <w:rPr>
          <w:rFonts w:ascii="Arial" w:cs="Arial" w:eastAsia="Arial" w:hAnsi="Arial"/>
          <w:sz w:val="22"/>
          <w:szCs w:val="22"/>
          <w:color w:val="auto"/>
        </w:rPr>
        <w:t>We are not a party to, and are not aware of, any voting agreements among our shareholders. In addition, there are no family relationships among our executive officers and directors.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6.B. Compensation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 Remuneration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the remuneration paid during the year ended December 31,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7"/>
              </w:rPr>
              <w:t>All Other</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10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20"/>
                <w:szCs w:val="20"/>
                <w:b w:val="1"/>
                <w:bCs w:val="1"/>
                <w:color w:val="auto"/>
              </w:rPr>
              <w:t>Salary</w:t>
            </w:r>
          </w:p>
        </w:tc>
        <w:tc>
          <w:tcPr>
            <w:tcW w:w="1780" w:type="dxa"/>
            <w:vAlign w:val="bottom"/>
            <w:gridSpan w:val="2"/>
          </w:tcPr>
          <w:p>
            <w:pPr>
              <w:jc w:val="right"/>
              <w:ind w:right="480"/>
              <w:spacing w:after="0"/>
              <w:rPr>
                <w:sz w:val="20"/>
                <w:szCs w:val="20"/>
                <w:color w:val="auto"/>
              </w:rPr>
            </w:pPr>
            <w:r>
              <w:rPr>
                <w:rFonts w:ascii="Arial" w:cs="Arial" w:eastAsia="Arial" w:hAnsi="Arial"/>
                <w:sz w:val="20"/>
                <w:szCs w:val="20"/>
                <w:b w:val="1"/>
                <w:bCs w:val="1"/>
                <w:color w:val="auto"/>
                <w:w w:val="87"/>
              </w:rPr>
              <w:t>Cash Bonus (1)</w:t>
            </w:r>
          </w:p>
        </w:tc>
        <w:tc>
          <w:tcPr>
            <w:tcW w:w="190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88"/>
              </w:rPr>
              <w:t>Compensation (2)</w:t>
            </w:r>
          </w:p>
        </w:tc>
        <w:tc>
          <w:tcPr>
            <w:tcW w:w="960" w:type="dxa"/>
            <w:vAlign w:val="bottom"/>
            <w:gridSpan w:val="2"/>
          </w:tcPr>
          <w:p>
            <w:pPr>
              <w:ind w:left="100"/>
              <w:spacing w:after="0"/>
              <w:rPr>
                <w:sz w:val="20"/>
                <w:szCs w:val="20"/>
                <w:color w:val="auto"/>
              </w:rPr>
            </w:pPr>
            <w:r>
              <w:rPr>
                <w:rFonts w:ascii="Arial" w:cs="Arial" w:eastAsia="Arial" w:hAnsi="Arial"/>
                <w:sz w:val="20"/>
                <w:szCs w:val="20"/>
                <w:b w:val="1"/>
                <w:bCs w:val="1"/>
                <w:color w:val="auto"/>
              </w:rPr>
              <w:t>Total (3)</w:t>
            </w:r>
          </w:p>
        </w:tc>
      </w:tr>
      <w:tr>
        <w:trPr>
          <w:trHeight w:val="252"/>
        </w:trPr>
        <w:tc>
          <w:tcPr>
            <w:tcW w:w="4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20"/>
                <w:szCs w:val="20"/>
                <w:b w:val="1"/>
                <w:bCs w:val="1"/>
                <w:color w:val="auto"/>
              </w:rPr>
              <w:t>(£)</w:t>
            </w:r>
          </w:p>
        </w:tc>
        <w:tc>
          <w:tcPr>
            <w:tcW w:w="46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437"/>
              <w:spacing w:after="0"/>
              <w:rPr>
                <w:sz w:val="20"/>
                <w:szCs w:val="20"/>
                <w:color w:val="auto"/>
              </w:rPr>
            </w:pPr>
            <w:r>
              <w:rPr>
                <w:rFonts w:ascii="Arial" w:cs="Arial" w:eastAsia="Arial" w:hAnsi="Arial"/>
                <w:sz w:val="20"/>
                <w:szCs w:val="20"/>
                <w:b w:val="1"/>
                <w:bCs w:val="1"/>
                <w:color w:val="auto"/>
              </w:rPr>
              <w:t>(£)</w:t>
            </w:r>
          </w:p>
        </w:tc>
        <w:tc>
          <w:tcPr>
            <w:tcW w:w="4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w:t>
            </w:r>
          </w:p>
        </w:tc>
        <w:tc>
          <w:tcPr>
            <w:tcW w:w="4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20"/>
                <w:szCs w:val="20"/>
                <w:b w:val="1"/>
                <w:bCs w:val="1"/>
                <w:color w:val="auto"/>
              </w:rPr>
              <w:t>(£)</w:t>
            </w:r>
          </w:p>
        </w:tc>
        <w:tc>
          <w:tcPr>
            <w:tcW w:w="40" w:type="dxa"/>
            <w:vAlign w:val="bottom"/>
            <w:tcBorders>
              <w:bottom w:val="single" w:sz="8" w:color="CCEEFF"/>
            </w:tcBorders>
          </w:tcPr>
          <w:p>
            <w:pPr>
              <w:spacing w:after="0"/>
              <w:rPr>
                <w:sz w:val="21"/>
                <w:szCs w:val="21"/>
                <w:color w:val="auto"/>
              </w:rPr>
            </w:pPr>
          </w:p>
        </w:tc>
      </w:tr>
      <w:tr>
        <w:trPr>
          <w:trHeight w:val="237"/>
        </w:trPr>
        <w:tc>
          <w:tcPr>
            <w:tcW w:w="41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Dr. Denise Scots-Knight</w:t>
            </w:r>
          </w:p>
        </w:tc>
        <w:tc>
          <w:tcPr>
            <w:tcW w:w="9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398,808</w:t>
            </w: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239,284</w:t>
            </w:r>
          </w:p>
        </w:tc>
        <w:tc>
          <w:tcPr>
            <w:tcW w:w="4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67,204</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705,296</w:t>
            </w:r>
          </w:p>
        </w:tc>
        <w:tc>
          <w:tcPr>
            <w:tcW w:w="40" w:type="dxa"/>
            <w:vAlign w:val="bottom"/>
            <w:shd w:val="clear" w:color="auto" w:fill="CCEEFF"/>
          </w:tcPr>
          <w:p>
            <w:pPr>
              <w:spacing w:after="0"/>
              <w:rPr>
                <w:sz w:val="20"/>
                <w:szCs w:val="20"/>
                <w:color w:val="auto"/>
              </w:rPr>
            </w:pPr>
          </w:p>
        </w:tc>
      </w:tr>
      <w:tr>
        <w:trPr>
          <w:trHeight w:val="274"/>
        </w:trPr>
        <w:tc>
          <w:tcPr>
            <w:tcW w:w="4100" w:type="dxa"/>
            <w:vAlign w:val="bottom"/>
          </w:tcPr>
          <w:p>
            <w:pPr>
              <w:spacing w:after="0"/>
              <w:rPr>
                <w:sz w:val="20"/>
                <w:szCs w:val="20"/>
                <w:color w:val="auto"/>
              </w:rPr>
            </w:pPr>
            <w:r>
              <w:rPr>
                <w:rFonts w:ascii="Arial" w:cs="Arial" w:eastAsia="Arial" w:hAnsi="Arial"/>
                <w:sz w:val="22"/>
                <w:szCs w:val="22"/>
                <w:color w:val="auto"/>
              </w:rPr>
              <w:t>Other Executive Officers</w:t>
            </w:r>
          </w:p>
        </w:tc>
        <w:tc>
          <w:tcPr>
            <w:tcW w:w="920" w:type="dxa"/>
            <w:vAlign w:val="bottom"/>
          </w:tcPr>
          <w:p>
            <w:pPr>
              <w:jc w:val="right"/>
              <w:spacing w:after="0"/>
              <w:rPr>
                <w:sz w:val="20"/>
                <w:szCs w:val="20"/>
                <w:color w:val="auto"/>
              </w:rPr>
            </w:pPr>
            <w:r>
              <w:rPr>
                <w:rFonts w:ascii="Arial" w:cs="Arial" w:eastAsia="Arial" w:hAnsi="Arial"/>
                <w:sz w:val="22"/>
                <w:szCs w:val="22"/>
                <w:color w:val="auto"/>
                <w:w w:val="91"/>
              </w:rPr>
              <w:t>1,978,390</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882,615</w:t>
            </w:r>
          </w:p>
        </w:tc>
        <w:tc>
          <w:tcPr>
            <w:tcW w:w="480" w:type="dxa"/>
            <w:vAlign w:val="bottom"/>
          </w:tcPr>
          <w:p>
            <w:pPr>
              <w:spacing w:after="0"/>
              <w:rPr>
                <w:sz w:val="23"/>
                <w:szCs w:val="2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22"/>
                <w:szCs w:val="22"/>
                <w:color w:val="auto"/>
              </w:rPr>
              <w:t>325,911</w:t>
            </w:r>
          </w:p>
        </w:tc>
        <w:tc>
          <w:tcPr>
            <w:tcW w:w="920" w:type="dxa"/>
            <w:vAlign w:val="bottom"/>
          </w:tcPr>
          <w:p>
            <w:pPr>
              <w:jc w:val="right"/>
              <w:spacing w:after="0"/>
              <w:rPr>
                <w:sz w:val="20"/>
                <w:szCs w:val="20"/>
                <w:color w:val="auto"/>
              </w:rPr>
            </w:pPr>
            <w:r>
              <w:rPr>
                <w:rFonts w:ascii="Arial" w:cs="Arial" w:eastAsia="Arial" w:hAnsi="Arial"/>
                <w:sz w:val="22"/>
                <w:szCs w:val="22"/>
                <w:color w:val="auto"/>
                <w:w w:val="91"/>
              </w:rPr>
              <w:t>3,186,915</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6" w:lineRule="exact"/>
        <w:rPr>
          <w:sz w:val="20"/>
          <w:szCs w:val="20"/>
          <w:color w:val="auto"/>
        </w:rPr>
      </w:pPr>
    </w:p>
    <w:p>
      <w:pPr>
        <w:ind w:left="660" w:hanging="544"/>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Amount shown reflects cash bonuses awarded for achievement of performance goals.</w:t>
      </w:r>
    </w:p>
    <w:p>
      <w:pPr>
        <w:spacing w:after="0" w:line="8" w:lineRule="exact"/>
        <w:rPr>
          <w:rFonts w:ascii="Arial" w:cs="Arial" w:eastAsia="Arial" w:hAnsi="Arial"/>
          <w:sz w:val="22"/>
          <w:szCs w:val="22"/>
          <w:color w:val="auto"/>
        </w:rPr>
      </w:pPr>
    </w:p>
    <w:p>
      <w:pPr>
        <w:ind w:left="660" w:hanging="544"/>
        <w:spacing w:after="0" w:line="230"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Amount shown represents health benefit payments and pension contributions made by us.</w:t>
      </w:r>
    </w:p>
    <w:p>
      <w:pPr>
        <w:ind w:left="660" w:right="20" w:hanging="544"/>
        <w:spacing w:after="0" w:line="234" w:lineRule="auto"/>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Total compensation set out in this table does not include any amounts for the value of options to acquire Mereo ordinary shares or awards granted to or held by current senior management, which is described in “—Equity Compensation Arrangements.”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 Employment Agreements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Dr. Denise Scots-Knight</w:t>
      </w:r>
    </w:p>
    <w:p>
      <w:pPr>
        <w:spacing w:after="0" w:line="98"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We entered into an employment agreement with Dr. Scots-Knight on July 29, 2015, as amended and restated on September 3, 2021. This agreement entitles Dr. Scots-Knight to receive an annual base salary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Dr Scots-Knight equal to 18 months’ annual base salary and Dr Scots-Knight’s target annual bonus in the event of a covered termination during the period commencing on a change in control of the Company and ending 12 months after such change in control.</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060"/>
          </w:cols>
          <w:pgMar w:left="320" w:top="486"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Christine Fox</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entered into an employment agreement with Ms. Christine Fox on October 20, 2020, as amended on September 3,</w:t>
      </w:r>
    </w:p>
    <w:p>
      <w:pPr>
        <w:spacing w:after="0" w:line="43" w:lineRule="exact"/>
        <w:rPr>
          <w:sz w:val="20"/>
          <w:szCs w:val="20"/>
          <w:color w:val="auto"/>
        </w:rPr>
      </w:pPr>
    </w:p>
    <w:p>
      <w:pPr>
        <w:jc w:val="both"/>
        <w:ind w:left="120" w:right="520"/>
        <w:spacing w:after="0" w:line="234" w:lineRule="auto"/>
        <w:rPr>
          <w:sz w:val="20"/>
          <w:szCs w:val="20"/>
          <w:color w:val="auto"/>
        </w:rPr>
      </w:pPr>
      <w:r>
        <w:rPr>
          <w:rFonts w:ascii="Arial" w:cs="Arial" w:eastAsia="Arial" w:hAnsi="Arial"/>
          <w:sz w:val="22"/>
          <w:szCs w:val="22"/>
          <w:color w:val="auto"/>
        </w:rPr>
        <w:t>2021. The employment agreement entitles Ms. Fox to receive an annual base salary and an opportunity to earn an annual discretionary performance-based bonus, subject to the achievement of performance goals determined in accordance with Mereo’s annual bonus plan.</w:t>
      </w:r>
    </w:p>
    <w:p>
      <w:pPr>
        <w:spacing w:after="0" w:line="187"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Ms. Fox is also eligible to participate in Mereo’s group personal pension scheme and Mereo has agreed to contribute to the pension scheme an amount equal to 10% of Ms. Fox’s annual salary provided that she contributes 4% or more of her annual salary to that scheme. In lieu of a pension contribution, Mereo may, at Ms. Fox’s request, pay a pro-rata amount equal to 10% of her base salary as additional compensation. Either party may terminate the employment agreement by giving the other party not less than six months’ written notice, provided that Mereo may terminate Ms. Fox at any time with immediate effect for cause or by giving written notice to Ms. Fox that Mereo instead pay her basic salary for any remaining notice period. Ms. Fox’s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 The employment agreement includes the provision of accelerated vesting of share options and payments to Ms. Fox equal to 12 months’ annual base salary and Ms. Fox’s target annual bonus in the event of a covered termination during the period commencing on a change in control of the Company and ending 12 months after such change in control.</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Dr. Alastair MacKinnon</w:t>
      </w:r>
    </w:p>
    <w:p>
      <w:pPr>
        <w:spacing w:after="0" w:line="98" w:lineRule="exact"/>
        <w:rPr>
          <w:sz w:val="20"/>
          <w:szCs w:val="20"/>
          <w:color w:val="auto"/>
        </w:rPr>
      </w:pPr>
    </w:p>
    <w:p>
      <w:pPr>
        <w:ind w:left="120" w:right="300" w:firstLine="551"/>
        <w:spacing w:after="0" w:line="287" w:lineRule="auto"/>
        <w:rPr>
          <w:sz w:val="20"/>
          <w:szCs w:val="20"/>
          <w:color w:val="auto"/>
        </w:rPr>
      </w:pPr>
      <w:r>
        <w:rPr>
          <w:rFonts w:ascii="Arial" w:cs="Arial" w:eastAsia="Arial" w:hAnsi="Arial"/>
          <w:sz w:val="19"/>
          <w:szCs w:val="19"/>
          <w:color w:val="auto"/>
        </w:rPr>
        <w:t>We entered into an employment agreement with Dr. MacKinnon on July 29, 2015, and subsequently amended the agreement on November 24, 2017, and on September 3, 2021. This agreement entitles Dr. MacKinnon to receive an annual base salary and an opportunity to earn an annual discretionary performance-based bonus, subject to the achievement of performance goals determined in accordance with our annual bonus plan.</w:t>
      </w:r>
    </w:p>
    <w:p>
      <w:pPr>
        <w:spacing w:after="0" w:line="143"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 Dr. MacKinnon’s request, pay a pro-rata amount equal to 10% of his base salary as additional compensation. Either party may terminate the employment agreement by giving the other party not less than six months’ written notice, provided that we may terminate Dr. MacKinnon at any time with immediate effect for cause or by giving written notice to Dr. MacKinnon that we instead pay his basic salary for any</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060"/>
          </w:cols>
          <w:pgMar w:left="320" w:top="486"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spacing w:after="0" w:line="246" w:lineRule="auto"/>
        <w:rPr>
          <w:sz w:val="20"/>
          <w:szCs w:val="20"/>
          <w:color w:val="auto"/>
        </w:rPr>
      </w:pPr>
      <w:r>
        <w:rPr>
          <w:rFonts w:ascii="Arial" w:cs="Arial" w:eastAsia="Arial" w:hAnsi="Arial"/>
          <w:sz w:val="21"/>
          <w:szCs w:val="21"/>
          <w:color w:val="auto"/>
        </w:rPr>
        <w:t>remaining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Dr MacKinnon equal to 12 months’ annual base salary and Dr MacKinnon’s target annual bonus in the event of a covered termination during the period commencing on a change in control of the Company and ending 12 months after such change in control.</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John Richard</w:t>
      </w:r>
    </w:p>
    <w:p>
      <w:pPr>
        <w:spacing w:after="0" w:line="98" w:lineRule="exact"/>
        <w:rPr>
          <w:sz w:val="20"/>
          <w:szCs w:val="20"/>
          <w:color w:val="auto"/>
        </w:rPr>
      </w:pPr>
    </w:p>
    <w:p>
      <w:pPr>
        <w:ind w:left="120" w:right="1000" w:firstLine="551"/>
        <w:spacing w:after="0" w:line="328" w:lineRule="auto"/>
        <w:rPr>
          <w:sz w:val="20"/>
          <w:szCs w:val="20"/>
          <w:color w:val="auto"/>
        </w:rPr>
      </w:pPr>
      <w:r>
        <w:rPr>
          <w:rFonts w:ascii="Arial" w:cs="Arial" w:eastAsia="Arial" w:hAnsi="Arial"/>
          <w:sz w:val="19"/>
          <w:szCs w:val="19"/>
          <w:color w:val="auto"/>
        </w:rPr>
        <w:t>Mr. Richard currently provides services to us pursuant to a revised and restated employment agreement dated September 1, 2019, and a change in control and severance agreement dated September 3, 2021.</w:t>
      </w:r>
    </w:p>
    <w:p>
      <w:pPr>
        <w:spacing w:after="0" w:line="105" w:lineRule="exact"/>
        <w:rPr>
          <w:sz w:val="20"/>
          <w:szCs w:val="20"/>
          <w:color w:val="auto"/>
        </w:rPr>
      </w:pPr>
    </w:p>
    <w:p>
      <w:pPr>
        <w:ind w:left="120" w:firstLine="551"/>
        <w:spacing w:after="0" w:line="245" w:lineRule="auto"/>
        <w:rPr>
          <w:sz w:val="20"/>
          <w:szCs w:val="20"/>
          <w:color w:val="auto"/>
        </w:rPr>
      </w:pPr>
      <w:r>
        <w:rPr>
          <w:rFonts w:ascii="Arial" w:cs="Arial" w:eastAsia="Arial" w:hAnsi="Arial"/>
          <w:sz w:val="21"/>
          <w:szCs w:val="21"/>
          <w:color w:val="auto"/>
        </w:rPr>
        <w:t>Mr. Richard’s employment agreement entitles him to receive an annual base salary and an opportunity to earn an annual discretionary performance-based bonus, subject to the achievement of performance goals determined in accordance with our annual bonus plan. Either party may terminate the employment agreement by giving the other party not less than three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or customers for a period of six months following his termination of employment. Mr. Richard’s employment agreement includes the provision of accelerated vesting of share options and payments to Mr Richard equal to 12 months’ annual base salary and Mr Richard’s target annual bonus in the event of a covered termination following a change in control of the Company.</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Charles Sermon</w:t>
      </w:r>
    </w:p>
    <w:p>
      <w:pPr>
        <w:spacing w:after="0" w:line="98"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We entered into an employment agreement with Mr. Sermon on July 29, 2015 as amended on September 3, 2021. This agreement entitles Mr. Sermon to an annual base salary and an opportunity to earn an annual discretionary performance- 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Mr Sermon equal to 12 months’ annual base salary and Mr Sermon’s target annual bonus in the event of a covered termination during the period commencing on a change in control of the Company and ending 12 months after such change in control.</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Alexandra (Wills) Hughes-Wilson</w:t>
      </w:r>
    </w:p>
    <w:p>
      <w:pPr>
        <w:spacing w:after="0" w:line="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Mereo entered into a part-time employment agreement with Ms. Alexandra (Wills) Hughes-Wilson on March 8, 2019, as amended on September 16, 2021. The employment agreement entitles Ms. Hughes-Wilson to an annual base salary and an opportunity to earn an annual discretionary performance-based bonus, subject to the achievement of performance goals determined in accordance with Mereo’s annual bonus plan.</w:t>
      </w:r>
    </w:p>
    <w:p>
      <w:pPr>
        <w:spacing w:after="0" w:line="185"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Ms. Hughes-Wilson is also eligible to participate in Mereo’s group personal pension scheme and Mereo has agreed to contribute to the pension scheme an amount equal to 10% of Ms. Hughes-Wilson annual salary provided that she contributes 4% or more of her annual salary to that scheme. In lieu of a pension contribution, Mereo may, at Ms. Hughes-Wilson’s request, pay a pro-rata amount equal to 10% of her base salary as additional compensation. Either party may terminate the employment agreement by giving the other party not less than six months’ written notice, provided that Mereo may terminate Ms. Hughes-Wilson at any time with immediate effect for cause or by giving written notice to Ms. Hughes-Wilson that Mereo instead pay her basic salary for any remaining notice period. Ms. Hughes-Wilson’s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 The employment agreement includes the provision of accelerated vesting of share options and payments to Ms Hughes-Wilson equal to 12 months’ annual base salary and Ms Hughes-Wilson’s target annual bonus in the event of a covered termination during the period commencing on a change in control of the Company and ending 12 months after such change in control.</w:t>
      </w:r>
    </w:p>
    <w:p>
      <w:pPr>
        <w:sectPr>
          <w:pgSz w:w="11900" w:h="16838" w:orient="portrait"/>
          <w:cols w:equalWidth="0" w:num="1">
            <w:col w:w="11100"/>
          </w:cols>
          <w:pgMar w:left="320" w:top="486" w:right="479" w:bottom="0" w:gutter="0" w:footer="0" w:header="0"/>
        </w:sect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Dr. John Lewicki</w:t>
      </w:r>
    </w:p>
    <w:p>
      <w:pPr>
        <w:sectPr>
          <w:pgSz w:w="11900" w:h="16838" w:orient="portrait"/>
          <w:cols w:equalWidth="0" w:num="1">
            <w:col w:w="11100"/>
          </w:cols>
          <w:pgMar w:left="320" w:top="486" w:right="479" w:bottom="0" w:gutter="0" w:footer="0" w:header="0"/>
          <w:type w:val="continuous"/>
        </w:sectPr>
      </w:pPr>
    </w:p>
    <w:bookmarkStart w:id="116" w:name="page117"/>
    <w:bookmarkEnd w:id="116"/>
    <w:p>
      <w:pPr>
        <w:ind w:firstLine="551"/>
        <w:spacing w:after="0" w:line="234" w:lineRule="auto"/>
        <w:rPr>
          <w:sz w:val="20"/>
          <w:szCs w:val="20"/>
          <w:color w:val="auto"/>
        </w:rPr>
      </w:pPr>
      <w:r>
        <w:rPr>
          <w:rFonts w:ascii="Arial" w:cs="Arial" w:eastAsia="Arial" w:hAnsi="Arial"/>
          <w:sz w:val="22"/>
          <w:szCs w:val="22"/>
          <w:color w:val="auto"/>
        </w:rPr>
        <w:t>We entered into an employment agreement with Dr. Lewicki on July 1, 2020, as amended on September 3, 2021. This agreement entitles Dr. Lewicki to receive an annual base salary and an opportunity to earn an annual discretionary performance-based bonus, subject to the achievement of performance goals determined in accordance with our annual bonus plan. Either party can terminate the employment agreement at any time, with or without cause. Dr. Lewicki’s employment agreement also contains restrictive covenants pursuant to which he has agreed to refrain from soliciting our key employees for a period of one year following his termination of employment. The employment agreement includes the provision of accelerated vesting of share options and payments to Dr. Lewicki in the event of a covered termination following a change in control of the Company</w:t>
      </w:r>
    </w:p>
    <w:p>
      <w:pPr>
        <w:spacing w:after="0" w:line="187" w:lineRule="exact"/>
        <w:rPr>
          <w:sz w:val="20"/>
          <w:szCs w:val="20"/>
          <w:color w:val="auto"/>
        </w:rPr>
      </w:pPr>
    </w:p>
    <w:p>
      <w:pPr>
        <w:ind w:right="40" w:firstLine="551"/>
        <w:spacing w:after="0"/>
        <w:rPr>
          <w:sz w:val="20"/>
          <w:szCs w:val="20"/>
          <w:color w:val="auto"/>
        </w:rPr>
      </w:pPr>
      <w:r>
        <w:rPr>
          <w:rFonts w:ascii="Arial" w:cs="Arial" w:eastAsia="Arial" w:hAnsi="Arial"/>
          <w:sz w:val="22"/>
          <w:szCs w:val="22"/>
          <w:color w:val="auto"/>
        </w:rPr>
        <w:t>During 2020, we also made payments due to Dr. Lewicki pursuant to (i) a Consulting Agreement, dated April 23, 2019, between Dr. Lewicki and OncoMed and (ii) a Severance Agreement, dated October 17, 2018, between Dr. Lewicki and OncoMed.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0920"/>
          </w:cols>
          <w:pgMar w:left="440" w:top="118"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Dr. Jackie Parkin</w:t>
      </w:r>
    </w:p>
    <w:p>
      <w:pPr>
        <w:spacing w:after="0" w:line="98"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9"/>
          <w:szCs w:val="19"/>
          <w:color w:val="auto"/>
        </w:rPr>
        <w:t>We entered into an employment agreement with Dr. Parkin on October 26, 2015 as amended on October 12, 2021. This agreement entitles Dr. Parkin to an annual base salary and an opportunity to earn an annual discretionary performance- based bonus, subject to the achievement of performance goals determined in accordance with our annual bonus plan. We have agreed to contribute to Dr. Parkin’s Self-Invested Personal Pension Scheme an amount equal to 10% of Dr. Parkin’s annual salary provided that she contributes 4% or more of her annual salary to that scheme. In lieu of a pension contribution, we may, at Dr. Parkin’s request, pay a pro-rata amount equal to 10% of her base salary as additional compensation. Either party may terminate the employment agreement by giving the other party not less than six months’ written notice, provided that we may terminate Dr. Parkin at any time with immediate effect for cause or by giving written notice to Dr. Parkin’s that we will instead pay her basic salary for any remaining notice period. Dr. Parkin’s employment agreement also contains restrictive covenants pursuant to which she has agreed to refrain from competing with us or soliciting our key employees for a period of nine months following her termination of employment or soliciting our customers for a period of six months following her termination of employment. The employment agreement includes the provision of accelerated vesting of share options and payments to Dr. Parkin equal to 12 months’ annual base salary and Dr. Parkin’s target annual bonus in the event of a covered termination during the period commencing on a change in control of the Company and ending 12 months after such change in control.</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Dr. Suba Krishnan</w:t>
      </w:r>
    </w:p>
    <w:p>
      <w:pPr>
        <w:spacing w:after="0" w:line="98" w:lineRule="exact"/>
        <w:rPr>
          <w:sz w:val="20"/>
          <w:szCs w:val="20"/>
          <w:color w:val="auto"/>
        </w:rPr>
      </w:pPr>
    </w:p>
    <w:p>
      <w:pPr>
        <w:ind w:left="120" w:right="40" w:firstLine="551"/>
        <w:spacing w:after="0" w:line="277" w:lineRule="auto"/>
        <w:rPr>
          <w:sz w:val="20"/>
          <w:szCs w:val="20"/>
          <w:color w:val="auto"/>
        </w:rPr>
      </w:pPr>
      <w:r>
        <w:rPr>
          <w:rFonts w:ascii="Arial" w:cs="Arial" w:eastAsia="Arial" w:hAnsi="Arial"/>
          <w:sz w:val="19"/>
          <w:szCs w:val="19"/>
          <w:color w:val="auto"/>
        </w:rPr>
        <w:t>We entered into an employment agreement with Dr. Krishnan on December 7, 2020. This agreement entitles Dr. Krishnan to receive an annual base salary and an opportunity to earn an annual discretionary performance-based bonus, subject to the achievement of performance goals determined in accordance with our annual bonus plan. Either party can terminate the employment agreement at any time, with or without cause. Dr. Krishnan’s employment agreement also contains restrictive covenants pursuant to which she has agreed to refrain from soliciting our key employees for a period of one year following her termination of employment. The employment agreement includes the provision of accelerated vesting of share options and payments to Dr. Krishnan in the event of a covered termination following a change in control of the Company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Compensation Awards to Non-Executive Directors and Executive Officers of Mereo</w:t>
      </w:r>
    </w:p>
    <w:p>
      <w:pPr>
        <w:spacing w:after="0" w:line="104" w:lineRule="exact"/>
        <w:rPr>
          <w:sz w:val="20"/>
          <w:szCs w:val="20"/>
          <w:color w:val="auto"/>
        </w:rPr>
      </w:pPr>
    </w:p>
    <w:p>
      <w:pPr>
        <w:ind w:left="120" w:right="80" w:firstLine="551"/>
        <w:spacing w:after="0" w:line="328" w:lineRule="auto"/>
        <w:rPr>
          <w:sz w:val="20"/>
          <w:szCs w:val="20"/>
          <w:color w:val="auto"/>
        </w:rPr>
      </w:pPr>
      <w:r>
        <w:rPr>
          <w:rFonts w:ascii="Arial" w:cs="Arial" w:eastAsia="Arial" w:hAnsi="Arial"/>
          <w:sz w:val="19"/>
          <w:szCs w:val="19"/>
          <w:color w:val="auto"/>
        </w:rPr>
        <w:t>The following table summarizes: (i) the outstanding number of options and awards under the equity incentive plans; and (ii) the number of shares granted to executive officers and non-executive directors, as of December 31, 2021:</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rPr>
              <w:t>Ordinary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5"/>
              </w:rPr>
              <w:t>Exercise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Name(1)</w:t>
            </w:r>
          </w:p>
        </w:tc>
        <w:tc>
          <w:tcPr>
            <w:tcW w:w="12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Shares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5"/>
              </w:rPr>
              <w:t>Price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2"/>
            <w:vMerge w:val="continue"/>
          </w:tcPr>
          <w:p>
            <w:pPr>
              <w:spacing w:after="0"/>
              <w:rPr>
                <w:sz w:val="18"/>
                <w:szCs w:val="18"/>
                <w:color w:val="auto"/>
              </w:rPr>
            </w:pPr>
          </w:p>
        </w:tc>
        <w:tc>
          <w:tcPr>
            <w:tcW w:w="1240" w:type="dxa"/>
            <w:vAlign w:val="bottom"/>
            <w:gridSpan w:val="2"/>
          </w:tcPr>
          <w:p>
            <w:pPr>
              <w:jc w:val="right"/>
              <w:ind w:right="300"/>
              <w:spacing w:after="0" w:line="216" w:lineRule="exact"/>
              <w:rPr>
                <w:sz w:val="20"/>
                <w:szCs w:val="20"/>
                <w:color w:val="auto"/>
              </w:rPr>
            </w:pPr>
            <w:r>
              <w:rPr>
                <w:rFonts w:ascii="Arial" w:cs="Arial" w:eastAsia="Arial" w:hAnsi="Arial"/>
                <w:sz w:val="20"/>
                <w:szCs w:val="20"/>
                <w:b w:val="1"/>
                <w:bCs w:val="1"/>
                <w:color w:val="auto"/>
                <w:w w:val="96"/>
              </w:rPr>
              <w:t>(including</w:t>
            </w:r>
          </w:p>
        </w:tc>
        <w:tc>
          <w:tcPr>
            <w:tcW w:w="1180" w:type="dxa"/>
            <w:vAlign w:val="bottom"/>
            <w:gridSpan w:val="2"/>
          </w:tcPr>
          <w:p>
            <w:pPr>
              <w:jc w:val="center"/>
              <w:ind w:right="220"/>
              <w:spacing w:after="0" w:line="216" w:lineRule="exact"/>
              <w:rPr>
                <w:sz w:val="20"/>
                <w:szCs w:val="20"/>
                <w:color w:val="auto"/>
              </w:rPr>
            </w:pPr>
            <w:r>
              <w:rPr>
                <w:rFonts w:ascii="Arial" w:cs="Arial" w:eastAsia="Arial" w:hAnsi="Arial"/>
                <w:sz w:val="20"/>
                <w:szCs w:val="20"/>
                <w:b w:val="1"/>
                <w:bCs w:val="1"/>
                <w:color w:val="auto"/>
                <w:w w:val="95"/>
              </w:rPr>
              <w:t>Ordinary</w:t>
            </w:r>
          </w:p>
        </w:tc>
        <w:tc>
          <w:tcPr>
            <w:tcW w:w="1040" w:type="dxa"/>
            <w:vAlign w:val="bottom"/>
            <w:gridSpan w:val="2"/>
          </w:tcPr>
          <w:p>
            <w:pPr>
              <w:jc w:val="center"/>
              <w:ind w:right="220"/>
              <w:spacing w:after="0" w:line="216" w:lineRule="exact"/>
              <w:rPr>
                <w:sz w:val="20"/>
                <w:szCs w:val="20"/>
                <w:color w:val="auto"/>
              </w:rPr>
            </w:pPr>
            <w:r>
              <w:rPr>
                <w:rFonts w:ascii="Arial" w:cs="Arial" w:eastAsia="Arial" w:hAnsi="Arial"/>
                <w:sz w:val="20"/>
                <w:szCs w:val="20"/>
                <w:b w:val="1"/>
                <w:bCs w:val="1"/>
                <w:color w:val="auto"/>
                <w:w w:val="92"/>
              </w:rPr>
              <w:t>Per</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center"/>
              <w:ind w:right="120"/>
              <w:spacing w:after="0" w:line="216" w:lineRule="exact"/>
              <w:rPr>
                <w:sz w:val="20"/>
                <w:szCs w:val="20"/>
                <w:color w:val="auto"/>
              </w:rPr>
            </w:pPr>
            <w:r>
              <w:rPr>
                <w:rFonts w:ascii="Arial" w:cs="Arial" w:eastAsia="Arial" w:hAnsi="Arial"/>
                <w:sz w:val="20"/>
                <w:szCs w:val="20"/>
                <w:b w:val="1"/>
                <w:bCs w:val="1"/>
                <w:color w:val="auto"/>
                <w:w w:val="87"/>
              </w:rPr>
              <w:t>Exercise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20"/>
                <w:szCs w:val="20"/>
                <w:b w:val="1"/>
                <w:bCs w:val="1"/>
                <w:color w:val="auto"/>
              </w:rPr>
              <w:t>Dr not</w:t>
            </w:r>
          </w:p>
        </w:tc>
        <w:tc>
          <w:tcPr>
            <w:tcW w:w="12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2"/>
              </w:rPr>
              <w:t>those</w:t>
            </w:r>
          </w:p>
        </w:tc>
        <w:tc>
          <w:tcPr>
            <w:tcW w:w="11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3"/>
              </w:rPr>
              <w:t>Shares</w:t>
            </w:r>
          </w:p>
        </w:tc>
        <w:tc>
          <w:tcPr>
            <w:tcW w:w="10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8"/>
              </w:rPr>
              <w:t>Ordinary</w:t>
            </w:r>
          </w:p>
        </w:tc>
        <w:tc>
          <w:tcPr>
            <w:tcW w:w="12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9"/>
              </w:rPr>
              <w:t>ADSs</w:t>
            </w:r>
          </w:p>
        </w:tc>
        <w:tc>
          <w:tcPr>
            <w:tcW w:w="84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Price</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20"/>
                <w:szCs w:val="20"/>
                <w:b w:val="1"/>
                <w:bCs w:val="1"/>
                <w:color w:val="auto"/>
              </w:rPr>
              <w:t>Ph.D or</w:t>
            </w:r>
          </w:p>
        </w:tc>
        <w:tc>
          <w:tcPr>
            <w:tcW w:w="12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5"/>
              </w:rPr>
              <w:t>represented</w:t>
            </w:r>
          </w:p>
        </w:tc>
        <w:tc>
          <w:tcPr>
            <w:tcW w:w="11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1"/>
              </w:rPr>
              <w:t>Underlying</w:t>
            </w:r>
          </w:p>
        </w:tc>
        <w:tc>
          <w:tcPr>
            <w:tcW w:w="10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Share</w:t>
            </w:r>
          </w:p>
        </w:tc>
        <w:tc>
          <w:tcPr>
            <w:tcW w:w="12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1"/>
              </w:rPr>
              <w:t>Underlying</w:t>
            </w:r>
          </w:p>
        </w:tc>
        <w:tc>
          <w:tcPr>
            <w:tcW w:w="84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Per ADS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MBBS</w:t>
            </w:r>
          </w:p>
        </w:tc>
        <w:tc>
          <w:tcPr>
            <w:tcW w:w="132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auto"/>
                <w:w w:val="98"/>
              </w:rPr>
              <w:t>by ADSs)</w:t>
            </w:r>
          </w:p>
        </w:tc>
        <w:tc>
          <w:tcPr>
            <w:tcW w:w="11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Options</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22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9"/>
              </w:rPr>
              <w:t>Options</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2"/>
          </w:tcPr>
          <w:p>
            <w:pPr>
              <w:ind w:left="300"/>
              <w:spacing w:after="0"/>
              <w:rPr>
                <w:sz w:val="20"/>
                <w:szCs w:val="20"/>
                <w:color w:val="auto"/>
              </w:rPr>
            </w:pPr>
            <w:r>
              <w:rPr>
                <w:rFonts w:ascii="Arial" w:cs="Arial" w:eastAsia="Arial" w:hAnsi="Arial"/>
                <w:sz w:val="20"/>
                <w:szCs w:val="20"/>
                <w:b w:val="1"/>
                <w:bCs w:val="1"/>
                <w:color w:val="auto"/>
              </w:rPr>
              <w:t>Grant Date</w:t>
            </w:r>
          </w:p>
        </w:tc>
        <w:tc>
          <w:tcPr>
            <w:tcW w:w="1600" w:type="dxa"/>
            <w:vAlign w:val="bottom"/>
          </w:tcPr>
          <w:p>
            <w:pPr>
              <w:ind w:left="120"/>
              <w:spacing w:after="0"/>
              <w:rPr>
                <w:sz w:val="20"/>
                <w:szCs w:val="20"/>
                <w:color w:val="auto"/>
              </w:rPr>
            </w:pPr>
            <w:r>
              <w:rPr>
                <w:rFonts w:ascii="Arial" w:cs="Arial" w:eastAsia="Arial" w:hAnsi="Arial"/>
                <w:sz w:val="20"/>
                <w:szCs w:val="20"/>
                <w:b w:val="1"/>
                <w:bCs w:val="1"/>
                <w:color w:val="auto"/>
                <w:w w:val="99"/>
              </w:rPr>
              <w:t>Expiration Date</w:t>
            </w:r>
          </w:p>
        </w:tc>
        <w:tc>
          <w:tcPr>
            <w:tcW w:w="0" w:type="dxa"/>
            <w:vAlign w:val="bottom"/>
          </w:tcPr>
          <w:p>
            <w:pPr>
              <w:spacing w:after="0"/>
              <w:rPr>
                <w:sz w:val="1"/>
                <w:szCs w:val="1"/>
                <w:color w:val="auto"/>
              </w:rPr>
            </w:pPr>
          </w:p>
        </w:tc>
      </w:tr>
      <w:tr>
        <w:trPr>
          <w:trHeight w:val="186"/>
        </w:trPr>
        <w:tc>
          <w:tcPr>
            <w:tcW w:w="2040" w:type="dxa"/>
            <w:vAlign w:val="bottom"/>
            <w:tcBorders>
              <w:top w:val="single" w:sz="8" w:color="CCEEFF"/>
            </w:tcBorders>
            <w:gridSpan w:val="2"/>
            <w:shd w:val="clear" w:color="auto" w:fill="CCEEFF"/>
          </w:tcPr>
          <w:p>
            <w:pPr>
              <w:spacing w:after="0" w:line="186" w:lineRule="exact"/>
              <w:rPr>
                <w:sz w:val="20"/>
                <w:szCs w:val="20"/>
                <w:color w:val="auto"/>
              </w:rPr>
            </w:pPr>
            <w:r>
              <w:rPr>
                <w:rFonts w:ascii="Arial" w:cs="Arial" w:eastAsia="Arial" w:hAnsi="Arial"/>
                <w:sz w:val="20"/>
                <w:szCs w:val="20"/>
                <w:color w:val="auto"/>
              </w:rPr>
              <w:t>Dr. Denise Scots-</w:t>
            </w: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Knight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1,544,745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1.29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w w:val="95"/>
              </w:rPr>
              <w:t>September 25, 2015</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w w:val="87"/>
              </w:rPr>
              <w:t>September 25, 2025</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32,205</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nil</w:t>
            </w: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April 26, 2018</w:t>
            </w:r>
          </w:p>
        </w:tc>
        <w:tc>
          <w:tcPr>
            <w:tcW w:w="1600" w:type="dxa"/>
            <w:vAlign w:val="bottom"/>
          </w:tcPr>
          <w:p>
            <w:pPr>
              <w:spacing w:after="0"/>
              <w:rPr>
                <w:sz w:val="20"/>
                <w:szCs w:val="20"/>
                <w:color w:val="auto"/>
              </w:rPr>
            </w:pPr>
            <w:r>
              <w:rPr>
                <w:rFonts w:ascii="Arial" w:cs="Arial" w:eastAsia="Arial" w:hAnsi="Arial"/>
                <w:sz w:val="20"/>
                <w:szCs w:val="20"/>
                <w:color w:val="auto"/>
              </w:rPr>
              <w:t>January 31, 2022</w:t>
            </w: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87,500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5.40</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May 20, 2019</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May 20, 2029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87,500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3.00</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July 23, 2019</w:t>
            </w:r>
          </w:p>
        </w:tc>
        <w:tc>
          <w:tcPr>
            <w:tcW w:w="1600" w:type="dxa"/>
            <w:vAlign w:val="bottom"/>
          </w:tcPr>
          <w:p>
            <w:pPr>
              <w:spacing w:after="0"/>
              <w:rPr>
                <w:sz w:val="20"/>
                <w:szCs w:val="20"/>
                <w:color w:val="auto"/>
              </w:rPr>
            </w:pPr>
            <w:r>
              <w:rPr>
                <w:rFonts w:ascii="Arial" w:cs="Arial" w:eastAsia="Arial" w:hAnsi="Arial"/>
                <w:sz w:val="20"/>
                <w:szCs w:val="20"/>
                <w:color w:val="auto"/>
              </w:rPr>
              <w:t>July 23, 2029</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175,000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1.84</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February 20, 2020</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w w:val="96"/>
              </w:rPr>
              <w:t>February 20, 2030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520,000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2.72</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February 1, 2021</w:t>
            </w:r>
          </w:p>
        </w:tc>
        <w:tc>
          <w:tcPr>
            <w:tcW w:w="1600" w:type="dxa"/>
            <w:vAlign w:val="bottom"/>
          </w:tcPr>
          <w:p>
            <w:pPr>
              <w:spacing w:after="0"/>
              <w:rPr>
                <w:sz w:val="20"/>
                <w:szCs w:val="20"/>
                <w:color w:val="auto"/>
              </w:rPr>
            </w:pPr>
            <w:r>
              <w:rPr>
                <w:rFonts w:ascii="Arial" w:cs="Arial" w:eastAsia="Arial" w:hAnsi="Arial"/>
                <w:sz w:val="20"/>
                <w:szCs w:val="20"/>
                <w:color w:val="auto"/>
              </w:rPr>
              <w:t>February 1, 2031</w:t>
            </w: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1,046,069</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040" w:type="dxa"/>
            <w:vAlign w:val="bottom"/>
            <w:gridSpan w:val="2"/>
          </w:tcPr>
          <w:p>
            <w:pPr>
              <w:spacing w:after="0"/>
              <w:rPr>
                <w:sz w:val="20"/>
                <w:szCs w:val="20"/>
                <w:color w:val="auto"/>
              </w:rPr>
            </w:pPr>
            <w:r>
              <w:rPr>
                <w:rFonts w:ascii="Arial" w:cs="Arial" w:eastAsia="Arial" w:hAnsi="Arial"/>
                <w:sz w:val="20"/>
                <w:szCs w:val="20"/>
                <w:color w:val="auto"/>
              </w:rPr>
              <w:t>Christine Fox</w:t>
            </w:r>
          </w:p>
        </w:tc>
        <w:tc>
          <w:tcPr>
            <w:tcW w:w="12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170,000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3.32</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January 19, 2021</w:t>
            </w:r>
          </w:p>
        </w:tc>
        <w:tc>
          <w:tcPr>
            <w:tcW w:w="1600" w:type="dxa"/>
            <w:vAlign w:val="bottom"/>
          </w:tcPr>
          <w:p>
            <w:pPr>
              <w:spacing w:after="0"/>
              <w:rPr>
                <w:sz w:val="20"/>
                <w:szCs w:val="20"/>
                <w:color w:val="auto"/>
              </w:rPr>
            </w:pPr>
            <w:r>
              <w:rPr>
                <w:rFonts w:ascii="Arial" w:cs="Arial" w:eastAsia="Arial" w:hAnsi="Arial"/>
                <w:sz w:val="20"/>
                <w:szCs w:val="20"/>
                <w:color w:val="auto"/>
              </w:rPr>
              <w:t>January 19, 2031</w:t>
            </w:r>
          </w:p>
        </w:tc>
        <w:tc>
          <w:tcPr>
            <w:tcW w:w="0" w:type="dxa"/>
            <w:vAlign w:val="bottom"/>
          </w:tcPr>
          <w:p>
            <w:pPr>
              <w:spacing w:after="0"/>
              <w:rPr>
                <w:sz w:val="1"/>
                <w:szCs w:val="1"/>
                <w:color w:val="auto"/>
              </w:rPr>
            </w:pPr>
          </w:p>
        </w:tc>
      </w:tr>
      <w:tr>
        <w:trPr>
          <w:trHeight w:val="213"/>
        </w:trPr>
        <w:tc>
          <w:tcPr>
            <w:tcW w:w="2040" w:type="dxa"/>
            <w:vAlign w:val="bottom"/>
            <w:gridSpan w:val="2"/>
            <w:shd w:val="clear" w:color="auto" w:fill="CCEEFF"/>
          </w:tcPr>
          <w:p>
            <w:pPr>
              <w:spacing w:after="0" w:line="212" w:lineRule="exact"/>
              <w:rPr>
                <w:sz w:val="20"/>
                <w:szCs w:val="20"/>
                <w:color w:val="auto"/>
              </w:rPr>
            </w:pPr>
            <w:r>
              <w:rPr>
                <w:rFonts w:ascii="Arial" w:cs="Arial" w:eastAsia="Arial" w:hAnsi="Arial"/>
                <w:sz w:val="20"/>
                <w:szCs w:val="20"/>
                <w:color w:val="auto"/>
              </w:rPr>
              <w:t>Dr. Alastair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4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MacKinnon</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772,371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1.29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w w:val="95"/>
              </w:rPr>
              <w:t>September 25, 2015</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w w:val="87"/>
              </w:rPr>
              <w:t>September 25, 2025</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22,588</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nil</w:t>
            </w: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April 26, 2018</w:t>
            </w:r>
          </w:p>
        </w:tc>
        <w:tc>
          <w:tcPr>
            <w:tcW w:w="1600" w:type="dxa"/>
            <w:vAlign w:val="bottom"/>
          </w:tcPr>
          <w:p>
            <w:pPr>
              <w:spacing w:after="0"/>
              <w:rPr>
                <w:sz w:val="20"/>
                <w:szCs w:val="20"/>
                <w:color w:val="auto"/>
              </w:rPr>
            </w:pPr>
            <w:r>
              <w:rPr>
                <w:rFonts w:ascii="Arial" w:cs="Arial" w:eastAsia="Arial" w:hAnsi="Arial"/>
                <w:sz w:val="20"/>
                <w:szCs w:val="20"/>
                <w:color w:val="auto"/>
              </w:rPr>
              <w:t>January 31, 2022</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27,500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5.40</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May 20, 2019</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May 20, 2029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27,500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3.00</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July 23, 2019</w:t>
            </w:r>
          </w:p>
        </w:tc>
        <w:tc>
          <w:tcPr>
            <w:tcW w:w="1600" w:type="dxa"/>
            <w:vAlign w:val="bottom"/>
          </w:tcPr>
          <w:p>
            <w:pPr>
              <w:spacing w:after="0"/>
              <w:rPr>
                <w:sz w:val="20"/>
                <w:szCs w:val="20"/>
                <w:color w:val="auto"/>
              </w:rPr>
            </w:pPr>
            <w:r>
              <w:rPr>
                <w:rFonts w:ascii="Arial" w:cs="Arial" w:eastAsia="Arial" w:hAnsi="Arial"/>
                <w:sz w:val="20"/>
                <w:szCs w:val="20"/>
                <w:color w:val="auto"/>
              </w:rPr>
              <w:t>July 23, 2029</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85,000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1.84</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February 20, 2020</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w w:val="96"/>
              </w:rPr>
              <w:t>February 20, 2030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140,000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2.72</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February 1, 2021</w:t>
            </w:r>
          </w:p>
        </w:tc>
        <w:tc>
          <w:tcPr>
            <w:tcW w:w="1600" w:type="dxa"/>
            <w:vAlign w:val="bottom"/>
          </w:tcPr>
          <w:p>
            <w:pPr>
              <w:spacing w:after="0"/>
              <w:rPr>
                <w:sz w:val="20"/>
                <w:szCs w:val="20"/>
                <w:color w:val="auto"/>
              </w:rPr>
            </w:pPr>
            <w:r>
              <w:rPr>
                <w:rFonts w:ascii="Arial" w:cs="Arial" w:eastAsia="Arial" w:hAnsi="Arial"/>
                <w:sz w:val="20"/>
                <w:szCs w:val="20"/>
                <w:color w:val="auto"/>
              </w:rPr>
              <w:t>February 1, 2031</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574,605</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20"/>
                <w:szCs w:val="20"/>
                <w:color w:val="auto"/>
              </w:rPr>
              <w:t>John Richard</w:t>
            </w: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772,371</w:t>
            </w: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1.29</w:t>
            </w: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w w:val="95"/>
              </w:rPr>
              <w:t>September 25, 2015</w:t>
            </w:r>
          </w:p>
        </w:tc>
        <w:tc>
          <w:tcPr>
            <w:tcW w:w="1600" w:type="dxa"/>
            <w:vAlign w:val="bottom"/>
          </w:tcPr>
          <w:p>
            <w:pPr>
              <w:spacing w:after="0"/>
              <w:rPr>
                <w:sz w:val="20"/>
                <w:szCs w:val="20"/>
                <w:color w:val="auto"/>
              </w:rPr>
            </w:pPr>
            <w:r>
              <w:rPr>
                <w:rFonts w:ascii="Arial" w:cs="Arial" w:eastAsia="Arial" w:hAnsi="Arial"/>
                <w:sz w:val="20"/>
                <w:szCs w:val="20"/>
                <w:color w:val="auto"/>
                <w:w w:val="87"/>
              </w:rPr>
              <w:t>September 25, 2025</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50,000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2.21</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June 1, 2016</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June 1, 2026</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27,500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5.40</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May 20, 2019</w:t>
            </w:r>
          </w:p>
        </w:tc>
        <w:tc>
          <w:tcPr>
            <w:tcW w:w="1600" w:type="dxa"/>
            <w:vAlign w:val="bottom"/>
          </w:tcPr>
          <w:p>
            <w:pPr>
              <w:spacing w:after="0"/>
              <w:rPr>
                <w:sz w:val="20"/>
                <w:szCs w:val="20"/>
                <w:color w:val="auto"/>
              </w:rPr>
            </w:pPr>
            <w:r>
              <w:rPr>
                <w:rFonts w:ascii="Arial" w:cs="Arial" w:eastAsia="Arial" w:hAnsi="Arial"/>
                <w:sz w:val="20"/>
                <w:szCs w:val="20"/>
                <w:color w:val="auto"/>
              </w:rPr>
              <w:t>May 20, 2029</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27,500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3.00</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July 23, 2019</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July 23, 2029</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85,000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1.84</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February 20, 2020</w:t>
            </w:r>
          </w:p>
        </w:tc>
        <w:tc>
          <w:tcPr>
            <w:tcW w:w="1600" w:type="dxa"/>
            <w:vAlign w:val="bottom"/>
          </w:tcPr>
          <w:p>
            <w:pPr>
              <w:spacing w:after="0"/>
              <w:rPr>
                <w:sz w:val="20"/>
                <w:szCs w:val="20"/>
                <w:color w:val="auto"/>
              </w:rPr>
            </w:pPr>
            <w:r>
              <w:rPr>
                <w:rFonts w:ascii="Arial" w:cs="Arial" w:eastAsia="Arial" w:hAnsi="Arial"/>
                <w:sz w:val="20"/>
                <w:szCs w:val="20"/>
                <w:color w:val="auto"/>
                <w:w w:val="96"/>
              </w:rPr>
              <w:t>February 20, 2030</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140,000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2.72</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February 1, 2021</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February 1, 2031</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20"/>
                <w:szCs w:val="20"/>
                <w:color w:val="auto"/>
              </w:rPr>
              <w:t>386,158</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w:t>
            </w:r>
          </w:p>
        </w:tc>
        <w:tc>
          <w:tcPr>
            <w:tcW w:w="1600" w:type="dxa"/>
            <w:vAlign w:val="bottom"/>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Charles Sermon</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772,371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1.29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w w:val="95"/>
              </w:rPr>
              <w:t>September 25, 2015</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w w:val="87"/>
              </w:rPr>
              <w:t>September 25, 2025</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23,966</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nil</w:t>
            </w:r>
          </w:p>
        </w:tc>
        <w:tc>
          <w:tcPr>
            <w:tcW w:w="12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center"/>
              <w:ind w:left="101"/>
              <w:spacing w:after="0"/>
              <w:rPr>
                <w:sz w:val="20"/>
                <w:szCs w:val="20"/>
                <w:color w:val="auto"/>
              </w:rPr>
            </w:pPr>
            <w:r>
              <w:rPr>
                <w:rFonts w:ascii="Arial" w:cs="Arial" w:eastAsia="Arial" w:hAnsi="Arial"/>
                <w:sz w:val="20"/>
                <w:szCs w:val="20"/>
                <w:color w:val="auto"/>
                <w:w w:val="99"/>
              </w:rPr>
              <w:t>—</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April 26, 2018</w:t>
            </w:r>
          </w:p>
        </w:tc>
        <w:tc>
          <w:tcPr>
            <w:tcW w:w="1600" w:type="dxa"/>
            <w:vAlign w:val="bottom"/>
          </w:tcPr>
          <w:p>
            <w:pPr>
              <w:spacing w:after="0"/>
              <w:rPr>
                <w:sz w:val="20"/>
                <w:szCs w:val="20"/>
                <w:color w:val="auto"/>
              </w:rPr>
            </w:pPr>
            <w:r>
              <w:rPr>
                <w:rFonts w:ascii="Arial" w:cs="Arial" w:eastAsia="Arial" w:hAnsi="Arial"/>
                <w:sz w:val="20"/>
                <w:szCs w:val="20"/>
                <w:color w:val="auto"/>
              </w:rPr>
              <w:t>January 31, 2022</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27,500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5.40</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May 20, 2019</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rPr>
              <w:t>May 20, 2029</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20"/>
                <w:szCs w:val="20"/>
                <w:color w:val="auto"/>
              </w:rPr>
              <w:t>27,500</w:t>
            </w:r>
          </w:p>
        </w:tc>
        <w:tc>
          <w:tcPr>
            <w:tcW w:w="840" w:type="dxa"/>
            <w:vAlign w:val="bottom"/>
            <w:gridSpan w:val="2"/>
          </w:tcPr>
          <w:p>
            <w:pPr>
              <w:jc w:val="center"/>
              <w:ind w:left="161"/>
              <w:spacing w:after="0"/>
              <w:rPr>
                <w:sz w:val="20"/>
                <w:szCs w:val="20"/>
                <w:color w:val="auto"/>
              </w:rPr>
            </w:pPr>
            <w:r>
              <w:rPr>
                <w:rFonts w:ascii="Arial" w:cs="Arial" w:eastAsia="Arial" w:hAnsi="Arial"/>
                <w:sz w:val="20"/>
                <w:szCs w:val="20"/>
                <w:color w:val="auto"/>
                <w:w w:val="87"/>
              </w:rPr>
              <w:t>3.00</w:t>
            </w:r>
          </w:p>
        </w:tc>
        <w:tc>
          <w:tcPr>
            <w:tcW w:w="1880" w:type="dxa"/>
            <w:vAlign w:val="bottom"/>
            <w:gridSpan w:val="3"/>
          </w:tcPr>
          <w:p>
            <w:pPr>
              <w:ind w:left="120"/>
              <w:spacing w:after="0"/>
              <w:rPr>
                <w:sz w:val="20"/>
                <w:szCs w:val="20"/>
                <w:color w:val="auto"/>
              </w:rPr>
            </w:pPr>
            <w:r>
              <w:rPr>
                <w:rFonts w:ascii="Arial" w:cs="Arial" w:eastAsia="Arial" w:hAnsi="Arial"/>
                <w:sz w:val="20"/>
                <w:szCs w:val="20"/>
                <w:color w:val="auto"/>
              </w:rPr>
              <w:t>July 23, 2019</w:t>
            </w:r>
          </w:p>
        </w:tc>
        <w:tc>
          <w:tcPr>
            <w:tcW w:w="1600" w:type="dxa"/>
            <w:vAlign w:val="bottom"/>
          </w:tcPr>
          <w:p>
            <w:pPr>
              <w:spacing w:after="0"/>
              <w:rPr>
                <w:sz w:val="20"/>
                <w:szCs w:val="20"/>
                <w:color w:val="auto"/>
              </w:rPr>
            </w:pPr>
            <w:r>
              <w:rPr>
                <w:rFonts w:ascii="Arial" w:cs="Arial" w:eastAsia="Arial" w:hAnsi="Arial"/>
                <w:sz w:val="20"/>
                <w:szCs w:val="20"/>
                <w:color w:val="auto"/>
              </w:rPr>
              <w:t>July 23, 2029</w:t>
            </w:r>
          </w:p>
        </w:tc>
        <w:tc>
          <w:tcPr>
            <w:tcW w:w="0" w:type="dxa"/>
            <w:vAlign w:val="bottom"/>
          </w:tcPr>
          <w:p>
            <w:pPr>
              <w:spacing w:after="0"/>
              <w:rPr>
                <w:sz w:val="1"/>
                <w:szCs w:val="1"/>
                <w:color w:val="auto"/>
              </w:rPr>
            </w:pPr>
          </w:p>
        </w:tc>
      </w:tr>
      <w:tr>
        <w:trPr>
          <w:trHeight w:val="229"/>
        </w:trPr>
        <w:tc>
          <w:tcPr>
            <w:tcW w:w="7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85,000</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20"/>
                <w:szCs w:val="20"/>
                <w:color w:val="auto"/>
                <w:w w:val="87"/>
              </w:rPr>
              <w:t>1.84</w:t>
            </w:r>
          </w:p>
        </w:tc>
        <w:tc>
          <w:tcPr>
            <w:tcW w:w="18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February 20, 2020</w:t>
            </w:r>
          </w:p>
        </w:tc>
        <w:tc>
          <w:tcPr>
            <w:tcW w:w="1600" w:type="dxa"/>
            <w:vAlign w:val="bottom"/>
            <w:shd w:val="clear" w:color="auto" w:fill="CCEEFF"/>
          </w:tcPr>
          <w:p>
            <w:pPr>
              <w:spacing w:after="0"/>
              <w:rPr>
                <w:sz w:val="20"/>
                <w:szCs w:val="20"/>
                <w:color w:val="auto"/>
              </w:rPr>
            </w:pPr>
            <w:r>
              <w:rPr>
                <w:rFonts w:ascii="Arial" w:cs="Arial" w:eastAsia="Arial" w:hAnsi="Arial"/>
                <w:sz w:val="20"/>
                <w:szCs w:val="20"/>
                <w:color w:val="auto"/>
                <w:w w:val="96"/>
              </w:rPr>
              <w:t>February 20, 2030</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940" w:type="dxa"/>
            <w:vAlign w:val="bottom"/>
          </w:tcPr>
          <w:p>
            <w:pPr>
              <w:spacing w:after="0"/>
              <w:rPr>
                <w:sz w:val="20"/>
                <w:szCs w:val="20"/>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40" w:type="dxa"/>
            <w:vAlign w:val="bottom"/>
            <w:vMerge w:val="restart"/>
          </w:tcPr>
          <w:p>
            <w:pPr>
              <w:spacing w:after="0"/>
              <w:rPr>
                <w:sz w:val="20"/>
                <w:szCs w:val="20"/>
                <w:color w:val="auto"/>
              </w:rPr>
            </w:pPr>
            <w:r>
              <w:rPr>
                <w:rFonts w:ascii="Arial" w:cs="Arial" w:eastAsia="Arial" w:hAnsi="Arial"/>
                <w:sz w:val="20"/>
                <w:szCs w:val="20"/>
                <w:color w:val="auto"/>
              </w:rPr>
              <w:t>Alexandra (Wills)</w:t>
            </w:r>
          </w:p>
        </w:tc>
        <w:tc>
          <w:tcPr>
            <w:tcW w:w="1300" w:type="dxa"/>
            <w:vAlign w:val="bottom"/>
          </w:tcPr>
          <w:p>
            <w:pPr>
              <w:jc w:val="right"/>
              <w:ind w:right="101"/>
              <w:spacing w:after="0"/>
              <w:rPr>
                <w:sz w:val="20"/>
                <w:szCs w:val="20"/>
                <w:color w:val="auto"/>
              </w:rPr>
            </w:pPr>
            <w:r>
              <w:rPr>
                <w:rFonts w:ascii="Arial" w:cs="Arial" w:eastAsia="Arial" w:hAnsi="Arial"/>
                <w:sz w:val="20"/>
                <w:szCs w:val="20"/>
                <w:color w:val="auto"/>
              </w:rPr>
              <w:t>661,884</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9"/>
        </w:trPr>
        <w:tc>
          <w:tcPr>
            <w:tcW w:w="19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tcPr>
          <w:p>
            <w:pPr>
              <w:ind w:left="200"/>
              <w:spacing w:after="0"/>
              <w:rPr>
                <w:sz w:val="20"/>
                <w:szCs w:val="20"/>
                <w:color w:val="auto"/>
              </w:rPr>
            </w:pPr>
            <w:r>
              <w:rPr>
                <w:rFonts w:ascii="Arial" w:cs="Arial" w:eastAsia="Arial" w:hAnsi="Arial"/>
                <w:sz w:val="20"/>
                <w:szCs w:val="20"/>
                <w:color w:val="auto"/>
              </w:rPr>
              <w:t>Hughes-Wilson</w:t>
            </w: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41"/>
              <w:spacing w:after="0"/>
              <w:rPr>
                <w:sz w:val="20"/>
                <w:szCs w:val="20"/>
                <w:color w:val="auto"/>
              </w:rPr>
            </w:pPr>
            <w:r>
              <w:rPr>
                <w:rFonts w:ascii="Arial" w:cs="Arial" w:eastAsia="Arial" w:hAnsi="Arial"/>
                <w:sz w:val="20"/>
                <w:szCs w:val="20"/>
                <w:color w:val="auto"/>
              </w:rPr>
              <w:t>30,769</w:t>
            </w:r>
          </w:p>
        </w:tc>
        <w:tc>
          <w:tcPr>
            <w:tcW w:w="700" w:type="dxa"/>
            <w:vAlign w:val="bottom"/>
          </w:tcPr>
          <w:p>
            <w:pPr>
              <w:ind w:left="340"/>
              <w:spacing w:after="0"/>
              <w:rPr>
                <w:sz w:val="20"/>
                <w:szCs w:val="20"/>
                <w:color w:val="auto"/>
              </w:rPr>
            </w:pPr>
            <w:r>
              <w:rPr>
                <w:rFonts w:ascii="Arial" w:cs="Arial" w:eastAsia="Arial" w:hAnsi="Arial"/>
                <w:sz w:val="20"/>
                <w:szCs w:val="20"/>
                <w:color w:val="auto"/>
                <w:w w:val="87"/>
              </w:rPr>
              <w:t>3.25</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41"/>
              <w:spacing w:after="0"/>
              <w:rPr>
                <w:sz w:val="20"/>
                <w:szCs w:val="20"/>
                <w:color w:val="auto"/>
              </w:rPr>
            </w:pPr>
            <w:r>
              <w:rPr>
                <w:rFonts w:ascii="Arial" w:cs="Arial" w:eastAsia="Arial" w:hAnsi="Arial"/>
                <w:sz w:val="20"/>
                <w:szCs w:val="20"/>
                <w:color w:val="auto"/>
              </w:rPr>
              <w:t>9,231</w:t>
            </w:r>
          </w:p>
        </w:tc>
        <w:tc>
          <w:tcPr>
            <w:tcW w:w="700" w:type="dxa"/>
            <w:vAlign w:val="bottom"/>
          </w:tcPr>
          <w:p>
            <w:pPr>
              <w:ind w:left="340"/>
              <w:spacing w:after="0"/>
              <w:rPr>
                <w:sz w:val="20"/>
                <w:szCs w:val="20"/>
                <w:color w:val="auto"/>
              </w:rPr>
            </w:pPr>
            <w:r>
              <w:rPr>
                <w:rFonts w:ascii="Arial" w:cs="Arial" w:eastAsia="Arial" w:hAnsi="Arial"/>
                <w:sz w:val="20"/>
                <w:szCs w:val="20"/>
                <w:color w:val="auto"/>
                <w:w w:val="87"/>
              </w:rPr>
              <w:t>3.25</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20"/>
                <w:szCs w:val="20"/>
                <w:color w:val="auto"/>
              </w:rPr>
              <w:t>38,250</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20"/>
                <w:szCs w:val="20"/>
                <w:color w:val="auto"/>
              </w:rPr>
              <w:t>Dr. John Lewicki</w:t>
            </w: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20"/>
                <w:szCs w:val="20"/>
                <w:color w:val="auto"/>
              </w:rPr>
              <w:t>90,995</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20"/>
                <w:szCs w:val="20"/>
                <w:color w:val="auto"/>
              </w:rPr>
              <w:t>Dr. Suba Krishnan</w:t>
            </w: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Arial" w:cs="Arial" w:eastAsia="Arial" w:hAnsi="Arial"/>
                <w:sz w:val="20"/>
                <w:szCs w:val="20"/>
                <w:color w:val="auto"/>
              </w:rPr>
              <w:t>Dr. Jackie Parkin</w:t>
            </w: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41"/>
              <w:spacing w:after="0"/>
              <w:rPr>
                <w:sz w:val="20"/>
                <w:szCs w:val="20"/>
                <w:color w:val="auto"/>
              </w:rPr>
            </w:pPr>
            <w:r>
              <w:rPr>
                <w:rFonts w:ascii="Arial" w:cs="Arial" w:eastAsia="Arial" w:hAnsi="Arial"/>
                <w:sz w:val="20"/>
                <w:szCs w:val="20"/>
                <w:color w:val="auto"/>
              </w:rPr>
              <w:t>406,240</w:t>
            </w:r>
          </w:p>
        </w:tc>
        <w:tc>
          <w:tcPr>
            <w:tcW w:w="700" w:type="dxa"/>
            <w:vAlign w:val="bottom"/>
          </w:tcPr>
          <w:p>
            <w:pPr>
              <w:ind w:left="340"/>
              <w:spacing w:after="0"/>
              <w:rPr>
                <w:sz w:val="20"/>
                <w:szCs w:val="20"/>
                <w:color w:val="auto"/>
              </w:rPr>
            </w:pPr>
            <w:r>
              <w:rPr>
                <w:rFonts w:ascii="Arial" w:cs="Arial" w:eastAsia="Arial" w:hAnsi="Arial"/>
                <w:sz w:val="20"/>
                <w:szCs w:val="20"/>
                <w:color w:val="auto"/>
                <w:w w:val="87"/>
              </w:rPr>
              <w:t>1.29</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20"/>
                <w:szCs w:val="20"/>
                <w:color w:val="auto"/>
              </w:rPr>
              <w:t>Dr. Peter Fellner</w:t>
            </w: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41"/>
              <w:spacing w:after="0"/>
              <w:rPr>
                <w:sz w:val="20"/>
                <w:szCs w:val="20"/>
                <w:color w:val="auto"/>
              </w:rPr>
            </w:pPr>
            <w:r>
              <w:rPr>
                <w:rFonts w:ascii="Arial" w:cs="Arial" w:eastAsia="Arial" w:hAnsi="Arial"/>
                <w:sz w:val="20"/>
                <w:szCs w:val="20"/>
                <w:color w:val="auto"/>
              </w:rPr>
              <w:t>1,692,673</w:t>
            </w:r>
          </w:p>
        </w:tc>
        <w:tc>
          <w:tcPr>
            <w:tcW w:w="700" w:type="dxa"/>
            <w:vAlign w:val="bottom"/>
          </w:tcPr>
          <w:p>
            <w:pPr>
              <w:ind w:left="340"/>
              <w:spacing w:after="0"/>
              <w:rPr>
                <w:sz w:val="20"/>
                <w:szCs w:val="20"/>
                <w:color w:val="auto"/>
              </w:rPr>
            </w:pPr>
            <w:r>
              <w:rPr>
                <w:rFonts w:ascii="Arial" w:cs="Arial" w:eastAsia="Arial" w:hAnsi="Arial"/>
                <w:sz w:val="20"/>
                <w:szCs w:val="20"/>
                <w:color w:val="auto"/>
                <w:w w:val="87"/>
              </w:rPr>
              <w:t>1.29</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20"/>
                <w:szCs w:val="20"/>
                <w:color w:val="auto"/>
              </w:rPr>
              <w:t>65,500</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Arial" w:cs="Arial" w:eastAsia="Arial" w:hAnsi="Arial"/>
                <w:sz w:val="20"/>
                <w:szCs w:val="20"/>
                <w:color w:val="auto"/>
              </w:rPr>
              <w:t>Dr. Jeremy Bender</w:t>
            </w: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3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-3645535</wp:posOffset>
            </wp:positionV>
            <wp:extent cx="699516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-3208020</wp:posOffset>
            </wp:positionV>
            <wp:extent cx="699516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-2916555</wp:posOffset>
            </wp:positionV>
            <wp:extent cx="699516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-2625090</wp:posOffset>
            </wp:positionV>
            <wp:extent cx="699516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-2333625</wp:posOffset>
            </wp:positionV>
            <wp:extent cx="699516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-2042160</wp:posOffset>
            </wp:positionV>
            <wp:extent cx="699516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-1750695</wp:posOffset>
            </wp:positionV>
            <wp:extent cx="699516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-1459230</wp:posOffset>
            </wp:positionV>
            <wp:extent cx="699516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-1167765</wp:posOffset>
            </wp:positionV>
            <wp:extent cx="699516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-876300</wp:posOffset>
            </wp:positionV>
            <wp:extent cx="699516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699516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699516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940" w:type="dxa"/>
            <w:vAlign w:val="bottom"/>
          </w:tcPr>
          <w:p>
            <w:pPr>
              <w:jc w:val="right"/>
              <w:ind w:right="201"/>
              <w:spacing w:after="0"/>
              <w:rPr>
                <w:sz w:val="20"/>
                <w:szCs w:val="20"/>
                <w:color w:val="auto"/>
              </w:rPr>
            </w:pPr>
            <w:r>
              <w:rPr>
                <w:rFonts w:ascii="Arial" w:cs="Arial" w:eastAsia="Arial" w:hAnsi="Arial"/>
                <w:sz w:val="20"/>
                <w:szCs w:val="20"/>
                <w:color w:val="auto"/>
                <w:w w:val="85"/>
              </w:rPr>
              <w:t>150,000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2.72</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1, 2021</w:t>
            </w:r>
          </w:p>
        </w:tc>
        <w:tc>
          <w:tcPr>
            <w:tcW w:w="1680" w:type="dxa"/>
            <w:vAlign w:val="bottom"/>
          </w:tcPr>
          <w:p>
            <w:pPr>
              <w:ind w:left="100"/>
              <w:spacing w:after="0"/>
              <w:rPr>
                <w:sz w:val="20"/>
                <w:szCs w:val="20"/>
                <w:color w:val="auto"/>
              </w:rPr>
            </w:pPr>
            <w:r>
              <w:rPr>
                <w:rFonts w:ascii="Arial" w:cs="Arial" w:eastAsia="Arial" w:hAnsi="Arial"/>
                <w:sz w:val="20"/>
                <w:szCs w:val="20"/>
                <w:color w:val="auto"/>
              </w:rPr>
              <w:t>February 1, 2031</w:t>
            </w:r>
          </w:p>
        </w:tc>
      </w:tr>
      <w:tr>
        <w:trPr>
          <w:trHeight w:val="250"/>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rPr>
              <w:t>—</w:t>
            </w:r>
          </w:p>
        </w:tc>
        <w:tc>
          <w:tcPr>
            <w:tcW w:w="1680" w:type="dxa"/>
            <w:vAlign w:val="bottom"/>
          </w:tcPr>
          <w:p>
            <w:pPr>
              <w:ind w:left="100"/>
              <w:spacing w:after="0"/>
              <w:rPr>
                <w:sz w:val="20"/>
                <w:szCs w:val="20"/>
                <w:color w:val="auto"/>
              </w:rPr>
            </w:pPr>
            <w:r>
              <w:rPr>
                <w:rFonts w:ascii="Arial" w:cs="Arial" w:eastAsia="Arial" w:hAnsi="Arial"/>
                <w:sz w:val="20"/>
                <w:szCs w:val="20"/>
                <w:color w:val="auto"/>
              </w:rPr>
              <w:t>—</w:t>
            </w:r>
          </w:p>
        </w:tc>
      </w:tr>
      <w:tr>
        <w:trPr>
          <w:trHeight w:val="438"/>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rPr>
              <w:t>May 2, 2018</w:t>
            </w:r>
          </w:p>
        </w:tc>
        <w:tc>
          <w:tcPr>
            <w:tcW w:w="1680" w:type="dxa"/>
            <w:vAlign w:val="bottom"/>
          </w:tcPr>
          <w:p>
            <w:pPr>
              <w:ind w:left="100"/>
              <w:spacing w:after="0"/>
              <w:rPr>
                <w:sz w:val="20"/>
                <w:szCs w:val="20"/>
                <w:color w:val="auto"/>
              </w:rPr>
            </w:pPr>
            <w:r>
              <w:rPr>
                <w:rFonts w:ascii="Arial" w:cs="Arial" w:eastAsia="Arial" w:hAnsi="Arial"/>
                <w:sz w:val="20"/>
                <w:szCs w:val="20"/>
                <w:color w:val="auto"/>
              </w:rPr>
              <w:t>May 2, 2028</w:t>
            </w:r>
          </w:p>
        </w:tc>
      </w:tr>
      <w:tr>
        <w:trPr>
          <w:trHeight w:val="229"/>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rPr>
              <w:t>May 2, 2018</w:t>
            </w:r>
          </w:p>
        </w:tc>
        <w:tc>
          <w:tcPr>
            <w:tcW w:w="1680" w:type="dxa"/>
            <w:vAlign w:val="bottom"/>
          </w:tcPr>
          <w:p>
            <w:pPr>
              <w:ind w:left="100"/>
              <w:spacing w:after="0"/>
              <w:rPr>
                <w:sz w:val="20"/>
                <w:szCs w:val="20"/>
                <w:color w:val="auto"/>
              </w:rPr>
            </w:pPr>
            <w:r>
              <w:rPr>
                <w:rFonts w:ascii="Arial" w:cs="Arial" w:eastAsia="Arial" w:hAnsi="Arial"/>
                <w:sz w:val="20"/>
                <w:szCs w:val="20"/>
                <w:color w:val="auto"/>
              </w:rPr>
              <w:t>May 2, 2028</w:t>
            </w:r>
          </w:p>
        </w:tc>
      </w:tr>
      <w:tr>
        <w:trPr>
          <w:trHeight w:val="230"/>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18,000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5.40</w:t>
            </w:r>
          </w:p>
        </w:tc>
        <w:tc>
          <w:tcPr>
            <w:tcW w:w="1780" w:type="dxa"/>
            <w:vAlign w:val="bottom"/>
          </w:tcPr>
          <w:p>
            <w:pPr>
              <w:ind w:left="120"/>
              <w:spacing w:after="0"/>
              <w:rPr>
                <w:sz w:val="20"/>
                <w:szCs w:val="20"/>
                <w:color w:val="auto"/>
              </w:rPr>
            </w:pPr>
            <w:r>
              <w:rPr>
                <w:rFonts w:ascii="Arial" w:cs="Arial" w:eastAsia="Arial" w:hAnsi="Arial"/>
                <w:sz w:val="20"/>
                <w:szCs w:val="20"/>
                <w:color w:val="auto"/>
              </w:rPr>
              <w:t>May 20, 2019</w:t>
            </w:r>
          </w:p>
        </w:tc>
        <w:tc>
          <w:tcPr>
            <w:tcW w:w="1680" w:type="dxa"/>
            <w:vAlign w:val="bottom"/>
          </w:tcPr>
          <w:p>
            <w:pPr>
              <w:ind w:left="100"/>
              <w:spacing w:after="0"/>
              <w:rPr>
                <w:sz w:val="20"/>
                <w:szCs w:val="20"/>
                <w:color w:val="auto"/>
              </w:rPr>
            </w:pPr>
            <w:r>
              <w:rPr>
                <w:rFonts w:ascii="Arial" w:cs="Arial" w:eastAsia="Arial" w:hAnsi="Arial"/>
                <w:sz w:val="20"/>
                <w:szCs w:val="20"/>
                <w:color w:val="auto"/>
              </w:rPr>
              <w:t>May 20, 2029</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18,000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3.00</w:t>
            </w:r>
          </w:p>
        </w:tc>
        <w:tc>
          <w:tcPr>
            <w:tcW w:w="1780" w:type="dxa"/>
            <w:vAlign w:val="bottom"/>
          </w:tcPr>
          <w:p>
            <w:pPr>
              <w:ind w:left="120"/>
              <w:spacing w:after="0"/>
              <w:rPr>
                <w:sz w:val="20"/>
                <w:szCs w:val="20"/>
                <w:color w:val="auto"/>
              </w:rPr>
            </w:pPr>
            <w:r>
              <w:rPr>
                <w:rFonts w:ascii="Arial" w:cs="Arial" w:eastAsia="Arial" w:hAnsi="Arial"/>
                <w:sz w:val="20"/>
                <w:szCs w:val="20"/>
                <w:color w:val="auto"/>
              </w:rPr>
              <w:t>July 23, 2019</w:t>
            </w:r>
          </w:p>
        </w:tc>
        <w:tc>
          <w:tcPr>
            <w:tcW w:w="1680" w:type="dxa"/>
            <w:vAlign w:val="bottom"/>
          </w:tcPr>
          <w:p>
            <w:pPr>
              <w:ind w:left="100"/>
              <w:spacing w:after="0"/>
              <w:rPr>
                <w:sz w:val="20"/>
                <w:szCs w:val="20"/>
                <w:color w:val="auto"/>
              </w:rPr>
            </w:pPr>
            <w:r>
              <w:rPr>
                <w:rFonts w:ascii="Arial" w:cs="Arial" w:eastAsia="Arial" w:hAnsi="Arial"/>
                <w:sz w:val="20"/>
                <w:szCs w:val="20"/>
                <w:color w:val="auto"/>
              </w:rPr>
              <w:t>July 23, 2029</w:t>
            </w:r>
          </w:p>
        </w:tc>
      </w:tr>
      <w:tr>
        <w:trPr>
          <w:trHeight w:val="230"/>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50,000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1.84</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20, 2020</w:t>
            </w:r>
          </w:p>
        </w:tc>
        <w:tc>
          <w:tcPr>
            <w:tcW w:w="1680" w:type="dxa"/>
            <w:vAlign w:val="bottom"/>
          </w:tcPr>
          <w:p>
            <w:pPr>
              <w:ind w:left="100"/>
              <w:spacing w:after="0"/>
              <w:rPr>
                <w:sz w:val="20"/>
                <w:szCs w:val="20"/>
                <w:color w:val="auto"/>
              </w:rPr>
            </w:pPr>
            <w:r>
              <w:rPr>
                <w:rFonts w:ascii="Arial" w:cs="Arial" w:eastAsia="Arial" w:hAnsi="Arial"/>
                <w:sz w:val="20"/>
                <w:szCs w:val="20"/>
                <w:color w:val="auto"/>
                <w:w w:val="95"/>
              </w:rPr>
              <w:t>February 20, 2030</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w w:val="85"/>
              </w:rPr>
              <w:t>100,000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2.72</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1, 2021</w:t>
            </w:r>
          </w:p>
        </w:tc>
        <w:tc>
          <w:tcPr>
            <w:tcW w:w="1680" w:type="dxa"/>
            <w:vAlign w:val="bottom"/>
          </w:tcPr>
          <w:p>
            <w:pPr>
              <w:ind w:left="100"/>
              <w:spacing w:after="0"/>
              <w:rPr>
                <w:sz w:val="20"/>
                <w:szCs w:val="20"/>
                <w:color w:val="auto"/>
              </w:rPr>
            </w:pPr>
            <w:r>
              <w:rPr>
                <w:rFonts w:ascii="Arial" w:cs="Arial" w:eastAsia="Arial" w:hAnsi="Arial"/>
                <w:sz w:val="20"/>
                <w:szCs w:val="20"/>
                <w:color w:val="auto"/>
              </w:rPr>
              <w:t>February 1, 2031</w:t>
            </w:r>
          </w:p>
        </w:tc>
      </w:tr>
      <w:tr>
        <w:trPr>
          <w:trHeight w:val="229"/>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rPr>
              <w:t>—</w:t>
            </w:r>
          </w:p>
        </w:tc>
        <w:tc>
          <w:tcPr>
            <w:tcW w:w="1680" w:type="dxa"/>
            <w:vAlign w:val="bottom"/>
          </w:tcPr>
          <w:p>
            <w:pPr>
              <w:ind w:left="100"/>
              <w:spacing w:after="0"/>
              <w:rPr>
                <w:sz w:val="20"/>
                <w:szCs w:val="20"/>
                <w:color w:val="auto"/>
              </w:rPr>
            </w:pPr>
            <w:r>
              <w:rPr>
                <w:rFonts w:ascii="Arial" w:cs="Arial" w:eastAsia="Arial" w:hAnsi="Arial"/>
                <w:sz w:val="20"/>
                <w:szCs w:val="20"/>
                <w:color w:val="auto"/>
              </w:rPr>
              <w:t>—</w:t>
            </w:r>
          </w:p>
        </w:tc>
      </w:tr>
      <w:tr>
        <w:trPr>
          <w:trHeight w:val="230"/>
        </w:trPr>
        <w:tc>
          <w:tcPr>
            <w:tcW w:w="940" w:type="dxa"/>
            <w:vAlign w:val="bottom"/>
          </w:tcPr>
          <w:p>
            <w:pPr>
              <w:jc w:val="right"/>
              <w:ind w:right="201"/>
              <w:spacing w:after="0"/>
              <w:rPr>
                <w:sz w:val="20"/>
                <w:szCs w:val="20"/>
                <w:color w:val="auto"/>
              </w:rPr>
            </w:pPr>
            <w:r>
              <w:rPr>
                <w:rFonts w:ascii="Arial" w:cs="Arial" w:eastAsia="Arial" w:hAnsi="Arial"/>
                <w:sz w:val="20"/>
                <w:szCs w:val="20"/>
                <w:color w:val="auto"/>
                <w:w w:val="85"/>
              </w:rPr>
              <w:t>100,000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2.77</w:t>
            </w:r>
          </w:p>
        </w:tc>
        <w:tc>
          <w:tcPr>
            <w:tcW w:w="1780" w:type="dxa"/>
            <w:vAlign w:val="bottom"/>
          </w:tcPr>
          <w:p>
            <w:pPr>
              <w:ind w:left="120"/>
              <w:spacing w:after="0"/>
              <w:rPr>
                <w:sz w:val="20"/>
                <w:szCs w:val="20"/>
                <w:color w:val="auto"/>
              </w:rPr>
            </w:pPr>
            <w:r>
              <w:rPr>
                <w:rFonts w:ascii="Arial" w:cs="Arial" w:eastAsia="Arial" w:hAnsi="Arial"/>
                <w:sz w:val="20"/>
                <w:szCs w:val="20"/>
                <w:color w:val="auto"/>
              </w:rPr>
              <w:t>August 12, 2020</w:t>
            </w:r>
          </w:p>
        </w:tc>
        <w:tc>
          <w:tcPr>
            <w:tcW w:w="1680" w:type="dxa"/>
            <w:vAlign w:val="bottom"/>
          </w:tcPr>
          <w:p>
            <w:pPr>
              <w:ind w:left="100"/>
              <w:spacing w:after="0"/>
              <w:rPr>
                <w:sz w:val="20"/>
                <w:szCs w:val="20"/>
                <w:color w:val="auto"/>
              </w:rPr>
            </w:pPr>
            <w:r>
              <w:rPr>
                <w:rFonts w:ascii="Arial" w:cs="Arial" w:eastAsia="Arial" w:hAnsi="Arial"/>
                <w:sz w:val="20"/>
                <w:szCs w:val="20"/>
                <w:color w:val="auto"/>
              </w:rPr>
              <w:t>August 12, 2030</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w w:val="85"/>
              </w:rPr>
              <w:t>100,000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2.72</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1, 2021</w:t>
            </w:r>
          </w:p>
        </w:tc>
        <w:tc>
          <w:tcPr>
            <w:tcW w:w="1680" w:type="dxa"/>
            <w:vAlign w:val="bottom"/>
          </w:tcPr>
          <w:p>
            <w:pPr>
              <w:ind w:left="100"/>
              <w:spacing w:after="0"/>
              <w:rPr>
                <w:sz w:val="20"/>
                <w:szCs w:val="20"/>
                <w:color w:val="auto"/>
              </w:rPr>
            </w:pPr>
            <w:r>
              <w:rPr>
                <w:rFonts w:ascii="Arial" w:cs="Arial" w:eastAsia="Arial" w:hAnsi="Arial"/>
                <w:sz w:val="20"/>
                <w:szCs w:val="20"/>
                <w:color w:val="auto"/>
              </w:rPr>
              <w:t>February 1, 2031</w:t>
            </w:r>
          </w:p>
        </w:tc>
      </w:tr>
      <w:tr>
        <w:trPr>
          <w:trHeight w:val="229"/>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rPr>
              <w:t>—</w:t>
            </w:r>
          </w:p>
        </w:tc>
        <w:tc>
          <w:tcPr>
            <w:tcW w:w="1680" w:type="dxa"/>
            <w:vAlign w:val="bottom"/>
          </w:tcPr>
          <w:p>
            <w:pPr>
              <w:ind w:left="100"/>
              <w:spacing w:after="0"/>
              <w:rPr>
                <w:sz w:val="20"/>
                <w:szCs w:val="20"/>
                <w:color w:val="auto"/>
              </w:rPr>
            </w:pPr>
            <w:r>
              <w:rPr>
                <w:rFonts w:ascii="Arial" w:cs="Arial" w:eastAsia="Arial" w:hAnsi="Arial"/>
                <w:sz w:val="20"/>
                <w:szCs w:val="20"/>
                <w:color w:val="auto"/>
              </w:rPr>
              <w:t>—</w:t>
            </w:r>
          </w:p>
        </w:tc>
      </w:tr>
      <w:tr>
        <w:trPr>
          <w:trHeight w:val="230"/>
        </w:trPr>
        <w:tc>
          <w:tcPr>
            <w:tcW w:w="940" w:type="dxa"/>
            <w:vAlign w:val="bottom"/>
          </w:tcPr>
          <w:p>
            <w:pPr>
              <w:jc w:val="right"/>
              <w:ind w:right="201"/>
              <w:spacing w:after="0"/>
              <w:rPr>
                <w:sz w:val="20"/>
                <w:szCs w:val="20"/>
                <w:color w:val="auto"/>
              </w:rPr>
            </w:pPr>
            <w:r>
              <w:rPr>
                <w:rFonts w:ascii="Arial" w:cs="Arial" w:eastAsia="Arial" w:hAnsi="Arial"/>
                <w:sz w:val="20"/>
                <w:szCs w:val="20"/>
                <w:color w:val="auto"/>
                <w:w w:val="85"/>
              </w:rPr>
              <w:t>200,000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3.32</w:t>
            </w:r>
          </w:p>
        </w:tc>
        <w:tc>
          <w:tcPr>
            <w:tcW w:w="1780" w:type="dxa"/>
            <w:vAlign w:val="bottom"/>
          </w:tcPr>
          <w:p>
            <w:pPr>
              <w:ind w:left="120"/>
              <w:spacing w:after="0"/>
              <w:rPr>
                <w:sz w:val="20"/>
                <w:szCs w:val="20"/>
                <w:color w:val="auto"/>
              </w:rPr>
            </w:pPr>
            <w:r>
              <w:rPr>
                <w:rFonts w:ascii="Arial" w:cs="Arial" w:eastAsia="Arial" w:hAnsi="Arial"/>
                <w:sz w:val="20"/>
                <w:szCs w:val="20"/>
                <w:color w:val="auto"/>
              </w:rPr>
              <w:t>January 19, 2021</w:t>
            </w:r>
          </w:p>
        </w:tc>
        <w:tc>
          <w:tcPr>
            <w:tcW w:w="1680" w:type="dxa"/>
            <w:vAlign w:val="bottom"/>
          </w:tcPr>
          <w:p>
            <w:pPr>
              <w:ind w:left="100"/>
              <w:spacing w:after="0"/>
              <w:rPr>
                <w:sz w:val="20"/>
                <w:szCs w:val="20"/>
                <w:color w:val="auto"/>
              </w:rPr>
            </w:pPr>
            <w:r>
              <w:rPr>
                <w:rFonts w:ascii="Arial" w:cs="Arial" w:eastAsia="Arial" w:hAnsi="Arial"/>
                <w:sz w:val="20"/>
                <w:szCs w:val="20"/>
                <w:color w:val="auto"/>
              </w:rPr>
              <w:t>January 19, 2031</w:t>
            </w:r>
          </w:p>
        </w:tc>
      </w:tr>
      <w:tr>
        <w:trPr>
          <w:trHeight w:val="229"/>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rPr>
              <w:t>October 26, 2015</w:t>
            </w:r>
          </w:p>
        </w:tc>
        <w:tc>
          <w:tcPr>
            <w:tcW w:w="1680" w:type="dxa"/>
            <w:vAlign w:val="bottom"/>
          </w:tcPr>
          <w:p>
            <w:pPr>
              <w:ind w:left="100"/>
              <w:spacing w:after="0"/>
              <w:rPr>
                <w:sz w:val="20"/>
                <w:szCs w:val="20"/>
                <w:color w:val="auto"/>
              </w:rPr>
            </w:pPr>
            <w:r>
              <w:rPr>
                <w:rFonts w:ascii="Arial" w:cs="Arial" w:eastAsia="Arial" w:hAnsi="Arial"/>
                <w:sz w:val="20"/>
                <w:szCs w:val="20"/>
                <w:color w:val="auto"/>
              </w:rPr>
              <w:t>October 26, 2025</w:t>
            </w:r>
          </w:p>
        </w:tc>
      </w:tr>
      <w:tr>
        <w:trPr>
          <w:trHeight w:val="230"/>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30,000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5.40</w:t>
            </w:r>
          </w:p>
        </w:tc>
        <w:tc>
          <w:tcPr>
            <w:tcW w:w="1780" w:type="dxa"/>
            <w:vAlign w:val="bottom"/>
          </w:tcPr>
          <w:p>
            <w:pPr>
              <w:ind w:left="120"/>
              <w:spacing w:after="0"/>
              <w:rPr>
                <w:sz w:val="20"/>
                <w:szCs w:val="20"/>
                <w:color w:val="auto"/>
              </w:rPr>
            </w:pPr>
            <w:r>
              <w:rPr>
                <w:rFonts w:ascii="Arial" w:cs="Arial" w:eastAsia="Arial" w:hAnsi="Arial"/>
                <w:sz w:val="20"/>
                <w:szCs w:val="20"/>
                <w:color w:val="auto"/>
              </w:rPr>
              <w:t>May 20, 2019</w:t>
            </w:r>
          </w:p>
        </w:tc>
        <w:tc>
          <w:tcPr>
            <w:tcW w:w="1680" w:type="dxa"/>
            <w:vAlign w:val="bottom"/>
          </w:tcPr>
          <w:p>
            <w:pPr>
              <w:ind w:left="100"/>
              <w:spacing w:after="0"/>
              <w:rPr>
                <w:sz w:val="20"/>
                <w:szCs w:val="20"/>
                <w:color w:val="auto"/>
              </w:rPr>
            </w:pPr>
            <w:r>
              <w:rPr>
                <w:rFonts w:ascii="Arial" w:cs="Arial" w:eastAsia="Arial" w:hAnsi="Arial"/>
                <w:sz w:val="20"/>
                <w:szCs w:val="20"/>
                <w:color w:val="auto"/>
              </w:rPr>
              <w:t>May 20, 2029</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50,000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1.84</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20, 2020</w:t>
            </w:r>
          </w:p>
        </w:tc>
        <w:tc>
          <w:tcPr>
            <w:tcW w:w="1680" w:type="dxa"/>
            <w:vAlign w:val="bottom"/>
          </w:tcPr>
          <w:p>
            <w:pPr>
              <w:ind w:left="100"/>
              <w:spacing w:after="0"/>
              <w:rPr>
                <w:sz w:val="20"/>
                <w:szCs w:val="20"/>
                <w:color w:val="auto"/>
              </w:rPr>
            </w:pPr>
            <w:r>
              <w:rPr>
                <w:rFonts w:ascii="Arial" w:cs="Arial" w:eastAsia="Arial" w:hAnsi="Arial"/>
                <w:sz w:val="20"/>
                <w:szCs w:val="20"/>
                <w:color w:val="auto"/>
                <w:w w:val="95"/>
              </w:rPr>
              <w:t>February 20, 2030</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w w:val="85"/>
              </w:rPr>
              <w:t>100,000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2.72</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1, 2021</w:t>
            </w:r>
          </w:p>
        </w:tc>
        <w:tc>
          <w:tcPr>
            <w:tcW w:w="1680" w:type="dxa"/>
            <w:vAlign w:val="bottom"/>
          </w:tcPr>
          <w:p>
            <w:pPr>
              <w:ind w:left="100"/>
              <w:spacing w:after="0"/>
              <w:rPr>
                <w:sz w:val="20"/>
                <w:szCs w:val="20"/>
                <w:color w:val="auto"/>
              </w:rPr>
            </w:pPr>
            <w:r>
              <w:rPr>
                <w:rFonts w:ascii="Arial" w:cs="Arial" w:eastAsia="Arial" w:hAnsi="Arial"/>
                <w:sz w:val="20"/>
                <w:szCs w:val="20"/>
                <w:color w:val="auto"/>
              </w:rPr>
              <w:t>February 1, 2031</w:t>
            </w:r>
          </w:p>
        </w:tc>
      </w:t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w w:val="90"/>
              </w:rPr>
              <w:t>September 29, 2015</w:t>
            </w:r>
          </w:p>
        </w:tc>
        <w:tc>
          <w:tcPr>
            <w:tcW w:w="1680" w:type="dxa"/>
            <w:vAlign w:val="bottom"/>
          </w:tcPr>
          <w:p>
            <w:pPr>
              <w:ind w:left="100"/>
              <w:spacing w:after="0"/>
              <w:rPr>
                <w:sz w:val="20"/>
                <w:szCs w:val="20"/>
                <w:color w:val="auto"/>
              </w:rPr>
            </w:pPr>
            <w:r>
              <w:rPr>
                <w:rFonts w:ascii="Arial" w:cs="Arial" w:eastAsia="Arial" w:hAnsi="Arial"/>
                <w:sz w:val="20"/>
                <w:szCs w:val="20"/>
                <w:color w:val="auto"/>
                <w:w w:val="86"/>
              </w:rPr>
              <w:t>September 29, 2025</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5,500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5.40</w:t>
            </w:r>
          </w:p>
        </w:tc>
        <w:tc>
          <w:tcPr>
            <w:tcW w:w="1780" w:type="dxa"/>
            <w:vAlign w:val="bottom"/>
          </w:tcPr>
          <w:p>
            <w:pPr>
              <w:ind w:left="120"/>
              <w:spacing w:after="0"/>
              <w:rPr>
                <w:sz w:val="20"/>
                <w:szCs w:val="20"/>
                <w:color w:val="auto"/>
              </w:rPr>
            </w:pPr>
            <w:r>
              <w:rPr>
                <w:rFonts w:ascii="Arial" w:cs="Arial" w:eastAsia="Arial" w:hAnsi="Arial"/>
                <w:sz w:val="20"/>
                <w:szCs w:val="20"/>
                <w:color w:val="auto"/>
              </w:rPr>
              <w:t>May 20, 2019</w:t>
            </w:r>
          </w:p>
        </w:tc>
        <w:tc>
          <w:tcPr>
            <w:tcW w:w="1680" w:type="dxa"/>
            <w:vAlign w:val="bottom"/>
          </w:tcPr>
          <w:p>
            <w:pPr>
              <w:ind w:left="100"/>
              <w:spacing w:after="0"/>
              <w:rPr>
                <w:sz w:val="20"/>
                <w:szCs w:val="20"/>
                <w:color w:val="auto"/>
              </w:rPr>
            </w:pPr>
            <w:r>
              <w:rPr>
                <w:rFonts w:ascii="Arial" w:cs="Arial" w:eastAsia="Arial" w:hAnsi="Arial"/>
                <w:sz w:val="20"/>
                <w:szCs w:val="20"/>
                <w:color w:val="auto"/>
              </w:rPr>
              <w:t>May 20, 2029</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5,500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3.00</w:t>
            </w:r>
          </w:p>
        </w:tc>
        <w:tc>
          <w:tcPr>
            <w:tcW w:w="1780" w:type="dxa"/>
            <w:vAlign w:val="bottom"/>
          </w:tcPr>
          <w:p>
            <w:pPr>
              <w:ind w:left="120"/>
              <w:spacing w:after="0"/>
              <w:rPr>
                <w:sz w:val="20"/>
                <w:szCs w:val="20"/>
                <w:color w:val="auto"/>
              </w:rPr>
            </w:pPr>
            <w:r>
              <w:rPr>
                <w:rFonts w:ascii="Arial" w:cs="Arial" w:eastAsia="Arial" w:hAnsi="Arial"/>
                <w:sz w:val="20"/>
                <w:szCs w:val="20"/>
                <w:color w:val="auto"/>
              </w:rPr>
              <w:t>July 23, 2019</w:t>
            </w:r>
          </w:p>
        </w:tc>
        <w:tc>
          <w:tcPr>
            <w:tcW w:w="1680" w:type="dxa"/>
            <w:vAlign w:val="bottom"/>
          </w:tcPr>
          <w:p>
            <w:pPr>
              <w:ind w:left="100"/>
              <w:spacing w:after="0"/>
              <w:rPr>
                <w:sz w:val="20"/>
                <w:szCs w:val="20"/>
                <w:color w:val="auto"/>
              </w:rPr>
            </w:pPr>
            <w:r>
              <w:rPr>
                <w:rFonts w:ascii="Arial" w:cs="Arial" w:eastAsia="Arial" w:hAnsi="Arial"/>
                <w:sz w:val="20"/>
                <w:szCs w:val="20"/>
                <w:color w:val="auto"/>
              </w:rPr>
              <w:t>July 23, 2029</w:t>
            </w:r>
          </w:p>
        </w:tc>
      </w:tr>
      <w:tr>
        <w:trPr>
          <w:trHeight w:val="230"/>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11,000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1.84</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20, 2020</w:t>
            </w:r>
          </w:p>
        </w:tc>
        <w:tc>
          <w:tcPr>
            <w:tcW w:w="1680" w:type="dxa"/>
            <w:vAlign w:val="bottom"/>
          </w:tcPr>
          <w:p>
            <w:pPr>
              <w:ind w:left="100"/>
              <w:spacing w:after="0"/>
              <w:rPr>
                <w:sz w:val="20"/>
                <w:szCs w:val="20"/>
                <w:color w:val="auto"/>
              </w:rPr>
            </w:pPr>
            <w:r>
              <w:rPr>
                <w:rFonts w:ascii="Arial" w:cs="Arial" w:eastAsia="Arial" w:hAnsi="Arial"/>
                <w:sz w:val="20"/>
                <w:szCs w:val="20"/>
                <w:color w:val="auto"/>
                <w:w w:val="95"/>
              </w:rPr>
              <w:t>February 20, 2030</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31,500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2.72</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1, 2021</w:t>
            </w:r>
          </w:p>
        </w:tc>
        <w:tc>
          <w:tcPr>
            <w:tcW w:w="1680" w:type="dxa"/>
            <w:vAlign w:val="bottom"/>
          </w:tcPr>
          <w:p>
            <w:pPr>
              <w:ind w:left="100"/>
              <w:spacing w:after="0"/>
              <w:rPr>
                <w:sz w:val="20"/>
                <w:szCs w:val="20"/>
                <w:color w:val="auto"/>
              </w:rPr>
            </w:pPr>
            <w:r>
              <w:rPr>
                <w:rFonts w:ascii="Arial" w:cs="Arial" w:eastAsia="Arial" w:hAnsi="Arial"/>
                <w:sz w:val="20"/>
                <w:szCs w:val="20"/>
                <w:color w:val="auto"/>
              </w:rPr>
              <w:t>February 1, 2031</w:t>
            </w:r>
          </w:p>
        </w:tc>
      </w:t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780" w:type="dxa"/>
            <w:vAlign w:val="bottom"/>
          </w:tcPr>
          <w:p>
            <w:pPr>
              <w:ind w:left="120"/>
              <w:spacing w:after="0"/>
              <w:rPr>
                <w:sz w:val="20"/>
                <w:szCs w:val="20"/>
                <w:color w:val="auto"/>
              </w:rPr>
            </w:pPr>
            <w:r>
              <w:rPr>
                <w:rFonts w:ascii="Arial" w:cs="Arial" w:eastAsia="Arial" w:hAnsi="Arial"/>
                <w:sz w:val="20"/>
                <w:szCs w:val="20"/>
                <w:color w:val="auto"/>
              </w:rPr>
              <w:t>—</w:t>
            </w:r>
          </w:p>
        </w:tc>
        <w:tc>
          <w:tcPr>
            <w:tcW w:w="1680" w:type="dxa"/>
            <w:vAlign w:val="bottom"/>
          </w:tcPr>
          <w:p>
            <w:pPr>
              <w:ind w:left="100"/>
              <w:spacing w:after="0"/>
              <w:rPr>
                <w:sz w:val="20"/>
                <w:szCs w:val="20"/>
                <w:color w:val="auto"/>
              </w:rPr>
            </w:pPr>
            <w:r>
              <w:rPr>
                <w:rFonts w:ascii="Arial" w:cs="Arial" w:eastAsia="Arial" w:hAnsi="Arial"/>
                <w:sz w:val="20"/>
                <w:szCs w:val="20"/>
                <w:color w:val="auto"/>
              </w:rPr>
              <w:t>—</w:t>
            </w:r>
          </w:p>
        </w:tc>
      </w:tr>
      <w:tr>
        <w:trPr>
          <w:trHeight w:val="229"/>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22,000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3.32</w:t>
            </w:r>
          </w:p>
        </w:tc>
        <w:tc>
          <w:tcPr>
            <w:tcW w:w="1780" w:type="dxa"/>
            <w:vAlign w:val="bottom"/>
          </w:tcPr>
          <w:p>
            <w:pPr>
              <w:ind w:left="120"/>
              <w:spacing w:after="0"/>
              <w:rPr>
                <w:sz w:val="20"/>
                <w:szCs w:val="20"/>
                <w:color w:val="auto"/>
              </w:rPr>
            </w:pPr>
            <w:r>
              <w:rPr>
                <w:rFonts w:ascii="Arial" w:cs="Arial" w:eastAsia="Arial" w:hAnsi="Arial"/>
                <w:sz w:val="20"/>
                <w:szCs w:val="20"/>
                <w:color w:val="auto"/>
              </w:rPr>
              <w:t>January 19, 2021</w:t>
            </w:r>
          </w:p>
        </w:tc>
        <w:tc>
          <w:tcPr>
            <w:tcW w:w="1680" w:type="dxa"/>
            <w:vAlign w:val="bottom"/>
          </w:tcPr>
          <w:p>
            <w:pPr>
              <w:ind w:left="100"/>
              <w:spacing w:after="0"/>
              <w:rPr>
                <w:sz w:val="20"/>
                <w:szCs w:val="20"/>
                <w:color w:val="auto"/>
              </w:rPr>
            </w:pPr>
            <w:r>
              <w:rPr>
                <w:rFonts w:ascii="Arial" w:cs="Arial" w:eastAsia="Arial" w:hAnsi="Arial"/>
                <w:sz w:val="20"/>
                <w:szCs w:val="20"/>
                <w:color w:val="auto"/>
              </w:rPr>
              <w:t>January 19, 2031</w:t>
            </w:r>
          </w:p>
        </w:tc>
      </w:tr>
      <w:tr>
        <w:trPr>
          <w:trHeight w:val="250"/>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31,500</w:t>
            </w:r>
          </w:p>
        </w:tc>
        <w:tc>
          <w:tcPr>
            <w:tcW w:w="780" w:type="dxa"/>
            <w:vAlign w:val="bottom"/>
          </w:tcPr>
          <w:p>
            <w:pPr>
              <w:jc w:val="right"/>
              <w:ind w:right="21"/>
              <w:spacing w:after="0"/>
              <w:rPr>
                <w:sz w:val="20"/>
                <w:szCs w:val="20"/>
                <w:color w:val="auto"/>
              </w:rPr>
            </w:pPr>
            <w:r>
              <w:rPr>
                <w:rFonts w:ascii="Arial" w:cs="Arial" w:eastAsia="Arial" w:hAnsi="Arial"/>
                <w:sz w:val="20"/>
                <w:szCs w:val="20"/>
                <w:color w:val="auto"/>
              </w:rPr>
              <w:t>2.72</w:t>
            </w:r>
          </w:p>
        </w:tc>
        <w:tc>
          <w:tcPr>
            <w:tcW w:w="1780" w:type="dxa"/>
            <w:vAlign w:val="bottom"/>
          </w:tcPr>
          <w:p>
            <w:pPr>
              <w:ind w:left="120"/>
              <w:spacing w:after="0"/>
              <w:rPr>
                <w:sz w:val="20"/>
                <w:szCs w:val="20"/>
                <w:color w:val="auto"/>
              </w:rPr>
            </w:pPr>
            <w:r>
              <w:rPr>
                <w:rFonts w:ascii="Arial" w:cs="Arial" w:eastAsia="Arial" w:hAnsi="Arial"/>
                <w:sz w:val="20"/>
                <w:szCs w:val="20"/>
                <w:color w:val="auto"/>
              </w:rPr>
              <w:t>February 1, 2021</w:t>
            </w:r>
          </w:p>
        </w:tc>
        <w:tc>
          <w:tcPr>
            <w:tcW w:w="1680" w:type="dxa"/>
            <w:vAlign w:val="bottom"/>
          </w:tcPr>
          <w:p>
            <w:pPr>
              <w:ind w:left="100"/>
              <w:spacing w:after="0"/>
              <w:rPr>
                <w:sz w:val="20"/>
                <w:szCs w:val="20"/>
                <w:color w:val="auto"/>
              </w:rPr>
            </w:pPr>
            <w:r>
              <w:rPr>
                <w:rFonts w:ascii="Arial" w:cs="Arial" w:eastAsia="Arial" w:hAnsi="Arial"/>
                <w:sz w:val="20"/>
                <w:szCs w:val="20"/>
                <w:color w:val="auto"/>
              </w:rPr>
              <w:t>February 1, 2031</w:t>
            </w:r>
          </w:p>
        </w:tc>
      </w:tr>
    </w:tbl>
    <w:p>
      <w:pPr>
        <w:sectPr>
          <w:pgSz w:w="11900" w:h="16838" w:orient="portrait"/>
          <w:cols w:equalWidth="0" w:num="2">
            <w:col w:w="5660" w:space="160"/>
            <w:col w:w="5180"/>
          </w:cols>
          <w:pgMar w:left="440" w:top="121" w:right="459" w:bottom="1440" w:gutter="0" w:footer="0" w:header="0"/>
        </w:sectPr>
      </w:pPr>
    </w:p>
    <w:bookmarkStart w:id="119" w:name="page120"/>
    <w:bookmarkEnd w:id="119"/>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1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5"/>
              </w:rPr>
              <w:t>Ordinary</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7"/>
              </w:rPr>
              <w:t>Exercise</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3"/>
              </w:rPr>
              <w:t>Shares</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9"/>
              </w:rPr>
              <w:t>Price</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9"/>
              </w:rPr>
              <w:t>(including</w:t>
            </w:r>
          </w:p>
        </w:tc>
        <w:tc>
          <w:tcPr>
            <w:tcW w:w="12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5"/>
              </w:rPr>
              <w:t>Ordinary</w:t>
            </w: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6"/>
              </w:rPr>
              <w:t>Per</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7"/>
              </w:rPr>
              <w:t>Exercise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2"/>
              </w:rPr>
              <w:t>those</w:t>
            </w:r>
          </w:p>
        </w:tc>
        <w:tc>
          <w:tcPr>
            <w:tcW w:w="12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3"/>
              </w:rPr>
              <w:t>Shares</w:t>
            </w: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5"/>
              </w:rPr>
              <w:t>Ordinary</w:t>
            </w:r>
          </w:p>
        </w:tc>
        <w:tc>
          <w:tcPr>
            <w:tcW w:w="12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9"/>
              </w:rPr>
              <w:t>ADSs</w:t>
            </w:r>
          </w:p>
        </w:tc>
        <w:tc>
          <w:tcPr>
            <w:tcW w:w="86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9"/>
              </w:rPr>
              <w:t>Price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Name(1)</w:t>
            </w:r>
          </w:p>
        </w:tc>
        <w:tc>
          <w:tcPr>
            <w:tcW w:w="12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7"/>
              </w:rPr>
              <w:t>represented</w:t>
            </w:r>
          </w:p>
        </w:tc>
        <w:tc>
          <w:tcPr>
            <w:tcW w:w="12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1"/>
              </w:rPr>
              <w:t>Underlying</w:t>
            </w: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6"/>
              </w:rPr>
              <w:t>Share</w:t>
            </w:r>
          </w:p>
        </w:tc>
        <w:tc>
          <w:tcPr>
            <w:tcW w:w="12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1"/>
              </w:rPr>
              <w:t>Underlying</w:t>
            </w:r>
          </w:p>
        </w:tc>
        <w:tc>
          <w:tcPr>
            <w:tcW w:w="86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9"/>
              </w:rPr>
              <w:t>Per ADS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2180" w:type="dxa"/>
            <w:vAlign w:val="bottom"/>
            <w:gridSpan w:val="3"/>
            <w:vMerge w:val="continue"/>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9"/>
              </w:rPr>
              <w:t>by ADSs)</w:t>
            </w:r>
          </w:p>
        </w:tc>
        <w:tc>
          <w:tcPr>
            <w:tcW w:w="12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9"/>
              </w:rPr>
              <w:t>Options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26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9"/>
              </w:rPr>
              <w:t>Options</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ind w:left="240"/>
              <w:spacing w:after="0"/>
              <w:rPr>
                <w:sz w:val="20"/>
                <w:szCs w:val="20"/>
                <w:color w:val="auto"/>
              </w:rPr>
            </w:pPr>
            <w:r>
              <w:rPr>
                <w:rFonts w:ascii="Arial" w:cs="Arial" w:eastAsia="Arial" w:hAnsi="Arial"/>
                <w:sz w:val="20"/>
                <w:szCs w:val="20"/>
                <w:b w:val="1"/>
                <w:bCs w:val="1"/>
                <w:color w:val="auto"/>
              </w:rPr>
              <w:t>Grant Date</w:t>
            </w:r>
          </w:p>
        </w:tc>
        <w:tc>
          <w:tcPr>
            <w:tcW w:w="200" w:type="dxa"/>
            <w:vAlign w:val="bottom"/>
          </w:tcPr>
          <w:p>
            <w:pPr>
              <w:spacing w:after="0"/>
              <w:rPr>
                <w:sz w:val="21"/>
                <w:szCs w:val="21"/>
                <w:color w:val="auto"/>
              </w:rPr>
            </w:pPr>
          </w:p>
        </w:tc>
        <w:tc>
          <w:tcPr>
            <w:tcW w:w="1460" w:type="dxa"/>
            <w:vAlign w:val="bottom"/>
          </w:tcPr>
          <w:p>
            <w:pPr>
              <w:ind w:left="60"/>
              <w:spacing w:after="0"/>
              <w:rPr>
                <w:sz w:val="20"/>
                <w:szCs w:val="20"/>
                <w:color w:val="auto"/>
              </w:rPr>
            </w:pPr>
            <w:r>
              <w:rPr>
                <w:rFonts w:ascii="Arial" w:cs="Arial" w:eastAsia="Arial" w:hAnsi="Arial"/>
                <w:sz w:val="20"/>
                <w:szCs w:val="20"/>
                <w:b w:val="1"/>
                <w:bCs w:val="1"/>
                <w:color w:val="auto"/>
                <w:w w:val="94"/>
              </w:rPr>
              <w:t>Expiration Date</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26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2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center"/>
              <w:ind w:left="274"/>
              <w:spacing w:after="0" w:line="243" w:lineRule="exact"/>
              <w:rPr>
                <w:sz w:val="20"/>
                <w:szCs w:val="20"/>
                <w:color w:val="auto"/>
              </w:rPr>
            </w:pPr>
            <w:r>
              <w:rPr>
                <w:rFonts w:ascii="Arial" w:cs="Arial" w:eastAsia="Arial" w:hAnsi="Arial"/>
                <w:sz w:val="22"/>
                <w:szCs w:val="22"/>
                <w:color w:val="auto"/>
                <w:w w:val="99"/>
              </w:rPr>
              <w:t>—</w:t>
            </w:r>
          </w:p>
        </w:tc>
        <w:tc>
          <w:tcPr>
            <w:tcW w:w="26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6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center"/>
              <w:ind w:left="194"/>
              <w:spacing w:after="0" w:line="243" w:lineRule="exact"/>
              <w:rPr>
                <w:sz w:val="20"/>
                <w:szCs w:val="20"/>
                <w:color w:val="auto"/>
              </w:rPr>
            </w:pPr>
            <w:r>
              <w:rPr>
                <w:rFonts w:ascii="Arial" w:cs="Arial" w:eastAsia="Arial" w:hAnsi="Arial"/>
                <w:sz w:val="22"/>
                <w:szCs w:val="22"/>
                <w:color w:val="auto"/>
                <w:w w:val="99"/>
              </w:rPr>
              <w:t>—</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180" w:type="dxa"/>
            <w:vAlign w:val="bottom"/>
            <w:gridSpan w:val="3"/>
          </w:tcPr>
          <w:p>
            <w:pPr>
              <w:spacing w:after="0" w:line="243" w:lineRule="exact"/>
              <w:rPr>
                <w:sz w:val="20"/>
                <w:szCs w:val="20"/>
                <w:color w:val="auto"/>
              </w:rPr>
            </w:pPr>
            <w:r>
              <w:rPr>
                <w:rFonts w:ascii="Arial" w:cs="Arial" w:eastAsia="Arial" w:hAnsi="Arial"/>
                <w:sz w:val="22"/>
                <w:szCs w:val="22"/>
                <w:color w:val="auto"/>
              </w:rPr>
              <w:t>Dr. Anders Ekblom</w:t>
            </w:r>
          </w:p>
        </w:tc>
        <w:tc>
          <w:tcPr>
            <w:tcW w:w="126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216,264</w:t>
            </w:r>
          </w:p>
        </w:tc>
        <w:tc>
          <w:tcPr>
            <w:tcW w:w="800" w:type="dxa"/>
            <w:vAlign w:val="bottom"/>
          </w:tcPr>
          <w:p>
            <w:pPr>
              <w:jc w:val="center"/>
              <w:ind w:left="314"/>
              <w:spacing w:after="0" w:line="243" w:lineRule="exact"/>
              <w:rPr>
                <w:sz w:val="20"/>
                <w:szCs w:val="20"/>
                <w:color w:val="auto"/>
              </w:rPr>
            </w:pPr>
            <w:r>
              <w:rPr>
                <w:rFonts w:ascii="Arial" w:cs="Arial" w:eastAsia="Arial" w:hAnsi="Arial"/>
                <w:sz w:val="22"/>
                <w:szCs w:val="22"/>
                <w:color w:val="auto"/>
                <w:w w:val="88"/>
              </w:rPr>
              <w:t>1.29</w:t>
            </w:r>
          </w:p>
        </w:tc>
        <w:tc>
          <w:tcPr>
            <w:tcW w:w="260" w:type="dxa"/>
            <w:vAlign w:val="bottom"/>
          </w:tcPr>
          <w:p>
            <w:pPr>
              <w:spacing w:after="0"/>
              <w:rPr>
                <w:sz w:val="21"/>
                <w:szCs w:val="21"/>
                <w:color w:val="auto"/>
              </w:rPr>
            </w:pPr>
          </w:p>
        </w:tc>
        <w:tc>
          <w:tcPr>
            <w:tcW w:w="122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tcPr>
          <w:p>
            <w:pPr>
              <w:jc w:val="center"/>
              <w:ind w:left="54"/>
              <w:spacing w:after="0" w:line="243" w:lineRule="exact"/>
              <w:rPr>
                <w:sz w:val="20"/>
                <w:szCs w:val="20"/>
                <w:color w:val="auto"/>
              </w:rPr>
            </w:pPr>
            <w:r>
              <w:rPr>
                <w:rFonts w:ascii="Arial" w:cs="Arial" w:eastAsia="Arial" w:hAnsi="Arial"/>
                <w:sz w:val="22"/>
                <w:szCs w:val="22"/>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29,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29, 2025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5,500</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94"/>
              <w:spacing w:after="0" w:line="243" w:lineRule="exact"/>
              <w:rPr>
                <w:sz w:val="20"/>
                <w:szCs w:val="20"/>
                <w:color w:val="auto"/>
              </w:rPr>
            </w:pPr>
            <w:r>
              <w:rPr>
                <w:rFonts w:ascii="Arial" w:cs="Arial" w:eastAsia="Arial" w:hAnsi="Arial"/>
                <w:sz w:val="22"/>
                <w:szCs w:val="22"/>
                <w:color w:val="auto"/>
                <w:w w:val="88"/>
              </w:rPr>
              <w:t>5.40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5,500</w:t>
            </w:r>
          </w:p>
        </w:tc>
        <w:tc>
          <w:tcPr>
            <w:tcW w:w="260" w:type="dxa"/>
            <w:vAlign w:val="bottom"/>
          </w:tcPr>
          <w:p>
            <w:pPr>
              <w:spacing w:after="0"/>
              <w:rPr>
                <w:sz w:val="21"/>
                <w:szCs w:val="21"/>
                <w:color w:val="auto"/>
              </w:rPr>
            </w:pPr>
          </w:p>
        </w:tc>
        <w:tc>
          <w:tcPr>
            <w:tcW w:w="860" w:type="dxa"/>
            <w:vAlign w:val="bottom"/>
            <w:gridSpan w:val="2"/>
          </w:tcPr>
          <w:p>
            <w:pPr>
              <w:jc w:val="center"/>
              <w:ind w:left="94"/>
              <w:spacing w:after="0" w:line="243" w:lineRule="exact"/>
              <w:rPr>
                <w:sz w:val="20"/>
                <w:szCs w:val="20"/>
                <w:color w:val="auto"/>
              </w:rPr>
            </w:pPr>
            <w:r>
              <w:rPr>
                <w:rFonts w:ascii="Arial" w:cs="Arial" w:eastAsia="Arial" w:hAnsi="Arial"/>
                <w:sz w:val="22"/>
                <w:szCs w:val="22"/>
                <w:color w:val="auto"/>
                <w:w w:val="88"/>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11,000</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94"/>
              <w:spacing w:after="0" w:line="243" w:lineRule="exact"/>
              <w:rPr>
                <w:sz w:val="20"/>
                <w:szCs w:val="20"/>
                <w:color w:val="auto"/>
              </w:rPr>
            </w:pPr>
            <w:r>
              <w:rPr>
                <w:rFonts w:ascii="Arial" w:cs="Arial" w:eastAsia="Arial" w:hAnsi="Arial"/>
                <w:sz w:val="22"/>
                <w:szCs w:val="22"/>
                <w:color w:val="auto"/>
                <w:w w:val="88"/>
              </w:rPr>
              <w:t>1.84</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31,500</w:t>
            </w:r>
          </w:p>
        </w:tc>
        <w:tc>
          <w:tcPr>
            <w:tcW w:w="260" w:type="dxa"/>
            <w:vAlign w:val="bottom"/>
          </w:tcPr>
          <w:p>
            <w:pPr>
              <w:spacing w:after="0"/>
              <w:rPr>
                <w:sz w:val="21"/>
                <w:szCs w:val="21"/>
                <w:color w:val="auto"/>
              </w:rPr>
            </w:pPr>
          </w:p>
        </w:tc>
        <w:tc>
          <w:tcPr>
            <w:tcW w:w="860" w:type="dxa"/>
            <w:vAlign w:val="bottom"/>
            <w:gridSpan w:val="2"/>
          </w:tcPr>
          <w:p>
            <w:pPr>
              <w:jc w:val="center"/>
              <w:ind w:left="94"/>
              <w:spacing w:after="0" w:line="243" w:lineRule="exact"/>
              <w:rPr>
                <w:sz w:val="20"/>
                <w:szCs w:val="20"/>
                <w:color w:val="auto"/>
              </w:rPr>
            </w:pPr>
            <w:r>
              <w:rPr>
                <w:rFonts w:ascii="Arial" w:cs="Arial" w:eastAsia="Arial" w:hAnsi="Arial"/>
                <w:sz w:val="22"/>
                <w:szCs w:val="22"/>
                <w:color w:val="auto"/>
                <w:w w:val="88"/>
              </w:rPr>
              <w:t>2.72</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February 1, 2021</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February 1, 2031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189,702</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122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CCEEFF"/>
          </w:tcPr>
          <w:p>
            <w:pPr>
              <w:jc w:val="center"/>
              <w:ind w:left="54"/>
              <w:spacing w:after="0" w:line="243" w:lineRule="exact"/>
              <w:rPr>
                <w:sz w:val="20"/>
                <w:szCs w:val="20"/>
                <w:color w:val="auto"/>
              </w:rPr>
            </w:pPr>
            <w:r>
              <w:rPr>
                <w:rFonts w:ascii="Arial" w:cs="Arial" w:eastAsia="Arial" w:hAnsi="Arial"/>
                <w:sz w:val="22"/>
                <w:szCs w:val="22"/>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2180" w:type="dxa"/>
            <w:vAlign w:val="bottom"/>
            <w:gridSpan w:val="3"/>
          </w:tcPr>
          <w:p>
            <w:pPr>
              <w:spacing w:after="0" w:line="222" w:lineRule="exact"/>
              <w:rPr>
                <w:sz w:val="20"/>
                <w:szCs w:val="20"/>
                <w:color w:val="auto"/>
              </w:rPr>
            </w:pPr>
            <w:r>
              <w:rPr>
                <w:rFonts w:ascii="Arial" w:cs="Arial" w:eastAsia="Arial" w:hAnsi="Arial"/>
                <w:sz w:val="22"/>
                <w:szCs w:val="22"/>
                <w:color w:val="auto"/>
              </w:rPr>
              <w:t>Dr. Deepika R.</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180" w:type="dxa"/>
            <w:vAlign w:val="bottom"/>
            <w:gridSpan w:val="3"/>
          </w:tcPr>
          <w:p>
            <w:pPr>
              <w:ind w:left="220"/>
              <w:spacing w:after="0"/>
              <w:rPr>
                <w:sz w:val="20"/>
                <w:szCs w:val="20"/>
                <w:color w:val="auto"/>
              </w:rPr>
            </w:pPr>
            <w:r>
              <w:rPr>
                <w:rFonts w:ascii="Arial" w:cs="Arial" w:eastAsia="Arial" w:hAnsi="Arial"/>
                <w:sz w:val="22"/>
                <w:szCs w:val="22"/>
                <w:color w:val="auto"/>
              </w:rPr>
              <w:t>Pakianathan</w:t>
            </w:r>
          </w:p>
        </w:tc>
        <w:tc>
          <w:tcPr>
            <w:tcW w:w="1260" w:type="dxa"/>
            <w:vAlign w:val="bottom"/>
            <w:gridSpan w:val="2"/>
          </w:tcPr>
          <w:p>
            <w:pPr>
              <w:ind w:left="680"/>
              <w:spacing w:after="0"/>
              <w:rPr>
                <w:sz w:val="20"/>
                <w:szCs w:val="20"/>
                <w:color w:val="auto"/>
              </w:rPr>
            </w:pPr>
            <w:r>
              <w:rPr>
                <w:rFonts w:ascii="Arial" w:cs="Arial" w:eastAsia="Arial" w:hAnsi="Arial"/>
                <w:sz w:val="22"/>
                <w:szCs w:val="22"/>
                <w:color w:val="auto"/>
              </w:rPr>
              <w:t>—</w:t>
            </w:r>
          </w:p>
        </w:tc>
        <w:tc>
          <w:tcPr>
            <w:tcW w:w="1220" w:type="dxa"/>
            <w:vAlign w:val="bottom"/>
            <w:gridSpan w:val="2"/>
          </w:tcPr>
          <w:p>
            <w:pPr>
              <w:ind w:left="640"/>
              <w:spacing w:after="0"/>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rPr>
                <w:sz w:val="20"/>
                <w:szCs w:val="20"/>
                <w:color w:val="auto"/>
              </w:rPr>
            </w:pPr>
            <w:r>
              <w:rPr>
                <w:rFonts w:ascii="Arial" w:cs="Arial" w:eastAsia="Arial" w:hAnsi="Arial"/>
                <w:sz w:val="22"/>
                <w:szCs w:val="22"/>
                <w:color w:val="auto"/>
                <w:w w:val="99"/>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5,500</w:t>
            </w:r>
          </w:p>
        </w:tc>
        <w:tc>
          <w:tcPr>
            <w:tcW w:w="260" w:type="dxa"/>
            <w:vAlign w:val="bottom"/>
          </w:tcPr>
          <w:p>
            <w:pPr>
              <w:spacing w:after="0"/>
              <w:rPr>
                <w:sz w:val="22"/>
                <w:szCs w:val="22"/>
                <w:color w:val="auto"/>
              </w:rPr>
            </w:pPr>
          </w:p>
        </w:tc>
        <w:tc>
          <w:tcPr>
            <w:tcW w:w="860" w:type="dxa"/>
            <w:vAlign w:val="bottom"/>
            <w:gridSpan w:val="2"/>
          </w:tcPr>
          <w:p>
            <w:pPr>
              <w:jc w:val="center"/>
              <w:ind w:left="94"/>
              <w:spacing w:after="0"/>
              <w:rPr>
                <w:sz w:val="20"/>
                <w:szCs w:val="20"/>
                <w:color w:val="auto"/>
              </w:rPr>
            </w:pPr>
            <w:r>
              <w:rPr>
                <w:rFonts w:ascii="Arial" w:cs="Arial" w:eastAsia="Arial" w:hAnsi="Arial"/>
                <w:sz w:val="22"/>
                <w:szCs w:val="22"/>
                <w:color w:val="auto"/>
                <w:w w:val="88"/>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5,500</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94"/>
              <w:spacing w:after="0" w:line="243" w:lineRule="exact"/>
              <w:rPr>
                <w:sz w:val="20"/>
                <w:szCs w:val="20"/>
                <w:color w:val="auto"/>
              </w:rPr>
            </w:pPr>
            <w:r>
              <w:rPr>
                <w:rFonts w:ascii="Arial" w:cs="Arial" w:eastAsia="Arial" w:hAnsi="Arial"/>
                <w:sz w:val="22"/>
                <w:szCs w:val="22"/>
                <w:color w:val="auto"/>
                <w:w w:val="88"/>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11,000</w:t>
            </w:r>
          </w:p>
        </w:tc>
        <w:tc>
          <w:tcPr>
            <w:tcW w:w="260" w:type="dxa"/>
            <w:vAlign w:val="bottom"/>
          </w:tcPr>
          <w:p>
            <w:pPr>
              <w:spacing w:after="0"/>
              <w:rPr>
                <w:sz w:val="21"/>
                <w:szCs w:val="21"/>
                <w:color w:val="auto"/>
              </w:rPr>
            </w:pPr>
          </w:p>
        </w:tc>
        <w:tc>
          <w:tcPr>
            <w:tcW w:w="860" w:type="dxa"/>
            <w:vAlign w:val="bottom"/>
            <w:gridSpan w:val="2"/>
          </w:tcPr>
          <w:p>
            <w:pPr>
              <w:jc w:val="center"/>
              <w:ind w:left="94"/>
              <w:spacing w:after="0" w:line="243" w:lineRule="exact"/>
              <w:rPr>
                <w:sz w:val="20"/>
                <w:szCs w:val="20"/>
                <w:color w:val="auto"/>
              </w:rPr>
            </w:pPr>
            <w:r>
              <w:rPr>
                <w:rFonts w:ascii="Arial" w:cs="Arial" w:eastAsia="Arial" w:hAnsi="Arial"/>
                <w:sz w:val="22"/>
                <w:szCs w:val="22"/>
                <w:color w:val="auto"/>
                <w:w w:val="88"/>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31,500</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94"/>
              <w:spacing w:after="0" w:line="243" w:lineRule="exact"/>
              <w:rPr>
                <w:sz w:val="20"/>
                <w:szCs w:val="20"/>
                <w:color w:val="auto"/>
              </w:rPr>
            </w:pPr>
            <w:r>
              <w:rPr>
                <w:rFonts w:ascii="Arial" w:cs="Arial" w:eastAsia="Arial" w:hAnsi="Arial"/>
                <w:sz w:val="22"/>
                <w:szCs w:val="22"/>
                <w:color w:val="auto"/>
                <w:w w:val="88"/>
              </w:rPr>
              <w:t>2.72</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1, 2021</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February 1, 2031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1,283,670</w:t>
            </w:r>
          </w:p>
        </w:tc>
        <w:tc>
          <w:tcPr>
            <w:tcW w:w="122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122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tcPr>
          <w:p>
            <w:pPr>
              <w:jc w:val="center"/>
              <w:ind w:left="54"/>
              <w:spacing w:after="0" w:line="243" w:lineRule="exact"/>
              <w:rPr>
                <w:sz w:val="20"/>
                <w:szCs w:val="20"/>
                <w:color w:val="auto"/>
              </w:rPr>
            </w:pPr>
            <w:r>
              <w:rPr>
                <w:rFonts w:ascii="Arial" w:cs="Arial" w:eastAsia="Arial" w:hAnsi="Arial"/>
                <w:sz w:val="22"/>
                <w:szCs w:val="22"/>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180" w:type="dxa"/>
            <w:vAlign w:val="bottom"/>
            <w:gridSpan w:val="3"/>
            <w:shd w:val="clear" w:color="auto" w:fill="CCEEFF"/>
          </w:tcPr>
          <w:p>
            <w:pPr>
              <w:spacing w:after="0" w:line="243" w:lineRule="exact"/>
              <w:rPr>
                <w:sz w:val="20"/>
                <w:szCs w:val="20"/>
                <w:color w:val="auto"/>
              </w:rPr>
            </w:pPr>
            <w:r>
              <w:rPr>
                <w:rFonts w:ascii="Arial" w:cs="Arial" w:eastAsia="Arial" w:hAnsi="Arial"/>
                <w:sz w:val="22"/>
                <w:szCs w:val="22"/>
                <w:color w:val="auto"/>
              </w:rPr>
              <w:t>Dr. Brian Schwartz</w:t>
            </w:r>
          </w:p>
        </w:tc>
        <w:tc>
          <w:tcPr>
            <w:tcW w:w="1260" w:type="dxa"/>
            <w:vAlign w:val="bottom"/>
            <w:gridSpan w:val="2"/>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22,000</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94"/>
              <w:spacing w:after="0" w:line="243" w:lineRule="exact"/>
              <w:rPr>
                <w:sz w:val="20"/>
                <w:szCs w:val="20"/>
                <w:color w:val="auto"/>
              </w:rPr>
            </w:pPr>
            <w:r>
              <w:rPr>
                <w:rFonts w:ascii="Arial" w:cs="Arial" w:eastAsia="Arial" w:hAnsi="Arial"/>
                <w:sz w:val="22"/>
                <w:szCs w:val="22"/>
                <w:color w:val="auto"/>
                <w:w w:val="88"/>
              </w:rPr>
              <w:t>3.32</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February 19, 2021</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February 19, 2031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31,500</w:t>
            </w:r>
          </w:p>
        </w:tc>
        <w:tc>
          <w:tcPr>
            <w:tcW w:w="260" w:type="dxa"/>
            <w:vAlign w:val="bottom"/>
          </w:tcPr>
          <w:p>
            <w:pPr>
              <w:spacing w:after="0"/>
              <w:rPr>
                <w:sz w:val="21"/>
                <w:szCs w:val="21"/>
                <w:color w:val="auto"/>
              </w:rPr>
            </w:pPr>
          </w:p>
        </w:tc>
        <w:tc>
          <w:tcPr>
            <w:tcW w:w="860" w:type="dxa"/>
            <w:vAlign w:val="bottom"/>
            <w:gridSpan w:val="2"/>
          </w:tcPr>
          <w:p>
            <w:pPr>
              <w:jc w:val="center"/>
              <w:ind w:left="94"/>
              <w:spacing w:after="0" w:line="243" w:lineRule="exact"/>
              <w:rPr>
                <w:sz w:val="20"/>
                <w:szCs w:val="20"/>
                <w:color w:val="auto"/>
              </w:rPr>
            </w:pPr>
            <w:r>
              <w:rPr>
                <w:rFonts w:ascii="Arial" w:cs="Arial" w:eastAsia="Arial" w:hAnsi="Arial"/>
                <w:sz w:val="22"/>
                <w:szCs w:val="22"/>
                <w:color w:val="auto"/>
                <w:w w:val="88"/>
              </w:rPr>
              <w:t>2.72</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February 1, 2021</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February 1, 2031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100,000</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122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CCEEFF"/>
          </w:tcPr>
          <w:p>
            <w:pPr>
              <w:jc w:val="center"/>
              <w:ind w:left="54"/>
              <w:spacing w:after="0" w:line="243" w:lineRule="exact"/>
              <w:rPr>
                <w:sz w:val="20"/>
                <w:szCs w:val="20"/>
                <w:color w:val="auto"/>
              </w:rPr>
            </w:pPr>
            <w:r>
              <w:rPr>
                <w:rFonts w:ascii="Arial" w:cs="Arial" w:eastAsia="Arial" w:hAnsi="Arial"/>
                <w:sz w:val="22"/>
                <w:szCs w:val="22"/>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180" w:type="dxa"/>
            <w:vAlign w:val="bottom"/>
            <w:gridSpan w:val="3"/>
          </w:tcPr>
          <w:p>
            <w:pPr>
              <w:spacing w:after="0" w:line="243" w:lineRule="exact"/>
              <w:rPr>
                <w:sz w:val="20"/>
                <w:szCs w:val="20"/>
                <w:color w:val="auto"/>
              </w:rPr>
            </w:pPr>
            <w:r>
              <w:rPr>
                <w:rFonts w:ascii="Arial" w:cs="Arial" w:eastAsia="Arial" w:hAnsi="Arial"/>
                <w:sz w:val="22"/>
                <w:szCs w:val="22"/>
                <w:color w:val="auto"/>
              </w:rPr>
              <w:t>Michael S. Wyzga</w:t>
            </w:r>
          </w:p>
        </w:tc>
        <w:tc>
          <w:tcPr>
            <w:tcW w:w="126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5,500</w:t>
            </w:r>
          </w:p>
        </w:tc>
        <w:tc>
          <w:tcPr>
            <w:tcW w:w="260" w:type="dxa"/>
            <w:vAlign w:val="bottom"/>
          </w:tcPr>
          <w:p>
            <w:pPr>
              <w:spacing w:after="0"/>
              <w:rPr>
                <w:sz w:val="21"/>
                <w:szCs w:val="21"/>
                <w:color w:val="auto"/>
              </w:rPr>
            </w:pPr>
          </w:p>
        </w:tc>
        <w:tc>
          <w:tcPr>
            <w:tcW w:w="860" w:type="dxa"/>
            <w:vAlign w:val="bottom"/>
            <w:gridSpan w:val="2"/>
          </w:tcPr>
          <w:p>
            <w:pPr>
              <w:jc w:val="center"/>
              <w:ind w:left="94"/>
              <w:spacing w:after="0" w:line="243" w:lineRule="exact"/>
              <w:rPr>
                <w:sz w:val="20"/>
                <w:szCs w:val="20"/>
                <w:color w:val="auto"/>
              </w:rPr>
            </w:pPr>
            <w:r>
              <w:rPr>
                <w:rFonts w:ascii="Arial" w:cs="Arial" w:eastAsia="Arial" w:hAnsi="Arial"/>
                <w:sz w:val="22"/>
                <w:szCs w:val="22"/>
                <w:color w:val="auto"/>
                <w:w w:val="88"/>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5,500</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94"/>
              <w:spacing w:after="0" w:line="243" w:lineRule="exact"/>
              <w:rPr>
                <w:sz w:val="20"/>
                <w:szCs w:val="20"/>
                <w:color w:val="auto"/>
              </w:rPr>
            </w:pPr>
            <w:r>
              <w:rPr>
                <w:rFonts w:ascii="Arial" w:cs="Arial" w:eastAsia="Arial" w:hAnsi="Arial"/>
                <w:sz w:val="22"/>
                <w:szCs w:val="22"/>
                <w:color w:val="auto"/>
                <w:w w:val="88"/>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11,000</w:t>
            </w:r>
          </w:p>
        </w:tc>
        <w:tc>
          <w:tcPr>
            <w:tcW w:w="260" w:type="dxa"/>
            <w:vAlign w:val="bottom"/>
          </w:tcPr>
          <w:p>
            <w:pPr>
              <w:spacing w:after="0"/>
              <w:rPr>
                <w:sz w:val="21"/>
                <w:szCs w:val="21"/>
                <w:color w:val="auto"/>
              </w:rPr>
            </w:pPr>
          </w:p>
        </w:tc>
        <w:tc>
          <w:tcPr>
            <w:tcW w:w="860" w:type="dxa"/>
            <w:vAlign w:val="bottom"/>
            <w:gridSpan w:val="2"/>
          </w:tcPr>
          <w:p>
            <w:pPr>
              <w:jc w:val="center"/>
              <w:ind w:left="94"/>
              <w:spacing w:after="0" w:line="243" w:lineRule="exact"/>
              <w:rPr>
                <w:sz w:val="20"/>
                <w:szCs w:val="20"/>
                <w:color w:val="auto"/>
              </w:rPr>
            </w:pPr>
            <w:r>
              <w:rPr>
                <w:rFonts w:ascii="Arial" w:cs="Arial" w:eastAsia="Arial" w:hAnsi="Arial"/>
                <w:sz w:val="22"/>
                <w:szCs w:val="22"/>
                <w:color w:val="auto"/>
                <w:w w:val="88"/>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680"/>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center"/>
              <w:ind w:left="14"/>
              <w:spacing w:after="0" w:line="243" w:lineRule="exact"/>
              <w:rPr>
                <w:sz w:val="20"/>
                <w:szCs w:val="20"/>
                <w:color w:val="auto"/>
              </w:rPr>
            </w:pPr>
            <w:r>
              <w:rPr>
                <w:rFonts w:ascii="Arial" w:cs="Arial" w:eastAsia="Arial" w:hAnsi="Arial"/>
                <w:sz w:val="22"/>
                <w:szCs w:val="22"/>
                <w:color w:val="auto"/>
                <w:w w:val="99"/>
              </w:rPr>
              <w:t>—</w:t>
            </w:r>
          </w:p>
        </w:tc>
        <w:tc>
          <w:tcPr>
            <w:tcW w:w="9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31,500</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left="94"/>
              <w:spacing w:after="0" w:line="243" w:lineRule="exact"/>
              <w:rPr>
                <w:sz w:val="20"/>
                <w:szCs w:val="20"/>
                <w:color w:val="auto"/>
              </w:rPr>
            </w:pPr>
            <w:r>
              <w:rPr>
                <w:rFonts w:ascii="Arial" w:cs="Arial" w:eastAsia="Arial" w:hAnsi="Arial"/>
                <w:sz w:val="22"/>
                <w:szCs w:val="22"/>
                <w:color w:val="auto"/>
                <w:w w:val="88"/>
              </w:rPr>
              <w:t>2.72</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1, 2021</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February 1, 2031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60" w:hanging="544"/>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 grants were made to Pierre Jacquet as of December 31, 2021.</w:t>
      </w:r>
    </w:p>
    <w:p>
      <w:pPr>
        <w:spacing w:after="0" w:line="206"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22"/>
          <w:szCs w:val="22"/>
          <w:color w:val="auto"/>
        </w:rPr>
        <w:t>Mereo has granted or may grant or intend to grant share options and awards under the following seven equity award plans (the “Mereo Share Plans”): (i) the 2015 Plan; (ii) the Share Option Plan; (iii) the LTIP; (iv) the 2016 DBSP; (v) the Mereo 2019 DBP; (vi) the Mereo 2019 Equity Incentive Plan (the 2019 Plan), (vii) the 2019 NED Equity Incentive Plan (the 2019 NED plan) (each as defined below).</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2015 Plan</w:t>
      </w:r>
    </w:p>
    <w:p>
      <w:pPr>
        <w:spacing w:after="0" w:line="98"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21"/>
          <w:szCs w:val="21"/>
          <w:color w:val="auto"/>
        </w:rPr>
        <w:t>Prior to the admission of Mereo ordinary shares to trading on the AIM market of the London Stock Exchange plc in June 2016 (“Admission”), Mereo granted options under the 2015 Plan. No further grants have been made under the 2015 Plan since Admission. On December 18, 2020, admission of our ordinary shares to trading on the AIM market of the London Stock Exchange plc was cancelled. The 2015 Plan was amended on December 3, 2020.</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Eligibility, Awards and Administration</w:t>
      </w:r>
    </w:p>
    <w:p>
      <w:pPr>
        <w:spacing w:after="0" w:line="98" w:lineRule="exact"/>
        <w:rPr>
          <w:sz w:val="20"/>
          <w:szCs w:val="20"/>
          <w:color w:val="auto"/>
        </w:rPr>
      </w:pPr>
    </w:p>
    <w:p>
      <w:pPr>
        <w:ind w:left="120" w:right="920" w:firstLine="551"/>
        <w:spacing w:after="0" w:line="250" w:lineRule="auto"/>
        <w:rPr>
          <w:sz w:val="20"/>
          <w:szCs w:val="20"/>
          <w:color w:val="auto"/>
        </w:rPr>
      </w:pPr>
      <w:r>
        <w:rPr>
          <w:rFonts w:ascii="Arial" w:cs="Arial" w:eastAsia="Arial" w:hAnsi="Arial"/>
          <w:sz w:val="22"/>
          <w:szCs w:val="22"/>
          <w:color w:val="auto"/>
        </w:rPr>
        <w:t>The 2015 Plan provides for the grant of options to executive directors, non-executive directors, employees and consultants.</w:t>
      </w:r>
    </w:p>
    <w:p>
      <w:pPr>
        <w:spacing w:after="0" w:line="17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22"/>
          <w:szCs w:val="22"/>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185" w:lineRule="exact"/>
        <w:rPr>
          <w:sz w:val="20"/>
          <w:szCs w:val="20"/>
          <w:color w:val="auto"/>
        </w:rPr>
      </w:pPr>
    </w:p>
    <w:p>
      <w:pPr>
        <w:ind w:left="120" w:right="200" w:firstLine="551"/>
        <w:spacing w:after="0"/>
        <w:rPr>
          <w:sz w:val="20"/>
          <w:szCs w:val="20"/>
          <w:color w:val="auto"/>
        </w:rPr>
      </w:pPr>
      <w:r>
        <w:rPr>
          <w:rFonts w:ascii="Arial" w:cs="Arial" w:eastAsia="Arial" w:hAnsi="Arial"/>
          <w:sz w:val="22"/>
          <w:szCs w:val="22"/>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Options are not automatically exercisable on vesting, but upon Admission became exercisable to the extent vested.</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1"/>
          <w:szCs w:val="21"/>
          <w:color w:val="auto"/>
        </w:rPr>
        <w:t>Options may generally be exercised until the day immediately preceding the tenth anniversary of the date of grant.</w:t>
      </w:r>
    </w:p>
    <w:p>
      <w:pPr>
        <w:spacing w:after="0" w:line="200" w:lineRule="exact"/>
        <w:rPr>
          <w:sz w:val="20"/>
          <w:szCs w:val="20"/>
          <w:color w:val="auto"/>
        </w:rPr>
      </w:pPr>
    </w:p>
    <w:p>
      <w:pPr>
        <w:ind w:left="120" w:right="240" w:firstLine="551"/>
        <w:spacing w:after="0" w:line="250" w:lineRule="auto"/>
        <w:rPr>
          <w:sz w:val="20"/>
          <w:szCs w:val="20"/>
          <w:color w:val="auto"/>
        </w:rPr>
      </w:pPr>
      <w:r>
        <w:rPr>
          <w:rFonts w:ascii="Arial" w:cs="Arial" w:eastAsia="Arial" w:hAnsi="Arial"/>
          <w:sz w:val="22"/>
          <w:szCs w:val="22"/>
          <w:color w:val="auto"/>
        </w:rPr>
        <w:t>Options have been granted under the 2015 Plan with an exercise price ranging from £1.28 per Mereo ordinary share to £2.19 per Mereo ordinary share.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Plan Leavers</w:t>
      </w:r>
    </w:p>
    <w:p>
      <w:pPr>
        <w:spacing w:after="0" w:line="98" w:lineRule="exact"/>
        <w:rPr>
          <w:sz w:val="20"/>
          <w:szCs w:val="20"/>
          <w:color w:val="auto"/>
        </w:rPr>
      </w:pPr>
    </w:p>
    <w:p>
      <w:pPr>
        <w:ind w:left="120" w:right="100" w:firstLine="551"/>
        <w:spacing w:after="0" w:line="297" w:lineRule="auto"/>
        <w:rPr>
          <w:sz w:val="20"/>
          <w:szCs w:val="20"/>
          <w:color w:val="auto"/>
        </w:rPr>
      </w:pPr>
      <w:r>
        <w:rPr>
          <w:rFonts w:ascii="Arial" w:cs="Arial" w:eastAsia="Arial" w:hAnsi="Arial"/>
          <w:sz w:val="19"/>
          <w:szCs w:val="19"/>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the Mereo Board determines and communicates to the option</w:t>
      </w:r>
    </w:p>
    <w:p>
      <w:pPr>
        <w:sectPr>
          <w:pgSz w:w="11900" w:h="16952" w:orient="portrait"/>
          <w:cols w:equalWidth="0" w:num="1">
            <w:col w:w="11140"/>
          </w:cols>
          <w:pgMar w:left="320" w:top="472" w:right="439" w:bottom="0" w:gutter="0" w:footer="0" w:header="0"/>
        </w:sectPr>
      </w:pPr>
    </w:p>
    <w:bookmarkStart w:id="120" w:name="page121"/>
    <w:bookmarkEnd w:id="120"/>
    <w:p>
      <w:pPr>
        <w:spacing w:after="0" w:line="251" w:lineRule="auto"/>
        <w:rPr>
          <w:sz w:val="20"/>
          <w:szCs w:val="20"/>
          <w:color w:val="auto"/>
        </w:rPr>
      </w:pPr>
      <w:r>
        <w:rPr>
          <w:rFonts w:ascii="Arial" w:cs="Arial" w:eastAsia="Arial" w:hAnsi="Arial"/>
          <w:sz w:val="22"/>
          <w:szCs w:val="22"/>
          <w:color w:val="auto"/>
        </w:rPr>
        <w:t>holder at that time (except upon death, in which case, options may be exercised for a period of one year), after which time they will lapse.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0960"/>
          </w:cols>
          <w:pgMar w:left="440" w:top="118"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Certain Transactions</w:t>
      </w:r>
    </w:p>
    <w:p>
      <w:pPr>
        <w:spacing w:after="0" w:line="98" w:lineRule="exact"/>
        <w:rPr>
          <w:sz w:val="20"/>
          <w:szCs w:val="20"/>
          <w:color w:val="auto"/>
        </w:rPr>
      </w:pPr>
    </w:p>
    <w:p>
      <w:pPr>
        <w:ind w:left="120" w:right="140" w:firstLine="551"/>
        <w:spacing w:after="0"/>
        <w:rPr>
          <w:sz w:val="20"/>
          <w:szCs w:val="20"/>
          <w:color w:val="auto"/>
        </w:rPr>
      </w:pPr>
      <w:r>
        <w:rPr>
          <w:rFonts w:ascii="Arial" w:cs="Arial" w:eastAsia="Arial" w:hAnsi="Arial"/>
          <w:sz w:val="22"/>
          <w:szCs w:val="22"/>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Adjustments</w:t>
      </w:r>
    </w:p>
    <w:p>
      <w:pPr>
        <w:spacing w:after="0" w:line="98" w:lineRule="exact"/>
        <w:rPr>
          <w:sz w:val="20"/>
          <w:szCs w:val="20"/>
          <w:color w:val="auto"/>
        </w:rPr>
      </w:pPr>
    </w:p>
    <w:p>
      <w:pPr>
        <w:jc w:val="both"/>
        <w:ind w:left="120" w:right="300" w:firstLine="551"/>
        <w:spacing w:after="0"/>
        <w:rPr>
          <w:sz w:val="20"/>
          <w:szCs w:val="20"/>
          <w:color w:val="auto"/>
        </w:rPr>
      </w:pPr>
      <w:r>
        <w:rPr>
          <w:rFonts w:ascii="Arial" w:cs="Arial" w:eastAsia="Arial" w:hAnsi="Arial"/>
          <w:sz w:val="22"/>
          <w:szCs w:val="22"/>
          <w:color w:val="auto"/>
        </w:rPr>
        <w:t>In the event of any capitalization, rights issue, consolidation, subdivision, reduction or any other variation of Mereo’s share capital, the number of Mereo ordinary shares subject to an option and the exercise price applying to an option may be varied in such manner as the Mereo Board may determine.</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Amendment and Termination</w:t>
      </w:r>
    </w:p>
    <w:p>
      <w:pPr>
        <w:spacing w:after="0" w:line="98" w:lineRule="exact"/>
        <w:rPr>
          <w:sz w:val="20"/>
          <w:szCs w:val="20"/>
          <w:color w:val="auto"/>
        </w:rPr>
      </w:pPr>
    </w:p>
    <w:p>
      <w:pPr>
        <w:ind w:left="120" w:right="20" w:firstLine="551"/>
        <w:spacing w:after="0" w:line="279" w:lineRule="auto"/>
        <w:rPr>
          <w:sz w:val="20"/>
          <w:szCs w:val="20"/>
          <w:color w:val="auto"/>
        </w:rPr>
      </w:pPr>
      <w:r>
        <w:rPr>
          <w:rFonts w:ascii="Arial" w:cs="Arial" w:eastAsia="Arial" w:hAnsi="Arial"/>
          <w:sz w:val="19"/>
          <w:szCs w:val="19"/>
          <w:color w:val="auto"/>
        </w:rPr>
        <w:t>The Mereo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Mereo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the Mereo Board without the consent of option holders.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Mereo Share Option Plan (the “Share Option Plan”)</w:t>
      </w:r>
    </w:p>
    <w:p>
      <w:pPr>
        <w:spacing w:after="0" w:line="98" w:lineRule="exact"/>
        <w:rPr>
          <w:sz w:val="20"/>
          <w:szCs w:val="20"/>
          <w:color w:val="auto"/>
        </w:rPr>
      </w:pPr>
    </w:p>
    <w:p>
      <w:pPr>
        <w:ind w:left="120" w:right="220" w:firstLine="551"/>
        <w:spacing w:after="0"/>
        <w:rPr>
          <w:sz w:val="20"/>
          <w:szCs w:val="20"/>
          <w:color w:val="auto"/>
        </w:rPr>
      </w:pPr>
      <w:r>
        <w:rPr>
          <w:rFonts w:ascii="Arial" w:cs="Arial" w:eastAsia="Arial" w:hAnsi="Arial"/>
          <w:sz w:val="22"/>
          <w:szCs w:val="22"/>
          <w:color w:val="auto"/>
        </w:rPr>
        <w:t>The Mereo Board adopted the Share Option Plan on June 9, 2016, and has subsequently amended it. Except where the context indicates otherwise, references to Mereo ordinary shares shall be deemed to include a number of our ADSs representing the right to receive our ordinary shares.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Eligibility, Awards and Administration</w:t>
      </w:r>
    </w:p>
    <w:p>
      <w:pPr>
        <w:spacing w:after="0" w:line="98" w:lineRule="exact"/>
        <w:rPr>
          <w:sz w:val="20"/>
          <w:szCs w:val="20"/>
          <w:color w:val="auto"/>
        </w:rPr>
      </w:pPr>
    </w:p>
    <w:p>
      <w:pPr>
        <w:ind w:left="120" w:firstLine="551"/>
        <w:spacing w:after="0" w:line="249" w:lineRule="auto"/>
        <w:rPr>
          <w:sz w:val="20"/>
          <w:szCs w:val="20"/>
          <w:color w:val="auto"/>
        </w:rPr>
      </w:pPr>
      <w:r>
        <w:rPr>
          <w:rFonts w:ascii="Arial" w:cs="Arial" w:eastAsia="Arial" w:hAnsi="Arial"/>
          <w:sz w:val="21"/>
          <w:szCs w:val="21"/>
          <w:color w:val="auto"/>
        </w:rPr>
        <w:t>The Share Option Plan provides for the grant of options to acquire Mereo ordinary shares to employees and executive directors. Options may be granted to all eligible employees on commencement of employment and may be granted on a periodic basis after that. The Share Option Plan is administered by the Mereo Board who also set the terms and conditions of all options granted under the Share Option Plan, including any vesting and vesting acceleration conditions. Options are granted under the Share Option Plan at the discretion of the Mereo Board.</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Vesting and Exercise</w:t>
      </w:r>
    </w:p>
    <w:p>
      <w:pPr>
        <w:spacing w:after="0" w:line="98"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Under the Share Option Plan, the Mereo Board may determine the vesting schedule of an option and whether the vesting of an option will be subject to the satisfaction of a performance condition, although options are not currently granted subject to performance conditions other than continued service with Mereo.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an option be settled in cash or by “net exercise” of the option.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Limitation on Awards</w:t>
      </w:r>
    </w:p>
    <w:p>
      <w:pPr>
        <w:spacing w:after="0" w:line="98" w:lineRule="exact"/>
        <w:rPr>
          <w:sz w:val="20"/>
          <w:szCs w:val="20"/>
          <w:color w:val="auto"/>
        </w:rPr>
      </w:pPr>
    </w:p>
    <w:p>
      <w:pPr>
        <w:ind w:left="120" w:right="160" w:firstLine="551"/>
        <w:spacing w:after="0" w:line="328" w:lineRule="auto"/>
        <w:rPr>
          <w:sz w:val="20"/>
          <w:szCs w:val="20"/>
          <w:color w:val="auto"/>
        </w:rPr>
      </w:pPr>
      <w:r>
        <w:rPr>
          <w:rFonts w:ascii="Arial" w:cs="Arial" w:eastAsia="Arial" w:hAnsi="Arial"/>
          <w:sz w:val="19"/>
          <w:szCs w:val="19"/>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Plan Leavers</w:t>
      </w:r>
    </w:p>
    <w:p>
      <w:pPr>
        <w:spacing w:after="0" w:line="98"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22"/>
          <w:szCs w:val="22"/>
          <w:color w:val="auto"/>
        </w:rPr>
        <w:t>If a participant ceases to hold office or employment with Mereo as a result of dismissal for gross misconduct, any option the participant holds, whether vested or unvested, will lapse.</w:t>
      </w:r>
    </w:p>
    <w:p>
      <w:pPr>
        <w:sectPr>
          <w:pgSz w:w="11900" w:h="16838" w:orient="portrait"/>
          <w:cols w:equalWidth="0" w:num="1">
            <w:col w:w="11100"/>
          </w:cols>
          <w:pgMar w:left="320" w:top="486" w:right="479" w:bottom="1440" w:gutter="0" w:footer="0" w:header="0"/>
        </w:sectPr>
      </w:pP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103</w:t>
      </w:r>
    </w:p>
    <w:p>
      <w:pPr>
        <w:sectPr>
          <w:pgSz w:w="11900" w:h="16838" w:orient="portrait"/>
          <w:cols w:equalWidth="0" w:num="1">
            <w:col w:w="11100"/>
          </w:cols>
          <w:pgMar w:left="320" w:top="486" w:right="47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If a participant ceases to hold office or employment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the Mereo Board determines that the option will vest on the date of cessation of services. Where an option vests in these circumstances, any performance condition will be taken into account and, unless the Mereo Board determines otherwise, will be pro-rated for time.</w:t>
      </w:r>
    </w:p>
    <w:p>
      <w:pPr>
        <w:spacing w:after="0" w:line="184" w:lineRule="exact"/>
        <w:rPr>
          <w:sz w:val="20"/>
          <w:szCs w:val="20"/>
          <w:color w:val="auto"/>
        </w:rPr>
      </w:pPr>
    </w:p>
    <w:p>
      <w:pPr>
        <w:ind w:left="120" w:right="340" w:firstLine="551"/>
        <w:spacing w:after="0" w:line="328" w:lineRule="auto"/>
        <w:rPr>
          <w:sz w:val="20"/>
          <w:szCs w:val="20"/>
          <w:color w:val="auto"/>
        </w:rPr>
      </w:pPr>
      <w:r>
        <w:rPr>
          <w:rFonts w:ascii="Arial" w:cs="Arial" w:eastAsia="Arial" w:hAnsi="Arial"/>
          <w:sz w:val="19"/>
          <w:szCs w:val="19"/>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Certain Transactions</w:t>
      </w:r>
    </w:p>
    <w:p>
      <w:pPr>
        <w:spacing w:after="0" w:line="98" w:lineRule="exact"/>
        <w:rPr>
          <w:sz w:val="20"/>
          <w:szCs w:val="20"/>
          <w:color w:val="auto"/>
        </w:rPr>
      </w:pPr>
    </w:p>
    <w:p>
      <w:pPr>
        <w:ind w:left="120" w:right="60" w:firstLine="551"/>
        <w:spacing w:after="0" w:line="279" w:lineRule="auto"/>
        <w:rPr>
          <w:sz w:val="20"/>
          <w:szCs w:val="20"/>
          <w:color w:val="auto"/>
        </w:rPr>
      </w:pPr>
      <w:r>
        <w:rPr>
          <w:rFonts w:ascii="Arial" w:cs="Arial" w:eastAsia="Arial" w:hAnsi="Arial"/>
          <w:sz w:val="19"/>
          <w:szCs w:val="19"/>
          <w:color w:val="auto"/>
        </w:rPr>
        <w:t>Under the Share Option Plan, if certain changes are made in, or events occur with respect to, Mereo ordinary shares (including any variation of share capital, demerger, cancellation of admission, special dividend, rights issue or any other event, which may, in the opinion of the Mereo Board affect the current or future value of Mereo ordinary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150"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21"/>
          <w:szCs w:val="21"/>
          <w:color w:val="auto"/>
        </w:rPr>
        <w:t>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Amendment and Termination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Mereo Board may, at any time, amend the rules of the Share Option Plan, except that no amendment may be made:</w:t>
      </w:r>
    </w:p>
    <w:p>
      <w:pPr>
        <w:spacing w:after="0" w:line="43" w:lineRule="exact"/>
        <w:rPr>
          <w:sz w:val="20"/>
          <w:szCs w:val="20"/>
          <w:color w:val="auto"/>
        </w:rPr>
      </w:pPr>
    </w:p>
    <w:p>
      <w:pPr>
        <w:ind w:left="120" w:right="60" w:hanging="4"/>
        <w:spacing w:after="0" w:line="233" w:lineRule="auto"/>
        <w:tabs>
          <w:tab w:leader="none" w:pos="3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U.K. Companies Act 2006. No options may be granted pursuant to the Share Option Plan after the tenth anniversary of the date of Mereo’s Admission.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Mereo Long Term Incentive Plan (the “LTIP”)</w:t>
      </w:r>
    </w:p>
    <w:p>
      <w:pPr>
        <w:spacing w:after="0" w:line="98" w:lineRule="exact"/>
        <w:rPr>
          <w:sz w:val="20"/>
          <w:szCs w:val="20"/>
          <w:color w:val="auto"/>
        </w:rPr>
      </w:pPr>
    </w:p>
    <w:p>
      <w:pPr>
        <w:ind w:left="120" w:right="180" w:firstLine="551"/>
        <w:spacing w:after="0" w:line="328" w:lineRule="auto"/>
        <w:rPr>
          <w:sz w:val="20"/>
          <w:szCs w:val="20"/>
          <w:color w:val="auto"/>
        </w:rPr>
      </w:pPr>
      <w:r>
        <w:rPr>
          <w:rFonts w:ascii="Arial" w:cs="Arial" w:eastAsia="Arial" w:hAnsi="Arial"/>
          <w:sz w:val="19"/>
          <w:szCs w:val="19"/>
          <w:color w:val="auto"/>
        </w:rPr>
        <w:t>In order to further incentivize Mereo’s employees and align their interests with shareholders, the Mereo Board adopted the LTIP on June 9, 2016 and has subsequently amended it. No further grants under the LTIP are expected to be made.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Eligibility, Awards and Administration</w:t>
      </w:r>
    </w:p>
    <w:p>
      <w:pPr>
        <w:spacing w:after="0" w:line="98" w:lineRule="exact"/>
        <w:rPr>
          <w:sz w:val="20"/>
          <w:szCs w:val="20"/>
          <w:color w:val="auto"/>
        </w:rPr>
      </w:pPr>
    </w:p>
    <w:p>
      <w:pPr>
        <w:ind w:left="120" w:right="80" w:firstLine="551"/>
        <w:spacing w:after="0"/>
        <w:rPr>
          <w:sz w:val="20"/>
          <w:szCs w:val="20"/>
          <w:color w:val="auto"/>
        </w:rPr>
      </w:pPr>
      <w:r>
        <w:rPr>
          <w:rFonts w:ascii="Arial" w:cs="Arial" w:eastAsia="Arial" w:hAnsi="Arial"/>
          <w:sz w:val="22"/>
          <w:szCs w:val="22"/>
          <w:color w:val="auto"/>
        </w:rPr>
        <w:t>The LTIP provides for the grant of nil-cost options, conditional awards, cash conditional awards or cash options (the “LTIP Awards”), to Mereo’s employees. The shares used to satisfy the LTIP Awards are currently delivered through the Mereo BioPharma Group plc Employee Benefit Trust, which is based in Jersey.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Mereo Board may determine that the LTIP Awards are settled in cash.</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Vesting and Exercise</w:t>
      </w:r>
    </w:p>
    <w:p>
      <w:pPr>
        <w:spacing w:after="0" w:line="98" w:lineRule="exact"/>
        <w:rPr>
          <w:sz w:val="20"/>
          <w:szCs w:val="20"/>
          <w:color w:val="auto"/>
        </w:rPr>
      </w:pPr>
    </w:p>
    <w:p>
      <w:pPr>
        <w:ind w:left="120" w:right="120" w:firstLine="551"/>
        <w:spacing w:after="0" w:line="279" w:lineRule="auto"/>
        <w:rPr>
          <w:sz w:val="20"/>
          <w:szCs w:val="20"/>
          <w:color w:val="auto"/>
        </w:rPr>
      </w:pPr>
      <w:r>
        <w:rPr>
          <w:rFonts w:ascii="Arial" w:cs="Arial" w:eastAsia="Arial" w:hAnsi="Arial"/>
          <w:sz w:val="19"/>
          <w:szCs w:val="19"/>
          <w:color w:val="auto"/>
        </w:rPr>
        <w:t>The LTIP Awards are subject to a vesting schedule as determined by the Mereo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Mereo’s share dealing code) applies to the award, then the award will vest on the date on which such dealing restriction lifts. During the year ended December 31, 2021, 482,748 options under the LTIP lapsed as the performance conditions for a tranche were not met. To date, no options under the LTIP have vested.</w:t>
      </w:r>
    </w:p>
    <w:p>
      <w:pPr>
        <w:sectPr>
          <w:pgSz w:w="11900" w:h="16838" w:orient="portrait"/>
          <w:cols w:equalWidth="0" w:num="1">
            <w:col w:w="11120"/>
          </w:cols>
          <w:pgMar w:left="320" w:top="486" w:right="459" w:bottom="1440" w:gutter="0" w:footer="0" w:header="0"/>
        </w:sectPr>
      </w:pP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104</w:t>
      </w:r>
    </w:p>
    <w:p>
      <w:pPr>
        <w:sectPr>
          <w:pgSz w:w="11900" w:h="16838" w:orient="portrait"/>
          <w:cols w:equalWidth="0" w:num="1">
            <w:col w:w="11120"/>
          </w:cols>
          <w:pgMar w:left="320" w:top="486" w:right="4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Limitation on Awards</w:t>
      </w:r>
    </w:p>
    <w:p>
      <w:pPr>
        <w:spacing w:after="0" w:line="98" w:lineRule="exact"/>
        <w:rPr>
          <w:sz w:val="20"/>
          <w:szCs w:val="20"/>
          <w:color w:val="auto"/>
        </w:rPr>
      </w:pPr>
    </w:p>
    <w:p>
      <w:pPr>
        <w:ind w:left="120" w:right="260" w:firstLine="551"/>
        <w:spacing w:after="0"/>
        <w:rPr>
          <w:sz w:val="20"/>
          <w:szCs w:val="20"/>
          <w:color w:val="auto"/>
        </w:rPr>
      </w:pPr>
      <w:r>
        <w:rPr>
          <w:rFonts w:ascii="Arial" w:cs="Arial" w:eastAsia="Arial" w:hAnsi="Arial"/>
          <w:sz w:val="22"/>
          <w:szCs w:val="22"/>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86" w:lineRule="exact"/>
        <w:rPr>
          <w:sz w:val="20"/>
          <w:szCs w:val="20"/>
          <w:color w:val="auto"/>
        </w:rPr>
      </w:pPr>
    </w:p>
    <w:p>
      <w:pPr>
        <w:ind w:left="120" w:right="40" w:firstLine="551"/>
        <w:spacing w:after="0" w:line="249" w:lineRule="auto"/>
        <w:rPr>
          <w:sz w:val="20"/>
          <w:szCs w:val="20"/>
          <w:color w:val="auto"/>
        </w:rPr>
      </w:pPr>
      <w:r>
        <w:rPr>
          <w:rFonts w:ascii="Arial" w:cs="Arial" w:eastAsia="Arial" w:hAnsi="Arial"/>
          <w:sz w:val="21"/>
          <w:szCs w:val="21"/>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Mereo’s accounts, an error in assessing a performance condition such that the LTIP Award vests to a greater extent than it would have vested, or fraudulent or material misconduct on the part of the participant.</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Scheme Leavers</w:t>
      </w:r>
    </w:p>
    <w:p>
      <w:pPr>
        <w:spacing w:after="0" w:line="98" w:lineRule="exact"/>
        <w:rPr>
          <w:sz w:val="20"/>
          <w:szCs w:val="20"/>
          <w:color w:val="auto"/>
        </w:rPr>
      </w:pPr>
    </w:p>
    <w:p>
      <w:pPr>
        <w:ind w:left="120" w:right="80" w:firstLine="551"/>
        <w:spacing w:after="0" w:line="287" w:lineRule="auto"/>
        <w:rPr>
          <w:sz w:val="20"/>
          <w:szCs w:val="20"/>
          <w:color w:val="auto"/>
        </w:rPr>
      </w:pPr>
      <w:r>
        <w:rPr>
          <w:rFonts w:ascii="Arial" w:cs="Arial" w:eastAsia="Arial" w:hAnsi="Arial"/>
          <w:sz w:val="19"/>
          <w:szCs w:val="19"/>
          <w:color w:val="auto"/>
        </w:rPr>
        <w:t>The LTIP Awards will usually lapse on the participant’s cessation of employment or office, unless the cessation is because of death, ill health, injury or disability, or where the participant is no longer employed by Mereo, or for any other reason at the Mereo Board’s discretion, except where the participant is summarily dismissed, in which case any unvested LTIP Awards will usually continue until the normal vesting date, unless the Mereo Board determines otherwise.</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Certain Transactions</w:t>
      </w:r>
    </w:p>
    <w:p>
      <w:pPr>
        <w:spacing w:after="0" w:line="98" w:lineRule="exact"/>
        <w:rPr>
          <w:sz w:val="20"/>
          <w:szCs w:val="20"/>
          <w:color w:val="auto"/>
        </w:rPr>
      </w:pPr>
    </w:p>
    <w:p>
      <w:pPr>
        <w:ind w:left="120" w:right="120" w:firstLine="551"/>
        <w:spacing w:after="0" w:line="279" w:lineRule="auto"/>
        <w:rPr>
          <w:sz w:val="20"/>
          <w:szCs w:val="20"/>
          <w:color w:val="auto"/>
        </w:rPr>
      </w:pPr>
      <w:r>
        <w:rPr>
          <w:rFonts w:ascii="Arial" w:cs="Arial" w:eastAsia="Arial" w:hAnsi="Arial"/>
          <w:sz w:val="19"/>
          <w:szCs w:val="19"/>
          <w:color w:val="auto"/>
        </w:rPr>
        <w:t>Under the LTIP, if certain changes are made in or events occur with respect to Mereo ordinary shares (including any variation of share capital, any demerger, cancellation of admission, special dividend, rights issue or other event which may, in the opinion of the Mereo Board, affect the current or future value of Mereo ordinary shares), the number of shares subject to a LTIP Award, or any performance condition, may be adjusted as determined by the Mereo Board. In addition, upon such an event, the Mereo Board will determine: (i) whether and to what extent awards which have not yet vested will vest; and (ii) the period of time during which any vested option may be exercised.</w:t>
      </w:r>
    </w:p>
    <w:p>
      <w:pPr>
        <w:spacing w:after="0" w:line="150"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In the event of certain corporate transactions, including a general offer or a scheme of arrangement, the vesting and exercisability of all LTIP Awards will accelerate to the extent determined by the Mereo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the Mereo Board), following which they will lapse. However, if there is an internal reorganization, a LTIP Award will be exchanged in consideration of the grant of a new award which, as determined by the Mereo Board, is equivalent to the LTIP Award but relates to shares in a different company (whether the acquiring company or a different company). Any LTIP Award that does not vest or is not exchanged will lapse immediately.</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Amendment and Termination</w:t>
      </w:r>
    </w:p>
    <w:p>
      <w:pPr>
        <w:spacing w:after="0" w:line="98"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21"/>
          <w:szCs w:val="21"/>
          <w:color w:val="auto"/>
        </w:rPr>
        <w:t>The Mereo Board may, at any time, amend the rules of the LTIP or the terms of any LTIP Award,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U.K. Companies Act 2006. No LTIP Awards may be granted pursuant to the LTIP after the tenth anniversary of the date of Admission.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Mereo Deferred Bonus Share Plan (the “2016 DBSP”)</w:t>
      </w:r>
    </w:p>
    <w:p>
      <w:pPr>
        <w:spacing w:after="0" w:line="98" w:lineRule="exact"/>
        <w:rPr>
          <w:sz w:val="20"/>
          <w:szCs w:val="20"/>
          <w:color w:val="auto"/>
        </w:rPr>
      </w:pPr>
    </w:p>
    <w:p>
      <w:pPr>
        <w:ind w:left="120" w:right="100" w:firstLine="551"/>
        <w:spacing w:after="0" w:line="274" w:lineRule="auto"/>
        <w:rPr>
          <w:sz w:val="20"/>
          <w:szCs w:val="20"/>
          <w:color w:val="auto"/>
        </w:rPr>
      </w:pPr>
      <w:r>
        <w:rPr>
          <w:rFonts w:ascii="Arial" w:cs="Arial" w:eastAsia="Arial" w:hAnsi="Arial"/>
          <w:sz w:val="21"/>
          <w:szCs w:val="21"/>
          <w:color w:val="auto"/>
        </w:rPr>
        <w:t>The Mereo Board adopted the 2016 DBSP on June 9, 2016 and has subsequently amended it. Following the adoption of the 2019 DBP in January 2019, no further grants are expected to be made under the 2016 DBSP.</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120"/>
          </w:cols>
          <w:pgMar w:left="320" w:top="486"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Eligibility, Awards and Administration</w:t>
      </w:r>
    </w:p>
    <w:p>
      <w:pPr>
        <w:spacing w:after="0" w:line="98" w:lineRule="exact"/>
        <w:rPr>
          <w:sz w:val="20"/>
          <w:szCs w:val="20"/>
          <w:color w:val="auto"/>
        </w:rPr>
      </w:pPr>
    </w:p>
    <w:p>
      <w:pPr>
        <w:ind w:left="120" w:right="380" w:firstLine="551"/>
        <w:spacing w:after="0" w:line="274" w:lineRule="auto"/>
        <w:rPr>
          <w:sz w:val="20"/>
          <w:szCs w:val="20"/>
          <w:color w:val="auto"/>
        </w:rPr>
      </w:pPr>
      <w:r>
        <w:rPr>
          <w:rFonts w:ascii="Arial" w:cs="Arial" w:eastAsia="Arial" w:hAnsi="Arial"/>
          <w:sz w:val="21"/>
          <w:szCs w:val="21"/>
          <w:color w:val="auto"/>
        </w:rPr>
        <w:t>The 2016 DBSP provides for the deferral of a percentage (currently 30%) of the annual bonuses awarded to Mereo’s employees into the right to acquire shares equal in value to the amount deferred, free of charge.</w:t>
      </w:r>
    </w:p>
    <w:p>
      <w:pPr>
        <w:spacing w:after="0" w:line="151"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21"/>
          <w:szCs w:val="21"/>
          <w:color w:val="auto"/>
        </w:rPr>
        <w:t>Under the 2016 DBSP, conditional awards or nil-cost options (the “2016 DBSP Awards”) may only be granted to participants who have earned a bonus, pursuant to Mereo’s annual bonus plan, for the financial year immediately preceding the financial year in which the grant date occurs. A 2016 DBSP Award will be granted over such number of shares as have at the grant date a market value, as determined by the Mereo Board, equal to the deferred bonus (the amount of bonus which is to be delivered in the form of a conditional award or a nil-cost option).</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Vesting and Exercise</w:t>
      </w:r>
    </w:p>
    <w:p>
      <w:pPr>
        <w:spacing w:after="0" w:line="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The 2016 DBSP Awards will generally vest three years after the date of grant and have no performance conditions or service condition. The 2016 DBSP Awards may be settled in cash if determined by the Mereo Board. The shares used to satisfy the 2016 DBSP Awards are currently delivered through the Mereo BioPharma Group plc Employee Benefit Trust, which is based in Jersey.</w:t>
      </w:r>
    </w:p>
    <w:p>
      <w:pPr>
        <w:spacing w:after="0" w:line="185" w:lineRule="exact"/>
        <w:rPr>
          <w:sz w:val="20"/>
          <w:szCs w:val="20"/>
          <w:color w:val="auto"/>
        </w:rPr>
      </w:pPr>
    </w:p>
    <w:p>
      <w:pPr>
        <w:ind w:left="120" w:right="160" w:firstLine="551"/>
        <w:spacing w:after="0" w:line="328" w:lineRule="auto"/>
        <w:rPr>
          <w:sz w:val="20"/>
          <w:szCs w:val="20"/>
          <w:color w:val="auto"/>
        </w:rPr>
      </w:pPr>
      <w:r>
        <w:rPr>
          <w:rFonts w:ascii="Arial" w:cs="Arial" w:eastAsia="Arial" w:hAnsi="Arial"/>
          <w:sz w:val="19"/>
          <w:szCs w:val="19"/>
          <w:color w:val="auto"/>
        </w:rPr>
        <w:t>If on the date a 2016 DBSP Award is due to vest or be exercisable a restriction on share dealing (as may be imposed by Mereo’s share dealing code) applies to the award, then the award will vest on the date on which such dealing restriction lifts.</w:t>
      </w:r>
    </w:p>
    <w:p>
      <w:pPr>
        <w:spacing w:after="0" w:line="105" w:lineRule="exact"/>
        <w:rPr>
          <w:sz w:val="20"/>
          <w:szCs w:val="20"/>
          <w:color w:val="auto"/>
        </w:rPr>
      </w:pPr>
    </w:p>
    <w:p>
      <w:pPr>
        <w:ind w:left="120" w:right="340" w:firstLine="551"/>
        <w:spacing w:after="0" w:line="250" w:lineRule="auto"/>
        <w:rPr>
          <w:sz w:val="20"/>
          <w:szCs w:val="20"/>
          <w:color w:val="auto"/>
        </w:rPr>
      </w:pPr>
      <w:r>
        <w:rPr>
          <w:rFonts w:ascii="Arial" w:cs="Arial" w:eastAsia="Arial" w:hAnsi="Arial"/>
          <w:sz w:val="22"/>
          <w:szCs w:val="22"/>
          <w:color w:val="auto"/>
        </w:rPr>
        <w:t>Once a nil-cost option has vested, it may be exercised during the period ending on the first anniversary of the date on which it vested in such manner as the Mereo Board determines, after which time it will lapse.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Limitation on Awards</w:t>
      </w:r>
    </w:p>
    <w:p>
      <w:pPr>
        <w:spacing w:after="0" w:line="98" w:lineRule="exact"/>
        <w:rPr>
          <w:sz w:val="20"/>
          <w:szCs w:val="20"/>
          <w:color w:val="auto"/>
        </w:rPr>
      </w:pPr>
    </w:p>
    <w:p>
      <w:pPr>
        <w:ind w:left="120" w:right="80" w:firstLine="551"/>
        <w:spacing w:after="0"/>
        <w:rPr>
          <w:sz w:val="20"/>
          <w:szCs w:val="20"/>
          <w:color w:val="auto"/>
        </w:rPr>
      </w:pPr>
      <w:r>
        <w:rPr>
          <w:rFonts w:ascii="Arial" w:cs="Arial" w:eastAsia="Arial" w:hAnsi="Arial"/>
          <w:sz w:val="22"/>
          <w:szCs w:val="22"/>
          <w:color w:val="auto"/>
        </w:rPr>
        <w:t>No eligible employee may be granted 2016 DBSP Awards that, at the time they are granted, would cause the market value of shares subject to the 2016 DBSP Awards granted to the employee in respect of a financial year to exceed 100% of the employee’s salary.</w:t>
      </w:r>
    </w:p>
    <w:p>
      <w:pPr>
        <w:spacing w:after="0" w:line="186"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The 2016 DBSP Awards may, prior to the third anniversary of the grant date, be: (i) reduced; or (ii) where the underlying shares or cash have already been transferred to the participant following vesting or exercise of the 2016 DBSP Award (as applicable), clawed back, where there has been a material misstatement of Mereo’s accounts, an error in assessing the information on which the bonus was determined such that the bonus was overpaid, or fraudulent or material misconduct on the part of the participant.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Certain Transactions</w:t>
      </w:r>
    </w:p>
    <w:p>
      <w:pPr>
        <w:spacing w:after="0" w:line="98"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21"/>
          <w:szCs w:val="21"/>
          <w:color w:val="auto"/>
        </w:rPr>
        <w:t>Under the 2016 DBSP, if certain changes are made in or events occur with respect to Mereo ordinary shares (including any variation of share capital, any demerger, cancellation of admission, special dividend, rights issue or other event which may in the opinion of the Mereo Board, affect the current or future value of Mereo ordinary shares), the number of shares subject to a 2016 DBSP Award may be adjusted as determined by the Mereo Board. In addition, upon such an event, the Mereo Board will determine: (i) whether and to what extent 2016 DBSP Awards which have not yet vested will vest; and (ii) the period of time during which any vested option may be exercised.</w:t>
      </w:r>
    </w:p>
    <w:p>
      <w:pPr>
        <w:spacing w:after="0" w:line="177" w:lineRule="exact"/>
        <w:rPr>
          <w:sz w:val="20"/>
          <w:szCs w:val="20"/>
          <w:color w:val="auto"/>
        </w:rPr>
      </w:pPr>
    </w:p>
    <w:p>
      <w:pPr>
        <w:ind w:left="120" w:right="60" w:firstLine="551"/>
        <w:spacing w:after="0" w:line="279" w:lineRule="auto"/>
        <w:rPr>
          <w:sz w:val="20"/>
          <w:szCs w:val="20"/>
          <w:color w:val="auto"/>
        </w:rPr>
      </w:pPr>
      <w:r>
        <w:rPr>
          <w:rFonts w:ascii="Arial" w:cs="Arial" w:eastAsia="Arial" w:hAnsi="Arial"/>
          <w:sz w:val="19"/>
          <w:szCs w:val="19"/>
          <w:color w:val="auto"/>
        </w:rPr>
        <w:t>In the event of certain corporate transactions, including a general offer or a scheme of arrangement, the vesting and exercisability of all 2016 DBSP Awards will accelerate to the extent determined by the Mereo Board, after which, the 2016 DBSP Awards will be exercisable for one month (or such other period as or determined by the Mereo Board), following which they will lapse. However, if there is an internal reorganization, a 2016 DBSP Award will be exchanged in consideration of the grant of a new award which, as determined by the Mereo Board, is equivalent to the 2016 DBSP Award but relates to shares in a different company (whether the acquiring company or a different company).</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Scheme Leavers</w:t>
      </w:r>
    </w:p>
    <w:p>
      <w:pPr>
        <w:spacing w:after="0" w:line="98"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21"/>
          <w:szCs w:val="21"/>
          <w:color w:val="auto"/>
        </w:rPr>
        <w:t>Except for where a participant is summarily dismissed (in which case the awards will be forfeited), the 2016 DBSP Awards usually will continue upon cessation of office or employment with Mereo and vest in full on the normal vesting date as described above. Options will remain exercisable for a period of 12 months from the date of vesting.</w:t>
      </w:r>
    </w:p>
    <w:p>
      <w:pPr>
        <w:sectPr>
          <w:pgSz w:w="11900" w:h="16838" w:orient="portrait"/>
          <w:cols w:equalWidth="0" w:num="1">
            <w:col w:w="11120"/>
          </w:cols>
          <w:pgMar w:left="320" w:top="486" w:right="459" w:bottom="1440" w:gutter="0" w:footer="0" w:header="0"/>
        </w:sectPr>
      </w:pP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106</w:t>
      </w:r>
    </w:p>
    <w:p>
      <w:pPr>
        <w:sectPr>
          <w:pgSz w:w="11900" w:h="16838" w:orient="portrait"/>
          <w:cols w:equalWidth="0" w:num="1">
            <w:col w:w="11120"/>
          </w:cols>
          <w:pgMar w:left="320" w:top="486" w:right="45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Amendment and Termination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Mereo Board may, at any time, amend the rules of the 2016 DBSP, except that no amendment may be made:</w:t>
      </w:r>
    </w:p>
    <w:p>
      <w:pPr>
        <w:spacing w:after="0" w:line="43" w:lineRule="exact"/>
        <w:rPr>
          <w:sz w:val="20"/>
          <w:szCs w:val="20"/>
          <w:color w:val="auto"/>
        </w:rPr>
      </w:pPr>
    </w:p>
    <w:p>
      <w:pPr>
        <w:ind w:left="120" w:right="140" w:hanging="4"/>
        <w:spacing w:after="0" w:line="233" w:lineRule="auto"/>
        <w:tabs>
          <w:tab w:leader="none" w:pos="378" w:val="left"/>
        </w:tabs>
        <w:numPr>
          <w:ilvl w:val="0"/>
          <w:numId w:val="64"/>
        </w:numPr>
        <w:rPr>
          <w:rFonts w:ascii="Arial" w:cs="Arial" w:eastAsia="Arial" w:hAnsi="Arial"/>
          <w:sz w:val="22"/>
          <w:szCs w:val="22"/>
          <w:color w:val="auto"/>
        </w:rPr>
      </w:pPr>
      <w:r>
        <w:rPr>
          <w:rFonts w:ascii="Arial" w:cs="Arial" w:eastAsia="Arial" w:hAnsi="Arial"/>
          <w:sz w:val="22"/>
          <w:szCs w:val="22"/>
          <w:color w:val="auto"/>
        </w:rPr>
        <w:t>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2016 DBSP from being an employees’ share scheme in accordance with the U.K. Companies Act 2006.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 2016 DBSP Awards may be granted pursuant to the 2016 DBSP after the tenth anniversary of the date of Admission.</w:t>
      </w:r>
    </w:p>
    <w:p>
      <w:pPr>
        <w:spacing w:after="0" w:line="241" w:lineRule="exact"/>
        <w:rPr>
          <w:sz w:val="20"/>
          <w:szCs w:val="20"/>
          <w:color w:val="auto"/>
        </w:rPr>
      </w:pPr>
    </w:p>
    <w:p>
      <w:pPr>
        <w:ind w:left="120" w:right="40" w:firstLine="551"/>
        <w:spacing w:after="0" w:line="252" w:lineRule="auto"/>
        <w:rPr>
          <w:sz w:val="20"/>
          <w:szCs w:val="20"/>
          <w:color w:val="auto"/>
        </w:rPr>
      </w:pPr>
      <w:r>
        <w:rPr>
          <w:rFonts w:ascii="Arial" w:cs="Arial" w:eastAsia="Arial" w:hAnsi="Arial"/>
          <w:sz w:val="21"/>
          <w:szCs w:val="21"/>
          <w:color w:val="auto"/>
        </w:rPr>
        <w:t>Mereo’s Remuneration Committee has approved awards under the 2016 DBSP in respect of bonuses awarded to certain of Mereo’s executive officers for 2017. These awards are in the form of nil-cost option grants under the 2016 DBSP in the following amounts: Dr. Scots-Knight: 32,205 shares subject to the option; Dr. MacKinnon: 22,588 shares subject to the option; and Mr. Sermon: 23,966 shares subject to the option. These options have vested.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Mereo New Deferred Bonus Plan (the “2019 DBP”)</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Mereo Board adopted Mereo’s 2019 DBP on January 15, 2019.</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Holding of Deferred Shares</w:t>
      </w:r>
    </w:p>
    <w:p>
      <w:pPr>
        <w:spacing w:after="0" w:line="98" w:lineRule="exact"/>
        <w:rPr>
          <w:sz w:val="20"/>
          <w:szCs w:val="20"/>
          <w:color w:val="auto"/>
        </w:rPr>
      </w:pPr>
    </w:p>
    <w:p>
      <w:pPr>
        <w:ind w:left="120" w:right="180" w:firstLine="551"/>
        <w:spacing w:after="0" w:line="250" w:lineRule="auto"/>
        <w:rPr>
          <w:sz w:val="20"/>
          <w:szCs w:val="20"/>
          <w:color w:val="auto"/>
        </w:rPr>
      </w:pPr>
      <w:r>
        <w:rPr>
          <w:rFonts w:ascii="Arial" w:cs="Arial" w:eastAsia="Arial" w:hAnsi="Arial"/>
          <w:sz w:val="22"/>
          <w:szCs w:val="22"/>
          <w:color w:val="auto"/>
        </w:rPr>
        <w:t>Under the 2019 DBP, Mereo ordinary shares may be purchased by participants using an after-tax bonus amount paid to them pursuant to Mereo’s annual bonus plan (“Deferred Shares”).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Restrictions on Deferred Shares</w:t>
      </w:r>
    </w:p>
    <w:p>
      <w:pPr>
        <w:spacing w:after="0" w:line="98" w:lineRule="exact"/>
        <w:rPr>
          <w:sz w:val="20"/>
          <w:szCs w:val="20"/>
          <w:color w:val="auto"/>
        </w:rPr>
      </w:pPr>
    </w:p>
    <w:p>
      <w:pPr>
        <w:ind w:left="120" w:firstLine="551"/>
        <w:spacing w:after="0" w:line="282" w:lineRule="auto"/>
        <w:rPr>
          <w:sz w:val="20"/>
          <w:szCs w:val="20"/>
          <w:color w:val="auto"/>
        </w:rPr>
      </w:pPr>
      <w:r>
        <w:rPr>
          <w:rFonts w:ascii="Arial" w:cs="Arial" w:eastAsia="Arial" w:hAnsi="Arial"/>
          <w:sz w:val="19"/>
          <w:szCs w:val="19"/>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the Mereo Board. The 2019 DBP permits participants to transfer Deferred Shares to an immediate family member or nominee to hold for them or as a beneficiary, or to a personal representative in the event of the participant’s death.</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Cessation of Employment</w:t>
      </w:r>
    </w:p>
    <w:p>
      <w:pPr>
        <w:spacing w:after="0" w:line="98" w:lineRule="exact"/>
        <w:rPr>
          <w:sz w:val="20"/>
          <w:szCs w:val="20"/>
          <w:color w:val="auto"/>
        </w:rPr>
      </w:pPr>
    </w:p>
    <w:p>
      <w:pPr>
        <w:jc w:val="both"/>
        <w:ind w:left="120" w:right="60" w:firstLine="551"/>
        <w:spacing w:after="0" w:line="287" w:lineRule="auto"/>
        <w:rPr>
          <w:sz w:val="20"/>
          <w:szCs w:val="20"/>
          <w:color w:val="auto"/>
        </w:rPr>
      </w:pPr>
      <w:r>
        <w:rPr>
          <w:rFonts w:ascii="Arial" w:cs="Arial" w:eastAsia="Arial" w:hAnsi="Arial"/>
          <w:sz w:val="19"/>
          <w:szCs w:val="19"/>
          <w:color w:val="auto"/>
        </w:rPr>
        <w:t>If a participant ceases employment with Mereo, he or she must continue to hold the Deferred Shares in accordance with the restrictions under the 2019 DBP unless the Mereo Board disapply some or all of the restrictions in respect of some or all of that participant’s Deferred Shares. The Mereo Board will not have discretion to disapply any of the restrictions in the case of a participant who has been dismissed lawfully without notice or could have been so dismissed if he or she had not resigned.</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Certain Transactions</w:t>
      </w:r>
    </w:p>
    <w:p>
      <w:pPr>
        <w:spacing w:after="0" w:line="98" w:lineRule="exact"/>
        <w:rPr>
          <w:sz w:val="20"/>
          <w:szCs w:val="20"/>
          <w:color w:val="auto"/>
        </w:rPr>
      </w:pPr>
    </w:p>
    <w:p>
      <w:pPr>
        <w:ind w:left="120" w:right="400" w:firstLine="551"/>
        <w:spacing w:after="0" w:line="252" w:lineRule="auto"/>
        <w:rPr>
          <w:sz w:val="20"/>
          <w:szCs w:val="20"/>
          <w:color w:val="auto"/>
        </w:rPr>
      </w:pPr>
      <w:r>
        <w:rPr>
          <w:rFonts w:ascii="Arial" w:cs="Arial" w:eastAsia="Arial" w:hAnsi="Arial"/>
          <w:sz w:val="21"/>
          <w:szCs w:val="21"/>
          <w:color w:val="auto"/>
        </w:rPr>
        <w:t>Under the 2019 DBP, if any person obtains control of Mereo (by means of holding shares, the possession of voting power, or as a result of any powers conferred by Mereo’s Articles or other document relating to Mereo), the restrictions on Deferred Shares under the 2019 DBP will cease to apply from that date unless the Mereo Board determines otherwise. The Mereo Board may not extend the restrictions under the 2019 DBP.</w:t>
      </w:r>
    </w:p>
    <w:p>
      <w:pPr>
        <w:spacing w:after="0" w:line="174" w:lineRule="exact"/>
        <w:rPr>
          <w:sz w:val="20"/>
          <w:szCs w:val="20"/>
          <w:color w:val="auto"/>
        </w:rPr>
      </w:pPr>
    </w:p>
    <w:p>
      <w:pPr>
        <w:ind w:left="120" w:right="200" w:firstLine="551"/>
        <w:spacing w:after="0" w:line="252" w:lineRule="auto"/>
        <w:rPr>
          <w:sz w:val="20"/>
          <w:szCs w:val="20"/>
          <w:color w:val="auto"/>
        </w:rPr>
      </w:pPr>
      <w:r>
        <w:rPr>
          <w:rFonts w:ascii="Arial" w:cs="Arial" w:eastAsia="Arial" w:hAnsi="Arial"/>
          <w:sz w:val="21"/>
          <w:szCs w:val="21"/>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120"/>
          </w:cols>
          <w:pgMar w:left="320" w:top="486"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Regulatory Issues</w:t>
      </w:r>
    </w:p>
    <w:p>
      <w:pPr>
        <w:spacing w:after="0" w:line="98" w:lineRule="exact"/>
        <w:rPr>
          <w:sz w:val="20"/>
          <w:szCs w:val="20"/>
          <w:color w:val="auto"/>
        </w:rPr>
      </w:pPr>
    </w:p>
    <w:p>
      <w:pPr>
        <w:ind w:left="120" w:right="260" w:firstLine="551"/>
        <w:spacing w:after="0"/>
        <w:rPr>
          <w:sz w:val="20"/>
          <w:szCs w:val="20"/>
          <w:color w:val="auto"/>
        </w:rPr>
      </w:pPr>
      <w:r>
        <w:rPr>
          <w:rFonts w:ascii="Arial" w:cs="Arial" w:eastAsia="Arial" w:hAnsi="Arial"/>
          <w:sz w:val="22"/>
          <w:szCs w:val="22"/>
          <w:color w:val="auto"/>
        </w:rPr>
        <w:t>The purchase or transfer of Mereo ordinary shares under the 2019 DBP will be subject to obtaining any approval or consent required by Nasdaq (or any other relevant authority) and any restrictions imposed by Mereo’s share dealing code, or any applicable laws or regulations which impose restrictions on share dealing.</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Amendment and Termination</w:t>
      </w:r>
    </w:p>
    <w:p>
      <w:pPr>
        <w:spacing w:after="0" w:line="98" w:lineRule="exact"/>
        <w:rPr>
          <w:sz w:val="20"/>
          <w:szCs w:val="20"/>
          <w:color w:val="auto"/>
        </w:rPr>
      </w:pPr>
    </w:p>
    <w:p>
      <w:pPr>
        <w:ind w:left="120" w:firstLine="551"/>
        <w:spacing w:after="0" w:line="282" w:lineRule="auto"/>
        <w:rPr>
          <w:sz w:val="20"/>
          <w:szCs w:val="20"/>
          <w:color w:val="auto"/>
        </w:rPr>
      </w:pPr>
      <w:r>
        <w:rPr>
          <w:rFonts w:ascii="Arial" w:cs="Arial" w:eastAsia="Arial" w:hAnsi="Arial"/>
          <w:sz w:val="19"/>
          <w:szCs w:val="19"/>
          <w:color w:val="auto"/>
        </w:rPr>
        <w:t>The Mereo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U.K. Companies Act 2006.</w:t>
      </w:r>
    </w:p>
    <w:p>
      <w:pPr>
        <w:spacing w:after="0" w:line="147" w:lineRule="exact"/>
        <w:rPr>
          <w:sz w:val="20"/>
          <w:szCs w:val="20"/>
          <w:color w:val="auto"/>
        </w:rPr>
      </w:pPr>
    </w:p>
    <w:p>
      <w:pPr>
        <w:ind w:left="120" w:right="320" w:firstLine="551"/>
        <w:spacing w:after="0" w:line="328" w:lineRule="auto"/>
        <w:rPr>
          <w:sz w:val="20"/>
          <w:szCs w:val="20"/>
          <w:color w:val="auto"/>
        </w:rPr>
      </w:pPr>
      <w:r>
        <w:rPr>
          <w:rFonts w:ascii="Arial" w:cs="Arial" w:eastAsia="Arial" w:hAnsi="Arial"/>
          <w:sz w:val="19"/>
          <w:szCs w:val="19"/>
          <w:color w:val="auto"/>
        </w:rPr>
        <w:t>The 2019 DBP will terminate on the tenth anniversary of its adoption by the Mereo Board or at any earlier time by resolution of the Mereo Board. Termination of the 2019 DBP will be without prejudice to the existing rights of participants.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Mereo 2019 Equity Incentive Plan (The 2019 EIP)</w:t>
      </w:r>
    </w:p>
    <w:p>
      <w:pPr>
        <w:spacing w:after="0" w:line="98" w:lineRule="exact"/>
        <w:rPr>
          <w:sz w:val="20"/>
          <w:szCs w:val="20"/>
          <w:color w:val="auto"/>
        </w:rPr>
      </w:pPr>
    </w:p>
    <w:p>
      <w:pPr>
        <w:ind w:left="120" w:right="140" w:firstLine="551"/>
        <w:spacing w:after="0" w:line="274" w:lineRule="auto"/>
        <w:rPr>
          <w:sz w:val="20"/>
          <w:szCs w:val="20"/>
          <w:color w:val="auto"/>
        </w:rPr>
      </w:pPr>
      <w:r>
        <w:rPr>
          <w:rFonts w:ascii="Arial" w:cs="Arial" w:eastAsia="Arial" w:hAnsi="Arial"/>
          <w:sz w:val="21"/>
          <w:szCs w:val="21"/>
          <w:color w:val="auto"/>
        </w:rPr>
        <w:t>Our Board adopted the 2019 EIP on April 4, 2019. The Remuneration Committee made minor amendments to the rules of the 2019 EIP on May 16, 2019 and subsequently on February 13, 2020 and January 15, 2021.</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Eligibility, Awards and Administration</w:t>
      </w:r>
    </w:p>
    <w:p>
      <w:pPr>
        <w:spacing w:after="0" w:line="98" w:lineRule="exact"/>
        <w:rPr>
          <w:sz w:val="20"/>
          <w:szCs w:val="20"/>
          <w:color w:val="auto"/>
        </w:rPr>
      </w:pPr>
    </w:p>
    <w:p>
      <w:pPr>
        <w:ind w:left="120" w:right="500" w:firstLine="551"/>
        <w:spacing w:after="0"/>
        <w:rPr>
          <w:sz w:val="20"/>
          <w:szCs w:val="20"/>
          <w:color w:val="auto"/>
        </w:rPr>
      </w:pPr>
      <w:r>
        <w:rPr>
          <w:rFonts w:ascii="Arial" w:cs="Arial" w:eastAsia="Arial" w:hAnsi="Arial"/>
          <w:sz w:val="22"/>
          <w:szCs w:val="22"/>
          <w:color w:val="auto"/>
        </w:rPr>
        <w:t>The 2019 EIP provides for the grant of the following types of awards to non-executive directors: (i) market value options; (ii) share appreciation rights; (iii) restricted stock / restricted stock unit awards; (iv) performance awards (awards subject to performance conditions) and (v) other share-based awards.</w:t>
      </w:r>
    </w:p>
    <w:p>
      <w:pPr>
        <w:spacing w:after="0" w:line="186" w:lineRule="exact"/>
        <w:rPr>
          <w:sz w:val="20"/>
          <w:szCs w:val="20"/>
          <w:color w:val="auto"/>
        </w:rPr>
      </w:pPr>
    </w:p>
    <w:p>
      <w:pPr>
        <w:ind w:left="120" w:right="200" w:firstLine="551"/>
        <w:spacing w:after="0" w:line="328" w:lineRule="auto"/>
        <w:rPr>
          <w:sz w:val="20"/>
          <w:szCs w:val="20"/>
          <w:color w:val="auto"/>
        </w:rPr>
      </w:pPr>
      <w:r>
        <w:rPr>
          <w:rFonts w:ascii="Arial" w:cs="Arial" w:eastAsia="Arial" w:hAnsi="Arial"/>
          <w:sz w:val="19"/>
          <w:szCs w:val="19"/>
          <w:color w:val="auto"/>
        </w:rPr>
        <w:t>Subject to the terms of the 2019 EIP awards can be granted in respect of ordinary shares, ADSs, cash or a combination thereof. References in this section to ordinary shares will be deemed references to ADSs, as applicable.</w:t>
      </w:r>
    </w:p>
    <w:p>
      <w:pPr>
        <w:spacing w:after="0" w:line="105" w:lineRule="exact"/>
        <w:rPr>
          <w:sz w:val="20"/>
          <w:szCs w:val="20"/>
          <w:color w:val="auto"/>
        </w:rPr>
      </w:pPr>
    </w:p>
    <w:p>
      <w:pPr>
        <w:jc w:val="both"/>
        <w:ind w:left="120" w:right="240" w:firstLine="551"/>
        <w:spacing w:after="0"/>
        <w:rPr>
          <w:sz w:val="20"/>
          <w:szCs w:val="20"/>
          <w:color w:val="auto"/>
        </w:rPr>
      </w:pPr>
      <w:r>
        <w:rPr>
          <w:rFonts w:ascii="Arial" w:cs="Arial" w:eastAsia="Arial" w:hAnsi="Arial"/>
          <w:sz w:val="22"/>
          <w:szCs w:val="22"/>
          <w:color w:val="auto"/>
        </w:rPr>
        <w:t>The 2019 EIP is administered by the Remuneration Committee unless the Remuneration Committee designates one or more directors as a subcommittee who may act for the Remuneration Committee if necessary. The Board may also choose to administer the 2019 EIP itself.</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Vesting Schedule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Awards vest in accordance with the vesting schedule set for the relevant award in its award agreement.</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Awards</w:t>
      </w:r>
    </w:p>
    <w:p>
      <w:pPr>
        <w:spacing w:after="0" w:line="98"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On May 20, 2019, the Remuneration Committee of the Board agreed to grant awards in respect of market value options over an aggregate of 255,500 ADSs to executives, at an exercise price of $5.40 per ADS. On July 23, 2019, the Remuneration Committee of the Board agreed to grant awards in respect of market value options over an additional 215,500 ADSs to executives, at an exercise price of $3.00 per ADS. On February 20, 2020, the Remuneration Committee of the Board agreed to grant awards in respect of market value options over an additional 565,000 ADSs to executives, at an exercise price of $1.84 per ADS. On August 12, 2020, the Remuneration Committee of the Board agreed to grant an award in respect of market value options over an additional 100,000 ADSs to an executive, at an exercise price of $2.77 per ADS. On January 19, 2021, the Remuneration Committee of the Board agreed to grant an award in respect of market value options over an additional 170,000 ADSs to an executive, at an exercise price of $3.32 per ADS. On February 1, 2021, the Remuneration Committee of the Board agreed to grant awards in respect of market value options over an additional 1,150,000 ADSs to executives, at an exercise price of $2.72 per ADS. On January 14, 2022, the Remuneration Committee of the Board agreed to grant awards in respect of market value options over an additional 2,645,000 ADSs to executives, at an exercise price of $1.40 per ADS.</w:t>
      </w:r>
    </w:p>
    <w:p>
      <w:pPr>
        <w:spacing w:after="0" w:line="161" w:lineRule="exact"/>
        <w:rPr>
          <w:sz w:val="20"/>
          <w:szCs w:val="20"/>
          <w:color w:val="auto"/>
        </w:rPr>
      </w:pPr>
    </w:p>
    <w:p>
      <w:pPr>
        <w:jc w:val="both"/>
        <w:ind w:left="120" w:right="180" w:firstLine="551"/>
        <w:spacing w:after="0" w:line="238" w:lineRule="auto"/>
        <w:rPr>
          <w:sz w:val="20"/>
          <w:szCs w:val="20"/>
          <w:color w:val="auto"/>
        </w:rPr>
      </w:pPr>
      <w:r>
        <w:rPr>
          <w:rFonts w:ascii="Arial" w:cs="Arial" w:eastAsia="Arial" w:hAnsi="Arial"/>
          <w:sz w:val="22"/>
          <w:szCs w:val="22"/>
          <w:color w:val="auto"/>
        </w:rPr>
        <w:t>In the normal course of events and subject to the participant’s continued employment through each applicable vesting date, one fourth of each such market value option grant shall vest on the first anniversary of the grant date and the remainder shall vest in equal monthly installments over the three year period following the first anniversary. No performance conditions apply to such market value options.</w:t>
      </w:r>
    </w:p>
    <w:p>
      <w:pPr>
        <w:sectPr>
          <w:pgSz w:w="11900" w:h="16838" w:orient="portrait"/>
          <w:cols w:equalWidth="0" w:num="1">
            <w:col w:w="11120"/>
          </w:cols>
          <w:pgMar w:left="320" w:top="486" w:right="459" w:bottom="1440" w:gutter="0" w:footer="0" w:header="0"/>
        </w:sectPr>
      </w:pP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108</w:t>
      </w:r>
    </w:p>
    <w:p>
      <w:pPr>
        <w:sectPr>
          <w:pgSz w:w="11900" w:h="16838" w:orient="portrait"/>
          <w:cols w:equalWidth="0" w:num="1">
            <w:col w:w="11120"/>
          </w:cols>
          <w:pgMar w:left="320" w:top="486" w:right="45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Limitation on Awards</w:t>
      </w:r>
    </w:p>
    <w:p>
      <w:pPr>
        <w:spacing w:after="0" w:line="98"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21"/>
          <w:szCs w:val="21"/>
          <w:color w:val="auto"/>
        </w:rPr>
        <w:t>Subject to adjustment, the aggregate number of shares available for issuance under the 2019 EIP and the 2019 NED EIP will not exceed 9,590,180 ordinary shares. Beginning in the 2021 calendar year, the total number of ordinary shares available for issuance under the 2019 EIP and the 2019 NED EIP is increased on January 1st of each year in an amount equal to the lesser of (i) 5.3%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Leavers</w:t>
      </w:r>
    </w:p>
    <w:p>
      <w:pPr>
        <w:spacing w:after="0" w:line="9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22"/>
          <w:szCs w:val="22"/>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Certain Transactions</w:t>
      </w:r>
    </w:p>
    <w:p>
      <w:pPr>
        <w:spacing w:after="0" w:line="98" w:lineRule="exact"/>
        <w:rPr>
          <w:sz w:val="20"/>
          <w:szCs w:val="20"/>
          <w:color w:val="auto"/>
        </w:rPr>
      </w:pPr>
    </w:p>
    <w:p>
      <w:pPr>
        <w:ind w:left="120" w:right="400" w:firstLine="551"/>
        <w:spacing w:after="0" w:line="297" w:lineRule="auto"/>
        <w:rPr>
          <w:sz w:val="20"/>
          <w:szCs w:val="20"/>
          <w:color w:val="auto"/>
        </w:rPr>
      </w:pPr>
      <w:r>
        <w:rPr>
          <w:rFonts w:ascii="Arial" w:cs="Arial" w:eastAsia="Arial" w:hAnsi="Arial"/>
          <w:sz w:val="19"/>
          <w:szCs w:val="19"/>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134" w:lineRule="exact"/>
        <w:rPr>
          <w:sz w:val="20"/>
          <w:szCs w:val="20"/>
          <w:color w:val="auto"/>
        </w:rPr>
      </w:pPr>
    </w:p>
    <w:p>
      <w:pPr>
        <w:ind w:left="120" w:right="220" w:firstLine="551"/>
        <w:spacing w:after="0" w:line="274" w:lineRule="auto"/>
        <w:rPr>
          <w:sz w:val="20"/>
          <w:szCs w:val="20"/>
          <w:color w:val="auto"/>
        </w:rPr>
      </w:pPr>
      <w:r>
        <w:rPr>
          <w:rFonts w:ascii="Arial" w:cs="Arial" w:eastAsia="Arial" w:hAnsi="Arial"/>
          <w:sz w:val="21"/>
          <w:szCs w:val="21"/>
          <w:color w:val="auto"/>
        </w:rPr>
        <w:t>The number and type of securities subject to award and any exercise price may also be adjusted for various events that may affect the value of ADSs and for changes in applicable laws, regulations or accounting principles.</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Amendment and Termination</w:t>
      </w:r>
    </w:p>
    <w:p>
      <w:pPr>
        <w:spacing w:after="0" w:line="98" w:lineRule="exact"/>
        <w:rPr>
          <w:sz w:val="20"/>
          <w:szCs w:val="20"/>
          <w:color w:val="auto"/>
        </w:rPr>
      </w:pPr>
    </w:p>
    <w:p>
      <w:pPr>
        <w:ind w:left="120" w:right="120" w:firstLine="551"/>
        <w:spacing w:after="0"/>
        <w:rPr>
          <w:sz w:val="20"/>
          <w:szCs w:val="20"/>
          <w:color w:val="auto"/>
        </w:rPr>
      </w:pPr>
      <w:r>
        <w:rPr>
          <w:rFonts w:ascii="Arial" w:cs="Arial" w:eastAsia="Arial" w:hAnsi="Arial"/>
          <w:sz w:val="22"/>
          <w:szCs w:val="22"/>
          <w:color w:val="auto"/>
        </w:rPr>
        <w:t>The Board may amend, alter, suspend, discontinue or terminate the 2019 EIP or any portion thereof at any time, subject to shareholder approval where required by applicable law or the rules of the stock market or exchange, if any, on which the shares are principally quoted or traded.</w:t>
      </w:r>
    </w:p>
    <w:p>
      <w:pPr>
        <w:spacing w:after="0" w:line="186"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21"/>
          <w:szCs w:val="21"/>
          <w:color w:val="auto"/>
        </w:rPr>
        <w:t>However, no such Board action that would materially adversely affect participants’ rights under an outstanding award may be taken without such participants’ consent, except to the extent that such action is made to cause the 2019 EIP to comply with applicable law, stock market or exchange rules and regulations or accounting or tax rules and regulations or to impose any recoupment provisions on any awards in accordance with the 2019 EIP.</w:t>
      </w:r>
    </w:p>
    <w:p>
      <w:pPr>
        <w:spacing w:after="0" w:line="174"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22"/>
          <w:szCs w:val="22"/>
          <w:color w:val="auto"/>
        </w:rPr>
        <w:t>No Award may be granted under the 2019 EIP after the earliest to occur of: (i) the tenth anniversary of the effective date of the 2019 EIP; provided that to the extent permitted by the listing rules of any stock exchange on which we are listed, such ten-year term may be extended indefinitely so long as the maximum number of shares available for issuance under the 2019 EIP have not been issued; (ii) the maximum number of shares available for issuance under the 2019 EIP have been issued; and (iii) our Board terminates the 2019 EIP.</w:t>
      </w:r>
    </w:p>
    <w:p>
      <w:pPr>
        <w:spacing w:after="0" w:line="187" w:lineRule="exact"/>
        <w:rPr>
          <w:sz w:val="20"/>
          <w:szCs w:val="20"/>
          <w:color w:val="auto"/>
        </w:rPr>
      </w:pPr>
    </w:p>
    <w:p>
      <w:pPr>
        <w:ind w:left="120" w:firstLine="551"/>
        <w:spacing w:after="0" w:line="287" w:lineRule="auto"/>
        <w:rPr>
          <w:sz w:val="20"/>
          <w:szCs w:val="20"/>
          <w:color w:val="auto"/>
        </w:rPr>
      </w:pPr>
      <w:r>
        <w:rPr>
          <w:rFonts w:ascii="Arial" w:cs="Arial" w:eastAsia="Arial" w:hAnsi="Arial"/>
          <w:sz w:val="19"/>
          <w:szCs w:val="19"/>
          <w:color w:val="auto"/>
        </w:rPr>
        <w:t>Beginning in the 2021 calendar year, the total number of ordinary shares available for issuance under the 2019 EIP and the 2019 NED EIP is increased on January 1st of each year in an amount equal to the lesser of (i) 5.3%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The Mereo 2019 NED Equity Incentive Plan (The 2019 NED EIP)</w:t>
      </w:r>
    </w:p>
    <w:p>
      <w:pPr>
        <w:spacing w:after="0" w:line="98" w:lineRule="exact"/>
        <w:rPr>
          <w:sz w:val="20"/>
          <w:szCs w:val="20"/>
          <w:color w:val="auto"/>
        </w:rPr>
      </w:pPr>
    </w:p>
    <w:p>
      <w:pPr>
        <w:ind w:left="120" w:right="120" w:firstLine="551"/>
        <w:spacing w:after="0" w:line="328" w:lineRule="auto"/>
        <w:rPr>
          <w:sz w:val="20"/>
          <w:szCs w:val="20"/>
          <w:color w:val="auto"/>
        </w:rPr>
      </w:pPr>
      <w:r>
        <w:rPr>
          <w:rFonts w:ascii="Arial" w:cs="Arial" w:eastAsia="Arial" w:hAnsi="Arial"/>
          <w:sz w:val="19"/>
          <w:szCs w:val="19"/>
          <w:color w:val="auto"/>
        </w:rPr>
        <w:t>Our Board adopted the 2019 NED EIP on April 4, 2019. The Remuneration Committee made minor amendments to the rules of the 2019 NED EIP on May 16, 2019 and subsequently on February 13, 2020 and January 15, 2021.</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Eligibility, Awards and Administration</w:t>
      </w:r>
    </w:p>
    <w:p>
      <w:pPr>
        <w:spacing w:after="0" w:line="98" w:lineRule="exact"/>
        <w:rPr>
          <w:sz w:val="20"/>
          <w:szCs w:val="20"/>
          <w:color w:val="auto"/>
        </w:rPr>
      </w:pPr>
    </w:p>
    <w:p>
      <w:pPr>
        <w:ind w:left="120" w:right="180" w:firstLine="551"/>
        <w:spacing w:after="0"/>
        <w:rPr>
          <w:sz w:val="20"/>
          <w:szCs w:val="20"/>
          <w:color w:val="auto"/>
        </w:rPr>
      </w:pPr>
      <w:r>
        <w:rPr>
          <w:rFonts w:ascii="Arial" w:cs="Arial" w:eastAsia="Arial" w:hAnsi="Arial"/>
          <w:sz w:val="22"/>
          <w:szCs w:val="22"/>
          <w:color w:val="auto"/>
        </w:rPr>
        <w:t>The 2019 NED EIP provides for the grant of the following types of awards to non-executive directors: (i) market value options; (ii) share appreciation rights; (iii) restricted stock / restricted stock unit awards; (iv) performance awards (awards subject to performance conditions) and (v) other share-based awards.</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109</w:t>
      </w:r>
    </w:p>
    <w:p>
      <w:pPr>
        <w:sectPr>
          <w:pgSz w:w="11900" w:h="16838" w:orient="portrait"/>
          <w:cols w:equalWidth="0" w:num="1">
            <w:col w:w="11120"/>
          </w:cols>
          <w:pgMar w:left="320" w:top="486" w:right="45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820" w:firstLine="551"/>
        <w:spacing w:after="0" w:line="328" w:lineRule="auto"/>
        <w:rPr>
          <w:sz w:val="20"/>
          <w:szCs w:val="20"/>
          <w:color w:val="auto"/>
        </w:rPr>
      </w:pPr>
      <w:r>
        <w:rPr>
          <w:rFonts w:ascii="Arial" w:cs="Arial" w:eastAsia="Arial" w:hAnsi="Arial"/>
          <w:sz w:val="19"/>
          <w:szCs w:val="19"/>
          <w:color w:val="auto"/>
        </w:rPr>
        <w:t>Subject to the terms of the 2019 NED EIP awards can be granted in respect of ordinary shares, ADSs, cash or a combination thereof. References in this section to ordinary shares will be deemed references to ADSs, as applicable.</w:t>
      </w:r>
    </w:p>
    <w:p>
      <w:pPr>
        <w:spacing w:after="0" w:line="105" w:lineRule="exact"/>
        <w:rPr>
          <w:sz w:val="20"/>
          <w:szCs w:val="20"/>
          <w:color w:val="auto"/>
        </w:rPr>
      </w:pPr>
    </w:p>
    <w:p>
      <w:pPr>
        <w:ind w:left="120" w:right="320" w:firstLine="551"/>
        <w:spacing w:after="0"/>
        <w:rPr>
          <w:sz w:val="20"/>
          <w:szCs w:val="20"/>
          <w:color w:val="auto"/>
        </w:rPr>
      </w:pPr>
      <w:r>
        <w:rPr>
          <w:rFonts w:ascii="Arial" w:cs="Arial" w:eastAsia="Arial" w:hAnsi="Arial"/>
          <w:sz w:val="22"/>
          <w:szCs w:val="22"/>
          <w:color w:val="auto"/>
        </w:rPr>
        <w:t>The 2019 NED EIP is administered by the Remuneration Committee unless the Remuneration Committee designates one or more directors as a subcommittee who may act for the Remuneration Committee if necessary. The Board may also choose to administer the 2019 NED EIP itself.</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Vesting Schedule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Awards vest in accordance with the vesting schedule set for the relevant award in its award agreement.</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Awards</w:t>
      </w:r>
    </w:p>
    <w:p>
      <w:pPr>
        <w:spacing w:after="0" w:line="98"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Awards were granted under the 2019 NED EIP to non-executive directors on May 20, 2019 in respect of (in aggregate) 38,500 ADSs at a per ADS exercise price of $5.40. The terms of the awards include that, at our discretion, the awards will be settled either in ADSs (for payment of the exercise price) or in cash (by reference to the growth in value in excess of the reference exercise price). On July 23, 2019, the Remuneration Committee of the Board agreed to grant awards in respect of market value options over an additional 38,500 ADSs to non-executive directors, at an exercise price of $3.00 per ADS. On February 20, 2020, the Remuneration Committee of the Board agreed to grant awards in respect of market value options over an additional 77,000 ADSs to non-executive directors, at an exercise price of $1.84 per ADS. On January 19, 2021, the Remuneration Committee of the Board agreed to grant awards in respect of market value options over an additional 44,000 ADSs to non-executive directors, at an exercise price of $3.32 per ADS. On February 1, 2021, the Remuneration Committee of the Board agreed to grant awards in respect of market value options over an additional 252,000 ADSs to non-executive directors, at an exercise price of $2.72 per ADS. On February 1, 2022, the Remuneration Committee of the Board agreed to grant awards in respect of market value options over an additional 418,393 ADSs to non-executive directors, at an exercise price of $1.31 per ADS. On March 1, 2022, the Remuneration Committee of the Board agreed to grant awards in respect of market value options over an additional 50,416 ADSs to non-executive directors, at an exercise price of $1.24 per ADS.</w:t>
      </w:r>
    </w:p>
    <w:p>
      <w:pPr>
        <w:spacing w:after="0" w:line="164" w:lineRule="exact"/>
        <w:rPr>
          <w:sz w:val="20"/>
          <w:szCs w:val="20"/>
          <w:color w:val="auto"/>
        </w:rPr>
      </w:pPr>
    </w:p>
    <w:p>
      <w:pPr>
        <w:jc w:val="both"/>
        <w:ind w:left="120" w:right="40" w:firstLine="551"/>
        <w:spacing w:after="0" w:line="257" w:lineRule="auto"/>
        <w:rPr>
          <w:sz w:val="20"/>
          <w:szCs w:val="20"/>
          <w:color w:val="auto"/>
        </w:rPr>
      </w:pPr>
      <w:r>
        <w:rPr>
          <w:rFonts w:ascii="Arial" w:cs="Arial" w:eastAsia="Arial" w:hAnsi="Arial"/>
          <w:sz w:val="21"/>
          <w:szCs w:val="21"/>
          <w:color w:val="auto"/>
        </w:rPr>
        <w:t>In the normal course of events and subject to the participant holding the participant’s current office (or being otherwise employed) through each applicable vesting date, such awards shall vest in equal monthly installments over the one year period following their grant date. No performance conditions apply to such awards.</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Limitation on Awards</w:t>
      </w:r>
    </w:p>
    <w:p>
      <w:pPr>
        <w:spacing w:after="0" w:line="98" w:lineRule="exact"/>
        <w:rPr>
          <w:sz w:val="20"/>
          <w:szCs w:val="20"/>
          <w:color w:val="auto"/>
        </w:rPr>
      </w:pPr>
    </w:p>
    <w:p>
      <w:pPr>
        <w:ind w:left="120" w:right="60" w:firstLine="551"/>
        <w:spacing w:after="0"/>
        <w:rPr>
          <w:sz w:val="20"/>
          <w:szCs w:val="20"/>
          <w:color w:val="auto"/>
        </w:rPr>
      </w:pPr>
      <w:r>
        <w:rPr>
          <w:rFonts w:ascii="Arial" w:cs="Arial" w:eastAsia="Arial" w:hAnsi="Arial"/>
          <w:sz w:val="22"/>
          <w:szCs w:val="22"/>
          <w:color w:val="auto"/>
        </w:rPr>
        <w:t>Subject to adjustment, the aggregate number of shares available for issuance under the 2019 EIP and the 2019 NED EIP will not exceed 5.3% of our issued and outstanding ordinary shares (such limit will be measured as of the date of grant of an award).</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Leavers</w:t>
      </w:r>
    </w:p>
    <w:p>
      <w:pPr>
        <w:spacing w:after="0" w:line="9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22"/>
          <w:szCs w:val="22"/>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Certain Transactions</w:t>
      </w:r>
    </w:p>
    <w:p>
      <w:pPr>
        <w:spacing w:after="0" w:line="98" w:lineRule="exact"/>
        <w:rPr>
          <w:sz w:val="20"/>
          <w:szCs w:val="20"/>
          <w:color w:val="auto"/>
        </w:rPr>
      </w:pPr>
    </w:p>
    <w:p>
      <w:pPr>
        <w:ind w:left="120" w:right="380" w:firstLine="551"/>
        <w:spacing w:after="0" w:line="297" w:lineRule="auto"/>
        <w:rPr>
          <w:sz w:val="20"/>
          <w:szCs w:val="20"/>
          <w:color w:val="auto"/>
        </w:rPr>
      </w:pPr>
      <w:r>
        <w:rPr>
          <w:rFonts w:ascii="Arial" w:cs="Arial" w:eastAsia="Arial" w:hAnsi="Arial"/>
          <w:sz w:val="19"/>
          <w:szCs w:val="19"/>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134" w:lineRule="exact"/>
        <w:rPr>
          <w:sz w:val="20"/>
          <w:szCs w:val="20"/>
          <w:color w:val="auto"/>
        </w:rPr>
      </w:pPr>
    </w:p>
    <w:p>
      <w:pPr>
        <w:ind w:left="120" w:right="200" w:firstLine="551"/>
        <w:spacing w:after="0" w:line="274" w:lineRule="auto"/>
        <w:rPr>
          <w:sz w:val="20"/>
          <w:szCs w:val="20"/>
          <w:color w:val="auto"/>
        </w:rPr>
      </w:pPr>
      <w:r>
        <w:rPr>
          <w:rFonts w:ascii="Arial" w:cs="Arial" w:eastAsia="Arial" w:hAnsi="Arial"/>
          <w:sz w:val="21"/>
          <w:szCs w:val="21"/>
          <w:color w:val="auto"/>
        </w:rPr>
        <w:t>The number and type of securities subject to award and any exercise price may also be adjusted for various events that may affect the value of ADSs and for changes in applicable laws, regulations or accounting principles.</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Amendment and Termination</w:t>
      </w:r>
    </w:p>
    <w:p>
      <w:pPr>
        <w:spacing w:after="0" w:line="98"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The Board may amend, alter, suspend, discontinue or terminate the 2019 NED EIP or any portion thereof at any time, subject to shareholder approval where required by applicable law or the rules of the stock market or exchange, if any, on which the shares are principally quoted or traded.</w:t>
      </w:r>
    </w:p>
    <w:p>
      <w:pPr>
        <w:spacing w:after="0" w:line="186" w:lineRule="exact"/>
        <w:rPr>
          <w:sz w:val="20"/>
          <w:szCs w:val="20"/>
          <w:color w:val="auto"/>
        </w:rPr>
      </w:pPr>
    </w:p>
    <w:p>
      <w:pPr>
        <w:jc w:val="both"/>
        <w:ind w:left="120" w:right="240" w:firstLine="551"/>
        <w:spacing w:after="0" w:line="287" w:lineRule="auto"/>
        <w:rPr>
          <w:sz w:val="20"/>
          <w:szCs w:val="20"/>
          <w:color w:val="auto"/>
        </w:rPr>
      </w:pPr>
      <w:r>
        <w:rPr>
          <w:rFonts w:ascii="Arial" w:cs="Arial" w:eastAsia="Arial" w:hAnsi="Arial"/>
          <w:sz w:val="19"/>
          <w:szCs w:val="19"/>
          <w:color w:val="auto"/>
        </w:rPr>
        <w:t>However, no such Board action that would materially adversely affect participants’ rights under an outstanding award may be taken without such participants’ consent, except to the extent that such action is made to cause the 2019 NED EIP to comply with applicable law, stock market or exchange rules and regulations or accounting or tax rules and regulations or to impose any recoupment provisions on any awards in accordance with the 2019 NED EIP.</w:t>
      </w:r>
    </w:p>
    <w:p>
      <w:pPr>
        <w:sectPr>
          <w:pgSz w:w="11900" w:h="16838" w:orient="portrait"/>
          <w:cols w:equalWidth="0" w:num="1">
            <w:col w:w="11100"/>
          </w:cols>
          <w:pgMar w:left="320" w:top="486" w:right="479" w:bottom="0" w:gutter="0" w:footer="0" w:header="0"/>
        </w:sectPr>
      </w:pP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110</w:t>
      </w:r>
    </w:p>
    <w:p>
      <w:pPr>
        <w:sectPr>
          <w:pgSz w:w="11900" w:h="16838" w:orient="portrait"/>
          <w:cols w:equalWidth="0" w:num="1">
            <w:col w:w="11100"/>
          </w:cols>
          <w:pgMar w:left="320" w:top="486" w:right="479" w:bottom="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49" w:lineRule="auto"/>
        <w:rPr>
          <w:sz w:val="20"/>
          <w:szCs w:val="20"/>
          <w:color w:val="auto"/>
        </w:rPr>
      </w:pPr>
      <w:r>
        <w:rPr>
          <w:rFonts w:ascii="Arial" w:cs="Arial" w:eastAsia="Arial" w:hAnsi="Arial"/>
          <w:sz w:val="21"/>
          <w:szCs w:val="21"/>
          <w:color w:val="auto"/>
        </w:rPr>
        <w:t>No Award may be granted under the 2019 NED EIP after the earliest to occur of: (i) the tenth anniversary of the effective date of the 2019 NED EIP; provided that to the extent permitted by the listing rules of any stock exchange on which we are listed, such ten-year term may be extended indefinitely so long as the maximum number of shares available for issuance under the 2019 NED EIP have not been issued; (ii) the maximum number of shares available for issuance under the 2019 NED EIP have been issued; and (iii) our Board terminates the 2019 NED EIP.</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Incentive Award Arrangements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no incentive award arrangements in place as of the date of this prospectus.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a description of the equity incentive plans see “—E. Share Ownership—Equity Compensation Arrangements.”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Non-Executive Directors Remuneration</w:t>
      </w:r>
    </w:p>
    <w:p>
      <w:pPr>
        <w:spacing w:after="0" w:line="104"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22"/>
          <w:szCs w:val="22"/>
          <w:color w:val="auto"/>
        </w:rPr>
        <w:t>The following table sets forth the remuneration paid during 2021 to the current non-executive directors, all of which was in the form of annual fees:</w:t>
      </w:r>
    </w:p>
    <w:p>
      <w:pPr>
        <w:spacing w:after="0" w:line="201" w:lineRule="exact"/>
        <w:rPr>
          <w:sz w:val="20"/>
          <w:szCs w:val="20"/>
          <w:color w:val="auto"/>
        </w:rPr>
      </w:pPr>
    </w:p>
    <w:tbl>
      <w:tblPr>
        <w:tblLayout w:type="fixed"/>
        <w:tblInd w:w="1880" w:type="dxa"/>
        <w:tblCellMar>
          <w:top w:w="0" w:type="dxa"/>
          <w:left w:w="0" w:type="dxa"/>
          <w:bottom w:w="0" w:type="dxa"/>
          <w:right w:w="0" w:type="dxa"/>
        </w:tblCellMar>
      </w:tblPr>
      <w:tr>
        <w:trPr>
          <w:trHeight w:val="272"/>
        </w:trPr>
        <w:tc>
          <w:tcPr>
            <w:tcW w:w="5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Name</w:t>
            </w:r>
          </w:p>
        </w:tc>
        <w:tc>
          <w:tcPr>
            <w:tcW w:w="56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20"/>
                <w:szCs w:val="20"/>
                <w:b w:val="1"/>
                <w:bCs w:val="1"/>
                <w:color w:val="auto"/>
                <w:w w:val="91"/>
              </w:rPr>
              <w:t xml:space="preserve">Annual Fees </w:t>
            </w:r>
            <w:r>
              <w:rPr>
                <w:rFonts w:ascii="Arial" w:cs="Arial" w:eastAsia="Arial" w:hAnsi="Arial"/>
                <w:sz w:val="20"/>
                <w:szCs w:val="20"/>
                <w:b w:val="1"/>
                <w:bCs w:val="1"/>
                <w:u w:val="single" w:color="auto"/>
                <w:color w:val="auto"/>
                <w:w w:val="91"/>
              </w:rPr>
              <w:t>(£</w:t>
            </w:r>
            <w:r>
              <w:rPr>
                <w:rFonts w:ascii="Arial" w:cs="Arial" w:eastAsia="Arial" w:hAnsi="Arial"/>
                <w:sz w:val="20"/>
                <w:szCs w:val="20"/>
                <w:b w:val="1"/>
                <w:bCs w:val="1"/>
                <w:color w:val="auto"/>
                <w:w w:val="91"/>
              </w:rPr>
              <w:t>)</w:t>
            </w:r>
          </w:p>
        </w:tc>
      </w:tr>
      <w:tr>
        <w:trPr>
          <w:trHeight w:val="230"/>
        </w:trPr>
        <w:tc>
          <w:tcPr>
            <w:tcW w:w="6100" w:type="dxa"/>
            <w:vAlign w:val="bottom"/>
            <w:tcBorders>
              <w:top w:val="single" w:sz="8" w:color="CCEEFF"/>
            </w:tcBorders>
            <w:gridSpan w:val="2"/>
            <w:shd w:val="clear" w:color="auto" w:fill="CCEEFF"/>
          </w:tcPr>
          <w:p>
            <w:pPr>
              <w:spacing w:after="0" w:line="230" w:lineRule="exact"/>
              <w:rPr>
                <w:sz w:val="20"/>
                <w:szCs w:val="20"/>
                <w:color w:val="auto"/>
              </w:rPr>
            </w:pPr>
            <w:r>
              <w:rPr>
                <w:rFonts w:ascii="Arial" w:cs="Arial" w:eastAsia="Arial" w:hAnsi="Arial"/>
                <w:sz w:val="22"/>
                <w:szCs w:val="22"/>
                <w:color w:val="auto"/>
              </w:rPr>
              <w:t>Dr. Peter Fellner, Ph.D.</w:t>
            </w:r>
          </w:p>
        </w:tc>
        <w:tc>
          <w:tcPr>
            <w:tcW w:w="1320" w:type="dxa"/>
            <w:vAlign w:val="bottom"/>
            <w:tcBorders>
              <w:top w:val="single" w:sz="8" w:color="auto"/>
            </w:tcBorders>
            <w:shd w:val="clear" w:color="auto" w:fill="CCEEFF"/>
          </w:tcPr>
          <w:p>
            <w:pPr>
              <w:jc w:val="right"/>
              <w:spacing w:after="0" w:line="230" w:lineRule="exact"/>
              <w:rPr>
                <w:sz w:val="20"/>
                <w:szCs w:val="20"/>
                <w:color w:val="auto"/>
              </w:rPr>
            </w:pPr>
            <w:r>
              <w:rPr>
                <w:rFonts w:ascii="Arial" w:cs="Arial" w:eastAsia="Arial" w:hAnsi="Arial"/>
                <w:sz w:val="22"/>
                <w:szCs w:val="22"/>
                <w:color w:val="auto"/>
              </w:rPr>
              <w:t>100,000</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Dr. Jeremy Bender, Ph.D.</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40,375</w:t>
            </w:r>
          </w:p>
        </w:tc>
        <w:tc>
          <w:tcPr>
            <w:tcW w:w="60" w:type="dxa"/>
            <w:vAlign w:val="bottom"/>
          </w:tcPr>
          <w:p>
            <w:pPr>
              <w:spacing w:after="0"/>
              <w:rPr>
                <w:sz w:val="21"/>
                <w:szCs w:val="21"/>
                <w:color w:val="auto"/>
              </w:rPr>
            </w:pPr>
          </w:p>
        </w:tc>
      </w:tr>
      <w:tr>
        <w:trPr>
          <w:trHeight w:val="243"/>
        </w:trPr>
        <w:tc>
          <w:tcPr>
            <w:tcW w:w="61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Dr. Anders Ekblom, M.D., Ph.D.</w:t>
            </w:r>
          </w:p>
        </w:tc>
        <w:tc>
          <w:tcPr>
            <w:tcW w:w="13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47,175</w:t>
            </w:r>
          </w:p>
        </w:tc>
        <w:tc>
          <w:tcPr>
            <w:tcW w:w="60" w:type="dxa"/>
            <w:vAlign w:val="bottom"/>
            <w:shd w:val="clear" w:color="auto" w:fill="CCEEFF"/>
          </w:tcPr>
          <w:p>
            <w:pPr>
              <w:spacing w:after="0"/>
              <w:rPr>
                <w:sz w:val="21"/>
                <w:szCs w:val="2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Dr. Pierre Jacquet, Ph.D.</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9,962</w:t>
            </w:r>
          </w:p>
        </w:tc>
        <w:tc>
          <w:tcPr>
            <w:tcW w:w="60" w:type="dxa"/>
            <w:vAlign w:val="bottom"/>
          </w:tcPr>
          <w:p>
            <w:pPr>
              <w:spacing w:after="0"/>
              <w:rPr>
                <w:sz w:val="21"/>
                <w:szCs w:val="21"/>
                <w:color w:val="auto"/>
              </w:rPr>
            </w:pPr>
          </w:p>
        </w:tc>
      </w:tr>
      <w:tr>
        <w:trPr>
          <w:trHeight w:val="243"/>
        </w:trPr>
        <w:tc>
          <w:tcPr>
            <w:tcW w:w="61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Dr. Deepika R. Pakianathan, Ph.D.</w:t>
            </w:r>
          </w:p>
        </w:tc>
        <w:tc>
          <w:tcPr>
            <w:tcW w:w="13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44,150</w:t>
            </w:r>
          </w:p>
        </w:tc>
        <w:tc>
          <w:tcPr>
            <w:tcW w:w="60" w:type="dxa"/>
            <w:vAlign w:val="bottom"/>
            <w:shd w:val="clear" w:color="auto" w:fill="CCEEFF"/>
          </w:tcPr>
          <w:p>
            <w:pPr>
              <w:spacing w:after="0"/>
              <w:rPr>
                <w:sz w:val="21"/>
                <w:szCs w:val="21"/>
                <w:color w:val="auto"/>
              </w:rPr>
            </w:pPr>
          </w:p>
        </w:tc>
      </w:tr>
      <w:tr>
        <w:trPr>
          <w:trHeight w:val="243"/>
        </w:trPr>
        <w:tc>
          <w:tcPr>
            <w:tcW w:w="6100" w:type="dxa"/>
            <w:vAlign w:val="bottom"/>
            <w:gridSpan w:val="2"/>
          </w:tcPr>
          <w:p>
            <w:pPr>
              <w:spacing w:after="0" w:line="243" w:lineRule="exact"/>
              <w:rPr>
                <w:sz w:val="20"/>
                <w:szCs w:val="20"/>
                <w:color w:val="auto"/>
              </w:rPr>
            </w:pPr>
            <w:r>
              <w:rPr>
                <w:rFonts w:ascii="Arial" w:cs="Arial" w:eastAsia="Arial" w:hAnsi="Arial"/>
                <w:sz w:val="22"/>
                <w:szCs w:val="22"/>
                <w:color w:val="auto"/>
              </w:rPr>
              <w:t>Dr. Brian Schwartz, M.D.</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39,550</w:t>
            </w:r>
          </w:p>
        </w:tc>
        <w:tc>
          <w:tcPr>
            <w:tcW w:w="60" w:type="dxa"/>
            <w:vAlign w:val="bottom"/>
          </w:tcPr>
          <w:p>
            <w:pPr>
              <w:spacing w:after="0"/>
              <w:rPr>
                <w:sz w:val="21"/>
                <w:szCs w:val="21"/>
                <w:color w:val="auto"/>
              </w:rPr>
            </w:pPr>
          </w:p>
        </w:tc>
      </w:tr>
      <w:tr>
        <w:trPr>
          <w:trHeight w:val="243"/>
        </w:trPr>
        <w:tc>
          <w:tcPr>
            <w:tcW w:w="61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Michael S. Wyzga</w:t>
            </w:r>
          </w:p>
        </w:tc>
        <w:tc>
          <w:tcPr>
            <w:tcW w:w="13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49,500</w:t>
            </w:r>
          </w:p>
        </w:tc>
        <w:tc>
          <w:tcPr>
            <w:tcW w:w="60" w:type="dxa"/>
            <w:vAlign w:val="bottom"/>
            <w:shd w:val="clear" w:color="auto" w:fill="CCEEFF"/>
          </w:tcPr>
          <w:p>
            <w:pPr>
              <w:spacing w:after="0"/>
              <w:rPr>
                <w:sz w:val="21"/>
                <w:szCs w:val="21"/>
                <w:color w:val="auto"/>
              </w:rPr>
            </w:pPr>
          </w:p>
        </w:tc>
      </w:tr>
    </w:tbl>
    <w:p>
      <w:pPr>
        <w:spacing w:after="0" w:line="195"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22"/>
          <w:szCs w:val="22"/>
          <w:color w:val="auto"/>
        </w:rPr>
        <w:t>Peter Bains served as a non-executive director until his resignation on September 20, 2021 and Kunal Kashyap served as a non-executive director until his resignation on October 26, 2021. Between January 1, 2021 and September 20, 2021 Peter Bains was paid total remuneration of £37,218 and between January 1, 2021 and October 26, 2021, Kunal Kashyap was paid a total remuneration of £43,750. Pierre Jacquet was appointed as a non-executive director on September 20, 2021, and the amount included represents fees accrued, but not paid as of December 31, 2021. On February 1, 2022, Mr. Jacquet was granted 33,393 market value options at an exercise price of $1.31 under the 2019 NED EIP plan which vested on grant in lieu of this amount.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Non-Executive Director Service Contracts</w:t>
      </w:r>
    </w:p>
    <w:p>
      <w:pPr>
        <w:spacing w:after="0" w:line="104" w:lineRule="exact"/>
        <w:rPr>
          <w:sz w:val="20"/>
          <w:szCs w:val="20"/>
          <w:color w:val="auto"/>
        </w:rPr>
      </w:pPr>
    </w:p>
    <w:p>
      <w:pPr>
        <w:ind w:left="120" w:right="120" w:firstLine="551"/>
        <w:spacing w:after="0" w:line="252" w:lineRule="auto"/>
        <w:rPr>
          <w:sz w:val="20"/>
          <w:szCs w:val="20"/>
          <w:color w:val="auto"/>
        </w:rPr>
      </w:pPr>
      <w:r>
        <w:rPr>
          <w:rFonts w:ascii="Arial" w:cs="Arial" w:eastAsia="Arial" w:hAnsi="Arial"/>
          <w:sz w:val="21"/>
          <w:szCs w:val="21"/>
          <w:color w:val="auto"/>
        </w:rPr>
        <w:t>The remuneration of the non-executive directors is determined by the Mereo Board as a whole, based on a review of current practices in other companies. Mereo has entered into service contracts with Mereo’s directors for their services, which are subject to a three-month termination period. There are no arrangements under which any non-executive director is entitled to receive compensation upon the early termination of his or her appointment.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Pension, Retirement or Similar Benefits</w:t>
      </w:r>
    </w:p>
    <w:p>
      <w:pPr>
        <w:spacing w:after="0" w:line="104" w:lineRule="exact"/>
        <w:rPr>
          <w:sz w:val="20"/>
          <w:szCs w:val="20"/>
          <w:color w:val="auto"/>
        </w:rPr>
      </w:pPr>
    </w:p>
    <w:p>
      <w:pPr>
        <w:ind w:left="120" w:right="120" w:firstLine="551"/>
        <w:spacing w:after="0" w:line="279" w:lineRule="auto"/>
        <w:rPr>
          <w:sz w:val="20"/>
          <w:szCs w:val="20"/>
          <w:color w:val="auto"/>
        </w:rPr>
      </w:pPr>
      <w:r>
        <w:rPr>
          <w:rFonts w:ascii="Arial" w:cs="Arial" w:eastAsia="Arial" w:hAnsi="Arial"/>
          <w:sz w:val="19"/>
          <w:szCs w:val="19"/>
          <w:color w:val="auto"/>
        </w:rPr>
        <w:t>Mereo operates a defined contribution pension scheme which is available to all employees. Mereo makes payments of up to 10% of basic salary for executives (up to 15% for Mereo’s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Mereo to provide pension, retirement or similar benefits to Mereo’s current directors and Mereo’s senior management with respect to 2021 was £173,496, which represents contributions made by Mereo in 2021 in respect of a defined contribution scheme.</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120"/>
          </w:cols>
          <w:pgMar w:left="320" w:top="486"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6.C. Board practices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Composition of the Mereo Board</w:t>
      </w:r>
    </w:p>
    <w:p>
      <w:pPr>
        <w:spacing w:after="0" w:line="104" w:lineRule="exact"/>
        <w:rPr>
          <w:sz w:val="20"/>
          <w:szCs w:val="20"/>
          <w:color w:val="auto"/>
        </w:rPr>
      </w:pPr>
    </w:p>
    <w:p>
      <w:pPr>
        <w:ind w:left="120" w:right="140" w:firstLine="551"/>
        <w:spacing w:after="0" w:line="235" w:lineRule="auto"/>
        <w:rPr>
          <w:sz w:val="20"/>
          <w:szCs w:val="20"/>
          <w:color w:val="auto"/>
        </w:rPr>
      </w:pPr>
      <w:r>
        <w:rPr>
          <w:rFonts w:ascii="Arial" w:cs="Arial" w:eastAsia="Arial" w:hAnsi="Arial"/>
          <w:sz w:val="22"/>
          <w:szCs w:val="22"/>
          <w:color w:val="auto"/>
        </w:rPr>
        <w:t>Our Board currently consists of nine members. Our Board has determined that none of our directors have a relationship that would interfere with the exercise of independent judgment in carrying out the responsibilities of director and that each of these directors is “independent” as that term is defined under the rules of Nasdaq. As a foreign private issuer, we are not required to meet the Nasdaq rule that our board be comprised of a majority of independent directors. However, we currently comply and intend to continue to comply with this requirement. There are no family relationships among any of our directors or senior management.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Insurance and Indemnification</w:t>
      </w:r>
    </w:p>
    <w:p>
      <w:pPr>
        <w:spacing w:after="0" w:line="98" w:lineRule="exact"/>
        <w:rPr>
          <w:sz w:val="20"/>
          <w:szCs w:val="20"/>
          <w:color w:val="auto"/>
        </w:rPr>
      </w:pPr>
    </w:p>
    <w:p>
      <w:pPr>
        <w:ind w:left="120" w:right="220" w:firstLine="551"/>
        <w:spacing w:after="0" w:line="297" w:lineRule="auto"/>
        <w:rPr>
          <w:sz w:val="20"/>
          <w:szCs w:val="20"/>
          <w:color w:val="auto"/>
        </w:rPr>
      </w:pPr>
      <w:r>
        <w:rPr>
          <w:rFonts w:ascii="Arial" w:cs="Arial" w:eastAsia="Arial" w:hAnsi="Arial"/>
          <w:sz w:val="19"/>
          <w:szCs w:val="19"/>
          <w:color w:val="auto"/>
        </w:rPr>
        <w:t>To the extent permitted by the U.K. Companies Act 2006,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w:t>
      </w:r>
    </w:p>
    <w:p>
      <w:pPr>
        <w:spacing w:after="0" w:line="134" w:lineRule="exact"/>
        <w:rPr>
          <w:sz w:val="20"/>
          <w:szCs w:val="20"/>
          <w:color w:val="auto"/>
        </w:rPr>
      </w:pPr>
    </w:p>
    <w:p>
      <w:pPr>
        <w:jc w:val="both"/>
        <w:ind w:left="120" w:right="80" w:firstLine="551"/>
        <w:spacing w:after="0" w:line="297" w:lineRule="auto"/>
        <w:rPr>
          <w:sz w:val="20"/>
          <w:szCs w:val="20"/>
          <w:color w:val="auto"/>
        </w:rPr>
      </w:pPr>
      <w:r>
        <w:rPr>
          <w:rFonts w:ascii="Arial" w:cs="Arial" w:eastAsia="Arial" w:hAnsi="Arial"/>
          <w:sz w:val="19"/>
          <w:szCs w:val="19"/>
          <w:color w:val="auto"/>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Committees of the Mereo Board</w:t>
      </w:r>
    </w:p>
    <w:p>
      <w:pPr>
        <w:spacing w:after="0" w:line="104" w:lineRule="exact"/>
        <w:rPr>
          <w:sz w:val="20"/>
          <w:szCs w:val="20"/>
          <w:color w:val="auto"/>
        </w:rPr>
      </w:pPr>
    </w:p>
    <w:p>
      <w:pPr>
        <w:ind w:left="120" w:right="200" w:firstLine="551"/>
        <w:spacing w:after="0" w:line="250" w:lineRule="auto"/>
        <w:rPr>
          <w:sz w:val="20"/>
          <w:szCs w:val="20"/>
          <w:color w:val="auto"/>
        </w:rPr>
      </w:pPr>
      <w:r>
        <w:rPr>
          <w:rFonts w:ascii="Arial" w:cs="Arial" w:eastAsia="Arial" w:hAnsi="Arial"/>
          <w:sz w:val="22"/>
          <w:szCs w:val="22"/>
          <w:color w:val="auto"/>
        </w:rPr>
        <w:t>The Mereo Board has four standing committees: an audit and risk committee, a remuneration committee, a nomination and governance committee, and a research and development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Audit and Risk Committee</w:t>
      </w:r>
    </w:p>
    <w:p>
      <w:pPr>
        <w:spacing w:after="0" w:line="98" w:lineRule="exact"/>
        <w:rPr>
          <w:sz w:val="20"/>
          <w:szCs w:val="20"/>
          <w:color w:val="auto"/>
        </w:rPr>
      </w:pPr>
    </w:p>
    <w:p>
      <w:pPr>
        <w:ind w:left="120" w:firstLine="551"/>
        <w:spacing w:after="0" w:line="277" w:lineRule="auto"/>
        <w:rPr>
          <w:sz w:val="20"/>
          <w:szCs w:val="20"/>
          <w:color w:val="auto"/>
        </w:rPr>
      </w:pPr>
      <w:r>
        <w:rPr>
          <w:rFonts w:ascii="Arial" w:cs="Arial" w:eastAsia="Arial" w:hAnsi="Arial"/>
          <w:sz w:val="19"/>
          <w:szCs w:val="19"/>
          <w:color w:val="auto"/>
        </w:rPr>
        <w:t>The audit and risk committee which consists of Michael S. Wyzga, Anne Hyland and Jeremy Bender, assists the board in overseeing our accounting and financial reporting processes and the audits of our financial statements. Mr. Wyzga serves as Chairman of the committee. The audit and risk committee consists exclusively of members of our board who are financially literate, and Mr. Wyzga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audit and risk committee’s responsibilities include:</w:t>
      </w:r>
    </w:p>
    <w:p>
      <w:pPr>
        <w:spacing w:after="0" w:line="112" w:lineRule="exact"/>
        <w:rPr>
          <w:sz w:val="20"/>
          <w:szCs w:val="20"/>
          <w:color w:val="auto"/>
        </w:rPr>
      </w:pPr>
    </w:p>
    <w:p>
      <w:pPr>
        <w:ind w:left="1420" w:hanging="535"/>
        <w:spacing w:after="0"/>
        <w:tabs>
          <w:tab w:leader="none" w:pos="1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recommending the appointment of the independent auditor to the general meeting of shareholders;</w:t>
      </w:r>
    </w:p>
    <w:p>
      <w:pPr>
        <w:spacing w:after="0" w:line="111" w:lineRule="exact"/>
        <w:rPr>
          <w:rFonts w:ascii="Arial" w:cs="Arial" w:eastAsia="Arial" w:hAnsi="Arial"/>
          <w:sz w:val="22"/>
          <w:szCs w:val="22"/>
          <w:color w:val="auto"/>
        </w:rPr>
      </w:pPr>
    </w:p>
    <w:p>
      <w:pPr>
        <w:ind w:left="1420" w:right="500" w:hanging="535"/>
        <w:spacing w:after="0" w:line="250" w:lineRule="auto"/>
        <w:tabs>
          <w:tab w:leader="none" w:pos="1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appointment, compensation, retention and oversight of any accounting firm engaged for the purpose of preparing or issuing an audit report or performing other audit services;</w:t>
      </w:r>
    </w:p>
    <w:p>
      <w:pPr>
        <w:spacing w:after="0" w:line="80" w:lineRule="exact"/>
        <w:rPr>
          <w:rFonts w:ascii="Arial" w:cs="Arial" w:eastAsia="Arial" w:hAnsi="Arial"/>
          <w:sz w:val="22"/>
          <w:szCs w:val="22"/>
          <w:color w:val="auto"/>
        </w:rPr>
      </w:pPr>
    </w:p>
    <w:p>
      <w:pPr>
        <w:ind w:left="1420" w:right="300" w:hanging="535"/>
        <w:spacing w:after="0" w:line="250" w:lineRule="auto"/>
        <w:tabs>
          <w:tab w:leader="none" w:pos="1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pre-approving the audit services and non-audit services to be provided by our independent auditor before the auditor is engaged to render such services;</w:t>
      </w:r>
    </w:p>
    <w:p>
      <w:pPr>
        <w:spacing w:after="0" w:line="80" w:lineRule="exact"/>
        <w:rPr>
          <w:rFonts w:ascii="Arial" w:cs="Arial" w:eastAsia="Arial" w:hAnsi="Arial"/>
          <w:sz w:val="22"/>
          <w:szCs w:val="22"/>
          <w:color w:val="auto"/>
        </w:rPr>
      </w:pPr>
    </w:p>
    <w:p>
      <w:pPr>
        <w:ind w:left="1420" w:right="880" w:hanging="535"/>
        <w:spacing w:after="0" w:line="250" w:lineRule="auto"/>
        <w:tabs>
          <w:tab w:leader="none" w:pos="1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evaluating the independent auditor’s qualifications, performance and independence, and presenting its conclusions to the full board on at least an annual basis;</w:t>
      </w:r>
    </w:p>
    <w:p>
      <w:pPr>
        <w:spacing w:after="0" w:line="80" w:lineRule="exact"/>
        <w:rPr>
          <w:rFonts w:ascii="Arial" w:cs="Arial" w:eastAsia="Arial" w:hAnsi="Arial"/>
          <w:sz w:val="22"/>
          <w:szCs w:val="22"/>
          <w:color w:val="auto"/>
        </w:rPr>
      </w:pPr>
    </w:p>
    <w:p>
      <w:pPr>
        <w:ind w:left="1420" w:right="580" w:hanging="535"/>
        <w:spacing w:after="0" w:line="250" w:lineRule="auto"/>
        <w:tabs>
          <w:tab w:leader="none" w:pos="1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reviewing and discussing with the executive officers, the board, and the independent auditor our financial statements and our financial reporting process; and</w:t>
      </w:r>
    </w:p>
    <w:p>
      <w:pPr>
        <w:spacing w:after="0" w:line="80" w:lineRule="exact"/>
        <w:rPr>
          <w:rFonts w:ascii="Arial" w:cs="Arial" w:eastAsia="Arial" w:hAnsi="Arial"/>
          <w:sz w:val="22"/>
          <w:szCs w:val="22"/>
          <w:color w:val="auto"/>
        </w:rPr>
      </w:pPr>
    </w:p>
    <w:p>
      <w:pPr>
        <w:ind w:left="1420" w:right="420" w:hanging="535"/>
        <w:spacing w:after="0" w:line="250" w:lineRule="auto"/>
        <w:tabs>
          <w:tab w:leader="none" w:pos="14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approving or ratifying any related person transaction (as defined in our related person transaction policy) in accordance with our related person transaction policy.</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120"/>
          </w:cols>
          <w:pgMar w:left="320" w:top="486"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40" w:firstLine="551"/>
        <w:spacing w:after="0"/>
        <w:rPr>
          <w:sz w:val="20"/>
          <w:szCs w:val="20"/>
          <w:color w:val="auto"/>
        </w:rPr>
      </w:pPr>
      <w:r>
        <w:rPr>
          <w:rFonts w:ascii="Arial" w:cs="Arial" w:eastAsia="Arial" w:hAnsi="Arial"/>
          <w:sz w:val="22"/>
          <w:szCs w:val="22"/>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Remuneration Committee</w:t>
      </w:r>
    </w:p>
    <w:p>
      <w:pPr>
        <w:spacing w:after="0" w:line="98" w:lineRule="exact"/>
        <w:rPr>
          <w:sz w:val="20"/>
          <w:szCs w:val="20"/>
          <w:color w:val="auto"/>
        </w:rPr>
      </w:pPr>
    </w:p>
    <w:p>
      <w:pPr>
        <w:ind w:left="120" w:firstLine="551"/>
        <w:spacing w:after="0" w:line="234" w:lineRule="auto"/>
        <w:rPr>
          <w:sz w:val="20"/>
          <w:szCs w:val="20"/>
          <w:color w:val="auto"/>
        </w:rPr>
      </w:pPr>
      <w:r>
        <w:rPr>
          <w:rFonts w:ascii="Arial" w:cs="Arial" w:eastAsia="Arial" w:hAnsi="Arial"/>
          <w:sz w:val="22"/>
          <w:szCs w:val="22"/>
          <w:color w:val="auto"/>
        </w:rPr>
        <w:t>The remuneration committee which consists of Deepika R. Pakianathan, Brian Schwartz and Anders Ekblom, assists the board in determining senior management compensation. Dr. Pakianathan serves as Chairman of the committee. Under Nasdaq rules, there are heightened independence standards for members of the remuneration committee, including a prohibition against the receipt of any compensation from us other than standard board member fees. However, foreign private issuers are not required to meet this heightened standard. Nonetheless, our board has determined that Dr. Pakianathan, Dr. Schwartz and Dr. Ekblom meet this heightened standard. The remuneration committee is governed by a charter that complies with Nasdaq rules.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remuneration committee’s responsibilities include:</w:t>
      </w:r>
    </w:p>
    <w:p>
      <w:pPr>
        <w:spacing w:after="0" w:line="112" w:lineRule="exact"/>
        <w:rPr>
          <w:sz w:val="20"/>
          <w:szCs w:val="20"/>
          <w:color w:val="auto"/>
        </w:rPr>
      </w:pPr>
    </w:p>
    <w:p>
      <w:pPr>
        <w:ind w:left="1420" w:hanging="535"/>
        <w:spacing w:after="0"/>
        <w:tabs>
          <w:tab w:leader="none" w:pos="14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identifying, reviewing, and proposing policies relevant to senior management compensation;</w:t>
      </w:r>
    </w:p>
    <w:p>
      <w:pPr>
        <w:spacing w:after="0" w:line="111" w:lineRule="exact"/>
        <w:rPr>
          <w:rFonts w:ascii="Arial" w:cs="Arial" w:eastAsia="Arial" w:hAnsi="Arial"/>
          <w:sz w:val="22"/>
          <w:szCs w:val="22"/>
          <w:color w:val="auto"/>
        </w:rPr>
      </w:pPr>
    </w:p>
    <w:p>
      <w:pPr>
        <w:ind w:left="1420" w:right="420" w:hanging="535"/>
        <w:spacing w:after="0" w:line="250" w:lineRule="auto"/>
        <w:tabs>
          <w:tab w:leader="none" w:pos="14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evaluating each member of senior management’s performance in light of such policies and reporting to the board;</w:t>
      </w:r>
    </w:p>
    <w:p>
      <w:pPr>
        <w:spacing w:after="0" w:line="80" w:lineRule="exact"/>
        <w:rPr>
          <w:rFonts w:ascii="Arial" w:cs="Arial" w:eastAsia="Arial" w:hAnsi="Arial"/>
          <w:sz w:val="22"/>
          <w:szCs w:val="22"/>
          <w:color w:val="auto"/>
        </w:rPr>
      </w:pPr>
    </w:p>
    <w:p>
      <w:pPr>
        <w:ind w:left="1420" w:right="680" w:hanging="535"/>
        <w:spacing w:after="0" w:line="250" w:lineRule="auto"/>
        <w:tabs>
          <w:tab w:leader="none" w:pos="14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analyzing the possible outcomes of the variable compensation components and how they may affect the compensation of senior management;</w:t>
      </w:r>
    </w:p>
    <w:p>
      <w:pPr>
        <w:spacing w:after="0" w:line="80" w:lineRule="exact"/>
        <w:rPr>
          <w:rFonts w:ascii="Arial" w:cs="Arial" w:eastAsia="Arial" w:hAnsi="Arial"/>
          <w:sz w:val="22"/>
          <w:szCs w:val="22"/>
          <w:color w:val="auto"/>
        </w:rPr>
      </w:pPr>
    </w:p>
    <w:p>
      <w:pPr>
        <w:ind w:left="1420" w:right="200" w:hanging="535"/>
        <w:spacing w:after="0"/>
        <w:tabs>
          <w:tab w:leader="none" w:pos="14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91" w:lineRule="exact"/>
        <w:rPr>
          <w:rFonts w:ascii="Arial" w:cs="Arial" w:eastAsia="Arial" w:hAnsi="Arial"/>
          <w:sz w:val="22"/>
          <w:szCs w:val="22"/>
          <w:color w:val="auto"/>
        </w:rPr>
      </w:pPr>
    </w:p>
    <w:p>
      <w:pPr>
        <w:ind w:left="1420" w:hanging="535"/>
        <w:spacing w:after="0"/>
        <w:tabs>
          <w:tab w:leader="none" w:pos="14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reviewing and assessing risks arising from our compensation policies and practices.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Nomination and Corporate Governance Committee</w:t>
      </w:r>
    </w:p>
    <w:p>
      <w:pPr>
        <w:spacing w:after="0" w:line="98" w:lineRule="exact"/>
        <w:rPr>
          <w:sz w:val="20"/>
          <w:szCs w:val="20"/>
          <w:color w:val="auto"/>
        </w:rPr>
      </w:pPr>
    </w:p>
    <w:p>
      <w:pPr>
        <w:ind w:left="120" w:right="220" w:firstLine="551"/>
        <w:spacing w:after="0" w:line="273" w:lineRule="auto"/>
        <w:rPr>
          <w:sz w:val="20"/>
          <w:szCs w:val="20"/>
          <w:color w:val="auto"/>
        </w:rPr>
      </w:pPr>
      <w:r>
        <w:rPr>
          <w:rFonts w:ascii="Arial" w:cs="Arial" w:eastAsia="Arial" w:hAnsi="Arial"/>
          <w:sz w:val="19"/>
          <w:szCs w:val="19"/>
          <w:color w:val="auto"/>
        </w:rPr>
        <w:t>The nomination and corporate governance committee which consists of Michael S. Wyzga, Jeremy Bender, Anders Ekblom, and Peter Fellner, assists our board in identifying individuals qualified to become members of our board and senior management consistent with criteria established by our board and in developing our corporate governance principles.</w:t>
      </w:r>
    </w:p>
    <w:p>
      <w:pPr>
        <w:spacing w:after="0" w:line="1" w:lineRule="exact"/>
        <w:rPr>
          <w:sz w:val="20"/>
          <w:szCs w:val="20"/>
          <w:color w:val="auto"/>
        </w:rPr>
      </w:pPr>
    </w:p>
    <w:p>
      <w:pPr>
        <w:ind w:left="120" w:right="720"/>
        <w:spacing w:after="0" w:line="236" w:lineRule="auto"/>
        <w:rPr>
          <w:sz w:val="20"/>
          <w:szCs w:val="20"/>
          <w:color w:val="auto"/>
        </w:rPr>
      </w:pPr>
      <w:r>
        <w:rPr>
          <w:rFonts w:ascii="Arial" w:cs="Arial" w:eastAsia="Arial" w:hAnsi="Arial"/>
          <w:sz w:val="22"/>
          <w:szCs w:val="22"/>
          <w:color w:val="auto"/>
        </w:rPr>
        <w:t>Dr. Fellner serves as Chairman of the nomination and corporate governance committee. The nomination and corporate governance committee is governed by a charter that complies with Nasdaq rules.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nomination and corporate governance committee’s responsibilities include:</w:t>
      </w:r>
    </w:p>
    <w:p>
      <w:pPr>
        <w:spacing w:after="0" w:line="112" w:lineRule="exact"/>
        <w:rPr>
          <w:sz w:val="20"/>
          <w:szCs w:val="20"/>
          <w:color w:val="auto"/>
        </w:rPr>
      </w:pPr>
    </w:p>
    <w:p>
      <w:pPr>
        <w:ind w:left="1420" w:hanging="535"/>
        <w:spacing w:after="0"/>
        <w:tabs>
          <w:tab w:leader="none" w:pos="14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drawing up selection criteria and appointment procedures for board members;</w:t>
      </w:r>
    </w:p>
    <w:p>
      <w:pPr>
        <w:spacing w:after="0" w:line="111" w:lineRule="exact"/>
        <w:rPr>
          <w:rFonts w:ascii="Arial" w:cs="Arial" w:eastAsia="Arial" w:hAnsi="Arial"/>
          <w:sz w:val="22"/>
          <w:szCs w:val="22"/>
          <w:color w:val="auto"/>
        </w:rPr>
      </w:pPr>
    </w:p>
    <w:p>
      <w:pPr>
        <w:ind w:left="1420" w:right="540" w:hanging="535"/>
        <w:spacing w:after="0" w:line="250" w:lineRule="auto"/>
        <w:tabs>
          <w:tab w:leader="none" w:pos="14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reviewing and evaluating the size and composition of our board and making a proposal for a composition profile of the board at least annually;</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recommending nominees for election to our board and its corresponding committees;</w:t>
      </w:r>
    </w:p>
    <w:p>
      <w:pPr>
        <w:spacing w:after="0" w:line="111" w:lineRule="exact"/>
        <w:rPr>
          <w:rFonts w:ascii="Arial" w:cs="Arial" w:eastAsia="Arial" w:hAnsi="Arial"/>
          <w:sz w:val="22"/>
          <w:szCs w:val="22"/>
          <w:color w:val="auto"/>
        </w:rPr>
      </w:pPr>
    </w:p>
    <w:p>
      <w:pPr>
        <w:ind w:left="1420" w:right="100" w:hanging="535"/>
        <w:spacing w:after="0" w:line="250" w:lineRule="auto"/>
        <w:tabs>
          <w:tab w:leader="none" w:pos="14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assessing the functioning of individual members of the board and senior management and reporting the results of such assessment to the board; and</w:t>
      </w:r>
    </w:p>
    <w:p>
      <w:pPr>
        <w:spacing w:after="0" w:line="80" w:lineRule="exact"/>
        <w:rPr>
          <w:rFonts w:ascii="Arial" w:cs="Arial" w:eastAsia="Arial" w:hAnsi="Arial"/>
          <w:sz w:val="22"/>
          <w:szCs w:val="22"/>
          <w:color w:val="auto"/>
        </w:rPr>
      </w:pPr>
    </w:p>
    <w:p>
      <w:pPr>
        <w:ind w:left="1420" w:right="60" w:hanging="535"/>
        <w:spacing w:after="0" w:line="274" w:lineRule="auto"/>
        <w:tabs>
          <w:tab w:leader="none" w:pos="1420" w:val="left"/>
        </w:tabs>
        <w:numPr>
          <w:ilvl w:val="0"/>
          <w:numId w:val="67"/>
        </w:numPr>
        <w:rPr>
          <w:rFonts w:ascii="Arial" w:cs="Arial" w:eastAsia="Arial" w:hAnsi="Arial"/>
          <w:sz w:val="21"/>
          <w:szCs w:val="21"/>
          <w:color w:val="auto"/>
        </w:rPr>
      </w:pPr>
      <w:r>
        <w:rPr>
          <w:rFonts w:ascii="Arial" w:cs="Arial" w:eastAsia="Arial" w:hAnsi="Arial"/>
          <w:sz w:val="21"/>
          <w:szCs w:val="21"/>
          <w:color w:val="auto"/>
        </w:rPr>
        <w:t>developing and recommending to the board rules governing the board, reviewing and reassessing the adequacy of such rules governing the board, and recommending any proposed changes to the board.</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060"/>
          </w:cols>
          <w:pgMar w:left="320" w:top="486"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Research and Development Committee</w:t>
      </w:r>
    </w:p>
    <w:p>
      <w:pPr>
        <w:spacing w:after="0" w:line="98" w:lineRule="exact"/>
        <w:rPr>
          <w:sz w:val="20"/>
          <w:szCs w:val="20"/>
          <w:color w:val="auto"/>
        </w:rPr>
      </w:pPr>
    </w:p>
    <w:p>
      <w:pPr>
        <w:ind w:left="120" w:right="80" w:firstLine="551"/>
        <w:spacing w:after="0" w:line="287" w:lineRule="auto"/>
        <w:rPr>
          <w:sz w:val="20"/>
          <w:szCs w:val="20"/>
          <w:color w:val="auto"/>
        </w:rPr>
      </w:pPr>
      <w:r>
        <w:rPr>
          <w:rFonts w:ascii="Arial" w:cs="Arial" w:eastAsia="Arial" w:hAnsi="Arial"/>
          <w:sz w:val="19"/>
          <w:szCs w:val="19"/>
          <w:color w:val="auto"/>
        </w:rPr>
        <w:t>The research and development committee, which consists of Pierre Jacquet, Brian Schwartz, Deepika R. Pakianathan and Anders Ekblom, assists our senior management with oversight and guidance related to strategic research and development matters and provides guidance and makes recommendations to our board regarding strategic research and development matters. Dr. Ekblom serves as Chairman of the research and development committee.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research and development committee’s responsibilities include oversight of:</w:t>
      </w:r>
    </w:p>
    <w:p>
      <w:pPr>
        <w:spacing w:after="0" w:line="112" w:lineRule="exact"/>
        <w:rPr>
          <w:sz w:val="20"/>
          <w:szCs w:val="20"/>
          <w:color w:val="auto"/>
        </w:rPr>
      </w:pPr>
    </w:p>
    <w:p>
      <w:pPr>
        <w:ind w:left="1420" w:hanging="535"/>
        <w:spacing w:after="0"/>
        <w:tabs>
          <w:tab w:leader="none" w:pos="14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our strategic development plans for product candidates, taking into account any regulatory feedback; and</w:t>
      </w:r>
    </w:p>
    <w:p>
      <w:pPr>
        <w:spacing w:after="0" w:line="146" w:lineRule="exact"/>
        <w:rPr>
          <w:rFonts w:ascii="Arial" w:cs="Arial" w:eastAsia="Arial" w:hAnsi="Arial"/>
          <w:sz w:val="19"/>
          <w:szCs w:val="19"/>
          <w:color w:val="auto"/>
        </w:rPr>
      </w:pPr>
    </w:p>
    <w:p>
      <w:pPr>
        <w:ind w:left="1420" w:hanging="535"/>
        <w:spacing w:after="0"/>
        <w:tabs>
          <w:tab w:leader="none" w:pos="14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acquisition of new product candidates.</w:t>
      </w:r>
    </w:p>
    <w:p>
      <w:pPr>
        <w:spacing w:after="0" w:line="206" w:lineRule="exact"/>
        <w:rPr>
          <w:sz w:val="20"/>
          <w:szCs w:val="20"/>
          <w:color w:val="auto"/>
        </w:rPr>
      </w:pPr>
    </w:p>
    <w:p>
      <w:pPr>
        <w:ind w:left="120" w:firstLine="551"/>
        <w:spacing w:after="0" w:line="250" w:lineRule="auto"/>
        <w:rPr>
          <w:sz w:val="20"/>
          <w:szCs w:val="20"/>
          <w:color w:val="auto"/>
        </w:rPr>
      </w:pPr>
      <w:r>
        <w:rPr>
          <w:rFonts w:ascii="Arial" w:cs="Arial" w:eastAsia="Arial" w:hAnsi="Arial"/>
          <w:sz w:val="22"/>
          <w:szCs w:val="22"/>
          <w:color w:val="auto"/>
        </w:rPr>
        <w:t>In addition, the research and development committee is tasked with keeping informed of strategic issues and commercial changes affecting our development programs and potential product acquisitions.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6.D. Employees</w:t>
      </w:r>
    </w:p>
    <w:p>
      <w:pPr>
        <w:spacing w:after="0" w:line="104" w:lineRule="exact"/>
        <w:rPr>
          <w:sz w:val="20"/>
          <w:szCs w:val="20"/>
          <w:color w:val="auto"/>
        </w:rPr>
      </w:pPr>
    </w:p>
    <w:p>
      <w:pPr>
        <w:ind w:left="120" w:right="40" w:firstLine="551"/>
        <w:spacing w:after="0" w:line="274" w:lineRule="auto"/>
        <w:rPr>
          <w:sz w:val="20"/>
          <w:szCs w:val="20"/>
          <w:color w:val="auto"/>
        </w:rPr>
      </w:pPr>
      <w:r>
        <w:rPr>
          <w:rFonts w:ascii="Arial" w:cs="Arial" w:eastAsia="Arial" w:hAnsi="Arial"/>
          <w:sz w:val="21"/>
          <w:szCs w:val="21"/>
          <w:color w:val="auto"/>
        </w:rPr>
        <w:t>As of December 31, 2021, 2020 and 2019, Mereo had 49, 38, and 50 employees, respectively. As at December 31, 2021, 33 employees are located in the United Kingdom and 16 employees are located in the United States.</w:t>
      </w:r>
    </w:p>
    <w:p>
      <w:pPr>
        <w:spacing w:after="0" w:line="151" w:lineRule="exact"/>
        <w:rPr>
          <w:sz w:val="20"/>
          <w:szCs w:val="20"/>
          <w:color w:val="auto"/>
        </w:rPr>
      </w:pPr>
    </w:p>
    <w:p>
      <w:pPr>
        <w:ind w:left="120" w:right="200" w:firstLine="551"/>
        <w:spacing w:after="0" w:line="250" w:lineRule="auto"/>
        <w:rPr>
          <w:sz w:val="20"/>
          <w:szCs w:val="20"/>
          <w:color w:val="auto"/>
        </w:rPr>
      </w:pPr>
      <w:r>
        <w:rPr>
          <w:rFonts w:ascii="Arial" w:cs="Arial" w:eastAsia="Arial" w:hAnsi="Arial"/>
          <w:sz w:val="22"/>
          <w:szCs w:val="22"/>
          <w:color w:val="auto"/>
        </w:rPr>
        <w:t>All of our employees are engaged in either general and administrative or research and development functions. None of our employees are covered by a collective bargaining agreement.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6.E. Share Ownership</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Share Ownership</w:t>
      </w:r>
    </w:p>
    <w:p>
      <w:pPr>
        <w:spacing w:after="0" w:line="104" w:lineRule="exact"/>
        <w:rPr>
          <w:sz w:val="20"/>
          <w:szCs w:val="20"/>
          <w:color w:val="auto"/>
        </w:rPr>
      </w:pPr>
    </w:p>
    <w:p>
      <w:pPr>
        <w:ind w:left="120" w:firstLine="551"/>
        <w:spacing w:after="0" w:line="252" w:lineRule="auto"/>
        <w:rPr>
          <w:sz w:val="20"/>
          <w:szCs w:val="20"/>
          <w:color w:val="auto"/>
        </w:rPr>
      </w:pPr>
      <w:r>
        <w:rPr>
          <w:rFonts w:ascii="Arial" w:cs="Arial" w:eastAsia="Arial" w:hAnsi="Arial"/>
          <w:sz w:val="21"/>
          <w:szCs w:val="21"/>
          <w:color w:val="auto"/>
        </w:rPr>
        <w:t>The total number of ordinary shares of the company beneficially owned by our directors and executive officers including in the form of ADSs, as of the date of this annual report, was 17,581,095 (which includes shares subject to options that are currently exercisable or will be exercisable within 60 days of February 28, 2022) which represents 3.0% of the total number of ordinary shares outstanding as of February 28, 2022. See Item 7.A. below.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Share Options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 Compensation — Equity Compensation Arrangements.”</w:t>
      </w:r>
    </w:p>
    <w:p>
      <w:pPr>
        <w:spacing w:after="0" w:line="34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Major Shareholders And Related Party Transactions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7.A. Major Shareholders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information relating to the beneficial ownership of Mereo ordinary shares as of</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February 28, 2022 by each person known by Mereo to own beneficially 5% or more of the outstanding Mereo ordinary shares.</w:t>
      </w:r>
    </w:p>
    <w:p>
      <w:pPr>
        <w:spacing w:after="0" w:line="223" w:lineRule="exact"/>
        <w:rPr>
          <w:sz w:val="20"/>
          <w:szCs w:val="20"/>
          <w:color w:val="auto"/>
        </w:rPr>
      </w:pPr>
    </w:p>
    <w:p>
      <w:pPr>
        <w:ind w:left="120" w:right="160" w:firstLine="551"/>
        <w:spacing w:after="0" w:line="279" w:lineRule="auto"/>
        <w:rPr>
          <w:sz w:val="20"/>
          <w:szCs w:val="20"/>
          <w:color w:val="auto"/>
        </w:rPr>
      </w:pPr>
      <w:r>
        <w:rPr>
          <w:rFonts w:ascii="Arial" w:cs="Arial" w:eastAsia="Arial" w:hAnsi="Arial"/>
          <w:sz w:val="19"/>
          <w:szCs w:val="19"/>
          <w:color w:val="auto"/>
        </w:rPr>
        <w:t>The number of Mereo ordinary shares beneficially owned by each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120"/>
          </w:cols>
          <w:pgMar w:left="320" w:top="486" w:right="459" w:bottom="1440" w:gutter="0" w:footer="0" w:header="0"/>
        </w:sectPr>
      </w:pPr>
    </w:p>
    <w:bookmarkStart w:id="133" w:name="page134"/>
    <w:bookmarkEnd w:id="133"/>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22"/>
          <w:szCs w:val="22"/>
          <w:color w:val="auto"/>
        </w:rPr>
        <w:t>The percentage of Mereo ordinary shares beneficially owned as of February 28, 2022 is computed on the basis of 584,908,239 ordinary shares outstanding as of February 28, 2022. Mereo ordinary shares that a person has the right to acquire within 60 days of February 28, 2022 are deemed outstanding for purposes of computing the percentage ownership of the person holding such rights, but are not deemed outstanding for purposes of computing the percentage ownership of any other person.</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20"/>
                <w:szCs w:val="20"/>
                <w:b w:val="1"/>
                <w:bCs w:val="1"/>
                <w:color w:val="auto"/>
              </w:rPr>
              <w:t>Number of</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20"/>
                <w:szCs w:val="20"/>
                <w:b w:val="1"/>
                <w:bCs w:val="1"/>
                <w:color w:val="auto"/>
                <w:w w:val="95"/>
              </w:rPr>
              <w:t>Ordinary</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20"/>
                <w:szCs w:val="20"/>
                <w:b w:val="1"/>
                <w:bCs w:val="1"/>
                <w:color w:val="auto"/>
                <w:w w:val="83"/>
              </w:rPr>
              <w:t>Shares</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vMerge w:val="restart"/>
          </w:tcPr>
          <w:p>
            <w:pPr>
              <w:spacing w:after="0"/>
              <w:rPr>
                <w:sz w:val="20"/>
                <w:szCs w:val="20"/>
                <w:color w:val="auto"/>
              </w:rPr>
            </w:pPr>
            <w:r>
              <w:rPr>
                <w:rFonts w:ascii="Arial" w:cs="Arial" w:eastAsia="Arial" w:hAnsi="Arial"/>
                <w:sz w:val="20"/>
                <w:szCs w:val="20"/>
                <w:b w:val="1"/>
                <w:bCs w:val="1"/>
                <w:color w:val="auto"/>
                <w:w w:val="88"/>
              </w:rPr>
              <w:t>Name and Address of Beneficial Owner</w:t>
            </w:r>
          </w:p>
        </w:tc>
        <w:tc>
          <w:tcPr>
            <w:tcW w:w="620" w:type="dxa"/>
            <w:vAlign w:val="bottom"/>
          </w:tcPr>
          <w:p>
            <w:pPr>
              <w:spacing w:after="0"/>
              <w:rPr>
                <w:sz w:val="19"/>
                <w:szCs w:val="19"/>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20"/>
                <w:szCs w:val="20"/>
                <w:b w:val="1"/>
                <w:bCs w:val="1"/>
                <w:color w:val="auto"/>
                <w:w w:val="89"/>
              </w:rPr>
              <w:t>Beneficially</w:t>
            </w:r>
          </w:p>
        </w:tc>
        <w:tc>
          <w:tcPr>
            <w:tcW w:w="286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w w:val="88"/>
              </w:rPr>
              <w:t>Percentage of Ordinary Shares</w:t>
            </w:r>
          </w:p>
        </w:tc>
        <w:tc>
          <w:tcPr>
            <w:tcW w:w="0" w:type="dxa"/>
            <w:vAlign w:val="bottom"/>
          </w:tcPr>
          <w:p>
            <w:pPr>
              <w:spacing w:after="0"/>
              <w:rPr>
                <w:sz w:val="1"/>
                <w:szCs w:val="1"/>
                <w:color w:val="auto"/>
              </w:rPr>
            </w:pPr>
          </w:p>
        </w:tc>
      </w:tr>
      <w:tr>
        <w:trPr>
          <w:trHeight w:val="259"/>
        </w:trPr>
        <w:tc>
          <w:tcPr>
            <w:tcW w:w="3340" w:type="dxa"/>
            <w:vAlign w:val="bottom"/>
            <w:tcBorders>
              <w:bottom w:val="single" w:sz="8" w:color="auto"/>
            </w:tcBorders>
            <w:vMerge w:val="continue"/>
          </w:tcPr>
          <w:p>
            <w:pPr>
              <w:spacing w:after="0"/>
              <w:rPr>
                <w:sz w:val="22"/>
                <w:szCs w:val="22"/>
                <w:color w:val="auto"/>
              </w:rPr>
            </w:pPr>
          </w:p>
        </w:tc>
        <w:tc>
          <w:tcPr>
            <w:tcW w:w="620" w:type="dxa"/>
            <w:vAlign w:val="bottom"/>
          </w:tcPr>
          <w:p>
            <w:pPr>
              <w:spacing w:after="0"/>
              <w:rPr>
                <w:sz w:val="22"/>
                <w:szCs w:val="22"/>
                <w:color w:val="auto"/>
              </w:rPr>
            </w:pPr>
          </w:p>
        </w:tc>
        <w:tc>
          <w:tcPr>
            <w:tcW w:w="1540" w:type="dxa"/>
            <w:vAlign w:val="bottom"/>
            <w:gridSpan w:val="2"/>
          </w:tcPr>
          <w:p>
            <w:pPr>
              <w:jc w:val="center"/>
              <w:ind w:right="500"/>
              <w:spacing w:after="0" w:line="239" w:lineRule="exact"/>
              <w:rPr>
                <w:sz w:val="20"/>
                <w:szCs w:val="20"/>
                <w:color w:val="auto"/>
              </w:rPr>
            </w:pPr>
            <w:r>
              <w:rPr>
                <w:rFonts w:ascii="Arial" w:cs="Arial" w:eastAsia="Arial" w:hAnsi="Arial"/>
                <w:sz w:val="19"/>
                <w:szCs w:val="19"/>
                <w:b w:val="1"/>
                <w:bCs w:val="1"/>
                <w:color w:val="auto"/>
                <w:w w:val="88"/>
              </w:rPr>
              <w:t>Owned</w:t>
            </w:r>
            <w:r>
              <w:rPr>
                <w:rFonts w:ascii="Arial" w:cs="Arial" w:eastAsia="Arial" w:hAnsi="Arial"/>
                <w:sz w:val="27"/>
                <w:szCs w:val="27"/>
                <w:b w:val="1"/>
                <w:bCs w:val="1"/>
                <w:color w:val="auto"/>
                <w:w w:val="88"/>
                <w:vertAlign w:val="superscript"/>
              </w:rPr>
              <w:t>(1)</w:t>
            </w:r>
          </w:p>
        </w:tc>
        <w:tc>
          <w:tcPr>
            <w:tcW w:w="2860" w:type="dxa"/>
            <w:vAlign w:val="bottom"/>
            <w:gridSpan w:val="2"/>
          </w:tcPr>
          <w:p>
            <w:pPr>
              <w:jc w:val="right"/>
              <w:ind w:right="720"/>
              <w:spacing w:after="0"/>
              <w:rPr>
                <w:sz w:val="20"/>
                <w:szCs w:val="20"/>
                <w:color w:val="auto"/>
              </w:rPr>
            </w:pPr>
            <w:r>
              <w:rPr>
                <w:rFonts w:ascii="Arial" w:cs="Arial" w:eastAsia="Arial" w:hAnsi="Arial"/>
                <w:sz w:val="20"/>
                <w:szCs w:val="20"/>
                <w:b w:val="1"/>
                <w:bCs w:val="1"/>
                <w:color w:val="auto"/>
              </w:rPr>
              <w:t>Beneficially Owned</w:t>
            </w:r>
          </w:p>
        </w:tc>
        <w:tc>
          <w:tcPr>
            <w:tcW w:w="0" w:type="dxa"/>
            <w:vAlign w:val="bottom"/>
          </w:tcPr>
          <w:p>
            <w:pPr>
              <w:spacing w:after="0"/>
              <w:rPr>
                <w:sz w:val="1"/>
                <w:szCs w:val="1"/>
                <w:color w:val="auto"/>
              </w:rPr>
            </w:pPr>
          </w:p>
        </w:tc>
      </w:tr>
      <w:tr>
        <w:trPr>
          <w:trHeight w:val="217"/>
        </w:trPr>
        <w:tc>
          <w:tcPr>
            <w:tcW w:w="3340" w:type="dxa"/>
            <w:vAlign w:val="bottom"/>
            <w:tcBorders>
              <w:top w:val="single" w:sz="8" w:color="CCEEFF"/>
            </w:tcBorders>
            <w:shd w:val="clear" w:color="auto" w:fill="CCEEFF"/>
          </w:tcPr>
          <w:p>
            <w:pPr>
              <w:spacing w:after="0" w:line="217" w:lineRule="exact"/>
              <w:rPr>
                <w:sz w:val="20"/>
                <w:szCs w:val="20"/>
                <w:color w:val="auto"/>
              </w:rPr>
            </w:pPr>
            <w:r>
              <w:rPr>
                <w:rFonts w:ascii="Arial" w:cs="Arial" w:eastAsia="Arial" w:hAnsi="Arial"/>
                <w:sz w:val="22"/>
                <w:szCs w:val="22"/>
                <w:b w:val="1"/>
                <w:bCs w:val="1"/>
                <w:color w:val="auto"/>
              </w:rPr>
              <w:t>5% or Greater Shareholders:</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0"/>
                <w:szCs w:val="20"/>
                <w:color w:val="auto"/>
              </w:rPr>
              <w:t>Rubric Capital Management LP</w:t>
            </w:r>
            <w:r>
              <w:rPr>
                <w:rFonts w:ascii="Arial" w:cs="Arial" w:eastAsia="Arial" w:hAnsi="Arial"/>
                <w:sz w:val="28"/>
                <w:szCs w:val="28"/>
                <w:color w:val="auto"/>
                <w:vertAlign w:val="superscript"/>
              </w:rPr>
              <w:t>(2)</w:t>
            </w:r>
          </w:p>
        </w:tc>
        <w:tc>
          <w:tcPr>
            <w:tcW w:w="2160" w:type="dxa"/>
            <w:vAlign w:val="bottom"/>
            <w:gridSpan w:val="3"/>
          </w:tcPr>
          <w:p>
            <w:pPr>
              <w:jc w:val="center"/>
              <w:ind w:left="72"/>
              <w:spacing w:after="0" w:line="243" w:lineRule="exact"/>
              <w:rPr>
                <w:sz w:val="20"/>
                <w:szCs w:val="20"/>
                <w:color w:val="auto"/>
              </w:rPr>
            </w:pPr>
            <w:r>
              <w:rPr>
                <w:rFonts w:ascii="Arial" w:cs="Arial" w:eastAsia="Arial" w:hAnsi="Arial"/>
                <w:sz w:val="22"/>
                <w:szCs w:val="22"/>
                <w:color w:val="auto"/>
                <w:w w:val="88"/>
              </w:rPr>
              <w:t>74,572,235</w:t>
            </w:r>
          </w:p>
        </w:tc>
        <w:tc>
          <w:tcPr>
            <w:tcW w:w="28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12.75%</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spacing w:after="0" w:line="243" w:lineRule="exact"/>
              <w:rPr>
                <w:sz w:val="20"/>
                <w:szCs w:val="20"/>
                <w:color w:val="auto"/>
              </w:rPr>
            </w:pPr>
            <w:r>
              <w:rPr>
                <w:rFonts w:ascii="Arial" w:cs="Arial" w:eastAsia="Arial" w:hAnsi="Arial"/>
                <w:sz w:val="20"/>
                <w:szCs w:val="20"/>
                <w:color w:val="auto"/>
              </w:rPr>
              <w:t>Baker Brothers</w:t>
            </w:r>
            <w:r>
              <w:rPr>
                <w:rFonts w:ascii="Arial" w:cs="Arial" w:eastAsia="Arial" w:hAnsi="Arial"/>
                <w:sz w:val="28"/>
                <w:szCs w:val="28"/>
                <w:color w:val="auto"/>
                <w:vertAlign w:val="superscript"/>
              </w:rPr>
              <w:t>(3)</w:t>
            </w:r>
          </w:p>
        </w:tc>
        <w:tc>
          <w:tcPr>
            <w:tcW w:w="2160" w:type="dxa"/>
            <w:vAlign w:val="bottom"/>
            <w:gridSpan w:val="3"/>
            <w:shd w:val="clear" w:color="auto" w:fill="CCEEFF"/>
          </w:tcPr>
          <w:p>
            <w:pPr>
              <w:jc w:val="center"/>
              <w:ind w:left="72"/>
              <w:spacing w:after="0" w:line="243" w:lineRule="exact"/>
              <w:rPr>
                <w:sz w:val="20"/>
                <w:szCs w:val="20"/>
                <w:color w:val="auto"/>
              </w:rPr>
            </w:pPr>
            <w:r>
              <w:rPr>
                <w:rFonts w:ascii="Arial" w:cs="Arial" w:eastAsia="Arial" w:hAnsi="Arial"/>
                <w:sz w:val="22"/>
                <w:szCs w:val="22"/>
                <w:color w:val="auto"/>
                <w:w w:val="88"/>
              </w:rPr>
              <w:t>64,917,601</w:t>
            </w:r>
          </w:p>
        </w:tc>
        <w:tc>
          <w:tcPr>
            <w:tcW w:w="28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9.99%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0"/>
                <w:szCs w:val="20"/>
                <w:color w:val="auto"/>
              </w:rPr>
              <w:t>OrbiMed Funds</w:t>
            </w:r>
            <w:r>
              <w:rPr>
                <w:rFonts w:ascii="Arial" w:cs="Arial" w:eastAsia="Arial" w:hAnsi="Arial"/>
                <w:sz w:val="28"/>
                <w:szCs w:val="28"/>
                <w:color w:val="auto"/>
                <w:vertAlign w:val="superscript"/>
              </w:rPr>
              <w:t>(4)</w:t>
            </w:r>
          </w:p>
        </w:tc>
        <w:tc>
          <w:tcPr>
            <w:tcW w:w="2160" w:type="dxa"/>
            <w:vAlign w:val="bottom"/>
            <w:gridSpan w:val="3"/>
          </w:tcPr>
          <w:p>
            <w:pPr>
              <w:jc w:val="center"/>
              <w:ind w:left="72"/>
              <w:spacing w:after="0" w:line="243" w:lineRule="exact"/>
              <w:rPr>
                <w:sz w:val="20"/>
                <w:szCs w:val="20"/>
                <w:color w:val="auto"/>
              </w:rPr>
            </w:pPr>
            <w:r>
              <w:rPr>
                <w:rFonts w:ascii="Arial" w:cs="Arial" w:eastAsia="Arial" w:hAnsi="Arial"/>
                <w:sz w:val="22"/>
                <w:szCs w:val="22"/>
                <w:color w:val="auto"/>
                <w:w w:val="88"/>
              </w:rPr>
              <w:t>59,282,307</w:t>
            </w:r>
          </w:p>
        </w:tc>
        <w:tc>
          <w:tcPr>
            <w:tcW w:w="28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9.99%</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spacing w:after="0" w:line="243" w:lineRule="exact"/>
              <w:rPr>
                <w:sz w:val="20"/>
                <w:szCs w:val="20"/>
                <w:color w:val="auto"/>
              </w:rPr>
            </w:pPr>
            <w:r>
              <w:rPr>
                <w:rFonts w:ascii="Arial" w:cs="Arial" w:eastAsia="Arial" w:hAnsi="Arial"/>
                <w:sz w:val="20"/>
                <w:szCs w:val="20"/>
                <w:color w:val="auto"/>
              </w:rPr>
              <w:t>Vivo Funds</w:t>
            </w:r>
            <w:r>
              <w:rPr>
                <w:rFonts w:ascii="Arial" w:cs="Arial" w:eastAsia="Arial" w:hAnsi="Arial"/>
                <w:sz w:val="28"/>
                <w:szCs w:val="28"/>
                <w:color w:val="auto"/>
                <w:vertAlign w:val="superscript"/>
              </w:rPr>
              <w:t>(5)</w:t>
            </w:r>
          </w:p>
        </w:tc>
        <w:tc>
          <w:tcPr>
            <w:tcW w:w="2160" w:type="dxa"/>
            <w:vAlign w:val="bottom"/>
            <w:gridSpan w:val="3"/>
            <w:shd w:val="clear" w:color="auto" w:fill="CCEEFF"/>
          </w:tcPr>
          <w:p>
            <w:pPr>
              <w:jc w:val="center"/>
              <w:ind w:left="72"/>
              <w:spacing w:after="0" w:line="243" w:lineRule="exact"/>
              <w:rPr>
                <w:sz w:val="20"/>
                <w:szCs w:val="20"/>
                <w:color w:val="auto"/>
              </w:rPr>
            </w:pPr>
            <w:r>
              <w:rPr>
                <w:rFonts w:ascii="Arial" w:cs="Arial" w:eastAsia="Arial" w:hAnsi="Arial"/>
                <w:sz w:val="22"/>
                <w:szCs w:val="22"/>
                <w:color w:val="auto"/>
                <w:w w:val="88"/>
              </w:rPr>
              <w:t>57,542,857</w:t>
            </w:r>
          </w:p>
        </w:tc>
        <w:tc>
          <w:tcPr>
            <w:tcW w:w="28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9.47%</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0"/>
                <w:szCs w:val="20"/>
                <w:color w:val="auto"/>
              </w:rPr>
              <w:t>Point72 Asset Management LP</w:t>
            </w:r>
            <w:r>
              <w:rPr>
                <w:rFonts w:ascii="Arial" w:cs="Arial" w:eastAsia="Arial" w:hAnsi="Arial"/>
                <w:sz w:val="28"/>
                <w:szCs w:val="28"/>
                <w:color w:val="auto"/>
                <w:vertAlign w:val="superscript"/>
              </w:rPr>
              <w:t>(6)</w:t>
            </w:r>
          </w:p>
        </w:tc>
        <w:tc>
          <w:tcPr>
            <w:tcW w:w="2160" w:type="dxa"/>
            <w:vAlign w:val="bottom"/>
            <w:gridSpan w:val="3"/>
          </w:tcPr>
          <w:p>
            <w:pPr>
              <w:jc w:val="center"/>
              <w:ind w:left="72"/>
              <w:spacing w:after="0" w:line="243" w:lineRule="exact"/>
              <w:rPr>
                <w:sz w:val="20"/>
                <w:szCs w:val="20"/>
                <w:color w:val="auto"/>
              </w:rPr>
            </w:pPr>
            <w:r>
              <w:rPr>
                <w:rFonts w:ascii="Arial" w:cs="Arial" w:eastAsia="Arial" w:hAnsi="Arial"/>
                <w:sz w:val="22"/>
                <w:szCs w:val="22"/>
                <w:color w:val="auto"/>
                <w:w w:val="88"/>
              </w:rPr>
              <w:t>53,050,000</w:t>
            </w:r>
          </w:p>
        </w:tc>
        <w:tc>
          <w:tcPr>
            <w:tcW w:w="28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9.07%</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spacing w:after="0" w:line="243" w:lineRule="exact"/>
              <w:rPr>
                <w:sz w:val="20"/>
                <w:szCs w:val="20"/>
                <w:color w:val="auto"/>
              </w:rPr>
            </w:pPr>
            <w:r>
              <w:rPr>
                <w:rFonts w:ascii="Arial" w:cs="Arial" w:eastAsia="Arial" w:hAnsi="Arial"/>
                <w:sz w:val="20"/>
                <w:szCs w:val="20"/>
                <w:color w:val="auto"/>
                <w:w w:val="99"/>
              </w:rPr>
              <w:t>Suvretta Capital Management, LLC</w:t>
            </w:r>
            <w:r>
              <w:rPr>
                <w:rFonts w:ascii="Arial" w:cs="Arial" w:eastAsia="Arial" w:hAnsi="Arial"/>
                <w:sz w:val="28"/>
                <w:szCs w:val="28"/>
                <w:color w:val="auto"/>
                <w:w w:val="99"/>
                <w:vertAlign w:val="superscript"/>
              </w:rPr>
              <w:t>(7)</w:t>
            </w:r>
          </w:p>
        </w:tc>
        <w:tc>
          <w:tcPr>
            <w:tcW w:w="2160" w:type="dxa"/>
            <w:vAlign w:val="bottom"/>
            <w:gridSpan w:val="3"/>
            <w:shd w:val="clear" w:color="auto" w:fill="CCEEFF"/>
          </w:tcPr>
          <w:p>
            <w:pPr>
              <w:jc w:val="center"/>
              <w:ind w:left="72"/>
              <w:spacing w:after="0" w:line="243" w:lineRule="exact"/>
              <w:rPr>
                <w:sz w:val="20"/>
                <w:szCs w:val="20"/>
                <w:color w:val="auto"/>
              </w:rPr>
            </w:pPr>
            <w:r>
              <w:rPr>
                <w:rFonts w:ascii="Arial" w:cs="Arial" w:eastAsia="Arial" w:hAnsi="Arial"/>
                <w:sz w:val="22"/>
                <w:szCs w:val="22"/>
                <w:color w:val="auto"/>
                <w:w w:val="88"/>
              </w:rPr>
              <w:t>45,710,335</w:t>
            </w:r>
          </w:p>
        </w:tc>
        <w:tc>
          <w:tcPr>
            <w:tcW w:w="28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8" w:lineRule="exact"/>
        <w:rPr>
          <w:sz w:val="20"/>
          <w:szCs w:val="20"/>
          <w:color w:val="auto"/>
        </w:rPr>
      </w:pPr>
    </w:p>
    <w:p>
      <w:pPr>
        <w:ind w:left="660" w:hanging="544"/>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Ordinary shares figures include ordinary shares represented by ADSs.</w:t>
      </w:r>
    </w:p>
    <w:p>
      <w:pPr>
        <w:spacing w:after="0" w:line="8" w:lineRule="exact"/>
        <w:rPr>
          <w:rFonts w:ascii="Arial" w:cs="Arial" w:eastAsia="Arial" w:hAnsi="Arial"/>
          <w:sz w:val="22"/>
          <w:szCs w:val="22"/>
          <w:color w:val="auto"/>
        </w:rPr>
      </w:pPr>
    </w:p>
    <w:p>
      <w:pPr>
        <w:ind w:left="660" w:right="580" w:hanging="544"/>
        <w:spacing w:after="0" w:line="205"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Based on information known to Mereo and information contained in a Statement on Schedule 13G filed by Rubric Capital Management LP on February 14, 2022. The address of the principal business office of Rubric Capital Management LP is 155 East 44</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Street, Suite 1630, New York, NY 10017.</w:t>
      </w:r>
    </w:p>
    <w:p>
      <w:pPr>
        <w:spacing w:after="0" w:line="2" w:lineRule="exact"/>
        <w:rPr>
          <w:rFonts w:ascii="Arial" w:cs="Arial" w:eastAsia="Arial" w:hAnsi="Arial"/>
          <w:sz w:val="22"/>
          <w:szCs w:val="22"/>
          <w:color w:val="auto"/>
        </w:rPr>
      </w:pPr>
    </w:p>
    <w:p>
      <w:pPr>
        <w:ind w:left="660" w:right="140" w:hanging="544"/>
        <w:spacing w:after="0" w:line="230"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Based on information known to Mereo and information contained in a Statement on Schedule 13G filed by Baker Bros. Advisors LP on February 14, 2022. The address of the principal business office of Baker Bros. Advisors LP is 860 Washington St, 3rd Floor, New York, NY 10014.</w:t>
      </w:r>
    </w:p>
    <w:p>
      <w:pPr>
        <w:spacing w:after="0" w:line="1" w:lineRule="exact"/>
        <w:rPr>
          <w:rFonts w:ascii="Arial" w:cs="Arial" w:eastAsia="Arial" w:hAnsi="Arial"/>
          <w:sz w:val="22"/>
          <w:szCs w:val="22"/>
          <w:color w:val="auto"/>
        </w:rPr>
      </w:pPr>
    </w:p>
    <w:p>
      <w:pPr>
        <w:ind w:left="660" w:right="380" w:hanging="544"/>
        <w:spacing w:after="0" w:line="266" w:lineRule="auto"/>
        <w:tabs>
          <w:tab w:leader="none" w:pos="6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Based on information known to Mereo and information contained in a Statement on Schedule 13G filed by OrbiMed Capital GP VII LLC, OrbiMed Advisors LLC and OrbiMed Capital LLC on February 11, 2022. The address of the principal business office of the OrbiMed Funds is 601 Lexington Avenue, 54th Floor, New York, NY 10022.</w:t>
      </w:r>
    </w:p>
    <w:p>
      <w:pPr>
        <w:spacing w:after="0" w:line="2" w:lineRule="exact"/>
        <w:rPr>
          <w:rFonts w:ascii="Arial" w:cs="Arial" w:eastAsia="Arial" w:hAnsi="Arial"/>
          <w:sz w:val="19"/>
          <w:szCs w:val="19"/>
          <w:color w:val="auto"/>
        </w:rPr>
      </w:pPr>
    </w:p>
    <w:p>
      <w:pPr>
        <w:ind w:left="660" w:hanging="544"/>
        <w:spacing w:after="0" w:line="230"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Based upon information contained in a Statement on Schedule 13G filed by Vivo Capital IX, LLC and Vivo Opportunity, LLC on February 11, 2022. Vivo Capital IX, LLC is a Delaware limited liability company with an office address of 192 Lytton Avenue, Palo Alto, CA 94301. Vivo Opportunity, LLC is a Delaware limited liability company with an office address of 192 Lytton Avenue, Palo Alto, CA 94301.</w:t>
      </w:r>
    </w:p>
    <w:p>
      <w:pPr>
        <w:spacing w:after="0" w:line="2" w:lineRule="exact"/>
        <w:rPr>
          <w:rFonts w:ascii="Arial" w:cs="Arial" w:eastAsia="Arial" w:hAnsi="Arial"/>
          <w:sz w:val="22"/>
          <w:szCs w:val="22"/>
          <w:color w:val="auto"/>
        </w:rPr>
      </w:pPr>
    </w:p>
    <w:p>
      <w:pPr>
        <w:ind w:left="660" w:hanging="544"/>
        <w:spacing w:after="0" w:line="266" w:lineRule="auto"/>
        <w:tabs>
          <w:tab w:leader="none" w:pos="6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Based upon information contained in a Statement on Schedule 13G filed by the shareholder on February 14, 2022. The address of the principal business office of Point72 Asset Management is 72 Cummings Point Road, Stamford, CT 06902.</w:t>
      </w:r>
    </w:p>
    <w:p>
      <w:pPr>
        <w:spacing w:after="0" w:line="1" w:lineRule="exact"/>
        <w:rPr>
          <w:rFonts w:ascii="Arial" w:cs="Arial" w:eastAsia="Arial" w:hAnsi="Arial"/>
          <w:sz w:val="19"/>
          <w:szCs w:val="19"/>
          <w:color w:val="auto"/>
        </w:rPr>
      </w:pPr>
    </w:p>
    <w:p>
      <w:pPr>
        <w:jc w:val="both"/>
        <w:ind w:left="660" w:right="200" w:hanging="544"/>
        <w:spacing w:after="0" w:line="234"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Based upon information contained in a Statement on Schedule 13G filed by the shareholder on February 11, 2022. The address of the principal business office of Suvretta Capital Management, LLC is 540 Madison Avenue, 7th Floor, New York, New York 10022.</w:t>
      </w:r>
    </w:p>
    <w:p>
      <w:pPr>
        <w:spacing w:after="0" w:line="187" w:lineRule="exact"/>
        <w:rPr>
          <w:sz w:val="20"/>
          <w:szCs w:val="20"/>
          <w:color w:val="auto"/>
        </w:rPr>
      </w:pPr>
    </w:p>
    <w:p>
      <w:pPr>
        <w:ind w:left="120" w:right="280" w:firstLine="551"/>
        <w:spacing w:after="0" w:line="236" w:lineRule="auto"/>
        <w:rPr>
          <w:sz w:val="20"/>
          <w:szCs w:val="20"/>
          <w:color w:val="auto"/>
        </w:rPr>
      </w:pPr>
      <w:r>
        <w:rPr>
          <w:rFonts w:ascii="Arial" w:cs="Arial" w:eastAsia="Arial" w:hAnsi="Arial"/>
          <w:sz w:val="22"/>
          <w:szCs w:val="22"/>
          <w:color w:val="auto"/>
        </w:rPr>
        <w:t>After the completion of the Merger we raised additional capital in both a private and a subsequent public offering. On June 3, 2020, we entered into a securities purchase agreement (the “June 2020 Purchase Agreement”) with a number of new and existing principally U.S.-based institutional and accredited investors (the “June 2020 Private Placement”) pursuant to which we received $70.0 million (£56.0 million) as described under “Material Agreements – Agreements Relating to June 2020 Private Placement” below.</w:t>
      </w:r>
    </w:p>
    <w:p>
      <w:pPr>
        <w:spacing w:after="0" w:line="18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On February 12, 2021, we announced the completion of an underwritten public offering of 39,675,000 ADSs, at a public offering price of $2.90 per ADS, which included 5,175,000 additional ADSs issued upon the exercise in full of the underwriters’ option to purchase additional ADSs. The aggregate gross proceeds to us from the public offering, before deducting underwriting discounts and commissions and offering expenses were $115.1 million. The net proceeds, after transaction costs, were £78.4 million ($108.2 million).</w:t>
      </w:r>
    </w:p>
    <w:p>
      <w:pPr>
        <w:spacing w:after="0" w:line="18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To our knowledge, and other than changes in percentage ownership as a result of the transactions described above and other than as disclosed in this Annual Report and in our other filings with the SEC, there has been no significant change in the percentage ownership held by the major shareholders listed above since January 1, 2019. The major shareholders listed above do not have voting rights with respect to their ordinary shares or ADSs that are different from the voting rights of other holders of our ordinary shares or ADSs.</w:t>
      </w:r>
    </w:p>
    <w:p>
      <w:pPr>
        <w:spacing w:after="0" w:line="18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21"/>
          <w:szCs w:val="21"/>
          <w:color w:val="auto"/>
        </w:rPr>
        <w:t>As of December 31, 2021, assuming that all of our ordinary shares represented by ADSs are held by residents of the United States, including ADSs held by the entities set forth in the table above, and excluding certain other holders that we know to be non-residents of the United States, we estimate that approximately 96% of our outstanding ordinary shares (including ordinary shares underlying ADSs) were held in the United States. The number of record holders in the United States is not representative of the number of beneficial holders nor is it representative of where such beneficial holders are resident since many of these shares were held by brokers or other nominees.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7.B. Related Party Transactions</w:t>
      </w:r>
    </w:p>
    <w:p>
      <w:pPr>
        <w:sectPr>
          <w:pgSz w:w="11900" w:h="16846" w:orient="portrait"/>
          <w:cols w:equalWidth="0" w:num="1">
            <w:col w:w="11120"/>
          </w:cols>
          <w:pgMar w:left="320" w:top="486" w:right="459" w:bottom="0" w:gutter="0" w:footer="0" w:header="0"/>
        </w:sectPr>
      </w:pPr>
    </w:p>
    <w:bookmarkStart w:id="134" w:name="page135"/>
    <w:bookmarkEnd w:id="134"/>
    <w:p>
      <w:pPr>
        <w:ind w:firstLine="551"/>
        <w:spacing w:after="0"/>
        <w:rPr>
          <w:sz w:val="20"/>
          <w:szCs w:val="20"/>
          <w:color w:val="auto"/>
        </w:rPr>
      </w:pPr>
      <w:r>
        <w:rPr>
          <w:rFonts w:ascii="Arial" w:cs="Arial" w:eastAsia="Arial" w:hAnsi="Arial"/>
          <w:sz w:val="22"/>
          <w:szCs w:val="22"/>
          <w:color w:val="auto"/>
        </w:rPr>
        <w:t>The following is a description of related party transactions we have entered into since January 1, 2021, or currently in effect with any member of our board of directors or executive officers and the holders of more than 5% of our ordinary shares or ADSs.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0860"/>
          </w:cols>
          <w:pgMar w:left="440" w:top="118" w:right="5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Transactions with Mereo’s Executive Officers and Directors</w:t>
      </w:r>
    </w:p>
    <w:p>
      <w:pPr>
        <w:spacing w:after="0" w:line="104" w:lineRule="exact"/>
        <w:rPr>
          <w:sz w:val="20"/>
          <w:szCs w:val="20"/>
          <w:color w:val="auto"/>
        </w:rPr>
      </w:pPr>
    </w:p>
    <w:p>
      <w:pPr>
        <w:ind w:left="120" w:right="540" w:firstLine="551"/>
        <w:spacing w:after="0"/>
        <w:rPr>
          <w:sz w:val="20"/>
          <w:szCs w:val="20"/>
          <w:color w:val="auto"/>
        </w:rPr>
      </w:pPr>
      <w:r>
        <w:rPr>
          <w:rFonts w:ascii="Arial" w:cs="Arial" w:eastAsia="Arial" w:hAnsi="Arial"/>
          <w:sz w:val="22"/>
          <w:szCs w:val="22"/>
          <w:color w:val="auto"/>
        </w:rPr>
        <w:t>We have entered into employment agreements or consultancy agreements with our executive officers. See “Item 6. Directors, Senior Management and Employees—B. Compensation—Executive Officer Employment and Consultancy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 Benefit Trust</w:t>
      </w:r>
    </w:p>
    <w:p>
      <w:pPr>
        <w:spacing w:after="0" w:line="104" w:lineRule="exact"/>
        <w:rPr>
          <w:sz w:val="20"/>
          <w:szCs w:val="20"/>
          <w:color w:val="auto"/>
        </w:rPr>
      </w:pPr>
    </w:p>
    <w:p>
      <w:pPr>
        <w:ind w:left="120" w:right="300" w:firstLine="551"/>
        <w:spacing w:after="0" w:line="250" w:lineRule="auto"/>
        <w:rPr>
          <w:sz w:val="20"/>
          <w:szCs w:val="20"/>
          <w:color w:val="auto"/>
        </w:rPr>
      </w:pPr>
      <w:r>
        <w:rPr>
          <w:rFonts w:ascii="Arial" w:cs="Arial" w:eastAsia="Arial" w:hAnsi="Arial"/>
          <w:sz w:val="22"/>
          <w:szCs w:val="22"/>
          <w:color w:val="auto"/>
        </w:rPr>
        <w:t>In 2016, we established an Employee Benefit Trust (“EBT”) for the purpose of holding ordinary shares (subsequently ADSs) to satisfy the exercise of options under the Company’s share-based incentive schemes.</w:t>
      </w:r>
    </w:p>
    <w:p>
      <w:pPr>
        <w:spacing w:after="0" w:line="17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22"/>
          <w:szCs w:val="22"/>
          <w:color w:val="auto"/>
        </w:rPr>
        <w:t>No funding was loaned to the EBT by the Company during the year ended December 31, 2021 (2020: nil). During the year ended December 31, 2021, no ordinary shares were purchased by the EBT (2020: 7). A total of 31,205 ADSs (2020: nil) held by the EBT were used in the year-ended December 31, 2021 to satisfy the exercise of options under the Company’s share-based incentive schemes. As of December 31, 2021 the EBT holds 216,251 ADSs (2020: 247,456) along with £17,866 in cash (2020: £21,762).</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Indemnity Agreements</w:t>
      </w:r>
    </w:p>
    <w:p>
      <w:pPr>
        <w:spacing w:after="0" w:line="104" w:lineRule="exact"/>
        <w:rPr>
          <w:sz w:val="20"/>
          <w:szCs w:val="20"/>
          <w:color w:val="auto"/>
        </w:rPr>
      </w:pPr>
    </w:p>
    <w:p>
      <w:pPr>
        <w:ind w:left="120" w:right="380" w:firstLine="551"/>
        <w:spacing w:after="0" w:line="328" w:lineRule="auto"/>
        <w:rPr>
          <w:sz w:val="20"/>
          <w:szCs w:val="20"/>
          <w:color w:val="auto"/>
        </w:rPr>
      </w:pPr>
      <w:r>
        <w:rPr>
          <w:rFonts w:ascii="Arial" w:cs="Arial" w:eastAsia="Arial" w:hAnsi="Arial"/>
          <w:sz w:val="19"/>
          <w:szCs w:val="19"/>
          <w:color w:val="auto"/>
        </w:rPr>
        <w:t>We have entered into deeds of indemnity with each of our directors. See “Item 6. Directors, Senior Management and Employees—C. Board practices—Composition of the Mereo Board—Insurance and Indemnification.”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Related Person Transaction Policy</w:t>
      </w:r>
    </w:p>
    <w:p>
      <w:pPr>
        <w:spacing w:after="0" w:line="104"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7.C. Interests of Experts and Counsel</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4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Financial Information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8.A. Consolidated Statements and Other Financial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18. Financial Statements.”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04" w:lineRule="exact"/>
        <w:rPr>
          <w:sz w:val="20"/>
          <w:szCs w:val="20"/>
          <w:color w:val="auto"/>
        </w:rPr>
      </w:pPr>
    </w:p>
    <w:p>
      <w:pPr>
        <w:jc w:val="both"/>
        <w:ind w:left="120" w:right="560" w:firstLine="551"/>
        <w:spacing w:after="0" w:line="297" w:lineRule="auto"/>
        <w:rPr>
          <w:sz w:val="20"/>
          <w:szCs w:val="20"/>
          <w:color w:val="auto"/>
        </w:rPr>
      </w:pPr>
      <w:r>
        <w:rPr>
          <w:rFonts w:ascii="Arial" w:cs="Arial" w:eastAsia="Arial" w:hAnsi="Arial"/>
          <w:sz w:val="19"/>
          <w:szCs w:val="19"/>
          <w:color w:val="auto"/>
        </w:rPr>
        <w:t>There are no governmental, legal or arbitration proceedings (including any such proceedings which are pending or threatened of which Mereo is aware) that may have, or have had in the recent past (covering the 12 months immediately preceding the date of this annual report), significant effects on Mereo’s financial position or profitability.</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Dividend Policy</w:t>
      </w:r>
    </w:p>
    <w:p>
      <w:pPr>
        <w:spacing w:after="0" w:line="104" w:lineRule="exact"/>
        <w:rPr>
          <w:sz w:val="20"/>
          <w:szCs w:val="20"/>
          <w:color w:val="auto"/>
        </w:rPr>
      </w:pPr>
    </w:p>
    <w:p>
      <w:pPr>
        <w:ind w:left="120" w:right="40" w:firstLine="551"/>
        <w:spacing w:after="0" w:line="279" w:lineRule="auto"/>
        <w:rPr>
          <w:sz w:val="20"/>
          <w:szCs w:val="20"/>
          <w:color w:val="auto"/>
        </w:rPr>
      </w:pPr>
      <w:r>
        <w:rPr>
          <w:rFonts w:ascii="Arial" w:cs="Arial" w:eastAsia="Arial" w:hAnsi="Arial"/>
          <w:sz w:val="19"/>
          <w:szCs w:val="19"/>
          <w:color w:val="auto"/>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 so far as such losses have not been previously written off in a reduction or reorganization of capital.</w:t>
      </w:r>
    </w:p>
    <w:p>
      <w:pPr>
        <w:sectPr>
          <w:pgSz w:w="11900" w:h="16838" w:orient="portrait"/>
          <w:cols w:equalWidth="0" w:num="1">
            <w:col w:w="11120"/>
          </w:cols>
          <w:pgMar w:left="320" w:top="486" w:right="459" w:bottom="1440" w:gutter="0" w:footer="0" w:header="0"/>
        </w:sectPr>
      </w:pP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116</w:t>
      </w:r>
    </w:p>
    <w:p>
      <w:pPr>
        <w:sectPr>
          <w:pgSz w:w="11900" w:h="16838" w:orient="portrait"/>
          <w:cols w:equalWidth="0" w:num="1">
            <w:col w:w="11120"/>
          </w:cols>
          <w:pgMar w:left="320" w:top="486" w:right="4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8.B. Significant changes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disclosed elsewhere in this annual report, there have been no other significant changes since December 31,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2021.</w:t>
      </w:r>
    </w:p>
    <w:p>
      <w:pPr>
        <w:spacing w:after="0" w:line="33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The Offer And Listing</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9.A.4 Offer and Listing Details</w:t>
      </w:r>
    </w:p>
    <w:p>
      <w:pPr>
        <w:spacing w:after="0" w:line="104" w:lineRule="exact"/>
        <w:rPr>
          <w:sz w:val="20"/>
          <w:szCs w:val="20"/>
          <w:color w:val="auto"/>
        </w:rPr>
      </w:pPr>
    </w:p>
    <w:p>
      <w:pPr>
        <w:ind w:left="120" w:right="220" w:firstLine="551"/>
        <w:spacing w:after="0" w:line="252" w:lineRule="auto"/>
        <w:rPr>
          <w:sz w:val="20"/>
          <w:szCs w:val="20"/>
          <w:color w:val="auto"/>
        </w:rPr>
      </w:pPr>
      <w:r>
        <w:rPr>
          <w:rFonts w:ascii="Arial" w:cs="Arial" w:eastAsia="Arial" w:hAnsi="Arial"/>
          <w:sz w:val="21"/>
          <w:szCs w:val="21"/>
          <w:color w:val="auto"/>
        </w:rPr>
        <w:t>Our ADSs, each representing five of our ordinary shares, nominal value £0.003 per share, have been listed on the Nasdaq Global Market since April 24, 2019. Our ADSs trade under the symbol “MREO.” Prior to that date, there was no public trading market for our ADSs. The Company’s ordinary shares were previously admitted to trading on the AIM market of London Stock Exchange plc with admission canceled with effect from December 18, 2020.</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9.B. Plan of Distribution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9.C. Markets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ADSs are listed on the Nasdaq Global Market under the symbol “MREO”.</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9.D. Selling Shareholders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9.E. Dilution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9.F. Expenses of the Issue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4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Additional Information</w:t>
      </w:r>
    </w:p>
    <w:p>
      <w:pPr>
        <w:spacing w:after="0" w:line="98" w:lineRule="exact"/>
        <w:rPr>
          <w:sz w:val="20"/>
          <w:szCs w:val="20"/>
          <w:color w:val="auto"/>
        </w:rPr>
      </w:pPr>
    </w:p>
    <w:p>
      <w:pPr>
        <w:jc w:val="right"/>
        <w:ind w:right="9200"/>
        <w:spacing w:after="0"/>
        <w:rPr>
          <w:sz w:val="20"/>
          <w:szCs w:val="20"/>
          <w:color w:val="auto"/>
        </w:rPr>
      </w:pPr>
      <w:r>
        <w:rPr>
          <w:rFonts w:ascii="Arial" w:cs="Arial" w:eastAsia="Arial" w:hAnsi="Arial"/>
          <w:sz w:val="21"/>
          <w:szCs w:val="21"/>
          <w:b w:val="1"/>
          <w:bCs w:val="1"/>
          <w:color w:val="auto"/>
        </w:rPr>
        <w:t>10.A. Share Capital</w:t>
      </w:r>
    </w:p>
    <w:p>
      <w:pPr>
        <w:spacing w:after="0" w:line="116" w:lineRule="exact"/>
        <w:rPr>
          <w:sz w:val="20"/>
          <w:szCs w:val="20"/>
          <w:color w:val="auto"/>
        </w:rPr>
      </w:pPr>
    </w:p>
    <w:p>
      <w:pPr>
        <w:jc w:val="right"/>
        <w:ind w:right="914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10.B. Memorandum and Articles of Association</w:t>
      </w:r>
    </w:p>
    <w:p>
      <w:pPr>
        <w:spacing w:after="0" w:line="104" w:lineRule="exact"/>
        <w:rPr>
          <w:sz w:val="20"/>
          <w:szCs w:val="20"/>
          <w:color w:val="auto"/>
        </w:rPr>
      </w:pPr>
    </w:p>
    <w:p>
      <w:pPr>
        <w:ind w:left="120" w:firstLine="551"/>
        <w:spacing w:after="0" w:line="328" w:lineRule="auto"/>
        <w:rPr>
          <w:sz w:val="20"/>
          <w:szCs w:val="20"/>
          <w:color w:val="auto"/>
        </w:rPr>
      </w:pPr>
      <w:r>
        <w:rPr>
          <w:rFonts w:ascii="Arial" w:cs="Arial" w:eastAsia="Arial" w:hAnsi="Arial"/>
          <w:sz w:val="19"/>
          <w:szCs w:val="19"/>
          <w:color w:val="auto"/>
        </w:rPr>
        <w:t>The information in response to this item is contained under the caption “10.B Memorandum and Articles of Association” in our registration statement filed with the SEC on January 25, 2019 and is incorporated herein by reference.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10.C. Material Contracts</w:t>
      </w:r>
    </w:p>
    <w:p>
      <w:pPr>
        <w:spacing w:after="0" w:line="104"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22"/>
          <w:szCs w:val="22"/>
          <w:color w:val="auto"/>
        </w:rPr>
        <w:t>For a description of our material contracts, please see “Item 4. Information on the Company—B. Business Overview— Material Agreements.”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120"/>
          </w:cols>
          <w:pgMar w:left="320" w:top="486"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10.D. Exchange Controls</w:t>
      </w:r>
    </w:p>
    <w:p>
      <w:pPr>
        <w:spacing w:after="0" w:line="104"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22"/>
          <w:szCs w:val="22"/>
          <w:color w:val="auto"/>
        </w:rPr>
        <w:t>There are no governmental laws, decrees, regulations or other legislation in the United Kingdom that may affect the import or export of capital, including the availability of cash and cash equivalents for use by Mereo, or that may affect the remittance of dividends, interest, or other payments by Mereo to non-resident holders of our ADSs, other than withholding tax requirements. There is no limitation imposed by English law or in the Articles on the right of non-residents to hold or vote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10.E. Taxation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Material U.S. Federal Income Tax Considerations</w:t>
      </w:r>
    </w:p>
    <w:p>
      <w:pPr>
        <w:spacing w:after="0" w:line="98" w:lineRule="exact"/>
        <w:rPr>
          <w:sz w:val="20"/>
          <w:szCs w:val="20"/>
          <w:color w:val="auto"/>
        </w:rPr>
      </w:pPr>
    </w:p>
    <w:p>
      <w:pPr>
        <w:ind w:left="120" w:right="160" w:firstLine="551"/>
        <w:spacing w:after="0" w:line="277" w:lineRule="auto"/>
        <w:rPr>
          <w:sz w:val="20"/>
          <w:szCs w:val="20"/>
          <w:color w:val="auto"/>
        </w:rPr>
      </w:pPr>
      <w:r>
        <w:rPr>
          <w:rFonts w:ascii="Arial" w:cs="Arial" w:eastAsia="Arial" w:hAnsi="Arial"/>
          <w:sz w:val="19"/>
          <w:szCs w:val="19"/>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w:t>
      </w:r>
    </w:p>
    <w:p>
      <w:pPr>
        <w:spacing w:after="0" w:line="57" w:lineRule="exact"/>
        <w:rPr>
          <w:sz w:val="20"/>
          <w:szCs w:val="20"/>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banks, insurance companies and other financial institutions;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real estate investment trusts or regulated investment companies;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dealers or traders in securities that use a mark-to-market method of tax accounting;</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persons holding our ADSs or ordinary shares as part of a straddle, integrated transaction or similar transaction;</w:t>
      </w:r>
    </w:p>
    <w:p>
      <w:pPr>
        <w:spacing w:after="0" w:line="146" w:lineRule="exact"/>
        <w:rPr>
          <w:rFonts w:ascii="Arial" w:cs="Arial" w:eastAsia="Arial" w:hAnsi="Arial"/>
          <w:sz w:val="19"/>
          <w:szCs w:val="19"/>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persons whose functional currency for U.S. federal income tax purposes is not the U.S. dollar;</w:t>
      </w:r>
    </w:p>
    <w:p>
      <w:pPr>
        <w:spacing w:after="0" w:line="111" w:lineRule="exact"/>
        <w:rPr>
          <w:rFonts w:ascii="Arial" w:cs="Arial" w:eastAsia="Arial" w:hAnsi="Arial"/>
          <w:sz w:val="22"/>
          <w:szCs w:val="22"/>
          <w:color w:val="auto"/>
        </w:rPr>
      </w:pPr>
    </w:p>
    <w:p>
      <w:pPr>
        <w:ind w:left="1420" w:right="600" w:hanging="535"/>
        <w:spacing w:after="0" w:line="250" w:lineRule="auto"/>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entities or arrangements treated as partnerships for U.S. federal income tax purposes and their partners or investors;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tax-exempt entities, “individual retirement accounts” or “Roth IRAs”;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 corporations;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former citizens or residents of the United States;</w:t>
      </w:r>
    </w:p>
    <w:p>
      <w:pPr>
        <w:spacing w:after="0" w:line="111" w:lineRule="exact"/>
        <w:rPr>
          <w:rFonts w:ascii="Arial" w:cs="Arial" w:eastAsia="Arial" w:hAnsi="Arial"/>
          <w:sz w:val="22"/>
          <w:szCs w:val="22"/>
          <w:color w:val="auto"/>
        </w:rPr>
      </w:pPr>
    </w:p>
    <w:p>
      <w:pPr>
        <w:ind w:left="1420" w:right="180" w:hanging="535"/>
        <w:spacing w:after="0" w:line="250" w:lineRule="auto"/>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person that is subject to special tax accounting rules under section 451(b) of the U.S. Internal Revenue Code of 1986, as amended (the “Code”);</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persons that own or are deemed to own 10% or more of our stock by vote or value; or</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persons holding our ADSs or ordinary shares in connection with a trade or business outside the United States.</w:t>
      </w:r>
    </w:p>
    <w:p>
      <w:pPr>
        <w:spacing w:after="0" w:line="241"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187" w:lineRule="exact"/>
        <w:rPr>
          <w:sz w:val="20"/>
          <w:szCs w:val="20"/>
          <w:color w:val="auto"/>
        </w:rPr>
      </w:pPr>
    </w:p>
    <w:p>
      <w:pPr>
        <w:jc w:val="both"/>
        <w:ind w:left="120" w:right="500" w:firstLine="551"/>
        <w:spacing w:after="0" w:line="328" w:lineRule="auto"/>
        <w:rPr>
          <w:sz w:val="20"/>
          <w:szCs w:val="20"/>
          <w:color w:val="auto"/>
        </w:rPr>
      </w:pPr>
      <w:r>
        <w:rPr>
          <w:rFonts w:ascii="Arial" w:cs="Arial" w:eastAsia="Arial" w:hAnsi="Arial"/>
          <w:sz w:val="19"/>
          <w:szCs w:val="19"/>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05" w:lineRule="exact"/>
        <w:rPr>
          <w:sz w:val="20"/>
          <w:szCs w:val="20"/>
          <w:color w:val="auto"/>
        </w:rPr>
      </w:pPr>
    </w:p>
    <w:p>
      <w:pPr>
        <w:ind w:left="120" w:right="420" w:firstLine="551"/>
        <w:spacing w:after="0" w:line="328" w:lineRule="auto"/>
        <w:rPr>
          <w:sz w:val="20"/>
          <w:szCs w:val="20"/>
          <w:color w:val="auto"/>
        </w:rPr>
      </w:pPr>
      <w:r>
        <w:rPr>
          <w:rFonts w:ascii="Arial" w:cs="Arial" w:eastAsia="Arial" w:hAnsi="Arial"/>
          <w:sz w:val="19"/>
          <w:szCs w:val="19"/>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3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120"/>
          </w:cols>
          <w:pgMar w:left="320" w:top="486"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120"/>
        <w:spacing w:after="0"/>
        <w:rPr>
          <w:sz w:val="20"/>
          <w:szCs w:val="20"/>
          <w:color w:val="auto"/>
        </w:rPr>
      </w:pPr>
      <w:r>
        <w:rPr>
          <w:rFonts w:ascii="Arial" w:cs="Arial" w:eastAsia="Arial" w:hAnsi="Arial"/>
          <w:sz w:val="22"/>
          <w:szCs w:val="22"/>
          <w:color w:val="auto"/>
        </w:rPr>
        <w:t>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186" w:lineRule="exact"/>
        <w:rPr>
          <w:sz w:val="20"/>
          <w:szCs w:val="20"/>
          <w:color w:val="auto"/>
        </w:rPr>
      </w:pPr>
    </w:p>
    <w:p>
      <w:pPr>
        <w:jc w:val="both"/>
        <w:ind w:left="120" w:right="20" w:firstLine="551"/>
        <w:spacing w:after="0" w:line="250" w:lineRule="auto"/>
        <w:rPr>
          <w:sz w:val="20"/>
          <w:szCs w:val="20"/>
          <w:color w:val="auto"/>
        </w:rPr>
      </w:pPr>
      <w:r>
        <w:rPr>
          <w:rFonts w:ascii="Arial" w:cs="Arial" w:eastAsia="Arial" w:hAnsi="Arial"/>
          <w:sz w:val="22"/>
          <w:szCs w:val="22"/>
          <w:color w:val="auto"/>
        </w:rPr>
        <w:t>As used herein, a “U.S. Holder” is a person that, for U.S. federal income tax purposes, is a beneficial owner of our ADSs or ordinary shares and is:</w:t>
      </w:r>
    </w:p>
    <w:p>
      <w:pPr>
        <w:spacing w:after="0" w:line="80" w:lineRule="exact"/>
        <w:rPr>
          <w:sz w:val="20"/>
          <w:szCs w:val="20"/>
          <w:color w:val="auto"/>
        </w:rPr>
      </w:pPr>
    </w:p>
    <w:p>
      <w:pPr>
        <w:ind w:left="1420" w:hanging="535"/>
        <w:spacing w:after="0"/>
        <w:tabs>
          <w:tab w:leader="none" w:pos="14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individual who is a citizen or resident of the United States;</w:t>
      </w:r>
    </w:p>
    <w:p>
      <w:pPr>
        <w:spacing w:after="0" w:line="111" w:lineRule="exact"/>
        <w:rPr>
          <w:rFonts w:ascii="Arial" w:cs="Arial" w:eastAsia="Arial" w:hAnsi="Arial"/>
          <w:sz w:val="22"/>
          <w:szCs w:val="22"/>
          <w:color w:val="auto"/>
        </w:rPr>
      </w:pPr>
    </w:p>
    <w:p>
      <w:pPr>
        <w:ind w:left="1420" w:right="300" w:hanging="535"/>
        <w:spacing w:after="0" w:line="250" w:lineRule="auto"/>
        <w:tabs>
          <w:tab w:leader="none" w:pos="14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corporation, or other entity taxable as a corporation, created or organized in or under the laws of the United States, any state therein or the District of Columbia;</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estate the income of which is subject to U.S. federal income taxation regardless of its source; or</w:t>
      </w:r>
    </w:p>
    <w:p>
      <w:pPr>
        <w:spacing w:after="0" w:line="111" w:lineRule="exact"/>
        <w:rPr>
          <w:rFonts w:ascii="Arial" w:cs="Arial" w:eastAsia="Arial" w:hAnsi="Arial"/>
          <w:sz w:val="22"/>
          <w:szCs w:val="22"/>
          <w:color w:val="auto"/>
        </w:rPr>
      </w:pPr>
    </w:p>
    <w:p>
      <w:pPr>
        <w:ind w:left="1420" w:right="100" w:hanging="535"/>
        <w:spacing w:after="0"/>
        <w:tabs>
          <w:tab w:leader="none" w:pos="14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186" w:lineRule="exact"/>
        <w:rPr>
          <w:sz w:val="20"/>
          <w:szCs w:val="20"/>
          <w:color w:val="auto"/>
        </w:rPr>
      </w:pPr>
    </w:p>
    <w:p>
      <w:pPr>
        <w:ind w:left="120" w:right="60" w:firstLine="551"/>
        <w:spacing w:after="0" w:line="250" w:lineRule="auto"/>
        <w:rPr>
          <w:sz w:val="20"/>
          <w:szCs w:val="20"/>
          <w:color w:val="auto"/>
        </w:rPr>
      </w:pPr>
      <w:r>
        <w:rPr>
          <w:rFonts w:ascii="Arial" w:cs="Arial" w:eastAsia="Arial" w:hAnsi="Arial"/>
          <w:sz w:val="22"/>
          <w:szCs w:val="22"/>
          <w:color w:val="auto"/>
        </w:rPr>
        <w:t>U.S. Holders should consult their tax advisers concerning the U.S. federal, state, local and non-U.S. tax consequences of owning and disposing of our ADSs or ordinary shares in their particular circumstances.</w:t>
      </w:r>
    </w:p>
    <w:p>
      <w:pPr>
        <w:spacing w:after="0" w:line="175" w:lineRule="exact"/>
        <w:rPr>
          <w:sz w:val="20"/>
          <w:szCs w:val="20"/>
          <w:color w:val="auto"/>
        </w:rPr>
      </w:pPr>
    </w:p>
    <w:p>
      <w:pPr>
        <w:jc w:val="both"/>
        <w:ind w:left="120" w:right="480" w:firstLine="551"/>
        <w:spacing w:after="0"/>
        <w:rPr>
          <w:sz w:val="20"/>
          <w:szCs w:val="20"/>
          <w:color w:val="auto"/>
        </w:rPr>
      </w:pPr>
      <w:r>
        <w:rPr>
          <w:rFonts w:ascii="Arial" w:cs="Arial" w:eastAsia="Arial" w:hAnsi="Arial"/>
          <w:sz w:val="22"/>
          <w:szCs w:val="22"/>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Passive Foreign Investment Company Rules</w:t>
      </w:r>
    </w:p>
    <w:p>
      <w:pPr>
        <w:spacing w:after="0" w:line="98" w:lineRule="exact"/>
        <w:rPr>
          <w:sz w:val="20"/>
          <w:szCs w:val="20"/>
          <w:color w:val="auto"/>
        </w:rPr>
      </w:pPr>
    </w:p>
    <w:p>
      <w:pPr>
        <w:ind w:left="120" w:right="20" w:firstLine="551"/>
        <w:spacing w:after="0" w:line="273" w:lineRule="auto"/>
        <w:rPr>
          <w:sz w:val="20"/>
          <w:szCs w:val="20"/>
          <w:color w:val="auto"/>
        </w:rPr>
      </w:pPr>
      <w:r>
        <w:rPr>
          <w:rFonts w:ascii="Arial" w:cs="Arial" w:eastAsia="Arial" w:hAnsi="Arial"/>
          <w:sz w:val="19"/>
          <w:szCs w:val="19"/>
          <w:color w:val="auto"/>
        </w:rPr>
        <w:t>Special U.S. tax rules apply to U.S. Holders of stock in a company that are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155"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9"/>
          <w:szCs w:val="19"/>
          <w:color w:val="auto"/>
        </w:rPr>
        <w:t>Based on our gross income, the average value of our assets, including goodwill, and the nature of the current stage of our business, we do not believe we were a PFIC for the year ended December 31, 2021. There can be no assurance regarding our PFIC status for the current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w:t>
      </w:r>
    </w:p>
    <w:p>
      <w:pPr>
        <w:spacing w:after="0" w:line="156"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21"/>
          <w:szCs w:val="21"/>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ectPr>
          <w:pgSz w:w="11900" w:h="16838" w:orient="portrait"/>
          <w:cols w:equalWidth="0" w:num="1">
            <w:col w:w="11140"/>
          </w:cols>
          <w:pgMar w:left="320" w:top="486" w:right="439" w:bottom="1440" w:gutter="0" w:footer="0" w:header="0"/>
        </w:sectPr>
      </w:pP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119</w:t>
      </w:r>
    </w:p>
    <w:p>
      <w:pPr>
        <w:sectPr>
          <w:pgSz w:w="11900" w:h="16838" w:orient="portrait"/>
          <w:cols w:equalWidth="0" w:num="1">
            <w:col w:w="11140"/>
          </w:cols>
          <w:pgMar w:left="320" w:top="486" w:right="4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160"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9"/>
          <w:szCs w:val="19"/>
          <w:color w:val="auto"/>
        </w:rPr>
        <w:t>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57" w:lineRule="exact"/>
        <w:rPr>
          <w:sz w:val="20"/>
          <w:szCs w:val="20"/>
          <w:color w:val="auto"/>
        </w:rPr>
      </w:pPr>
    </w:p>
    <w:p>
      <w:pPr>
        <w:ind w:left="120" w:right="20" w:firstLine="551"/>
        <w:spacing w:after="0" w:line="277" w:lineRule="auto"/>
        <w:rPr>
          <w:sz w:val="20"/>
          <w:szCs w:val="20"/>
          <w:color w:val="auto"/>
        </w:rPr>
      </w:pPr>
      <w:r>
        <w:rPr>
          <w:rFonts w:ascii="Arial" w:cs="Arial" w:eastAsia="Arial" w:hAnsi="Arial"/>
          <w:sz w:val="19"/>
          <w:szCs w:val="19"/>
          <w:color w:val="auto"/>
        </w:rPr>
        <w:t>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52" w:lineRule="exact"/>
        <w:rPr>
          <w:sz w:val="20"/>
          <w:szCs w:val="20"/>
          <w:color w:val="auto"/>
        </w:rPr>
      </w:pPr>
    </w:p>
    <w:p>
      <w:pPr>
        <w:ind w:left="120" w:right="20" w:firstLine="551"/>
        <w:spacing w:after="0" w:line="273" w:lineRule="auto"/>
        <w:rPr>
          <w:sz w:val="20"/>
          <w:szCs w:val="20"/>
          <w:color w:val="auto"/>
        </w:rPr>
      </w:pPr>
      <w:r>
        <w:rPr>
          <w:rFonts w:ascii="Arial" w:cs="Arial" w:eastAsia="Arial" w:hAnsi="Arial"/>
          <w:sz w:val="19"/>
          <w:szCs w:val="19"/>
          <w:color w:val="auto"/>
        </w:rPr>
        <w:t xml:space="preserve">If a U.S. Holder makes a QEF Election with respect to a PFIC, the U.S. Holder will be taxed on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161" w:lineRule="exact"/>
        <w:rPr>
          <w:sz w:val="20"/>
          <w:szCs w:val="20"/>
          <w:color w:val="auto"/>
        </w:rPr>
      </w:pPr>
    </w:p>
    <w:p>
      <w:pPr>
        <w:ind w:left="120" w:right="40" w:firstLine="551"/>
        <w:spacing w:after="0" w:line="275" w:lineRule="auto"/>
        <w:rPr>
          <w:sz w:val="20"/>
          <w:szCs w:val="20"/>
          <w:color w:val="auto"/>
        </w:rPr>
      </w:pPr>
      <w:r>
        <w:rPr>
          <w:rFonts w:ascii="Arial" w:cs="Arial" w:eastAsia="Arial" w:hAnsi="Arial"/>
          <w:sz w:val="19"/>
          <w:szCs w:val="19"/>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ectPr>
          <w:pgSz w:w="11900" w:h="16838" w:orient="portrait"/>
          <w:cols w:equalWidth="0" w:num="1">
            <w:col w:w="11140"/>
          </w:cols>
          <w:pgMar w:left="320" w:top="486" w:right="439" w:bottom="1440" w:gutter="0" w:footer="0" w:header="0"/>
        </w:sectPr>
      </w:pP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120</w:t>
      </w:r>
    </w:p>
    <w:p>
      <w:pPr>
        <w:sectPr>
          <w:pgSz w:w="11900" w:h="16838" w:orient="portrait"/>
          <w:cols w:equalWidth="0" w:num="1">
            <w:col w:w="11140"/>
          </w:cols>
          <w:pgMar w:left="320" w:top="486" w:right="4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20" w:firstLine="551"/>
        <w:spacing w:after="0" w:line="270" w:lineRule="auto"/>
        <w:rPr>
          <w:sz w:val="20"/>
          <w:szCs w:val="20"/>
          <w:color w:val="auto"/>
        </w:rPr>
      </w:pPr>
      <w:r>
        <w:rPr>
          <w:rFonts w:ascii="Arial" w:cs="Arial" w:eastAsia="Arial" w:hAnsi="Arial"/>
          <w:sz w:val="19"/>
          <w:szCs w:val="19"/>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16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22"/>
          <w:szCs w:val="22"/>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Taxation of Distributions</w:t>
      </w:r>
    </w:p>
    <w:p>
      <w:pPr>
        <w:spacing w:after="0" w:line="98"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9"/>
          <w:szCs w:val="19"/>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161" w:lineRule="exact"/>
        <w:rPr>
          <w:sz w:val="20"/>
          <w:szCs w:val="20"/>
          <w:color w:val="auto"/>
        </w:rPr>
      </w:pPr>
    </w:p>
    <w:p>
      <w:pPr>
        <w:ind w:left="120" w:firstLine="551"/>
        <w:spacing w:after="0" w:line="273" w:lineRule="auto"/>
        <w:rPr>
          <w:sz w:val="20"/>
          <w:szCs w:val="20"/>
          <w:color w:val="auto"/>
        </w:rPr>
      </w:pPr>
      <w:r>
        <w:rPr>
          <w:rFonts w:ascii="Arial" w:cs="Arial" w:eastAsia="Arial" w:hAnsi="Arial"/>
          <w:sz w:val="19"/>
          <w:szCs w:val="19"/>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w:t>
      </w:r>
    </w:p>
    <w:p>
      <w:pPr>
        <w:spacing w:after="0" w:line="155" w:lineRule="exact"/>
        <w:rPr>
          <w:sz w:val="20"/>
          <w:szCs w:val="20"/>
          <w:color w:val="auto"/>
        </w:rPr>
      </w:pPr>
    </w:p>
    <w:p>
      <w:pPr>
        <w:ind w:left="120" w:right="80" w:firstLine="551"/>
        <w:spacing w:after="0" w:line="282" w:lineRule="auto"/>
        <w:rPr>
          <w:sz w:val="20"/>
          <w:szCs w:val="20"/>
          <w:color w:val="auto"/>
        </w:rPr>
      </w:pPr>
      <w:r>
        <w:rPr>
          <w:rFonts w:ascii="Arial" w:cs="Arial" w:eastAsia="Arial" w:hAnsi="Arial"/>
          <w:sz w:val="19"/>
          <w:szCs w:val="19"/>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w:t>
      </w:r>
    </w:p>
    <w:p>
      <w:pPr>
        <w:sectPr>
          <w:pgSz w:w="11900" w:h="16838" w:orient="portrait"/>
          <w:cols w:equalWidth="0" w:num="1">
            <w:col w:w="11120"/>
          </w:cols>
          <w:pgMar w:left="320" w:top="486" w:right="459" w:bottom="952" w:gutter="0" w:footer="0" w:header="0"/>
        </w:sectPr>
      </w:pP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121</w:t>
      </w:r>
    </w:p>
    <w:p>
      <w:pPr>
        <w:sectPr>
          <w:pgSz w:w="11900" w:h="16838" w:orient="portrait"/>
          <w:cols w:equalWidth="0" w:num="1">
            <w:col w:w="11120"/>
          </w:cols>
          <w:pgMar w:left="320" w:top="486" w:right="459" w:bottom="952"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line="249" w:lineRule="auto"/>
        <w:rPr>
          <w:sz w:val="20"/>
          <w:szCs w:val="20"/>
          <w:color w:val="auto"/>
        </w:rPr>
      </w:pPr>
      <w:r>
        <w:rPr>
          <w:rFonts w:ascii="Arial" w:cs="Arial" w:eastAsia="Arial" w:hAnsi="Arial"/>
          <w:sz w:val="21"/>
          <w:szCs w:val="21"/>
          <w:color w:val="auto"/>
        </w:rPr>
        <w:t>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Sale or Other Taxable Disposition</w:t>
      </w:r>
    </w:p>
    <w:p>
      <w:pPr>
        <w:spacing w:after="0" w:line="98"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9"/>
          <w:szCs w:val="19"/>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Information Reporting and Backup Withholding</w:t>
      </w:r>
    </w:p>
    <w:p>
      <w:pPr>
        <w:spacing w:after="0" w:line="98" w:lineRule="exact"/>
        <w:rPr>
          <w:sz w:val="20"/>
          <w:szCs w:val="20"/>
          <w:color w:val="auto"/>
        </w:rPr>
      </w:pPr>
    </w:p>
    <w:p>
      <w:pPr>
        <w:ind w:left="120" w:right="40" w:firstLine="551"/>
        <w:spacing w:after="0" w:line="233" w:lineRule="auto"/>
        <w:rPr>
          <w:sz w:val="20"/>
          <w:szCs w:val="20"/>
          <w:color w:val="auto"/>
        </w:rPr>
      </w:pPr>
      <w:r>
        <w:rPr>
          <w:rFonts w:ascii="Arial" w:cs="Arial" w:eastAsia="Arial" w:hAnsi="Arial"/>
          <w:sz w:val="22"/>
          <w:szCs w:val="22"/>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Information with Respect to Foreign Financial Assets</w:t>
      </w:r>
    </w:p>
    <w:p>
      <w:pPr>
        <w:spacing w:after="0" w:line="98" w:lineRule="exact"/>
        <w:rPr>
          <w:sz w:val="20"/>
          <w:szCs w:val="20"/>
          <w:color w:val="auto"/>
        </w:rPr>
      </w:pPr>
    </w:p>
    <w:p>
      <w:pPr>
        <w:ind w:left="120" w:right="40" w:firstLine="551"/>
        <w:spacing w:after="0" w:line="249" w:lineRule="auto"/>
        <w:rPr>
          <w:sz w:val="20"/>
          <w:szCs w:val="20"/>
          <w:color w:val="auto"/>
        </w:rPr>
      </w:pPr>
      <w:r>
        <w:rPr>
          <w:rFonts w:ascii="Arial" w:cs="Arial" w:eastAsia="Arial" w:hAnsi="Arial"/>
          <w:sz w:val="21"/>
          <w:szCs w:val="21"/>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Material United Kingdom Tax Considerations</w:t>
      </w:r>
    </w:p>
    <w:p>
      <w:pPr>
        <w:spacing w:after="0" w:line="98" w:lineRule="exact"/>
        <w:rPr>
          <w:sz w:val="20"/>
          <w:szCs w:val="20"/>
          <w:color w:val="auto"/>
        </w:rPr>
      </w:pPr>
    </w:p>
    <w:p>
      <w:pPr>
        <w:ind w:left="120" w:right="20" w:firstLine="551"/>
        <w:spacing w:after="0" w:line="277" w:lineRule="auto"/>
        <w:rPr>
          <w:sz w:val="20"/>
          <w:szCs w:val="20"/>
          <w:color w:val="auto"/>
        </w:rPr>
      </w:pPr>
      <w:r>
        <w:rPr>
          <w:rFonts w:ascii="Arial" w:cs="Arial" w:eastAsia="Arial" w:hAnsi="Arial"/>
          <w:sz w:val="19"/>
          <w:szCs w:val="19"/>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152" w:lineRule="exact"/>
        <w:rPr>
          <w:sz w:val="20"/>
          <w:szCs w:val="20"/>
          <w:color w:val="auto"/>
        </w:rPr>
      </w:pPr>
    </w:p>
    <w:p>
      <w:pPr>
        <w:ind w:left="120" w:right="20" w:firstLine="551"/>
        <w:spacing w:after="0" w:line="297" w:lineRule="auto"/>
        <w:rPr>
          <w:sz w:val="20"/>
          <w:szCs w:val="20"/>
          <w:color w:val="auto"/>
        </w:rPr>
      </w:pPr>
      <w:r>
        <w:rPr>
          <w:rFonts w:ascii="Arial" w:cs="Arial" w:eastAsia="Arial" w:hAnsi="Arial"/>
          <w:sz w:val="19"/>
          <w:szCs w:val="19"/>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w:t>
      </w:r>
    </w:p>
    <w:p>
      <w:pPr>
        <w:sectPr>
          <w:pgSz w:w="11900" w:h="16838" w:orient="portrait"/>
          <w:cols w:equalWidth="0" w:num="1">
            <w:col w:w="11120"/>
          </w:cols>
          <w:pgMar w:left="320" w:top="486" w:right="459" w:bottom="1440" w:gutter="0" w:footer="0" w:header="0"/>
        </w:sectPr>
      </w:pPr>
    </w:p>
    <w:p>
      <w:pPr>
        <w:spacing w:after="0" w:line="6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122</w:t>
      </w:r>
    </w:p>
    <w:p>
      <w:pPr>
        <w:sectPr>
          <w:pgSz w:w="11900" w:h="16838" w:orient="portrait"/>
          <w:cols w:equalWidth="0" w:num="1">
            <w:col w:w="11120"/>
          </w:cols>
          <w:pgMar w:left="320" w:top="486" w:right="45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line="238" w:lineRule="auto"/>
        <w:rPr>
          <w:sz w:val="20"/>
          <w:szCs w:val="20"/>
          <w:color w:val="auto"/>
        </w:rPr>
      </w:pPr>
      <w:r>
        <w:rPr>
          <w:rFonts w:ascii="Arial" w:cs="Arial" w:eastAsia="Arial" w:hAnsi="Arial"/>
          <w:sz w:val="22"/>
          <w:szCs w:val="22"/>
          <w:color w:val="auto"/>
        </w:rPr>
        <w:t>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U.K. Taxation of Dividends</w:t>
      </w:r>
    </w:p>
    <w:p>
      <w:pPr>
        <w:spacing w:after="0" w:line="98" w:lineRule="exact"/>
        <w:rPr>
          <w:sz w:val="20"/>
          <w:szCs w:val="20"/>
          <w:color w:val="auto"/>
        </w:rPr>
      </w:pPr>
    </w:p>
    <w:p>
      <w:pPr>
        <w:ind w:left="120" w:right="580" w:firstLine="551"/>
        <w:spacing w:after="0" w:line="250" w:lineRule="auto"/>
        <w:rPr>
          <w:sz w:val="20"/>
          <w:szCs w:val="20"/>
          <w:color w:val="auto"/>
        </w:rPr>
      </w:pPr>
      <w:r>
        <w:rPr>
          <w:rFonts w:ascii="Arial" w:cs="Arial" w:eastAsia="Arial" w:hAnsi="Arial"/>
          <w:sz w:val="22"/>
          <w:szCs w:val="22"/>
          <w:color w:val="auto"/>
        </w:rPr>
        <w:t>Mereo will not be required to withhold amounts for or on account of U.K. tax at source when paying a dividend in respect of its ordinary shares.</w:t>
      </w:r>
    </w:p>
    <w:p>
      <w:pPr>
        <w:spacing w:after="0" w:line="175" w:lineRule="exact"/>
        <w:rPr>
          <w:sz w:val="20"/>
          <w:szCs w:val="20"/>
          <w:color w:val="auto"/>
        </w:rPr>
      </w:pPr>
    </w:p>
    <w:p>
      <w:pPr>
        <w:ind w:left="120" w:right="120" w:firstLine="551"/>
        <w:spacing w:after="0" w:line="297" w:lineRule="auto"/>
        <w:rPr>
          <w:sz w:val="20"/>
          <w:szCs w:val="20"/>
          <w:color w:val="auto"/>
        </w:rPr>
      </w:pPr>
      <w:r>
        <w:rPr>
          <w:rFonts w:ascii="Arial" w:cs="Arial" w:eastAsia="Arial" w:hAnsi="Arial"/>
          <w:sz w:val="19"/>
          <w:szCs w:val="19"/>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U.K. Taxation of Capital Gains</w:t>
      </w:r>
    </w:p>
    <w:p>
      <w:pPr>
        <w:spacing w:after="0" w:line="98" w:lineRule="exact"/>
        <w:rPr>
          <w:sz w:val="20"/>
          <w:szCs w:val="20"/>
          <w:color w:val="auto"/>
        </w:rPr>
      </w:pPr>
    </w:p>
    <w:p>
      <w:pPr>
        <w:jc w:val="both"/>
        <w:ind w:left="120" w:right="60" w:firstLine="551"/>
        <w:spacing w:after="0"/>
        <w:rPr>
          <w:sz w:val="20"/>
          <w:szCs w:val="20"/>
          <w:color w:val="auto"/>
        </w:rPr>
      </w:pPr>
      <w:r>
        <w:rPr>
          <w:rFonts w:ascii="Arial" w:cs="Arial" w:eastAsia="Arial" w:hAnsi="Arial"/>
          <w:sz w:val="22"/>
          <w:szCs w:val="22"/>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186" w:lineRule="exact"/>
        <w:rPr>
          <w:sz w:val="20"/>
          <w:szCs w:val="20"/>
          <w:color w:val="auto"/>
        </w:rPr>
      </w:pPr>
    </w:p>
    <w:p>
      <w:pPr>
        <w:ind w:left="120" w:right="160" w:firstLine="551"/>
        <w:spacing w:after="0" w:line="328" w:lineRule="auto"/>
        <w:rPr>
          <w:sz w:val="20"/>
          <w:szCs w:val="20"/>
          <w:color w:val="auto"/>
        </w:rPr>
      </w:pPr>
      <w:r>
        <w:rPr>
          <w:rFonts w:ascii="Arial" w:cs="Arial" w:eastAsia="Arial" w:hAnsi="Arial"/>
          <w:sz w:val="19"/>
          <w:szCs w:val="19"/>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05" w:lineRule="exact"/>
        <w:rPr>
          <w:sz w:val="20"/>
          <w:szCs w:val="20"/>
          <w:color w:val="auto"/>
        </w:rPr>
      </w:pPr>
    </w:p>
    <w:p>
      <w:pPr>
        <w:ind w:left="120" w:right="360" w:firstLine="551"/>
        <w:spacing w:after="0"/>
        <w:rPr>
          <w:sz w:val="20"/>
          <w:szCs w:val="20"/>
          <w:color w:val="auto"/>
        </w:rPr>
      </w:pPr>
      <w:r>
        <w:rPr>
          <w:rFonts w:ascii="Arial" w:cs="Arial" w:eastAsia="Arial" w:hAnsi="Arial"/>
          <w:sz w:val="22"/>
          <w:szCs w:val="22"/>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Stamp Duty and Stamp Duty Reserve Tax</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following statements apply to all holders, regardless of their jurisdiction of tax residence.</w:t>
      </w:r>
    </w:p>
    <w:p>
      <w:pPr>
        <w:spacing w:after="0" w:line="206" w:lineRule="exact"/>
        <w:rPr>
          <w:sz w:val="20"/>
          <w:szCs w:val="20"/>
          <w:color w:val="auto"/>
        </w:rPr>
      </w:pPr>
    </w:p>
    <w:p>
      <w:pPr>
        <w:ind w:left="120" w:right="40" w:firstLine="551"/>
        <w:spacing w:after="0" w:line="249" w:lineRule="auto"/>
        <w:rPr>
          <w:sz w:val="20"/>
          <w:szCs w:val="20"/>
          <w:color w:val="auto"/>
        </w:rPr>
      </w:pPr>
      <w:r>
        <w:rPr>
          <w:rFonts w:ascii="Arial" w:cs="Arial" w:eastAsia="Arial" w:hAnsi="Arial"/>
          <w:sz w:val="21"/>
          <w:szCs w:val="21"/>
          <w:color w:val="auto"/>
        </w:rPr>
        <w:t>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178" w:lineRule="exact"/>
        <w:rPr>
          <w:sz w:val="20"/>
          <w:szCs w:val="20"/>
          <w:color w:val="auto"/>
        </w:rPr>
      </w:pPr>
    </w:p>
    <w:p>
      <w:pPr>
        <w:ind w:left="120" w:right="220" w:firstLine="551"/>
        <w:spacing w:after="0" w:line="282" w:lineRule="auto"/>
        <w:rPr>
          <w:sz w:val="20"/>
          <w:szCs w:val="20"/>
          <w:color w:val="auto"/>
        </w:rPr>
      </w:pPr>
      <w:r>
        <w:rPr>
          <w:rFonts w:ascii="Arial" w:cs="Arial" w:eastAsia="Arial" w:hAnsi="Arial"/>
          <w:sz w:val="19"/>
          <w:szCs w:val="19"/>
          <w:color w:val="auto"/>
        </w:rPr>
        <w:t>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w:t>
      </w:r>
    </w:p>
    <w:p>
      <w:pPr>
        <w:spacing w:after="0" w:line="147" w:lineRule="exact"/>
        <w:rPr>
          <w:sz w:val="20"/>
          <w:szCs w:val="20"/>
          <w:color w:val="auto"/>
        </w:rPr>
      </w:pPr>
    </w:p>
    <w:p>
      <w:pPr>
        <w:ind w:left="120" w:right="320" w:firstLine="551"/>
        <w:spacing w:after="0" w:line="250" w:lineRule="auto"/>
        <w:rPr>
          <w:sz w:val="20"/>
          <w:szCs w:val="20"/>
          <w:color w:val="auto"/>
        </w:rPr>
      </w:pPr>
      <w:r>
        <w:rPr>
          <w:rFonts w:ascii="Arial" w:cs="Arial" w:eastAsia="Arial" w:hAnsi="Arial"/>
          <w:sz w:val="22"/>
          <w:szCs w:val="22"/>
          <w:color w:val="auto"/>
        </w:rPr>
        <w:t>No SDRT or stamp duty should be payable on paperless transfers of, or agreements to transfer, our ADSs through the facilities of DTC.</w:t>
      </w:r>
    </w:p>
    <w:p>
      <w:pPr>
        <w:spacing w:after="0" w:line="175" w:lineRule="exact"/>
        <w:rPr>
          <w:sz w:val="20"/>
          <w:szCs w:val="20"/>
          <w:color w:val="auto"/>
        </w:rPr>
      </w:pPr>
    </w:p>
    <w:p>
      <w:pPr>
        <w:ind w:left="120" w:right="160" w:firstLine="551"/>
        <w:spacing w:after="0" w:line="328" w:lineRule="auto"/>
        <w:rPr>
          <w:sz w:val="20"/>
          <w:szCs w:val="20"/>
          <w:color w:val="auto"/>
        </w:rPr>
      </w:pPr>
      <w:r>
        <w:rPr>
          <w:rFonts w:ascii="Arial" w:cs="Arial" w:eastAsia="Arial" w:hAnsi="Arial"/>
          <w:sz w:val="19"/>
          <w:szCs w:val="19"/>
          <w:color w:val="auto"/>
        </w:rPr>
        <w:t>The transfer on sale of ordinary shares by a written instrument of transfer will generally be liable to U.K. stamp duty at the rate of 0.5% of the amount or value of the consideration for the transfer. The purchaser normally pays the stamp duty.</w:t>
      </w:r>
    </w:p>
    <w:p>
      <w:pPr>
        <w:spacing w:after="0" w:line="105"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22"/>
          <w:szCs w:val="22"/>
          <w:color w:val="auto"/>
        </w:rPr>
        <w:t>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123</w:t>
      </w:r>
    </w:p>
    <w:p>
      <w:pPr>
        <w:sectPr>
          <w:pgSz w:w="11900" w:h="16838" w:orient="portrait"/>
          <w:cols w:equalWidth="0" w:num="1">
            <w:col w:w="11120"/>
          </w:cols>
          <w:pgMar w:left="320" w:top="486" w:right="45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10.F. Dividends and Paying Agents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10.G. Statement by Experts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10.H. Documents on Display</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21"/>
          <w:szCs w:val="21"/>
          <w:color w:val="auto"/>
        </w:rPr>
        <w:t>We are subject to certain of the information reporting requirements of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the second quarter. We furnish this half-year financial information to the SEC under cover of a Form 6-K.</w:t>
      </w:r>
    </w:p>
    <w:p>
      <w:pPr>
        <w:spacing w:after="0" w:line="184" w:lineRule="exact"/>
        <w:rPr>
          <w:sz w:val="20"/>
          <w:szCs w:val="20"/>
          <w:color w:val="auto"/>
        </w:rPr>
      </w:pPr>
    </w:p>
    <w:p>
      <w:pPr>
        <w:ind w:left="120" w:right="260" w:firstLine="551"/>
        <w:spacing w:after="0"/>
        <w:rPr>
          <w:sz w:val="20"/>
          <w:szCs w:val="20"/>
          <w:color w:val="auto"/>
        </w:rPr>
      </w:pPr>
      <w:r>
        <w:rPr>
          <w:rFonts w:ascii="Arial" w:cs="Arial" w:eastAsia="Arial" w:hAnsi="Arial"/>
          <w:sz w:val="22"/>
          <w:szCs w:val="22"/>
          <w:color w:val="auto"/>
        </w:rPr>
        <w:t>The SEC maintains a website that contains reports, proxy and information statements and other information regarding issuers that file electronically with the SEC. The address of this website is http://www.sec.gov. The Company’s website is www.mereobiopharma.com.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10.I. Subsidiary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4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04" w:lineRule="exact"/>
        <w:rPr>
          <w:sz w:val="20"/>
          <w:szCs w:val="20"/>
          <w:color w:val="auto"/>
        </w:rPr>
      </w:pPr>
    </w:p>
    <w:p>
      <w:pPr>
        <w:ind w:left="120" w:firstLine="551"/>
        <w:spacing w:after="0" w:line="252" w:lineRule="auto"/>
        <w:rPr>
          <w:sz w:val="20"/>
          <w:szCs w:val="20"/>
          <w:color w:val="auto"/>
        </w:rPr>
      </w:pPr>
      <w:r>
        <w:rPr>
          <w:rFonts w:ascii="Arial" w:cs="Arial" w:eastAsia="Arial" w:hAnsi="Arial"/>
          <w:sz w:val="21"/>
          <w:szCs w:val="21"/>
          <w:color w:val="auto"/>
        </w:rPr>
        <w:t>We are exposed to a variety of financial risks. Our overall risk management program seeks to minimize potential adverse effects of these financial risks on our financial performance. Further information relating to quantitative and qualitative disclosures about market risk can be found within Note 24 (Financial and capital risk management and fair value measurement) of our annual consolidated financial statements, incorporated by reference into this document.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9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22"/>
          <w:szCs w:val="22"/>
          <w:color w:val="auto"/>
        </w:rPr>
        <w:t>We manage interest rate risk by monitoring short and medium-term interest rates and placing cash on deposit for periods that optimize the amount of interest earned while maintaining access to sufficient funds to meet day-to-day cash requirements. Interest payable on our convertible loan notes is fixed. In December 2020, we repaid the outstanding principal and accrued interest of our credit facility in full. Consequently, there is no material exposure to interest rate risk in respect of interest payable.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Credit Risk</w:t>
      </w:r>
    </w:p>
    <w:p>
      <w:pPr>
        <w:spacing w:after="0" w:line="98"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22"/>
          <w:szCs w:val="22"/>
          <w:color w:val="auto"/>
        </w:rPr>
        <w:t>We consider all of our material counterparties to be creditworthy. We consider the credit risk for each of our major counterparties to be low. We are, however, dependent on a number of third parties for the delivery of our programs and, where required, we pay upfront deposits and fees in advance of the delivery of services. We continue to assess credit risk as part of its management of these third-party relationships.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Liquidity Risk</w:t>
      </w:r>
    </w:p>
    <w:p>
      <w:pPr>
        <w:spacing w:after="0" w:line="98" w:lineRule="exact"/>
        <w:rPr>
          <w:sz w:val="20"/>
          <w:szCs w:val="20"/>
          <w:color w:val="auto"/>
        </w:rPr>
      </w:pPr>
    </w:p>
    <w:p>
      <w:pPr>
        <w:ind w:left="120" w:right="340" w:firstLine="551"/>
        <w:spacing w:after="0"/>
        <w:rPr>
          <w:sz w:val="20"/>
          <w:szCs w:val="20"/>
          <w:color w:val="auto"/>
        </w:rPr>
      </w:pPr>
      <w:r>
        <w:rPr>
          <w:rFonts w:ascii="Arial" w:cs="Arial" w:eastAsia="Arial" w:hAnsi="Arial"/>
          <w:sz w:val="22"/>
          <w:szCs w:val="22"/>
          <w:color w:val="auto"/>
        </w:rPr>
        <w:t>We manage our liquidity risk by maintaining adequate cash reserves at banking facilities and invested in short-term deposits, and by continuously monitoring our cash forecasts, our actual cash flows and by matching the maturity profiles of financial assets and liabilities.</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124</w:t>
      </w:r>
    </w:p>
    <w:p>
      <w:pPr>
        <w:sectPr>
          <w:pgSz w:w="11900" w:h="16838" w:orient="portrait"/>
          <w:cols w:equalWidth="0" w:num="1">
            <w:col w:w="11120"/>
          </w:cols>
          <w:pgMar w:left="320" w:top="486" w:right="459" w:bottom="1440" w:gutter="0" w:footer="0" w:header="0"/>
          <w:type w:val="continuous"/>
        </w:sectPr>
      </w:pPr>
    </w:p>
    <w:bookmarkStart w:id="144" w:name="page145"/>
    <w:bookmarkEnd w:id="144"/>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Foreign Currency Risk</w:t>
      </w:r>
    </w:p>
    <w:p>
      <w:pPr>
        <w:spacing w:after="0" w:line="9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22"/>
          <w:szCs w:val="22"/>
          <w:color w:val="auto"/>
        </w:rPr>
        <w:t>Foreign currency risk reflects the risk that the value of a financial commitment or recognized asset or liability will fluctuate due to changes in foreign currency rates. The majority of our operating costs are denominated in pound sterling, U.S. dollars and Euros. Our financial position, as expressed in pound sterling, is exposed to movements in foreign exchange rates, principally against the U.S. dollar and Euro.</w:t>
      </w:r>
    </w:p>
    <w:p>
      <w:pPr>
        <w:spacing w:after="0" w:line="185" w:lineRule="exact"/>
        <w:rPr>
          <w:sz w:val="20"/>
          <w:szCs w:val="20"/>
          <w:color w:val="auto"/>
        </w:rPr>
      </w:pPr>
    </w:p>
    <w:p>
      <w:pPr>
        <w:ind w:left="120" w:right="680" w:firstLine="551"/>
        <w:spacing w:after="0" w:line="250" w:lineRule="auto"/>
        <w:rPr>
          <w:sz w:val="20"/>
          <w:szCs w:val="20"/>
          <w:color w:val="auto"/>
        </w:rPr>
      </w:pPr>
      <w:r>
        <w:rPr>
          <w:rFonts w:ascii="Arial" w:cs="Arial" w:eastAsia="Arial" w:hAnsi="Arial"/>
          <w:sz w:val="22"/>
          <w:szCs w:val="22"/>
          <w:color w:val="auto"/>
        </w:rPr>
        <w:t>We are exposed to foreign currency risk as a result of operating transactions, translation of foreign currency bank accounts and short-term deposits as well as funding arrangements with our subsidiary.</w:t>
      </w:r>
    </w:p>
    <w:p>
      <w:pPr>
        <w:spacing w:after="0" w:line="17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22"/>
          <w:szCs w:val="22"/>
          <w:color w:val="auto"/>
        </w:rPr>
        <w:t>In addition, the assets and liabilities of our subsidiaries are translated into pound sterling at exchange rates in effect at each balance sheet date and operations accounts are translated using the average exchange rate for the relevant period (where the functional currency of the subsidiary is not pound sterling). Foreign currency translation adjustments are accounted for as a component of comprehensive income and reflected in the foreign exchange translation reserve and in comprehensive income on the consolidated statement of changes in equity.</w:t>
      </w:r>
    </w:p>
    <w:p>
      <w:pPr>
        <w:spacing w:after="0" w:line="187"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We monitor our exposure to foreign exchange risk. We have not entered into foreign exchange contracts to hedge against foreign exchange fluctuations but maintain cash and short-term deposits in U.S. dollars to cover anticipated forward commitments. For the year ended December 31, 2021, we recorded a net foreign exchange loss of £1.0 million, compared to a £1.8 million loss for the year ended December 31, 2020.</w:t>
      </w:r>
    </w:p>
    <w:p>
      <w:pPr>
        <w:spacing w:after="0" w:line="327"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Description of Securities Other Than Equity Securities</w:t>
      </w:r>
    </w:p>
    <w:p>
      <w:pPr>
        <w:spacing w:after="0" w:line="98" w:lineRule="exact"/>
        <w:rPr>
          <w:sz w:val="20"/>
          <w:szCs w:val="20"/>
          <w:color w:val="auto"/>
        </w:rPr>
      </w:pPr>
    </w:p>
    <w:p>
      <w:pPr>
        <w:jc w:val="right"/>
        <w:ind w:right="9080"/>
        <w:spacing w:after="0"/>
        <w:rPr>
          <w:sz w:val="20"/>
          <w:szCs w:val="20"/>
          <w:color w:val="auto"/>
        </w:rPr>
      </w:pPr>
      <w:r>
        <w:rPr>
          <w:rFonts w:ascii="Arial" w:cs="Arial" w:eastAsia="Arial" w:hAnsi="Arial"/>
          <w:sz w:val="19"/>
          <w:szCs w:val="19"/>
          <w:b w:val="1"/>
          <w:bCs w:val="1"/>
          <w:color w:val="auto"/>
        </w:rPr>
        <w:t>12.A. Debt Securities</w:t>
      </w:r>
    </w:p>
    <w:p>
      <w:pPr>
        <w:spacing w:after="0" w:line="139" w:lineRule="exact"/>
        <w:rPr>
          <w:sz w:val="20"/>
          <w:szCs w:val="20"/>
          <w:color w:val="auto"/>
        </w:rPr>
      </w:pPr>
    </w:p>
    <w:p>
      <w:pPr>
        <w:jc w:val="right"/>
        <w:ind w:right="914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jc w:val="center"/>
        <w:ind w:right="8420"/>
        <w:spacing w:after="0"/>
        <w:rPr>
          <w:sz w:val="20"/>
          <w:szCs w:val="20"/>
          <w:color w:val="auto"/>
        </w:rPr>
      </w:pPr>
      <w:r>
        <w:rPr>
          <w:rFonts w:ascii="Arial" w:cs="Arial" w:eastAsia="Arial" w:hAnsi="Arial"/>
          <w:sz w:val="21"/>
          <w:szCs w:val="21"/>
          <w:b w:val="1"/>
          <w:bCs w:val="1"/>
          <w:color w:val="auto"/>
        </w:rPr>
        <w:t>12.B. Warrants and Rights</w:t>
      </w:r>
    </w:p>
    <w:p>
      <w:pPr>
        <w:spacing w:after="0" w:line="116" w:lineRule="exact"/>
        <w:rPr>
          <w:sz w:val="20"/>
          <w:szCs w:val="20"/>
          <w:color w:val="auto"/>
        </w:rPr>
      </w:pPr>
    </w:p>
    <w:p>
      <w:pPr>
        <w:jc w:val="center"/>
        <w:ind w:right="848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12.C. Other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12.D. American Depositary Shares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Fees and Charges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an ADS holder, you will be required to pay the following fees under the terms of the deposit agreement:</w:t>
      </w:r>
    </w:p>
    <w:p>
      <w:pPr>
        <w:sectPr>
          <w:pgSz w:w="11900" w:h="16887" w:orient="portrait"/>
          <w:cols w:equalWidth="0" w:num="1">
            <w:col w:w="11120"/>
          </w:cols>
          <w:pgMar w:left="320" w:top="486" w:right="459" w:bottom="0" w:gutter="0" w:footer="0" w:header="0"/>
        </w:sect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Service</w:t>
      </w:r>
    </w:p>
    <w:p>
      <w:pPr>
        <w:spacing w:after="0" w:line="28" w:lineRule="exact"/>
        <w:rPr>
          <w:sz w:val="20"/>
          <w:szCs w:val="20"/>
          <w:color w:val="auto"/>
        </w:rPr>
      </w:pPr>
    </w:p>
    <w:p>
      <w:pPr>
        <w:jc w:val="both"/>
        <w:ind w:left="340" w:right="40" w:hanging="215"/>
        <w:spacing w:after="0"/>
        <w:rPr>
          <w:sz w:val="20"/>
          <w:szCs w:val="20"/>
          <w:color w:val="auto"/>
        </w:rPr>
      </w:pPr>
      <w:r>
        <w:rPr>
          <w:rFonts w:ascii="Arial" w:cs="Arial" w:eastAsia="Arial" w:hAnsi="Arial"/>
          <w:sz w:val="22"/>
          <w:szCs w:val="22"/>
          <w:color w:val="auto"/>
        </w:rPr>
        <w:t>Issuance of ADSs (e.g., an issuance of ADS upon a deposit of ordinary shares or upon a change in the ADS(s)-to-ordinary shares ratio), excluding ADS issuances as a result of distributions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-476250</wp:posOffset>
            </wp:positionV>
            <wp:extent cx="50406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40630" cy="8890"/>
                    </a:xfrm>
                    <a:prstGeom prst="rect">
                      <a:avLst/>
                    </a:prstGeom>
                    <a:noFill/>
                  </pic:spPr>
                </pic:pic>
              </a:graphicData>
            </a:graphic>
          </wp:anchor>
        </w:drawing>
      </w:r>
    </w:p>
    <w:p>
      <w:pPr>
        <w:spacing w:after="0" w:line="58" w:lineRule="exact"/>
        <w:rPr>
          <w:sz w:val="20"/>
          <w:szCs w:val="20"/>
          <w:color w:val="auto"/>
        </w:rPr>
      </w:pPr>
    </w:p>
    <w:p>
      <w:pPr>
        <w:ind w:left="340" w:right="100" w:hanging="215"/>
        <w:spacing w:after="0" w:line="250" w:lineRule="auto"/>
        <w:rPr>
          <w:sz w:val="20"/>
          <w:szCs w:val="20"/>
          <w:color w:val="auto"/>
        </w:rPr>
      </w:pPr>
      <w:r>
        <w:rPr>
          <w:rFonts w:ascii="Arial" w:cs="Arial" w:eastAsia="Arial" w:hAnsi="Arial"/>
          <w:sz w:val="22"/>
          <w:szCs w:val="22"/>
          <w:color w:val="auto"/>
        </w:rPr>
        <w:t>Cancellation of ADSs (e.g., a cancellation of ADSs for delivery of deposited property or upon a change in the ADS(s)-to-ordinary shares ratio)</w:t>
      </w:r>
    </w:p>
    <w:p>
      <w:pPr>
        <w:spacing w:after="0" w:line="67" w:lineRule="exact"/>
        <w:rPr>
          <w:sz w:val="20"/>
          <w:szCs w:val="20"/>
          <w:color w:val="auto"/>
        </w:rPr>
      </w:pPr>
    </w:p>
    <w:p>
      <w:pPr>
        <w:ind w:left="340" w:right="160" w:hanging="215"/>
        <w:spacing w:after="0" w:line="250" w:lineRule="auto"/>
        <w:rPr>
          <w:sz w:val="20"/>
          <w:szCs w:val="20"/>
          <w:color w:val="auto"/>
        </w:rPr>
      </w:pPr>
      <w:r>
        <w:rPr>
          <w:rFonts w:ascii="Arial" w:cs="Arial" w:eastAsia="Arial" w:hAnsi="Arial"/>
          <w:sz w:val="22"/>
          <w:szCs w:val="22"/>
          <w:color w:val="auto"/>
        </w:rPr>
        <w:t>Distribution of cash dividends or other cash distributions (e.g., upon a sale of rights and other entitlements)</w:t>
      </w:r>
    </w:p>
    <w:p>
      <w:pPr>
        <w:spacing w:after="0" w:line="67" w:lineRule="exact"/>
        <w:rPr>
          <w:sz w:val="20"/>
          <w:szCs w:val="20"/>
          <w:color w:val="auto"/>
        </w:rPr>
      </w:pPr>
    </w:p>
    <w:p>
      <w:pPr>
        <w:ind w:left="340" w:right="160" w:hanging="215"/>
        <w:spacing w:after="0" w:line="250" w:lineRule="auto"/>
        <w:rPr>
          <w:sz w:val="20"/>
          <w:szCs w:val="20"/>
          <w:color w:val="auto"/>
        </w:rPr>
      </w:pPr>
      <w:r>
        <w:rPr>
          <w:rFonts w:ascii="Arial" w:cs="Arial" w:eastAsia="Arial" w:hAnsi="Arial"/>
          <w:sz w:val="22"/>
          <w:szCs w:val="22"/>
          <w:color w:val="auto"/>
        </w:rPr>
        <w:t>Distribution of ADSs pursuant to (i) stock dividends or other free stock distributions, or (ii) exercise of rights to purchase additional ADSs</w:t>
      </w:r>
    </w:p>
    <w:p>
      <w:pPr>
        <w:spacing w:after="0" w:line="67" w:lineRule="exact"/>
        <w:rPr>
          <w:sz w:val="20"/>
          <w:szCs w:val="20"/>
          <w:color w:val="auto"/>
        </w:rPr>
      </w:pPr>
    </w:p>
    <w:p>
      <w:pPr>
        <w:ind w:left="340" w:right="300" w:hanging="215"/>
        <w:spacing w:after="0" w:line="250" w:lineRule="auto"/>
        <w:rPr>
          <w:sz w:val="20"/>
          <w:szCs w:val="20"/>
          <w:color w:val="auto"/>
        </w:rPr>
      </w:pPr>
      <w:r>
        <w:rPr>
          <w:rFonts w:ascii="Arial" w:cs="Arial" w:eastAsia="Arial" w:hAnsi="Arial"/>
          <w:sz w:val="22"/>
          <w:szCs w:val="22"/>
          <w:color w:val="auto"/>
        </w:rPr>
        <w:t>Distribution of securities other than ADSs or rights to purchase additional ADSs (e.g., upon a spin-off)</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hanging="215"/>
        <w:spacing w:after="0"/>
        <w:rPr>
          <w:sz w:val="20"/>
          <w:szCs w:val="20"/>
          <w:color w:val="auto"/>
        </w:rPr>
      </w:pPr>
      <w:r>
        <w:rPr>
          <w:rFonts w:ascii="Arial" w:cs="Arial" w:eastAsia="Arial" w:hAnsi="Arial"/>
          <w:sz w:val="22"/>
          <w:szCs w:val="22"/>
          <w:color w:val="auto"/>
        </w:rPr>
        <w:t>Registration of ADS Transfers (e.g., upon a registration of the transfer of registered ownership of ADSs, upon a transfer of ADSs into DTC and vice versa, or for any other reason)</w:t>
      </w:r>
    </w:p>
    <w:p>
      <w:pPr>
        <w:spacing w:after="0" w:line="78" w:lineRule="exact"/>
        <w:rPr>
          <w:sz w:val="20"/>
          <w:szCs w:val="20"/>
          <w:color w:val="auto"/>
        </w:rPr>
      </w:pPr>
    </w:p>
    <w:p>
      <w:pPr>
        <w:ind w:left="340" w:right="60" w:hanging="215"/>
        <w:spacing w:after="0" w:line="238" w:lineRule="auto"/>
        <w:rPr>
          <w:sz w:val="20"/>
          <w:szCs w:val="20"/>
          <w:color w:val="auto"/>
        </w:rPr>
      </w:pPr>
      <w:r>
        <w:rPr>
          <w:rFonts w:ascii="Arial" w:cs="Arial" w:eastAsia="Arial" w:hAnsi="Arial"/>
          <w:sz w:val="22"/>
          <w:szCs w:val="22"/>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Fee</w:t>
      </w:r>
    </w:p>
    <w:p>
      <w:pPr>
        <w:spacing w:after="0" w:line="28"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Up to $5.00 per 100 ADSs (or fraction thereof)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18859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90" w:lineRule="exact"/>
        <w:rPr>
          <w:sz w:val="20"/>
          <w:szCs w:val="20"/>
          <w:color w:val="auto"/>
        </w:rPr>
      </w:pPr>
    </w:p>
    <w:p>
      <w:pPr>
        <w:ind w:right="340"/>
        <w:spacing w:after="0" w:line="326" w:lineRule="auto"/>
        <w:rPr>
          <w:sz w:val="20"/>
          <w:szCs w:val="20"/>
          <w:color w:val="auto"/>
        </w:rPr>
      </w:pPr>
      <w:r>
        <w:rPr>
          <w:rFonts w:ascii="Arial" w:cs="Arial" w:eastAsia="Arial" w:hAnsi="Arial"/>
          <w:sz w:val="19"/>
          <w:szCs w:val="19"/>
          <w:color w:val="auto"/>
        </w:rPr>
        <w:t>Up to $5.00 per 100 ADSs (or fraction thereof) cancelled</w:t>
      </w:r>
    </w:p>
    <w:p>
      <w:pPr>
        <w:ind w:right="340"/>
        <w:spacing w:after="0" w:line="250" w:lineRule="auto"/>
        <w:rPr>
          <w:sz w:val="20"/>
          <w:szCs w:val="20"/>
          <w:color w:val="auto"/>
        </w:rPr>
      </w:pPr>
      <w:r>
        <w:rPr>
          <w:rFonts w:ascii="Arial" w:cs="Arial" w:eastAsia="Arial" w:hAnsi="Arial"/>
          <w:sz w:val="22"/>
          <w:szCs w:val="22"/>
          <w:color w:val="auto"/>
        </w:rPr>
        <w:t>Up to $5.00 per 100 ADSs (or fraction thereof) held</w:t>
      </w:r>
    </w:p>
    <w:p>
      <w:pPr>
        <w:spacing w:after="0" w:line="67"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Up to $5.00 per 100 ADSs (or fraction thereof) held</w:t>
      </w:r>
    </w:p>
    <w:p>
      <w:pPr>
        <w:spacing w:after="0" w:line="67"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Up to $5.00 per 100 ADSs (or fraction thereof) held</w:t>
      </w:r>
    </w:p>
    <w:p>
      <w:pPr>
        <w:spacing w:after="0" w:line="67"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Up to $5.00 per 100 ADSs (or fraction thereof) held on the applicable record date(s) established by the depositary</w:t>
      </w:r>
    </w:p>
    <w:p>
      <w:pPr>
        <w:spacing w:after="0" w:line="35"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Up to $5.00 per 100 ADSs (or fraction thereof) transferred</w:t>
      </w:r>
    </w:p>
    <w:p>
      <w:pPr>
        <w:spacing w:after="0" w:line="240"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Up to $5.00 per 100 ADSs (or fraction thereof) converted</w:t>
      </w:r>
    </w:p>
    <w:p>
      <w:pPr>
        <w:sectPr>
          <w:pgSz w:w="11900" w:h="16887" w:orient="portrait"/>
          <w:cols w:equalWidth="0" w:num="2">
            <w:col w:w="7860" w:space="300"/>
            <w:col w:w="2960"/>
          </w:cols>
          <w:pgMar w:left="320" w:top="486" w:right="459" w:bottom="0" w:gutter="0" w:footer="0" w:header="0"/>
          <w:type w:val="continuous"/>
        </w:sectPr>
      </w:pPr>
    </w:p>
    <w:bookmarkStart w:id="145" w:name="page146"/>
    <w:bookmarkEnd w:id="145"/>
    <w:p>
      <w:pPr>
        <w:jc w:val="center"/>
        <w:ind w:right="19"/>
        <w:spacing w:after="0"/>
        <w:rPr>
          <w:sz w:val="20"/>
          <w:szCs w:val="20"/>
          <w:color w:val="auto"/>
        </w:rPr>
      </w:pPr>
      <w:r>
        <w:rPr>
          <w:rFonts w:ascii="Arial" w:cs="Arial" w:eastAsia="Arial" w:hAnsi="Arial"/>
          <w:sz w:val="19"/>
          <w:szCs w:val="19"/>
          <w:color w:val="auto"/>
        </w:rPr>
        <w:t>125</w:t>
      </w:r>
    </w:p>
    <w:p>
      <w:pPr>
        <w:sectPr>
          <w:pgSz w:w="11900" w:h="16838" w:orient="portrait"/>
          <w:cols w:equalWidth="0" w:num="1">
            <w:col w:w="9019"/>
          </w:cols>
          <w:pgMar w:left="1440" w:top="266" w:right="1440"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an ADS holder you will also be responsible to pay certain charges such as:</w:t>
      </w:r>
    </w:p>
    <w:p>
      <w:pPr>
        <w:spacing w:after="0" w:line="112" w:lineRule="exact"/>
        <w:rPr>
          <w:sz w:val="20"/>
          <w:szCs w:val="20"/>
          <w:color w:val="auto"/>
        </w:rPr>
      </w:pPr>
    </w:p>
    <w:p>
      <w:pPr>
        <w:ind w:left="1420" w:hanging="535"/>
        <w:spacing w:after="0"/>
        <w:tabs>
          <w:tab w:leader="none" w:pos="14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taxes (including applicable interest and penalties) and other governmental charges;</w:t>
      </w:r>
    </w:p>
    <w:p>
      <w:pPr>
        <w:spacing w:after="0" w:line="111" w:lineRule="exact"/>
        <w:rPr>
          <w:rFonts w:ascii="Arial" w:cs="Arial" w:eastAsia="Arial" w:hAnsi="Arial"/>
          <w:sz w:val="22"/>
          <w:szCs w:val="22"/>
          <w:color w:val="auto"/>
        </w:rPr>
      </w:pPr>
    </w:p>
    <w:p>
      <w:pPr>
        <w:jc w:val="both"/>
        <w:ind w:left="1420" w:right="320" w:hanging="535"/>
        <w:spacing w:after="0" w:line="257" w:lineRule="auto"/>
        <w:tabs>
          <w:tab w:leader="none" w:pos="1420"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74" w:lineRule="exact"/>
        <w:rPr>
          <w:rFonts w:ascii="Arial" w:cs="Arial" w:eastAsia="Arial" w:hAnsi="Arial"/>
          <w:sz w:val="21"/>
          <w:szCs w:val="21"/>
          <w:color w:val="auto"/>
        </w:rPr>
      </w:pPr>
    </w:p>
    <w:p>
      <w:pPr>
        <w:ind w:left="1420" w:hanging="535"/>
        <w:spacing w:after="0"/>
        <w:tabs>
          <w:tab w:leader="none" w:pos="14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certain cable, telex, and facsimile transmission and delivery expenses;</w:t>
      </w:r>
    </w:p>
    <w:p>
      <w:pPr>
        <w:spacing w:after="0" w:line="111" w:lineRule="exact"/>
        <w:rPr>
          <w:rFonts w:ascii="Arial" w:cs="Arial" w:eastAsia="Arial" w:hAnsi="Arial"/>
          <w:sz w:val="22"/>
          <w:szCs w:val="22"/>
          <w:color w:val="auto"/>
        </w:rPr>
      </w:pPr>
    </w:p>
    <w:p>
      <w:pPr>
        <w:ind w:left="1420" w:hanging="535"/>
        <w:spacing w:after="0"/>
        <w:tabs>
          <w:tab w:leader="none" w:pos="14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expenses and charges incurred by the depositary in the conversion of foreign currency;</w:t>
      </w:r>
    </w:p>
    <w:p>
      <w:pPr>
        <w:spacing w:after="0" w:line="111" w:lineRule="exact"/>
        <w:rPr>
          <w:rFonts w:ascii="Arial" w:cs="Arial" w:eastAsia="Arial" w:hAnsi="Arial"/>
          <w:sz w:val="22"/>
          <w:szCs w:val="22"/>
          <w:color w:val="auto"/>
        </w:rPr>
      </w:pPr>
    </w:p>
    <w:p>
      <w:pPr>
        <w:ind w:left="1420" w:right="840" w:hanging="535"/>
        <w:spacing w:after="0" w:line="328" w:lineRule="auto"/>
        <w:tabs>
          <w:tab w:leader="none" w:pos="14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fees and expenses incurred by the depositary in connection with compliance with exchange control regulations and other regulatory requirements applicable to ordinary shares, ADSs, and ADRs; and</w:t>
      </w:r>
    </w:p>
    <w:p>
      <w:pPr>
        <w:spacing w:after="0" w:line="10" w:lineRule="exact"/>
        <w:rPr>
          <w:rFonts w:ascii="Arial" w:cs="Arial" w:eastAsia="Arial" w:hAnsi="Arial"/>
          <w:sz w:val="19"/>
          <w:szCs w:val="19"/>
          <w:color w:val="auto"/>
        </w:rPr>
      </w:pPr>
    </w:p>
    <w:p>
      <w:pPr>
        <w:ind w:left="1420" w:right="320" w:hanging="535"/>
        <w:spacing w:after="0" w:line="250" w:lineRule="auto"/>
        <w:tabs>
          <w:tab w:leader="none" w:pos="14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fees, charges, costs and expenses incurred by the depositary, the custodian, or any nominee in connection with the ADR program.</w:t>
      </w:r>
    </w:p>
    <w:p>
      <w:pPr>
        <w:spacing w:after="0" w:line="175" w:lineRule="exact"/>
        <w:rPr>
          <w:sz w:val="20"/>
          <w:szCs w:val="20"/>
          <w:color w:val="auto"/>
        </w:rPr>
      </w:pPr>
    </w:p>
    <w:p>
      <w:pPr>
        <w:ind w:left="120" w:firstLine="551"/>
        <w:spacing w:after="0" w:line="270" w:lineRule="auto"/>
        <w:rPr>
          <w:sz w:val="20"/>
          <w:szCs w:val="20"/>
          <w:color w:val="auto"/>
        </w:rPr>
      </w:pPr>
      <w:r>
        <w:rPr>
          <w:rFonts w:ascii="Arial" w:cs="Arial" w:eastAsia="Arial" w:hAnsi="Arial"/>
          <w:sz w:val="19"/>
          <w:szCs w:val="19"/>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6" w:lineRule="exact"/>
        <w:rPr>
          <w:sz w:val="20"/>
          <w:szCs w:val="20"/>
          <w:color w:val="auto"/>
        </w:rPr>
      </w:pPr>
    </w:p>
    <w:p>
      <w:pPr>
        <w:ind w:left="120" w:right="40" w:firstLine="551"/>
        <w:spacing w:after="0" w:line="277" w:lineRule="auto"/>
        <w:rPr>
          <w:sz w:val="20"/>
          <w:szCs w:val="20"/>
          <w:color w:val="auto"/>
        </w:rPr>
      </w:pPr>
      <w:r>
        <w:rPr>
          <w:rFonts w:ascii="Arial" w:cs="Arial" w:eastAsia="Arial" w:hAnsi="Arial"/>
          <w:sz w:val="19"/>
          <w:szCs w:val="19"/>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140"/>
          </w:cols>
          <w:pgMar w:left="320" w:top="486"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PART TWO</w:t>
      </w:r>
    </w:p>
    <w:p>
      <w:pPr>
        <w:spacing w:after="0" w:line="11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Defaults, Dividend Arrearages And Delinquencies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34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Material Modifications To The Rights Of Security Holders And Use Of Proceeds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4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Controls And Procedures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 Disclosure Controls and Procedures</w:t>
      </w:r>
    </w:p>
    <w:p>
      <w:pPr>
        <w:spacing w:after="0" w:line="104" w:lineRule="exact"/>
        <w:rPr>
          <w:sz w:val="20"/>
          <w:szCs w:val="20"/>
          <w:color w:val="auto"/>
        </w:rPr>
      </w:pPr>
    </w:p>
    <w:p>
      <w:pPr>
        <w:ind w:left="120" w:right="120" w:firstLine="551"/>
        <w:spacing w:after="0" w:line="275" w:lineRule="auto"/>
        <w:rPr>
          <w:sz w:val="20"/>
          <w:szCs w:val="20"/>
          <w:color w:val="auto"/>
        </w:rPr>
      </w:pPr>
      <w:r>
        <w:rPr>
          <w:rFonts w:ascii="Arial" w:cs="Arial" w:eastAsia="Arial" w:hAnsi="Arial"/>
          <w:sz w:val="19"/>
          <w:szCs w:val="19"/>
          <w:color w:val="auto"/>
        </w:rPr>
        <w:t>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2021, or the Evaluation Date. Based on such evaluation, our Chief Executive Officer and Chief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Chief Executive Officer and Chief Financial Officer, or persons performing similar functions, as appropriate to allow timely decisions regarding required disclosure.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 Management’s Annual Report on Internal Control over Financial Reporting</w:t>
      </w:r>
    </w:p>
    <w:p>
      <w:pPr>
        <w:spacing w:after="0" w:line="104" w:lineRule="exact"/>
        <w:rPr>
          <w:sz w:val="20"/>
          <w:szCs w:val="20"/>
          <w:color w:val="auto"/>
        </w:rPr>
      </w:pPr>
    </w:p>
    <w:p>
      <w:pPr>
        <w:ind w:left="120" w:right="200" w:firstLine="551"/>
        <w:spacing w:after="0" w:line="250" w:lineRule="auto"/>
        <w:rPr>
          <w:sz w:val="20"/>
          <w:szCs w:val="20"/>
          <w:color w:val="auto"/>
        </w:rPr>
      </w:pPr>
      <w:r>
        <w:rPr>
          <w:rFonts w:ascii="Arial" w:cs="Arial" w:eastAsia="Arial" w:hAnsi="Arial"/>
          <w:sz w:val="22"/>
          <w:szCs w:val="22"/>
          <w:color w:val="auto"/>
        </w:rPr>
        <w:t>Our management is responsible for establishing and maintaining adequate internal control over financial reporting, as such term is defined in Rule 13a-15(f) under the Exchange Act.</w:t>
      </w:r>
    </w:p>
    <w:p>
      <w:pPr>
        <w:spacing w:after="0" w:line="175" w:lineRule="exact"/>
        <w:rPr>
          <w:sz w:val="20"/>
          <w:szCs w:val="20"/>
          <w:color w:val="auto"/>
        </w:rPr>
      </w:pPr>
    </w:p>
    <w:p>
      <w:pPr>
        <w:ind w:left="120" w:right="60" w:firstLine="551"/>
        <w:spacing w:after="0"/>
        <w:rPr>
          <w:sz w:val="20"/>
          <w:szCs w:val="20"/>
          <w:color w:val="auto"/>
        </w:rPr>
      </w:pPr>
      <w:r>
        <w:rPr>
          <w:rFonts w:ascii="Arial" w:cs="Arial" w:eastAsia="Arial" w:hAnsi="Arial"/>
          <w:sz w:val="22"/>
          <w:szCs w:val="22"/>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86" w:lineRule="exact"/>
        <w:rPr>
          <w:sz w:val="20"/>
          <w:szCs w:val="20"/>
          <w:color w:val="auto"/>
        </w:rPr>
      </w:pPr>
    </w:p>
    <w:p>
      <w:pPr>
        <w:ind w:left="120" w:firstLine="551"/>
        <w:spacing w:after="0" w:line="250" w:lineRule="auto"/>
        <w:rPr>
          <w:sz w:val="20"/>
          <w:szCs w:val="20"/>
          <w:color w:val="auto"/>
        </w:rPr>
      </w:pPr>
      <w:r>
        <w:rPr>
          <w:rFonts w:ascii="Arial" w:cs="Arial" w:eastAsia="Arial" w:hAnsi="Arial"/>
          <w:sz w:val="22"/>
          <w:szCs w:val="22"/>
          <w:color w:val="auto"/>
        </w:rPr>
        <w:t>Based on this assessment, our management concluded that, as of December 31, 2021, our internal control over financial reporting was effective.</w:t>
      </w:r>
    </w:p>
    <w:p>
      <w:pPr>
        <w:spacing w:after="0" w:line="277" w:lineRule="exact"/>
        <w:rPr>
          <w:sz w:val="20"/>
          <w:szCs w:val="20"/>
          <w:color w:val="auto"/>
        </w:rPr>
      </w:pPr>
    </w:p>
    <w:p>
      <w:pPr>
        <w:ind w:left="660" w:right="5000" w:hanging="544"/>
        <w:spacing w:after="0" w:line="359" w:lineRule="auto"/>
        <w:tabs>
          <w:tab w:leader="none" w:pos="403"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Attestation Report of the Registered Public Accounting Firm </w:t>
      </w:r>
      <w:r>
        <w:rPr>
          <w:rFonts w:ascii="Arial" w:cs="Arial" w:eastAsia="Arial" w:hAnsi="Arial"/>
          <w:sz w:val="22"/>
          <w:szCs w:val="22"/>
          <w:color w:val="auto"/>
        </w:rPr>
        <w:t>Not applicable.</w:t>
      </w:r>
    </w:p>
    <w:p>
      <w:pPr>
        <w:spacing w:after="0" w:line="161" w:lineRule="exact"/>
        <w:rPr>
          <w:rFonts w:ascii="Arial" w:cs="Arial" w:eastAsia="Arial" w:hAnsi="Arial"/>
          <w:sz w:val="22"/>
          <w:szCs w:val="22"/>
          <w:b w:val="1"/>
          <w:bCs w:val="1"/>
          <w:color w:val="auto"/>
        </w:rPr>
      </w:pPr>
    </w:p>
    <w:p>
      <w:pPr>
        <w:ind w:left="440" w:hanging="324"/>
        <w:spacing w:after="0"/>
        <w:tabs>
          <w:tab w:leader="none" w:pos="4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Changes in Internal Control over Financial Reporting</w:t>
      </w:r>
    </w:p>
    <w:p>
      <w:pPr>
        <w:spacing w:after="0" w:line="104" w:lineRule="exact"/>
        <w:rPr>
          <w:sz w:val="20"/>
          <w:szCs w:val="20"/>
          <w:color w:val="auto"/>
        </w:rPr>
      </w:pPr>
    </w:p>
    <w:p>
      <w:pPr>
        <w:ind w:left="120" w:firstLine="551"/>
        <w:spacing w:after="0" w:line="257" w:lineRule="auto"/>
        <w:rPr>
          <w:sz w:val="20"/>
          <w:szCs w:val="20"/>
          <w:color w:val="auto"/>
        </w:rPr>
      </w:pPr>
      <w:r>
        <w:rPr>
          <w:rFonts w:ascii="Arial" w:cs="Arial" w:eastAsia="Arial" w:hAnsi="Arial"/>
          <w:sz w:val="21"/>
          <w:szCs w:val="21"/>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020"/>
          </w:cols>
          <w:pgMar w:left="320" w:top="486" w:right="5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[Reserved]</w:t>
      </w:r>
    </w:p>
    <w:p>
      <w:pPr>
        <w:spacing w:after="0" w:line="11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16A.</w:t>
      </w:r>
      <w:r>
        <w:rPr>
          <w:sz w:val="20"/>
          <w:szCs w:val="20"/>
          <w:color w:val="auto"/>
        </w:rPr>
        <w:tab/>
      </w:r>
      <w:r>
        <w:rPr>
          <w:rFonts w:ascii="Arial" w:cs="Arial" w:eastAsia="Arial" w:hAnsi="Arial"/>
          <w:sz w:val="19"/>
          <w:szCs w:val="19"/>
          <w:b w:val="1"/>
          <w:bCs w:val="1"/>
          <w:color w:val="auto"/>
        </w:rPr>
        <w:t>Audit Committee Financial Expert</w:t>
      </w:r>
    </w:p>
    <w:p>
      <w:pPr>
        <w:spacing w:after="0" w:line="104"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21"/>
          <w:szCs w:val="21"/>
          <w:color w:val="auto"/>
        </w:rPr>
        <w:t>Our board has determined that Mr. Michael S. Wyzga qualifies to serve as an “audit committee financial expert” as defined under the SEC rules, and has the requisite financial sophistication as defined under the applicable Nasdaq rules and regulations. Mr. Wyzga also qualifies as an independent director under the corporate governance standards of the Nasdaq listing requirements and the audit committee independence requirements of Rule 10A-3 of the Exchange Act. For more information see “Item 6. Directors, Senior Management and Employees—C. Board Practices—Committees of the Mereo Board—Audit and Risk Committee.”</w:t>
      </w:r>
    </w:p>
    <w:p>
      <w:pPr>
        <w:spacing w:after="0" w:line="31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16B.</w:t>
      </w:r>
      <w:r>
        <w:rPr>
          <w:sz w:val="20"/>
          <w:szCs w:val="20"/>
          <w:color w:val="auto"/>
        </w:rPr>
        <w:tab/>
      </w:r>
      <w:r>
        <w:rPr>
          <w:rFonts w:ascii="Arial" w:cs="Arial" w:eastAsia="Arial" w:hAnsi="Arial"/>
          <w:sz w:val="19"/>
          <w:szCs w:val="19"/>
          <w:b w:val="1"/>
          <w:bCs w:val="1"/>
          <w:color w:val="auto"/>
        </w:rPr>
        <w:t>Code of Ethics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 and Anti-Bribery and Anti-Corruption Policy</w:t>
      </w:r>
    </w:p>
    <w:p>
      <w:pPr>
        <w:spacing w:after="0" w:line="104" w:lineRule="exact"/>
        <w:rPr>
          <w:sz w:val="20"/>
          <w:szCs w:val="20"/>
          <w:color w:val="auto"/>
        </w:rPr>
      </w:pPr>
    </w:p>
    <w:p>
      <w:pPr>
        <w:ind w:left="120" w:firstLine="551"/>
        <w:spacing w:after="0" w:line="272" w:lineRule="auto"/>
        <w:rPr>
          <w:sz w:val="20"/>
          <w:szCs w:val="20"/>
          <w:color w:val="auto"/>
        </w:rPr>
      </w:pPr>
      <w:r>
        <w:rPr>
          <w:rFonts w:ascii="Arial" w:cs="Arial" w:eastAsia="Arial" w:hAnsi="Arial"/>
          <w:sz w:val="19"/>
          <w:szCs w:val="19"/>
          <w:color w:val="auto"/>
        </w:rPr>
        <w:t>We have adopted a Code of Business Conduct and Ethics and an Anti-Bribery and Anti-Corruption Policy applicable to all of our directors, executive officers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and the Anti-Bribery and Anti-Corruption Policy can be found on our website at www.mereobiopharma.com. Information contained on, or that can be accessed through, our website does not constitute a part of this report and is not incorporated by reference herein. If we make any amendment to the Code of Business Conduct and Ethics or the Anti-Bribery and Anti-Corruption Policy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200" w:lineRule="exact"/>
        <w:rPr>
          <w:sz w:val="20"/>
          <w:szCs w:val="20"/>
          <w:color w:val="auto"/>
        </w:rPr>
      </w:pPr>
    </w:p>
    <w:p>
      <w:pPr>
        <w:spacing w:after="0" w:line="346"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16C.</w:t>
      </w:r>
      <w:r>
        <w:rPr>
          <w:sz w:val="20"/>
          <w:szCs w:val="20"/>
          <w:color w:val="auto"/>
        </w:rPr>
        <w:tab/>
      </w:r>
      <w:r>
        <w:rPr>
          <w:rFonts w:ascii="Arial" w:cs="Arial" w:eastAsia="Arial" w:hAnsi="Arial"/>
          <w:sz w:val="19"/>
          <w:szCs w:val="19"/>
          <w:b w:val="1"/>
          <w:bCs w:val="1"/>
          <w:color w:val="auto"/>
        </w:rPr>
        <w:t>Principal Accountant Fees and Services</w:t>
      </w:r>
    </w:p>
    <w:p>
      <w:pPr>
        <w:spacing w:after="0" w:line="104" w:lineRule="exact"/>
        <w:rPr>
          <w:sz w:val="20"/>
          <w:szCs w:val="20"/>
          <w:color w:val="auto"/>
        </w:rPr>
      </w:pPr>
    </w:p>
    <w:p>
      <w:pPr>
        <w:jc w:val="both"/>
        <w:ind w:left="120" w:right="100" w:firstLine="551"/>
        <w:spacing w:after="0"/>
        <w:rPr>
          <w:sz w:val="20"/>
          <w:szCs w:val="20"/>
          <w:color w:val="auto"/>
        </w:rPr>
      </w:pPr>
      <w:r>
        <w:rPr>
          <w:rFonts w:ascii="Arial" w:cs="Arial" w:eastAsia="Arial" w:hAnsi="Arial"/>
          <w:sz w:val="22"/>
          <w:szCs w:val="22"/>
          <w:color w:val="auto"/>
        </w:rPr>
        <w:t>Our consolidated financial statements have been prepared in accordance with IFRS and were audited by BDO LLP, our independent registered public accounting firm registered with the Public Company Accounting Oversight Board in the United States.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BDO LLP has served as our independent registered public accounting firm for the year ended December 31, 2021.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Ernst &amp; Young LLP served as our independent registered public accounting firm for the year ended December 31, 2020.</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provides information regarding fees paid by us to BDO LLP for all services, for the year ended</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December 31, 2021 and to Ernst &amp; Young LLP for all services for the year ended December 31, 2020:</w:t>
      </w:r>
    </w:p>
    <w:p>
      <w:pPr>
        <w:spacing w:after="0" w:line="214" w:lineRule="exact"/>
        <w:rPr>
          <w:sz w:val="20"/>
          <w:szCs w:val="20"/>
          <w:color w:val="auto"/>
        </w:rPr>
      </w:pPr>
    </w:p>
    <w:tbl>
      <w:tblPr>
        <w:tblLayout w:type="fixed"/>
        <w:tblInd w:w="1440" w:type="dxa"/>
        <w:tblCellMar>
          <w:top w:w="0" w:type="dxa"/>
          <w:left w:w="0" w:type="dxa"/>
          <w:bottom w:w="0" w:type="dxa"/>
          <w:right w:w="0" w:type="dxa"/>
        </w:tblCellMar>
      </w:tblPr>
      <w:tr>
        <w:trPr>
          <w:trHeight w:val="252"/>
        </w:trPr>
        <w:tc>
          <w:tcPr>
            <w:tcW w:w="5580" w:type="dxa"/>
            <w:vAlign w:val="bottom"/>
          </w:tcPr>
          <w:p>
            <w:pPr>
              <w:spacing w:after="0"/>
              <w:rPr>
                <w:sz w:val="21"/>
                <w:szCs w:val="21"/>
                <w:color w:val="auto"/>
              </w:rPr>
            </w:pPr>
          </w:p>
        </w:tc>
        <w:tc>
          <w:tcPr>
            <w:tcW w:w="2780" w:type="dxa"/>
            <w:vAlign w:val="bottom"/>
            <w:gridSpan w:val="5"/>
          </w:tcPr>
          <w:p>
            <w:pPr>
              <w:ind w:left="260"/>
              <w:spacing w:after="0"/>
              <w:rPr>
                <w:sz w:val="20"/>
                <w:szCs w:val="20"/>
                <w:color w:val="auto"/>
              </w:rPr>
            </w:pPr>
            <w:r>
              <w:rPr>
                <w:rFonts w:ascii="Arial" w:cs="Arial" w:eastAsia="Arial" w:hAnsi="Arial"/>
                <w:sz w:val="20"/>
                <w:szCs w:val="20"/>
                <w:b w:val="1"/>
                <w:bCs w:val="1"/>
                <w:color w:val="auto"/>
              </w:rPr>
              <w:t>Year Ended December 31,</w:t>
            </w:r>
          </w:p>
        </w:tc>
      </w:tr>
      <w:tr>
        <w:trPr>
          <w:trHeight w:val="223"/>
        </w:trPr>
        <w:tc>
          <w:tcPr>
            <w:tcW w:w="558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40"/>
              <w:spacing w:after="0" w:line="223" w:lineRule="exact"/>
              <w:rPr>
                <w:sz w:val="20"/>
                <w:szCs w:val="20"/>
                <w:color w:val="auto"/>
              </w:rPr>
            </w:pPr>
            <w:r>
              <w:rPr>
                <w:rFonts w:ascii="Arial" w:cs="Arial" w:eastAsia="Arial" w:hAnsi="Arial"/>
                <w:sz w:val="20"/>
                <w:szCs w:val="20"/>
                <w:b w:val="1"/>
                <w:bCs w:val="1"/>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280"/>
              <w:spacing w:after="0" w:line="223" w:lineRule="exact"/>
              <w:rPr>
                <w:sz w:val="20"/>
                <w:szCs w:val="20"/>
                <w:color w:val="auto"/>
              </w:rPr>
            </w:pPr>
            <w:r>
              <w:rPr>
                <w:rFonts w:ascii="Arial" w:cs="Arial" w:eastAsia="Arial" w:hAnsi="Arial"/>
                <w:sz w:val="20"/>
                <w:szCs w:val="20"/>
                <w:b w:val="1"/>
                <w:bCs w:val="1"/>
                <w:color w:val="auto"/>
              </w:rPr>
              <w:t>2020</w:t>
            </w:r>
          </w:p>
        </w:tc>
        <w:tc>
          <w:tcPr>
            <w:tcW w:w="40" w:type="dxa"/>
            <w:vAlign w:val="bottom"/>
          </w:tcPr>
          <w:p>
            <w:pPr>
              <w:spacing w:after="0"/>
              <w:rPr>
                <w:sz w:val="19"/>
                <w:szCs w:val="19"/>
                <w:color w:val="auto"/>
              </w:rPr>
            </w:pPr>
          </w:p>
        </w:tc>
      </w:tr>
      <w:tr>
        <w:trPr>
          <w:trHeight w:val="223"/>
        </w:trPr>
        <w:tc>
          <w:tcPr>
            <w:tcW w:w="5580" w:type="dxa"/>
            <w:vAlign w:val="bottom"/>
          </w:tcPr>
          <w:p>
            <w:pPr>
              <w:spacing w:after="0"/>
              <w:rPr>
                <w:sz w:val="19"/>
                <w:szCs w:val="19"/>
                <w:color w:val="auto"/>
              </w:rPr>
            </w:pPr>
          </w:p>
        </w:tc>
        <w:tc>
          <w:tcPr>
            <w:tcW w:w="2740" w:type="dxa"/>
            <w:vAlign w:val="bottom"/>
            <w:gridSpan w:val="4"/>
          </w:tcPr>
          <w:p>
            <w:pPr>
              <w:ind w:left="320"/>
              <w:spacing w:after="0" w:line="223" w:lineRule="exact"/>
              <w:rPr>
                <w:sz w:val="20"/>
                <w:szCs w:val="20"/>
                <w:color w:val="auto"/>
              </w:rPr>
            </w:pPr>
            <w:r>
              <w:rPr>
                <w:rFonts w:ascii="Arial" w:cs="Arial" w:eastAsia="Arial" w:hAnsi="Arial"/>
                <w:sz w:val="20"/>
                <w:szCs w:val="20"/>
                <w:b w:val="1"/>
                <w:bCs w:val="1"/>
                <w:color w:val="auto"/>
                <w:w w:val="99"/>
              </w:rPr>
              <w:t>(in thousands of pounds)</w:t>
            </w:r>
          </w:p>
        </w:tc>
        <w:tc>
          <w:tcPr>
            <w:tcW w:w="40" w:type="dxa"/>
            <w:vAlign w:val="bottom"/>
          </w:tcPr>
          <w:p>
            <w:pPr>
              <w:spacing w:after="0"/>
              <w:rPr>
                <w:sz w:val="19"/>
                <w:szCs w:val="19"/>
                <w:color w:val="auto"/>
              </w:rPr>
            </w:pPr>
          </w:p>
        </w:tc>
      </w:tr>
      <w:tr>
        <w:trPr>
          <w:trHeight w:val="243"/>
        </w:trPr>
        <w:tc>
          <w:tcPr>
            <w:tcW w:w="55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Audit fees(1)</w:t>
            </w:r>
          </w:p>
        </w:tc>
        <w:tc>
          <w:tcPr>
            <w:tcW w:w="920" w:type="dxa"/>
            <w:vAlign w:val="bottom"/>
            <w:gridSpan w:val="2"/>
            <w:shd w:val="clear" w:color="auto" w:fill="CCEEFF"/>
          </w:tcPr>
          <w:p>
            <w:pPr>
              <w:ind w:left="580"/>
              <w:spacing w:after="0" w:line="243" w:lineRule="exact"/>
              <w:rPr>
                <w:sz w:val="20"/>
                <w:szCs w:val="20"/>
                <w:color w:val="auto"/>
              </w:rPr>
            </w:pPr>
            <w:r>
              <w:rPr>
                <w:rFonts w:ascii="Arial" w:cs="Arial" w:eastAsia="Arial" w:hAnsi="Arial"/>
                <w:sz w:val="22"/>
                <w:szCs w:val="22"/>
                <w:color w:val="auto"/>
                <w:w w:val="87"/>
              </w:rPr>
              <w:t>461</w:t>
            </w:r>
          </w:p>
        </w:tc>
        <w:tc>
          <w:tcPr>
            <w:tcW w:w="8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w w:val="92"/>
              </w:rPr>
              <w:t>498</w:t>
            </w:r>
          </w:p>
        </w:tc>
      </w:tr>
      <w:tr>
        <w:trPr>
          <w:trHeight w:val="243"/>
        </w:trPr>
        <w:tc>
          <w:tcPr>
            <w:tcW w:w="5580" w:type="dxa"/>
            <w:vAlign w:val="bottom"/>
          </w:tcPr>
          <w:p>
            <w:pPr>
              <w:spacing w:after="0" w:line="243" w:lineRule="exact"/>
              <w:rPr>
                <w:sz w:val="20"/>
                <w:szCs w:val="20"/>
                <w:color w:val="auto"/>
              </w:rPr>
            </w:pPr>
            <w:r>
              <w:rPr>
                <w:rFonts w:ascii="Arial" w:cs="Arial" w:eastAsia="Arial" w:hAnsi="Arial"/>
                <w:sz w:val="22"/>
                <w:szCs w:val="22"/>
                <w:color w:val="auto"/>
              </w:rPr>
              <w:t>Audit related fees(2)</w:t>
            </w:r>
          </w:p>
        </w:tc>
        <w:tc>
          <w:tcPr>
            <w:tcW w:w="1780" w:type="dxa"/>
            <w:vAlign w:val="bottom"/>
            <w:gridSpan w:val="3"/>
          </w:tcPr>
          <w:p>
            <w:pPr>
              <w:ind w:left="58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tcPr>
          <w:p>
            <w:pPr>
              <w:ind w:left="640"/>
              <w:spacing w:after="0" w:line="243" w:lineRule="exact"/>
              <w:rPr>
                <w:sz w:val="20"/>
                <w:szCs w:val="20"/>
                <w:color w:val="auto"/>
              </w:rPr>
            </w:pPr>
            <w:r>
              <w:rPr>
                <w:rFonts w:ascii="Arial" w:cs="Arial" w:eastAsia="Arial" w:hAnsi="Arial"/>
                <w:sz w:val="22"/>
                <w:szCs w:val="22"/>
                <w:color w:val="auto"/>
                <w:w w:val="92"/>
              </w:rPr>
              <w:t>318</w:t>
            </w:r>
          </w:p>
        </w:tc>
      </w:tr>
      <w:tr>
        <w:trPr>
          <w:trHeight w:val="243"/>
        </w:trPr>
        <w:tc>
          <w:tcPr>
            <w:tcW w:w="55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fees</w:t>
            </w:r>
          </w:p>
        </w:tc>
        <w:tc>
          <w:tcPr>
            <w:tcW w:w="1780" w:type="dxa"/>
            <w:vAlign w:val="bottom"/>
            <w:gridSpan w:val="3"/>
            <w:shd w:val="clear" w:color="auto" w:fill="CCEEFF"/>
          </w:tcPr>
          <w:p>
            <w:pPr>
              <w:ind w:left="58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ind w:left="640"/>
              <w:spacing w:after="0" w:line="243" w:lineRule="exact"/>
              <w:rPr>
                <w:sz w:val="20"/>
                <w:szCs w:val="20"/>
                <w:color w:val="auto"/>
              </w:rPr>
            </w:pPr>
            <w:r>
              <w:rPr>
                <w:rFonts w:ascii="Arial" w:cs="Arial" w:eastAsia="Arial" w:hAnsi="Arial"/>
                <w:sz w:val="22"/>
                <w:szCs w:val="22"/>
                <w:color w:val="auto"/>
              </w:rPr>
              <w:t>—</w:t>
            </w:r>
          </w:p>
        </w:tc>
      </w:tr>
      <w:tr>
        <w:trPr>
          <w:trHeight w:val="250"/>
        </w:trPr>
        <w:tc>
          <w:tcPr>
            <w:tcW w:w="5580" w:type="dxa"/>
            <w:vAlign w:val="bottom"/>
          </w:tcPr>
          <w:p>
            <w:pPr>
              <w:spacing w:after="0" w:line="250" w:lineRule="exact"/>
              <w:rPr>
                <w:sz w:val="20"/>
                <w:szCs w:val="20"/>
                <w:color w:val="auto"/>
              </w:rPr>
            </w:pPr>
            <w:r>
              <w:rPr>
                <w:rFonts w:ascii="Arial" w:cs="Arial" w:eastAsia="Arial" w:hAnsi="Arial"/>
                <w:sz w:val="22"/>
                <w:szCs w:val="22"/>
                <w:b w:val="1"/>
                <w:bCs w:val="1"/>
                <w:color w:val="auto"/>
              </w:rPr>
              <w:t>Total fees</w:t>
            </w:r>
          </w:p>
        </w:tc>
        <w:tc>
          <w:tcPr>
            <w:tcW w:w="900" w:type="dxa"/>
            <w:vAlign w:val="bottom"/>
            <w:tcBorders>
              <w:top w:val="single" w:sz="8" w:color="auto"/>
              <w:bottom w:val="single" w:sz="8" w:color="auto"/>
            </w:tcBorders>
          </w:tcPr>
          <w:p>
            <w:pPr>
              <w:ind w:left="580"/>
              <w:spacing w:after="0" w:line="250" w:lineRule="exact"/>
              <w:rPr>
                <w:sz w:val="20"/>
                <w:szCs w:val="20"/>
                <w:color w:val="auto"/>
              </w:rPr>
            </w:pPr>
            <w:r>
              <w:rPr>
                <w:rFonts w:ascii="Arial" w:cs="Arial" w:eastAsia="Arial" w:hAnsi="Arial"/>
                <w:sz w:val="22"/>
                <w:szCs w:val="22"/>
                <w:b w:val="1"/>
                <w:bCs w:val="1"/>
                <w:color w:val="auto"/>
                <w:w w:val="81"/>
              </w:rPr>
              <w:t>461</w:t>
            </w:r>
          </w:p>
        </w:tc>
        <w:tc>
          <w:tcPr>
            <w:tcW w:w="2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Borders>
              <w:top w:val="single" w:sz="8" w:color="auto"/>
              <w:bottom w:val="single" w:sz="8" w:color="auto"/>
            </w:tcBorders>
          </w:tcPr>
          <w:p>
            <w:pPr>
              <w:ind w:left="640"/>
              <w:spacing w:after="0" w:line="250" w:lineRule="exact"/>
              <w:rPr>
                <w:sz w:val="20"/>
                <w:szCs w:val="20"/>
                <w:color w:val="auto"/>
              </w:rPr>
            </w:pPr>
            <w:r>
              <w:rPr>
                <w:rFonts w:ascii="Arial" w:cs="Arial" w:eastAsia="Arial" w:hAnsi="Arial"/>
                <w:sz w:val="22"/>
                <w:szCs w:val="22"/>
                <w:b w:val="1"/>
                <w:bCs w:val="1"/>
                <w:color w:val="auto"/>
                <w:w w:val="81"/>
              </w:rPr>
              <w:t>816</w:t>
            </w:r>
          </w:p>
        </w:tc>
        <w:tc>
          <w:tcPr>
            <w:tcW w:w="40" w:type="dxa"/>
            <w:vAlign w:val="bottom"/>
          </w:tcPr>
          <w:p>
            <w:pPr>
              <w:spacing w:after="0"/>
              <w:rPr>
                <w:sz w:val="21"/>
                <w:szCs w:val="21"/>
                <w:color w:val="auto"/>
              </w:rPr>
            </w:pPr>
          </w:p>
        </w:tc>
      </w:tr>
      <w:tr>
        <w:trPr>
          <w:trHeight w:val="20"/>
        </w:trPr>
        <w:tc>
          <w:tcPr>
            <w:tcW w:w="5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1" w:lineRule="exact"/>
        <w:rPr>
          <w:sz w:val="20"/>
          <w:szCs w:val="20"/>
          <w:color w:val="auto"/>
        </w:rPr>
      </w:pPr>
    </w:p>
    <w:p>
      <w:pPr>
        <w:ind w:left="660" w:right="320" w:hanging="544"/>
        <w:spacing w:after="0" w:line="239"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Includes professional services rendered in connection with the audit of our annual financial statements, review of our interim financial statements and audits of our subsidiary accounts.</w:t>
      </w:r>
    </w:p>
    <w:p>
      <w:pPr>
        <w:ind w:left="660" w:right="280" w:hanging="544"/>
        <w:spacing w:after="0" w:line="236" w:lineRule="auto"/>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 2020, includes professional services rendered in connection with planned equity fundraising, and the acquisition of OncoMed in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Audit Committee Pre-Approval Policies and Procedures</w:t>
      </w:r>
    </w:p>
    <w:p>
      <w:pPr>
        <w:spacing w:after="0" w:line="98" w:lineRule="exact"/>
        <w:rPr>
          <w:sz w:val="20"/>
          <w:szCs w:val="20"/>
          <w:color w:val="auto"/>
        </w:rPr>
      </w:pPr>
    </w:p>
    <w:p>
      <w:pPr>
        <w:ind w:left="120" w:firstLine="551"/>
        <w:spacing w:after="0" w:line="235" w:lineRule="auto"/>
        <w:rPr>
          <w:sz w:val="20"/>
          <w:szCs w:val="20"/>
          <w:color w:val="auto"/>
        </w:rPr>
      </w:pPr>
      <w:r>
        <w:rPr>
          <w:rFonts w:ascii="Arial" w:cs="Arial" w:eastAsia="Arial" w:hAnsi="Arial"/>
          <w:sz w:val="22"/>
          <w:szCs w:val="22"/>
          <w:color w:val="auto"/>
        </w:rPr>
        <w:t>Our audit committee’s specific responsibilities in carrying out its oversight of the quality and integrity of the accounting, auditing and reporting practices of Mereo include the approval of audit and non-audit services to be provided by the independent auditor before the auditor is engaged to render such services. The audit committee approves in advance the particular services or categories of services to be provided to Mereo during the following yearly period and also sets forth a specific budget for such audit and non-audit services. Additional non-audit services may be pre-approved by the audit committee.</w:t>
      </w:r>
    </w:p>
    <w:p>
      <w:pPr>
        <w:sectPr>
          <w:pgSz w:w="11900" w:h="16838" w:orient="portrait"/>
          <w:cols w:equalWidth="0" w:num="1">
            <w:col w:w="11100"/>
          </w:cols>
          <w:pgMar w:left="320" w:top="486" w:right="479" w:bottom="358"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128</w:t>
      </w:r>
    </w:p>
    <w:p>
      <w:pPr>
        <w:sectPr>
          <w:pgSz w:w="11900" w:h="16838" w:orient="portrait"/>
          <w:cols w:equalWidth="0" w:num="1">
            <w:col w:w="11100"/>
          </w:cols>
          <w:pgMar w:left="320" w:top="486" w:right="479" w:bottom="358" w:gutter="0" w:footer="0" w:header="0"/>
          <w:type w:val="continuous"/>
        </w:sectPr>
      </w:pPr>
    </w:p>
    <w:bookmarkStart w:id="149" w:name="page150"/>
    <w:bookmarkEnd w:id="149"/>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16D.</w:t>
      </w:r>
      <w:r>
        <w:rPr>
          <w:sz w:val="20"/>
          <w:szCs w:val="20"/>
          <w:color w:val="auto"/>
        </w:rPr>
        <w:tab/>
      </w:r>
      <w:r>
        <w:rPr>
          <w:rFonts w:ascii="Arial" w:cs="Arial" w:eastAsia="Arial" w:hAnsi="Arial"/>
          <w:sz w:val="19"/>
          <w:szCs w:val="19"/>
          <w:b w:val="1"/>
          <w:bCs w:val="1"/>
          <w:color w:val="auto"/>
        </w:rPr>
        <w:t>Exemptions From The Listing Standards For Audit Committees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34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16E.</w:t>
      </w:r>
      <w:r>
        <w:rPr>
          <w:sz w:val="20"/>
          <w:szCs w:val="20"/>
          <w:color w:val="auto"/>
        </w:rPr>
        <w:tab/>
      </w:r>
      <w:r>
        <w:rPr>
          <w:rFonts w:ascii="Arial" w:cs="Arial" w:eastAsia="Arial" w:hAnsi="Arial"/>
          <w:sz w:val="19"/>
          <w:szCs w:val="19"/>
          <w:b w:val="1"/>
          <w:bCs w:val="1"/>
          <w:color w:val="auto"/>
        </w:rPr>
        <w:t>Purchases of Equity Securities By The Issuer And Affiliated Purchasers</w:t>
      </w:r>
    </w:p>
    <w:p>
      <w:pPr>
        <w:spacing w:after="0" w:line="104" w:lineRule="exact"/>
        <w:rPr>
          <w:sz w:val="20"/>
          <w:szCs w:val="20"/>
          <w:color w:val="auto"/>
        </w:rPr>
      </w:pPr>
    </w:p>
    <w:p>
      <w:pPr>
        <w:ind w:left="120" w:firstLine="551"/>
        <w:spacing w:after="0" w:line="252" w:lineRule="auto"/>
        <w:rPr>
          <w:sz w:val="20"/>
          <w:szCs w:val="20"/>
          <w:color w:val="auto"/>
        </w:rPr>
      </w:pPr>
      <w:r>
        <w:rPr>
          <w:rFonts w:ascii="Arial" w:cs="Arial" w:eastAsia="Arial" w:hAnsi="Arial"/>
          <w:sz w:val="21"/>
          <w:szCs w:val="21"/>
          <w:color w:val="auto"/>
        </w:rPr>
        <w:t>In the years ending December 31, 2021 and 2020 Mereo’s Employee Benefit Trust (“EBT”) purchased no ordinary shares and 7 ordinary shares, respectively. In December 2020, the EBT converted its ordinary shares into 247,456 ADS’s. As at December 31, 2021 a total cash balance of £17,866 was held by the EBT. Mereo utilizes the EBT to hold ADSs to satisfy the exercise of options under the Mereo’s share-based incentive schemes.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Ordinary Shares that</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2"/>
              </w:rPr>
              <w:t>Average Price Paid</w:t>
            </w:r>
          </w:p>
        </w:tc>
        <w:tc>
          <w:tcPr>
            <w:tcW w:w="19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3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Per Ordinary Share</w:t>
            </w: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Plans or Programs(1)</w:t>
            </w: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82"/>
        </w:trPr>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Month #1 (October 1, 2018 –</w:t>
            </w:r>
          </w:p>
        </w:tc>
        <w:tc>
          <w:tcPr>
            <w:tcW w:w="10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31, 2018)</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131,487</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w:t>
            </w:r>
          </w:p>
        </w:tc>
        <w:tc>
          <w:tcPr>
            <w:tcW w:w="19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rPr>
              <w:t>Month #2 (December 1, 2018 –</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December 31, 2018)</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31,513</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1.80</w:t>
            </w:r>
          </w:p>
        </w:tc>
        <w:tc>
          <w:tcPr>
            <w:tcW w:w="19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Month #3 (May 1, 2019 – May 31,</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1,074,274</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0.93</w:t>
            </w:r>
          </w:p>
        </w:tc>
        <w:tc>
          <w:tcPr>
            <w:tcW w:w="19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June 4, 2020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0.17</w:t>
            </w:r>
          </w:p>
        </w:tc>
        <w:tc>
          <w:tcPr>
            <w:tcW w:w="19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1,237,274</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w:t>
            </w:r>
          </w:p>
        </w:tc>
        <w:tc>
          <w:tcPr>
            <w:tcW w:w="19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8" w:lineRule="exact"/>
        <w:rPr>
          <w:sz w:val="20"/>
          <w:szCs w:val="20"/>
          <w:color w:val="auto"/>
        </w:rPr>
      </w:pPr>
    </w:p>
    <w:p>
      <w:pPr>
        <w:ind w:left="660" w:hanging="544"/>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ordinary shares were not purchased as part of a publicly announced plan or program</w:t>
      </w:r>
    </w:p>
    <w:p>
      <w:pPr>
        <w:spacing w:after="0" w:line="34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16F.</w:t>
      </w:r>
      <w:r>
        <w:rPr>
          <w:sz w:val="20"/>
          <w:szCs w:val="20"/>
          <w:color w:val="auto"/>
        </w:rPr>
        <w:tab/>
      </w:r>
      <w:r>
        <w:rPr>
          <w:rFonts w:ascii="Arial" w:cs="Arial" w:eastAsia="Arial" w:hAnsi="Arial"/>
          <w:sz w:val="19"/>
          <w:szCs w:val="19"/>
          <w:b w:val="1"/>
          <w:bCs w:val="1"/>
          <w:color w:val="auto"/>
        </w:rPr>
        <w:t>Change In Registrant’s Certifying Accountant</w:t>
      </w:r>
    </w:p>
    <w:p>
      <w:pPr>
        <w:spacing w:after="0" w:line="104" w:lineRule="exact"/>
        <w:rPr>
          <w:sz w:val="20"/>
          <w:szCs w:val="20"/>
          <w:color w:val="auto"/>
        </w:rPr>
      </w:pPr>
    </w:p>
    <w:p>
      <w:pPr>
        <w:jc w:val="both"/>
        <w:ind w:left="120" w:right="180" w:firstLine="551"/>
        <w:spacing w:after="0" w:line="257" w:lineRule="auto"/>
        <w:rPr>
          <w:sz w:val="20"/>
          <w:szCs w:val="20"/>
          <w:color w:val="auto"/>
        </w:rPr>
      </w:pPr>
      <w:r>
        <w:rPr>
          <w:rFonts w:ascii="Arial" w:cs="Arial" w:eastAsia="Arial" w:hAnsi="Arial"/>
          <w:sz w:val="21"/>
          <w:szCs w:val="21"/>
          <w:color w:val="auto"/>
        </w:rPr>
        <w:t>On July 20, 2021, the Company’s Board of Directors, following the recommendation of the Audit and Risk Committee of the Company’s Board of Directors, appointed BDO LLP as the Company’s independent registered public accounting firm for the year ending December 31, 2021, effective immediately replacing Ernst &amp; Young LLP.</w:t>
      </w:r>
    </w:p>
    <w:p>
      <w:pPr>
        <w:spacing w:after="0" w:line="169" w:lineRule="exact"/>
        <w:rPr>
          <w:sz w:val="20"/>
          <w:szCs w:val="20"/>
          <w:color w:val="auto"/>
        </w:rPr>
      </w:pPr>
    </w:p>
    <w:p>
      <w:pPr>
        <w:ind w:left="120" w:right="300" w:firstLine="551"/>
        <w:spacing w:after="0" w:line="297" w:lineRule="auto"/>
        <w:rPr>
          <w:sz w:val="20"/>
          <w:szCs w:val="20"/>
          <w:color w:val="auto"/>
        </w:rPr>
      </w:pPr>
      <w:r>
        <w:rPr>
          <w:rFonts w:ascii="Arial" w:cs="Arial" w:eastAsia="Arial" w:hAnsi="Arial"/>
          <w:sz w:val="19"/>
          <w:szCs w:val="19"/>
          <w:color w:val="auto"/>
        </w:rPr>
        <w:t>The reports of Ernst &amp; Young LLP on the Company’s consolidated financial statements as of December 31, 2020 and 2019 and for the years ended December 31, 2020, 2019 and 2018 did not contain an adverse opinion or a disclaimer of opinion, and were not qualified or modified as to uncertainty, audit scope or accounting principles, except as follows:</w:t>
      </w:r>
    </w:p>
    <w:p>
      <w:pPr>
        <w:spacing w:after="0" w:line="134" w:lineRule="exact"/>
        <w:rPr>
          <w:sz w:val="20"/>
          <w:szCs w:val="20"/>
          <w:color w:val="auto"/>
        </w:rPr>
      </w:pPr>
    </w:p>
    <w:p>
      <w:pPr>
        <w:ind w:left="120" w:right="380" w:firstLine="551"/>
        <w:spacing w:after="0" w:line="250" w:lineRule="auto"/>
        <w:rPr>
          <w:sz w:val="20"/>
          <w:szCs w:val="20"/>
          <w:color w:val="auto"/>
        </w:rPr>
      </w:pPr>
      <w:r>
        <w:rPr>
          <w:rFonts w:ascii="Arial" w:cs="Arial" w:eastAsia="Arial" w:hAnsi="Arial"/>
          <w:sz w:val="22"/>
          <w:szCs w:val="22"/>
          <w:color w:val="auto"/>
        </w:rPr>
        <w:t>“As discussed in Note 2 to the consolidated financial statements, the Company changed its method of accounting for leases in 2019 due to the adoption of IFRS 16 (Leases).”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Those reports have not been withdrawn or modified.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years ended December 31, 2020 and 2019 and through July 20, 2021, there were no (a) disagreements with Ernst</w:t>
      </w:r>
    </w:p>
    <w:p>
      <w:pPr>
        <w:spacing w:after="0" w:line="43" w:lineRule="exact"/>
        <w:rPr>
          <w:sz w:val="20"/>
          <w:szCs w:val="20"/>
          <w:color w:val="auto"/>
        </w:rPr>
      </w:pPr>
    </w:p>
    <w:p>
      <w:pPr>
        <w:ind w:left="120" w:right="20" w:hanging="4"/>
        <w:spacing w:after="0" w:line="243" w:lineRule="auto"/>
        <w:tabs>
          <w:tab w:leader="none" w:pos="342" w:val="left"/>
        </w:tabs>
        <w:numPr>
          <w:ilvl w:val="0"/>
          <w:numId w:val="76"/>
        </w:numPr>
        <w:rPr>
          <w:rFonts w:ascii="Arial" w:cs="Arial" w:eastAsia="Arial" w:hAnsi="Arial"/>
          <w:sz w:val="21"/>
          <w:szCs w:val="21"/>
          <w:color w:val="auto"/>
        </w:rPr>
      </w:pPr>
      <w:r>
        <w:rPr>
          <w:rFonts w:ascii="Arial" w:cs="Arial" w:eastAsia="Arial" w:hAnsi="Arial"/>
          <w:sz w:val="21"/>
          <w:szCs w:val="21"/>
          <w:color w:val="auto"/>
        </w:rPr>
        <w:t>Young LLP on any matter of accounting principles or practices, financial statement disclosure, or auditing scope or procedure, which disagreements, if not resolved to its satisfaction, would have caused Ernst &amp; Young LLP to make reference to the subject matter thereof in connection with its reports for such years; or (b) reportable events that would be required to be described under Item 16F(a)(1)(v) of Form 20-F in connection with the Company’s annual report on Form 20-F, except that, in connection with the preparation of the Company’s unaudited interim condensed consolidated financial statements as of and for the six-month period ended June 30, 2020, management identified a material weakness in its internal controls as described in Item 15(b) of the Company’s Annual Report on Form 20-F for the year ended December 31, 2020. This material weakness was remediated as of December 31, 2020.</w:t>
      </w:r>
    </w:p>
    <w:p>
      <w:pPr>
        <w:spacing w:after="0" w:line="186" w:lineRule="exact"/>
        <w:rPr>
          <w:sz w:val="20"/>
          <w:szCs w:val="20"/>
          <w:color w:val="auto"/>
        </w:rPr>
      </w:pPr>
    </w:p>
    <w:p>
      <w:pPr>
        <w:ind w:left="120" w:right="140" w:firstLine="551"/>
        <w:spacing w:after="0" w:line="282" w:lineRule="auto"/>
        <w:rPr>
          <w:sz w:val="20"/>
          <w:szCs w:val="20"/>
          <w:color w:val="auto"/>
        </w:rPr>
      </w:pPr>
      <w:r>
        <w:rPr>
          <w:rFonts w:ascii="Arial" w:cs="Arial" w:eastAsia="Arial" w:hAnsi="Arial"/>
          <w:sz w:val="19"/>
          <w:szCs w:val="19"/>
          <w:color w:val="auto"/>
        </w:rPr>
        <w:t>During the fiscal years ended December 31, 2020 and 2019 and the subsequent period through July 20, 2021, the Company did not consult with BDO LLP regarding the application of accounting principles to a specified transaction or the type of audit opinion that might be rendered by BDO LLP on its consolidated financial statements. Further, BDO LLP did not provide any written or oral advice as to any such accounting, auditing or financial reporting matter or any matter being the subject of disagreement or defined as a reportable event or any other matter as defined in Item 16F(a)(1)(v) of Form 20-F.</w:t>
      </w:r>
    </w:p>
    <w:p>
      <w:pPr>
        <w:spacing w:after="0" w:line="147" w:lineRule="exact"/>
        <w:rPr>
          <w:sz w:val="20"/>
          <w:szCs w:val="20"/>
          <w:color w:val="auto"/>
        </w:rPr>
      </w:pPr>
    </w:p>
    <w:p>
      <w:pPr>
        <w:jc w:val="both"/>
        <w:ind w:left="120" w:right="120" w:firstLine="551"/>
        <w:spacing w:after="0" w:line="252" w:lineRule="auto"/>
        <w:rPr>
          <w:sz w:val="20"/>
          <w:szCs w:val="20"/>
          <w:color w:val="auto"/>
        </w:rPr>
      </w:pPr>
      <w:r>
        <w:rPr>
          <w:rFonts w:ascii="Arial" w:cs="Arial" w:eastAsia="Arial" w:hAnsi="Arial"/>
          <w:sz w:val="21"/>
          <w:szCs w:val="21"/>
          <w:color w:val="auto"/>
        </w:rPr>
        <w:t>The Company provided a copy of this disclosure to Ernst &amp; Young LLP and requested that they furnish us with a letter addressed to the SEC stating whether Ernst &amp; Young LLP agrees with the above statements, and if not, stating the respects in which it does not agree. A copy of the letter from Ernst &amp; Young LLP addressed to the SEC, dated July 20, 2021, was filed as Exhibit 16.1 to the Report on Form 6-K filed with the SEC on July 21, 2021.</w:t>
      </w:r>
    </w:p>
    <w:p>
      <w:pPr>
        <w:spacing w:after="0" w:line="316"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16G.</w:t>
      </w:r>
      <w:r>
        <w:rPr>
          <w:sz w:val="20"/>
          <w:szCs w:val="20"/>
          <w:color w:val="auto"/>
        </w:rPr>
        <w:tab/>
      </w:r>
      <w:r>
        <w:rPr>
          <w:rFonts w:ascii="Arial" w:cs="Arial" w:eastAsia="Arial" w:hAnsi="Arial"/>
          <w:sz w:val="19"/>
          <w:szCs w:val="19"/>
          <w:b w:val="1"/>
          <w:bCs w:val="1"/>
          <w:color w:val="auto"/>
        </w:rPr>
        <w:t>Corporate Governance</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Private Issuer Exemption</w:t>
      </w:r>
    </w:p>
    <w:p>
      <w:pPr>
        <w:spacing w:after="0" w:line="104" w:lineRule="exact"/>
        <w:rPr>
          <w:sz w:val="20"/>
          <w:szCs w:val="20"/>
          <w:color w:val="auto"/>
        </w:rPr>
      </w:pPr>
    </w:p>
    <w:p>
      <w:pPr>
        <w:ind w:left="120" w:firstLine="551"/>
        <w:spacing w:after="0" w:line="328" w:lineRule="auto"/>
        <w:rPr>
          <w:sz w:val="20"/>
          <w:szCs w:val="20"/>
          <w:color w:val="auto"/>
        </w:rPr>
      </w:pPr>
      <w:r>
        <w:rPr>
          <w:rFonts w:ascii="Arial" w:cs="Arial" w:eastAsia="Arial" w:hAnsi="Arial"/>
          <w:sz w:val="19"/>
          <w:szCs w:val="19"/>
          <w:color w:val="auto"/>
        </w:rPr>
        <w:t>As a “foreign private issuer,” as defined by the SEC, Mereo is permitted to follow home country corporate governance practices, instead of certain corporate governance practices required by Nasdaq for U.S. domestic issuers. While Mereo intends</w:t>
      </w:r>
    </w:p>
    <w:p>
      <w:pPr>
        <w:sectPr>
          <w:pgSz w:w="11900" w:h="16859" w:orient="portrait"/>
          <w:cols w:equalWidth="0" w:num="1">
            <w:col w:w="11120"/>
          </w:cols>
          <w:pgMar w:left="320" w:top="486" w:right="459" w:bottom="0" w:gutter="0" w:footer="0" w:header="0"/>
        </w:sectPr>
      </w:pPr>
    </w:p>
    <w:bookmarkStart w:id="150" w:name="page151"/>
    <w:bookmarkEnd w:id="150"/>
    <w:p>
      <w:pPr>
        <w:ind w:right="160"/>
        <w:spacing w:after="0" w:line="251" w:lineRule="auto"/>
        <w:rPr>
          <w:sz w:val="20"/>
          <w:szCs w:val="20"/>
          <w:color w:val="auto"/>
        </w:rPr>
      </w:pPr>
      <w:r>
        <w:rPr>
          <w:rFonts w:ascii="Arial" w:cs="Arial" w:eastAsia="Arial" w:hAnsi="Arial"/>
          <w:sz w:val="22"/>
          <w:szCs w:val="22"/>
          <w:color w:val="auto"/>
        </w:rPr>
        <w:t>to follow most Nasdaq corporate governance rules, it intends to follow U.K. corporate governance practices in lieu of Nasdaq corporate governance rules as follows:</w:t>
      </w:r>
    </w:p>
    <w:p>
      <w:pPr>
        <w:spacing w:after="0" w:line="79" w:lineRule="exact"/>
        <w:rPr>
          <w:sz w:val="20"/>
          <w:szCs w:val="20"/>
          <w:color w:val="auto"/>
        </w:rPr>
      </w:pPr>
    </w:p>
    <w:p>
      <w:pPr>
        <w:ind w:left="1300" w:hanging="535"/>
        <w:spacing w:after="0" w:line="238"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Mereo does not intend to follow Nasdaq Rule 5620(c) regarding quorum requirements applicable to meetings of shareholders. Such quorum requirements are not required under English law. In accordance with the U.K. Companies Act 2006, Mereo’s Articles provide alternative quorum requirements that are generally applicable to meetings of shareholders.</w:t>
      </w:r>
    </w:p>
    <w:p>
      <w:pPr>
        <w:spacing w:after="0" w:line="90" w:lineRule="exact"/>
        <w:rPr>
          <w:rFonts w:ascii="Arial" w:cs="Arial" w:eastAsia="Arial" w:hAnsi="Arial"/>
          <w:sz w:val="22"/>
          <w:szCs w:val="22"/>
          <w:color w:val="auto"/>
        </w:rPr>
      </w:pPr>
    </w:p>
    <w:p>
      <w:pPr>
        <w:ind w:left="1300" w:right="240" w:hanging="535"/>
        <w:spacing w:after="0" w:line="250"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Mereo does not intend to follow Nasdaq Rule 5605(b)(2), which requires that independent directors regularly have scheduled meetings at which only independent directors are present.</w:t>
      </w:r>
    </w:p>
    <w:p>
      <w:pPr>
        <w:spacing w:after="0" w:line="80" w:lineRule="exact"/>
        <w:rPr>
          <w:rFonts w:ascii="Arial" w:cs="Arial" w:eastAsia="Arial" w:hAnsi="Arial"/>
          <w:sz w:val="22"/>
          <w:szCs w:val="22"/>
          <w:color w:val="auto"/>
        </w:rPr>
      </w:pPr>
    </w:p>
    <w:p>
      <w:pPr>
        <w:ind w:left="1300" w:right="180" w:hanging="535"/>
        <w:spacing w:after="0" w:line="236" w:lineRule="auto"/>
        <w:tabs>
          <w:tab w:leader="none" w:pos="1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Mereo does not intend to follow Nasdaq Rule 5635, which generally requires an issuer to seek shareholder approval in connection with certain private placements of equity securities. Mereo intends to follow the requirements of the U.K. Companies Act 2006 with respect to any requirement to obtain shareholder approval to authorize Mereo’s directors to allot shares and to disapply statutory pre-emption rights prior to any private placements of equity securities.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000"/>
          </w:cols>
          <w:pgMar w:left="440" w:top="118"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320" w:firstLine="551"/>
        <w:spacing w:after="0" w:line="252" w:lineRule="auto"/>
        <w:rPr>
          <w:sz w:val="20"/>
          <w:szCs w:val="20"/>
          <w:color w:val="auto"/>
        </w:rPr>
      </w:pPr>
      <w:r>
        <w:rPr>
          <w:rFonts w:ascii="Arial" w:cs="Arial" w:eastAsia="Arial" w:hAnsi="Arial"/>
          <w:sz w:val="21"/>
          <w:szCs w:val="21"/>
          <w:color w:val="auto"/>
        </w:rPr>
        <w:t>Although Mereo may rely on certain home country corporate governance practices, Mereo must comply with Nasdaq Rule 5640 Notification of Noncompliance and Rule 5640 Voting Rights. Further, Mereo must have an audit committee that satisfies Rule 5605(c)(3), which addresses audit committee responsibilities and authority, and that consists of committee members that meet the independence requirements of Rule 5605(c)(2)(A)(ii).</w:t>
      </w:r>
    </w:p>
    <w:p>
      <w:pPr>
        <w:spacing w:after="0" w:line="174" w:lineRule="exact"/>
        <w:rPr>
          <w:sz w:val="20"/>
          <w:szCs w:val="20"/>
          <w:color w:val="auto"/>
        </w:rPr>
      </w:pPr>
    </w:p>
    <w:p>
      <w:pPr>
        <w:jc w:val="both"/>
        <w:ind w:left="120" w:firstLine="551"/>
        <w:spacing w:after="0"/>
        <w:rPr>
          <w:sz w:val="20"/>
          <w:szCs w:val="20"/>
          <w:color w:val="auto"/>
        </w:rPr>
      </w:pPr>
      <w:r>
        <w:rPr>
          <w:rFonts w:ascii="Arial" w:cs="Arial" w:eastAsia="Arial" w:hAnsi="Arial"/>
          <w:sz w:val="22"/>
          <w:szCs w:val="22"/>
          <w:color w:val="auto"/>
        </w:rPr>
        <w:t>Mereo intends to take all actions necessary for it to maintain compliance as a foreign private issuer under the applicable corporate governance requirements of the Sarbanes-Oxley Act of 2002, the rules adopted by the SEC and the Nasdaq corporate governance rules and listing standards.</w:t>
      </w:r>
    </w:p>
    <w:p>
      <w:pPr>
        <w:spacing w:after="0" w:line="186" w:lineRule="exact"/>
        <w:rPr>
          <w:sz w:val="20"/>
          <w:szCs w:val="20"/>
          <w:color w:val="auto"/>
        </w:rPr>
      </w:pPr>
    </w:p>
    <w:p>
      <w:pPr>
        <w:ind w:left="120" w:right="20" w:firstLine="551"/>
        <w:spacing w:after="0" w:line="297" w:lineRule="auto"/>
        <w:rPr>
          <w:sz w:val="20"/>
          <w:szCs w:val="20"/>
          <w:color w:val="auto"/>
        </w:rPr>
      </w:pPr>
      <w:r>
        <w:rPr>
          <w:rFonts w:ascii="Arial" w:cs="Arial" w:eastAsia="Arial" w:hAnsi="Arial"/>
          <w:sz w:val="19"/>
          <w:szCs w:val="19"/>
          <w:color w:val="auto"/>
        </w:rPr>
        <w:t>Because Mereo is a foreign private issuer, Mereo’s directors and senior management are not subject to short-swing profit and insider trading reporting obligations under Section 16 of the Exchange Act. Mereo will, however, be subject to the obligations to report changes in share ownership under Section 13 of the Exchange Act and related SEC rules.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Mereo Shareholder Rights Under U.K. Law</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rights of the holders of our ordinary shares are governed by the laws of England and Wales and Mereo’s Articles.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rights of the holders of our ADSs are governed by the deposit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Purchase and Redemption Rights</w:t>
      </w:r>
    </w:p>
    <w:p>
      <w:pPr>
        <w:spacing w:after="0" w:line="98" w:lineRule="exact"/>
        <w:rPr>
          <w:sz w:val="20"/>
          <w:szCs w:val="20"/>
          <w:color w:val="auto"/>
        </w:rPr>
      </w:pPr>
    </w:p>
    <w:p>
      <w:pPr>
        <w:jc w:val="both"/>
        <w:ind w:left="120" w:right="20" w:firstLine="551"/>
        <w:spacing w:after="0" w:line="297" w:lineRule="auto"/>
        <w:rPr>
          <w:sz w:val="20"/>
          <w:szCs w:val="20"/>
          <w:color w:val="auto"/>
        </w:rPr>
      </w:pPr>
      <w:r>
        <w:rPr>
          <w:rFonts w:ascii="Arial" w:cs="Arial" w:eastAsia="Arial" w:hAnsi="Arial"/>
          <w:sz w:val="19"/>
          <w:szCs w:val="19"/>
          <w:color w:val="auto"/>
        </w:rPr>
        <w:t>Under the U.K. Companies Act 2006, a public limited company may issue redeemable shares if authorized by its articles of association, subject to any conditions stated therein. No redeemable shares may be issued at a time when there are no issued shares of the company existing which are not redeemable. Mereo is empowered to issue redeemable shares under its Articles.</w:t>
      </w:r>
    </w:p>
    <w:p>
      <w:pPr>
        <w:spacing w:after="0" w:line="134" w:lineRule="exact"/>
        <w:rPr>
          <w:sz w:val="20"/>
          <w:szCs w:val="20"/>
          <w:color w:val="auto"/>
        </w:rPr>
      </w:pPr>
    </w:p>
    <w:p>
      <w:pPr>
        <w:ind w:left="120" w:right="120" w:firstLine="551"/>
        <w:spacing w:after="0"/>
        <w:rPr>
          <w:sz w:val="20"/>
          <w:szCs w:val="20"/>
          <w:color w:val="auto"/>
        </w:rPr>
      </w:pPr>
      <w:r>
        <w:rPr>
          <w:rFonts w:ascii="Arial" w:cs="Arial" w:eastAsia="Arial" w:hAnsi="Arial"/>
          <w:sz w:val="22"/>
          <w:szCs w:val="22"/>
          <w:color w:val="auto"/>
        </w:rPr>
        <w:t>Under the U.K. Companies Act 2006, a company may redeem shares only if the shares are fully paid and, in the case of public limited companies, only out of: (1) distributable profits; or (2) the proceeds of a new issue of shares made for the purpose of such redemption.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Preemptive Rights</w:t>
      </w:r>
    </w:p>
    <w:p>
      <w:pPr>
        <w:spacing w:after="0" w:line="98"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9"/>
          <w:szCs w:val="19"/>
          <w:color w:val="auto"/>
        </w:rPr>
        <w:t>Under the U.K. Companies Act 2006, the issuance of “equity securities” (being (1) shares in a company other than shares that, with respect to dividends and capital, carry a right to participate only up to a specified amount in a distribution or</w:t>
      </w:r>
    </w:p>
    <w:p>
      <w:pPr>
        <w:spacing w:after="0" w:line="1" w:lineRule="exact"/>
        <w:rPr>
          <w:sz w:val="20"/>
          <w:szCs w:val="20"/>
          <w:color w:val="auto"/>
        </w:rPr>
      </w:pPr>
    </w:p>
    <w:p>
      <w:pPr>
        <w:ind w:left="120" w:right="20" w:hanging="4"/>
        <w:spacing w:after="0" w:line="243" w:lineRule="auto"/>
        <w:tabs>
          <w:tab w:leader="none" w:pos="426" w:val="left"/>
        </w:tabs>
        <w:numPr>
          <w:ilvl w:val="0"/>
          <w:numId w:val="78"/>
        </w:numPr>
        <w:rPr>
          <w:rFonts w:ascii="Arial" w:cs="Arial" w:eastAsia="Arial" w:hAnsi="Arial"/>
          <w:sz w:val="21"/>
          <w:szCs w:val="21"/>
          <w:color w:val="auto"/>
        </w:rPr>
      </w:pPr>
      <w:r>
        <w:rPr>
          <w:rFonts w:ascii="Arial" w:cs="Arial" w:eastAsia="Arial" w:hAnsi="Arial"/>
          <w:sz w:val="21"/>
          <w:szCs w:val="21"/>
          <w:color w:val="auto"/>
        </w:rPr>
        <w:t>rights to subscribe for, or to convert securities into, such shares) that are to be paid for wholly in cash must be offered first to the existing holders of Mereo Shares in proportion to the respective nominal values (i.e., par values) of their holdings on the same or more favorable terms, unless an exception applies or a special resolution to the contrary has been passed or the articles of association otherwise provide, in each case in accordance with the provisions of the U.K. Companies Act 2006 and Mereo’s Articles. An exclusion of pre-emptive rights can be granted for a maximum of five years from the date that Mereo’s directors are granted authority to allot the relevant Mereo ordinary shares, after which shareholders’ approval would be required to renew such exclusion.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Inspection Rights</w:t>
      </w:r>
    </w:p>
    <w:p>
      <w:pPr>
        <w:spacing w:after="0" w:line="9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22"/>
          <w:szCs w:val="22"/>
          <w:color w:val="auto"/>
        </w:rPr>
        <w:t>Under English law, a company must retain and keep available for inspection by shareholders, free of charge, and by any other person on payment of a prescribed fee, its register of members. It must also keep available for inspection by shareholders, free of charge, records of all resolutions passed by and minutes of meetings of shareholders for a period of at least ten years from the date of the relevant resolution or meeting, and for a fee, provide copies of such records to shareholders who request them.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Appraisal Rights</w:t>
      </w:r>
    </w:p>
    <w:p>
      <w:pPr>
        <w:spacing w:after="0" w:line="98"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22"/>
          <w:szCs w:val="22"/>
          <w:color w:val="auto"/>
        </w:rPr>
        <w:t>There is no mandatory provision in English law for appraisal rights. Such rights could, in theory, be provided for in the articles of association or in a shareholders’ agreement. Mereo’s Articles do not provide for appraisal/dissenters’ rights. However, English law provides dissenters’ rights which would permit a shareholder to object to a court of England and Wales in the context of the compulsory acquisition of minority shares.</w:t>
      </w:r>
    </w:p>
    <w:p>
      <w:pPr>
        <w:sectPr>
          <w:pgSz w:w="11900" w:h="16838" w:orient="portrait"/>
          <w:cols w:equalWidth="0" w:num="1">
            <w:col w:w="11120"/>
          </w:cols>
          <w:pgMar w:left="320" w:top="486" w:right="459" w:bottom="1440" w:gutter="0" w:footer="0" w:header="0"/>
        </w:sectPr>
      </w:pP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130</w:t>
      </w:r>
    </w:p>
    <w:p>
      <w:pPr>
        <w:sectPr>
          <w:pgSz w:w="11900" w:h="16838" w:orient="portrait"/>
          <w:cols w:equalWidth="0" w:num="1">
            <w:col w:w="11120"/>
          </w:cols>
          <w:pgMar w:left="320" w:top="486" w:right="45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Votes on Certain Transactions</w:t>
      </w:r>
    </w:p>
    <w:p>
      <w:pPr>
        <w:spacing w:after="0" w:line="98"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21"/>
          <w:szCs w:val="21"/>
          <w:color w:val="auto"/>
        </w:rPr>
        <w:t>The U.K. Companies Act 2006 provides for schemes of arrangement, which are arrangements or compromises between a company and any class of shareholders or creditors and used in certain types of reconstructions, amalgamations, capital reorganizations or takeovers. These arrangements require: (1) the approval, at a shareholders’ or creditors’ meeting convened by order of a court of England and Wales, of a majority in number representing 75% in value of the creditors or class of creditors or members or class of members (as the case may be) present and voting, either in person or by proxy; and (2) the approval of a court of England and Wales.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Amendment of Corporate Governance Documents</w:t>
      </w:r>
    </w:p>
    <w:p>
      <w:pPr>
        <w:spacing w:after="0" w:line="98" w:lineRule="exact"/>
        <w:rPr>
          <w:sz w:val="20"/>
          <w:szCs w:val="20"/>
          <w:color w:val="auto"/>
        </w:rPr>
      </w:pPr>
    </w:p>
    <w:p>
      <w:pPr>
        <w:ind w:left="120" w:right="880" w:firstLine="551"/>
        <w:spacing w:after="0" w:line="250" w:lineRule="auto"/>
        <w:rPr>
          <w:sz w:val="20"/>
          <w:szCs w:val="20"/>
          <w:color w:val="auto"/>
        </w:rPr>
      </w:pPr>
      <w:r>
        <w:rPr>
          <w:rFonts w:ascii="Arial" w:cs="Arial" w:eastAsia="Arial" w:hAnsi="Arial"/>
          <w:sz w:val="22"/>
          <w:szCs w:val="22"/>
          <w:color w:val="auto"/>
        </w:rPr>
        <w:t>Under the U.K. Companies Act 2006, a company incorporated in England and Wales may amend its articles of association by way of a special resolution.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Shareholder Action by Written Consent</w:t>
      </w:r>
    </w:p>
    <w:p>
      <w:pPr>
        <w:spacing w:after="0" w:line="98" w:lineRule="exact"/>
        <w:rPr>
          <w:sz w:val="20"/>
          <w:szCs w:val="20"/>
          <w:color w:val="auto"/>
        </w:rPr>
      </w:pPr>
    </w:p>
    <w:p>
      <w:pPr>
        <w:ind w:left="120" w:right="120" w:firstLine="551"/>
        <w:spacing w:after="0" w:line="250" w:lineRule="auto"/>
        <w:rPr>
          <w:sz w:val="20"/>
          <w:szCs w:val="20"/>
          <w:color w:val="auto"/>
        </w:rPr>
      </w:pPr>
      <w:r>
        <w:rPr>
          <w:rFonts w:ascii="Arial" w:cs="Arial" w:eastAsia="Arial" w:hAnsi="Arial"/>
          <w:sz w:val="22"/>
          <w:szCs w:val="22"/>
          <w:color w:val="auto"/>
        </w:rPr>
        <w:t>Under the U.K. Companies Act 2006, a resolution of the members (or of a class of members) of a public company must be passed at a general meeting of the members. Written resolutions are not permitted.</w:t>
      </w:r>
    </w:p>
    <w:p>
      <w:pPr>
        <w:spacing w:after="0" w:line="175" w:lineRule="exact"/>
        <w:rPr>
          <w:sz w:val="20"/>
          <w:szCs w:val="20"/>
          <w:color w:val="auto"/>
        </w:rPr>
      </w:pPr>
    </w:p>
    <w:p>
      <w:pPr>
        <w:ind w:left="120" w:right="80" w:firstLine="551"/>
        <w:spacing w:after="0" w:line="282" w:lineRule="auto"/>
        <w:rPr>
          <w:sz w:val="20"/>
          <w:szCs w:val="20"/>
          <w:color w:val="auto"/>
        </w:rPr>
      </w:pPr>
      <w:r>
        <w:rPr>
          <w:rFonts w:ascii="Arial" w:cs="Arial" w:eastAsia="Arial" w:hAnsi="Arial"/>
          <w:sz w:val="19"/>
          <w:szCs w:val="19"/>
          <w:color w:val="auto"/>
        </w:rPr>
        <w:t>Notwithstanding the foregoing: (1) English law currently provides that certain matters could be effected by a company otherwise than by passing a resolution where it can be shown that all shareholders of that company have provided unanimous informed consented to the relevant matter; and (2) under the U.K. Companies Act 2006, rights attached to a class of the company’s shares may, where the company’s articles contain no provision for the variation of the relevant rights, be carried by consent in writing from the holders of at least three-quarters in nominal value of the issued shares of that class.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Shareholder Meetings</w:t>
      </w:r>
    </w:p>
    <w:p>
      <w:pPr>
        <w:spacing w:after="0" w:line="98"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22"/>
          <w:szCs w:val="22"/>
          <w:color w:val="auto"/>
        </w:rPr>
        <w:t>The U.K. Companies Act 2006 requires that a public limited company, such as Mereo, must convene an annual general meeting within six months following its accounting reference date.</w:t>
      </w:r>
    </w:p>
    <w:p>
      <w:pPr>
        <w:spacing w:after="0" w:line="175" w:lineRule="exact"/>
        <w:rPr>
          <w:sz w:val="20"/>
          <w:szCs w:val="20"/>
          <w:color w:val="auto"/>
        </w:rPr>
      </w:pPr>
    </w:p>
    <w:p>
      <w:pPr>
        <w:jc w:val="both"/>
        <w:ind w:left="120" w:right="440" w:firstLine="551"/>
        <w:spacing w:after="0"/>
        <w:rPr>
          <w:sz w:val="20"/>
          <w:szCs w:val="20"/>
          <w:color w:val="auto"/>
        </w:rPr>
      </w:pPr>
      <w:r>
        <w:rPr>
          <w:rFonts w:ascii="Arial" w:cs="Arial" w:eastAsia="Arial" w:hAnsi="Arial"/>
          <w:sz w:val="22"/>
          <w:szCs w:val="22"/>
          <w:color w:val="auto"/>
        </w:rPr>
        <w:t>Subject to the notice requirements of the U.K. Companies Act 2006 outlined below and Mereo’s Articles, a general meeting of the shareholders of Mereo may be called by the Mereo Board whenever and at such times and places as it shall determine.</w:t>
      </w:r>
    </w:p>
    <w:p>
      <w:pPr>
        <w:spacing w:after="0" w:line="186" w:lineRule="exact"/>
        <w:rPr>
          <w:sz w:val="20"/>
          <w:szCs w:val="20"/>
          <w:color w:val="auto"/>
        </w:rPr>
      </w:pPr>
    </w:p>
    <w:p>
      <w:pPr>
        <w:ind w:left="120" w:firstLine="551"/>
        <w:spacing w:after="0" w:line="250" w:lineRule="auto"/>
        <w:rPr>
          <w:sz w:val="20"/>
          <w:szCs w:val="20"/>
          <w:color w:val="auto"/>
        </w:rPr>
      </w:pPr>
      <w:r>
        <w:rPr>
          <w:rFonts w:ascii="Arial" w:cs="Arial" w:eastAsia="Arial" w:hAnsi="Arial"/>
          <w:sz w:val="22"/>
          <w:szCs w:val="22"/>
          <w:color w:val="auto"/>
        </w:rPr>
        <w:t>A general meeting may also be convened by the Mereo Board on the requisition of two or more Mereo shareholders who hold at least 5% of the paid-up capital of Mereo carrying voting rights at a general meeting.</w:t>
      </w:r>
    </w:p>
    <w:p>
      <w:pPr>
        <w:spacing w:after="0" w:line="175" w:lineRule="exact"/>
        <w:rPr>
          <w:sz w:val="20"/>
          <w:szCs w:val="20"/>
          <w:color w:val="auto"/>
        </w:rPr>
      </w:pPr>
    </w:p>
    <w:p>
      <w:pPr>
        <w:ind w:left="120" w:right="160" w:firstLine="551"/>
        <w:spacing w:after="0" w:line="252" w:lineRule="auto"/>
        <w:rPr>
          <w:sz w:val="20"/>
          <w:szCs w:val="20"/>
          <w:color w:val="auto"/>
        </w:rPr>
      </w:pPr>
      <w:r>
        <w:rPr>
          <w:rFonts w:ascii="Arial" w:cs="Arial" w:eastAsia="Arial" w:hAnsi="Arial"/>
          <w:sz w:val="21"/>
          <w:szCs w:val="21"/>
          <w:color w:val="auto"/>
        </w:rPr>
        <w:t>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w:t>
      </w:r>
    </w:p>
    <w:p>
      <w:pPr>
        <w:spacing w:after="0" w:line="174" w:lineRule="exact"/>
        <w:rPr>
          <w:sz w:val="20"/>
          <w:szCs w:val="20"/>
          <w:color w:val="auto"/>
        </w:rPr>
      </w:pPr>
    </w:p>
    <w:p>
      <w:pPr>
        <w:ind w:left="120" w:right="600" w:firstLine="551"/>
        <w:spacing w:after="0" w:line="250" w:lineRule="auto"/>
        <w:rPr>
          <w:sz w:val="20"/>
          <w:szCs w:val="20"/>
          <w:color w:val="auto"/>
        </w:rPr>
      </w:pPr>
      <w:r>
        <w:rPr>
          <w:rFonts w:ascii="Arial" w:cs="Arial" w:eastAsia="Arial" w:hAnsi="Arial"/>
          <w:sz w:val="22"/>
          <w:szCs w:val="22"/>
          <w:color w:val="auto"/>
        </w:rPr>
        <w:t>Other proposals relating to the ordinary course of the company’s business, such as the election of directors, would generally be the subject of an ordinary resolution.</w:t>
      </w:r>
    </w:p>
    <w:p>
      <w:pPr>
        <w:spacing w:after="0" w:line="175" w:lineRule="exact"/>
        <w:rPr>
          <w:sz w:val="20"/>
          <w:szCs w:val="20"/>
          <w:color w:val="auto"/>
        </w:rPr>
      </w:pPr>
    </w:p>
    <w:p>
      <w:pPr>
        <w:ind w:left="120" w:right="720" w:firstLine="551"/>
        <w:spacing w:after="0" w:line="328" w:lineRule="auto"/>
        <w:rPr>
          <w:sz w:val="20"/>
          <w:szCs w:val="20"/>
          <w:color w:val="auto"/>
        </w:rPr>
      </w:pPr>
      <w:r>
        <w:rPr>
          <w:rFonts w:ascii="Arial" w:cs="Arial" w:eastAsia="Arial" w:hAnsi="Arial"/>
          <w:sz w:val="19"/>
          <w:szCs w:val="19"/>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05" w:lineRule="exact"/>
        <w:rPr>
          <w:sz w:val="20"/>
          <w:szCs w:val="20"/>
          <w:color w:val="auto"/>
        </w:rPr>
      </w:pPr>
    </w:p>
    <w:p>
      <w:pPr>
        <w:ind w:left="120" w:right="220" w:firstLine="551"/>
        <w:spacing w:after="0" w:line="250" w:lineRule="auto"/>
        <w:rPr>
          <w:sz w:val="20"/>
          <w:szCs w:val="20"/>
          <w:color w:val="auto"/>
        </w:rPr>
      </w:pPr>
      <w:r>
        <w:rPr>
          <w:rFonts w:ascii="Arial" w:cs="Arial" w:eastAsia="Arial" w:hAnsi="Arial"/>
          <w:sz w:val="22"/>
          <w:szCs w:val="22"/>
          <w:color w:val="auto"/>
        </w:rPr>
        <w:t>In addition, certain matters, such as the removal of directors or auditors, require special notice, which is 28 clear days’ notice.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Shareholder Proposals and Shareholder Nomination of Directors</w:t>
      </w:r>
    </w:p>
    <w:p>
      <w:pPr>
        <w:spacing w:after="0" w:line="98" w:lineRule="exact"/>
        <w:rPr>
          <w:sz w:val="20"/>
          <w:szCs w:val="20"/>
          <w:color w:val="auto"/>
        </w:rPr>
      </w:pPr>
    </w:p>
    <w:p>
      <w:pPr>
        <w:ind w:left="120" w:right="180" w:firstLine="551"/>
        <w:spacing w:after="0" w:line="297" w:lineRule="auto"/>
        <w:rPr>
          <w:sz w:val="20"/>
          <w:szCs w:val="20"/>
          <w:color w:val="auto"/>
        </w:rPr>
      </w:pPr>
      <w:r>
        <w:rPr>
          <w:rFonts w:ascii="Arial" w:cs="Arial" w:eastAsia="Arial" w:hAnsi="Arial"/>
          <w:sz w:val="19"/>
          <w:szCs w:val="19"/>
          <w:color w:val="auto"/>
        </w:rPr>
        <w:t>Under the U.K. Companies Act 2006, shareholders of a company may require the directors to call a general meeting of the company and may specify the text of a resolution to be voted on at that meeting if the request is made by two or more shareholders holding at least 5% of the paid-up capital of Mereo carrying voting rights at a general meeting.</w:t>
      </w:r>
    </w:p>
    <w:p>
      <w:pPr>
        <w:sectPr>
          <w:pgSz w:w="11900" w:h="16838" w:orient="portrait"/>
          <w:cols w:equalWidth="0" w:num="1">
            <w:col w:w="11120"/>
          </w:cols>
          <w:pgMar w:left="320" w:top="486" w:right="459" w:bottom="1440" w:gutter="0" w:footer="0" w:header="0"/>
        </w:sectPr>
      </w:pPr>
    </w:p>
    <w:p>
      <w:pPr>
        <w:spacing w:after="0" w:line="6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131</w:t>
      </w:r>
    </w:p>
    <w:p>
      <w:pPr>
        <w:sectPr>
          <w:pgSz w:w="11900" w:h="16838" w:orient="portrait"/>
          <w:cols w:equalWidth="0" w:num="1">
            <w:col w:w="11120"/>
          </w:cols>
          <w:pgMar w:left="320" w:top="486" w:right="45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right="60" w:firstLine="551"/>
        <w:spacing w:after="0" w:line="234" w:lineRule="auto"/>
        <w:rPr>
          <w:sz w:val="20"/>
          <w:szCs w:val="20"/>
          <w:color w:val="auto"/>
        </w:rPr>
      </w:pPr>
      <w:r>
        <w:rPr>
          <w:rFonts w:ascii="Arial" w:cs="Arial" w:eastAsia="Arial" w:hAnsi="Arial"/>
          <w:sz w:val="22"/>
          <w:szCs w:val="22"/>
          <w:color w:val="auto"/>
        </w:rPr>
        <w:t>In certain circumstances, shareholders may also require the company to circulate to shareholders that are entitled to receive notice of a general meeting, a statement of not more than 1,000 words with respect to (1) a matter referred to in a proposed resolution to be dealt with at that meeting, or (2) other business to be deal with at that meeting. A company is required to circulate a statement once it has received requests to do so from (1) two or more shareholders representing at least 5% of the total voting rights of all shareholders who have a relevant right to vote, or (2) by at least 100 shareholders who have a relevant right to vote and hold shares in the company on which there has been paid up an average sum, per shareholder, of at least £100.</w:t>
      </w:r>
    </w:p>
    <w:p>
      <w:pPr>
        <w:spacing w:after="0" w:line="191" w:lineRule="exact"/>
        <w:rPr>
          <w:sz w:val="20"/>
          <w:szCs w:val="20"/>
          <w:color w:val="auto"/>
        </w:rPr>
      </w:pPr>
    </w:p>
    <w:p>
      <w:pPr>
        <w:ind w:left="120" w:right="560" w:firstLine="551"/>
        <w:spacing w:after="0" w:line="250" w:lineRule="auto"/>
        <w:rPr>
          <w:sz w:val="20"/>
          <w:szCs w:val="20"/>
          <w:color w:val="auto"/>
        </w:rPr>
      </w:pPr>
      <w:r>
        <w:rPr>
          <w:rFonts w:ascii="Arial" w:cs="Arial" w:eastAsia="Arial" w:hAnsi="Arial"/>
          <w:sz w:val="22"/>
          <w:szCs w:val="22"/>
          <w:color w:val="auto"/>
        </w:rPr>
        <w:t>Resolutions to appoint or re-appoint directors to a public limited company such as Mereo must generally be put to shareholders on the basis of one resolution for each nominated director.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Number of Directors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Under the U.K. Companies Act 2006, a public limited company must have at least two directors being natural persons.</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Classification of the Board</w:t>
      </w:r>
    </w:p>
    <w:p>
      <w:pPr>
        <w:spacing w:after="0" w:line="98"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21"/>
          <w:szCs w:val="21"/>
          <w:color w:val="auto"/>
        </w:rPr>
        <w:t>Under the U.K. Companies Act 2006, a company may not enter into a service contract with a fixed term of more than two years with a director or (where the director is a director of a holding company) with a member of the group consisting of that company and its subsidiaries unless such contract has been approved by an ordinary resolution of the shareholders of the company or (in the case of a director of a holding company) of the shareholders of the holding company. Such a resolution must not be passed unless a memorandum setting out the proposed contract incorporating the provision is made available to members of the company both (1) at the company’s registered office for not less than 15 days ending with the date of the meeting; and (2) at the meeting itself.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Removal of Directors</w:t>
      </w:r>
    </w:p>
    <w:p>
      <w:pPr>
        <w:spacing w:after="0" w:line="98" w:lineRule="exact"/>
        <w:rPr>
          <w:sz w:val="20"/>
          <w:szCs w:val="20"/>
          <w:color w:val="auto"/>
        </w:rPr>
      </w:pPr>
    </w:p>
    <w:p>
      <w:pPr>
        <w:ind w:left="120" w:right="80" w:firstLine="551"/>
        <w:spacing w:after="0" w:line="249" w:lineRule="auto"/>
        <w:rPr>
          <w:sz w:val="20"/>
          <w:szCs w:val="20"/>
          <w:color w:val="auto"/>
        </w:rPr>
      </w:pPr>
      <w:r>
        <w:rPr>
          <w:rFonts w:ascii="Arial" w:cs="Arial" w:eastAsia="Arial" w:hAnsi="Arial"/>
          <w:sz w:val="21"/>
          <w:szCs w:val="21"/>
          <w:color w:val="auto"/>
        </w:rPr>
        <w:t>Under the U.K. Companies Act 2006, a company may remove a director without cause at a general meeting by way of an ordinary resolution of shareholders,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Limitation of Director Liability</w:t>
      </w:r>
    </w:p>
    <w:p>
      <w:pPr>
        <w:spacing w:after="0" w:line="9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 and any provision where the company is seeking to indemnify a director for such liability is also void except as allowed by the provision of insurance.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Directors and Officers Indemnity</w:t>
      </w:r>
    </w:p>
    <w:p>
      <w:pPr>
        <w:spacing w:after="0" w:line="98"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Any provision by which Mereo directly or indirectly provides an indemnity (to any extent) for a director of the company or of an “associated company” (i.e., a company that is a parent, subsidiary or sister company of Mereo) against any liability attaching to him in connection with any negligence, default, breach of duty or breach of trust in relation to the company of which he or she is a director is void except as permitted by the U.K. Companies Act 2006, which provides exceptions for Mereo to:</w:t>
      </w:r>
    </w:p>
    <w:p>
      <w:pPr>
        <w:spacing w:after="0" w:line="93" w:lineRule="exact"/>
        <w:rPr>
          <w:sz w:val="20"/>
          <w:szCs w:val="20"/>
          <w:color w:val="auto"/>
        </w:rPr>
      </w:pPr>
    </w:p>
    <w:p>
      <w:pPr>
        <w:ind w:left="1420" w:right="80" w:hanging="535"/>
        <w:spacing w:after="0"/>
        <w:tabs>
          <w:tab w:leader="none" w:pos="14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purchase and maintain director and officer insurance insuring its directors or the directors of an associated company against any liability attaching in connection with any negligence, default, breach of duty or breach of trust in relation to the company of which he or she is a director;</w:t>
      </w:r>
    </w:p>
    <w:p>
      <w:pPr>
        <w:spacing w:after="0" w:line="91" w:lineRule="exact"/>
        <w:rPr>
          <w:rFonts w:ascii="Arial" w:cs="Arial" w:eastAsia="Arial" w:hAnsi="Arial"/>
          <w:sz w:val="22"/>
          <w:szCs w:val="22"/>
          <w:color w:val="auto"/>
        </w:rPr>
      </w:pPr>
    </w:p>
    <w:p>
      <w:pPr>
        <w:ind w:left="1420" w:right="100" w:hanging="535"/>
        <w:spacing w:after="0" w:line="248" w:lineRule="auto"/>
        <w:tabs>
          <w:tab w:leader="none" w:pos="14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provide a “qualifying third party indemnity,” which is an indemnity against liability incurred by Mereo’s directors and directors of an associated company to a person other than Mereo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ectPr>
          <w:pgSz w:w="11900" w:h="16838" w:orient="portrait"/>
          <w:cols w:equalWidth="0" w:num="1">
            <w:col w:w="11080"/>
          </w:cols>
          <w:pgMar w:left="320" w:top="486" w:right="499" w:bottom="1114" w:gutter="0" w:footer="0" w:header="0"/>
        </w:sectPr>
      </w:pP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132</w:t>
      </w:r>
    </w:p>
    <w:p>
      <w:pPr>
        <w:sectPr>
          <w:pgSz w:w="11900" w:h="16838" w:orient="portrait"/>
          <w:cols w:equalWidth="0" w:num="1">
            <w:col w:w="11080"/>
          </w:cols>
          <w:pgMar w:left="320" w:top="486" w:right="499" w:bottom="1114"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420" w:hanging="535"/>
        <w:spacing w:after="0" w:line="249" w:lineRule="auto"/>
        <w:tabs>
          <w:tab w:leader="none" w:pos="14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provide a “qualifying pension scheme indemnity,” which is an indemnity against liability incurred in connection 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pacing w:after="0" w:line="17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22"/>
          <w:szCs w:val="22"/>
          <w:color w:val="auto"/>
        </w:rPr>
        <w:t>The U.K. Companies Act 2006 also provides that Mereo may lend a director of Mereo funds to meet expenditure incurred by him in defending any criminal or civil proceedings in connection with any alleged negligence, default, breach of duty or breach of trust by him in relation to Mereo or an associated company, or in connection with an application for certain specified relief, subject to the requirement that the loan must be on terms that it is to be repaid if the defense or the application for relief is unsuccessful.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Derivative Suits and Class Action Suits</w:t>
      </w:r>
    </w:p>
    <w:p>
      <w:pPr>
        <w:spacing w:after="0" w:line="98" w:lineRule="exact"/>
        <w:rPr>
          <w:sz w:val="20"/>
          <w:szCs w:val="20"/>
          <w:color w:val="auto"/>
        </w:rPr>
      </w:pPr>
    </w:p>
    <w:p>
      <w:pPr>
        <w:ind w:left="120" w:right="60" w:firstLine="551"/>
        <w:spacing w:after="0" w:line="234" w:lineRule="auto"/>
        <w:rPr>
          <w:sz w:val="20"/>
          <w:szCs w:val="20"/>
          <w:color w:val="auto"/>
        </w:rPr>
      </w:pPr>
      <w:r>
        <w:rPr>
          <w:rFonts w:ascii="Arial" w:cs="Arial" w:eastAsia="Arial" w:hAnsi="Arial"/>
          <w:sz w:val="22"/>
          <w:szCs w:val="22"/>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 (2) 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w:t>
      </w:r>
    </w:p>
    <w:p>
      <w:pPr>
        <w:spacing w:after="0" w:line="187" w:lineRule="exact"/>
        <w:rPr>
          <w:sz w:val="20"/>
          <w:szCs w:val="20"/>
          <w:color w:val="auto"/>
        </w:rPr>
      </w:pPr>
    </w:p>
    <w:p>
      <w:pPr>
        <w:ind w:left="120" w:right="80" w:firstLine="551"/>
        <w:spacing w:after="0" w:line="287" w:lineRule="auto"/>
        <w:rPr>
          <w:sz w:val="20"/>
          <w:szCs w:val="20"/>
          <w:color w:val="auto"/>
        </w:rPr>
      </w:pPr>
      <w:r>
        <w:rPr>
          <w:rFonts w:ascii="Arial" w:cs="Arial" w:eastAsia="Arial" w:hAnsi="Arial"/>
          <w:sz w:val="19"/>
          <w:szCs w:val="19"/>
          <w:color w:val="auto"/>
        </w:rPr>
        <w:t>The U.K. Limitation Act 1980 imposes a limitation period, with certain exceptions,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Conflicts of Interest Transactions</w:t>
      </w:r>
    </w:p>
    <w:p>
      <w:pPr>
        <w:spacing w:after="0" w:line="98" w:lineRule="exact"/>
        <w:rPr>
          <w:sz w:val="20"/>
          <w:szCs w:val="20"/>
          <w:color w:val="auto"/>
        </w:rPr>
      </w:pPr>
    </w:p>
    <w:p>
      <w:pPr>
        <w:ind w:left="120" w:right="160" w:firstLine="551"/>
        <w:spacing w:after="0"/>
        <w:rPr>
          <w:sz w:val="20"/>
          <w:szCs w:val="20"/>
          <w:color w:val="auto"/>
        </w:rPr>
      </w:pPr>
      <w:r>
        <w:rPr>
          <w:rFonts w:ascii="Arial" w:cs="Arial" w:eastAsia="Arial" w:hAnsi="Arial"/>
          <w:sz w:val="22"/>
          <w:szCs w:val="22"/>
          <w:color w:val="auto"/>
        </w:rPr>
        <w:t>Under English law, a director is under a duty to avoid conflicts of interest, and is obliged to declare his or her interest (whether direct or indirect) in a proposed transaction with the company to the other directors. It is an offense to fail to declare an interest (whether direct or indirect) in an existing transaction with the company.</w:t>
      </w:r>
    </w:p>
    <w:p>
      <w:pPr>
        <w:spacing w:after="0" w:line="186" w:lineRule="exact"/>
        <w:rPr>
          <w:sz w:val="20"/>
          <w:szCs w:val="20"/>
          <w:color w:val="auto"/>
        </w:rPr>
      </w:pPr>
    </w:p>
    <w:p>
      <w:pPr>
        <w:ind w:left="120" w:right="340" w:firstLine="551"/>
        <w:spacing w:after="0" w:line="250" w:lineRule="auto"/>
        <w:rPr>
          <w:sz w:val="20"/>
          <w:szCs w:val="20"/>
          <w:color w:val="auto"/>
        </w:rPr>
      </w:pPr>
      <w:r>
        <w:rPr>
          <w:rFonts w:ascii="Arial" w:cs="Arial" w:eastAsia="Arial" w:hAnsi="Arial"/>
          <w:sz w:val="22"/>
          <w:szCs w:val="22"/>
          <w:color w:val="auto"/>
        </w:rPr>
        <w:t>The duty to avoid a conflict of interest is not infringed if the situation cannot reasonably be regarded as likely to give rise to a conflict of interest or if the matter has been authorized by the directors.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U.K. Law Considerations</w:t>
      </w:r>
    </w:p>
    <w:p>
      <w:pPr>
        <w:spacing w:after="0" w:line="104" w:lineRule="exact"/>
        <w:rPr>
          <w:sz w:val="20"/>
          <w:szCs w:val="20"/>
          <w:color w:val="auto"/>
        </w:rPr>
      </w:pPr>
    </w:p>
    <w:p>
      <w:pPr>
        <w:ind w:left="120" w:right="40" w:firstLine="551"/>
        <w:spacing w:after="0" w:line="250" w:lineRule="auto"/>
        <w:rPr>
          <w:sz w:val="20"/>
          <w:szCs w:val="20"/>
          <w:color w:val="auto"/>
        </w:rPr>
      </w:pPr>
      <w:r>
        <w:rPr>
          <w:rFonts w:ascii="Arial" w:cs="Arial" w:eastAsia="Arial" w:hAnsi="Arial"/>
          <w:sz w:val="22"/>
          <w:szCs w:val="22"/>
          <w:color w:val="auto"/>
        </w:rPr>
        <w:t>See “Item 10. Additional Information—B. Memorandum and Articles of Association—Other U.K. Law Considerations” for other applicable corporate governance practices.</w:t>
      </w:r>
    </w:p>
    <w:p>
      <w:pPr>
        <w:spacing w:after="0" w:line="317"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16H.</w:t>
      </w:r>
      <w:r>
        <w:rPr>
          <w:sz w:val="20"/>
          <w:szCs w:val="20"/>
          <w:color w:val="auto"/>
        </w:rPr>
        <w:tab/>
      </w:r>
      <w:r>
        <w:rPr>
          <w:rFonts w:ascii="Arial" w:cs="Arial" w:eastAsia="Arial" w:hAnsi="Arial"/>
          <w:sz w:val="19"/>
          <w:szCs w:val="19"/>
          <w:b w:val="1"/>
          <w:bCs w:val="1"/>
          <w:color w:val="auto"/>
        </w:rPr>
        <w:t>Mine Safety Disclosure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34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2"/>
          <w:szCs w:val="22"/>
          <w:b w:val="1"/>
          <w:bCs w:val="1"/>
          <w:color w:val="auto"/>
        </w:rPr>
        <w:t>Item 16I.</w:t>
      </w:r>
      <w:r>
        <w:rPr>
          <w:sz w:val="20"/>
          <w:szCs w:val="20"/>
          <w:color w:val="auto"/>
        </w:rPr>
        <w:tab/>
      </w:r>
      <w:r>
        <w:rPr>
          <w:rFonts w:ascii="Arial" w:cs="Arial" w:eastAsia="Arial" w:hAnsi="Arial"/>
          <w:sz w:val="19"/>
          <w:szCs w:val="19"/>
          <w:b w:val="1"/>
          <w:bCs w:val="1"/>
          <w:color w:val="auto"/>
        </w:rPr>
        <w:t>Disclosure Regarding Foreign Jurisdictions that Prevent Inspections.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120"/>
          </w:cols>
          <w:pgMar w:left="320" w:top="486"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PART THREE</w:t>
      </w:r>
    </w:p>
    <w:p>
      <w:pPr>
        <w:spacing w:after="0" w:line="11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17.</w:t>
      </w:r>
      <w:r>
        <w:rPr>
          <w:sz w:val="20"/>
          <w:szCs w:val="20"/>
          <w:color w:val="auto"/>
        </w:rPr>
        <w:tab/>
      </w:r>
      <w:r>
        <w:rPr>
          <w:rFonts w:ascii="Arial" w:cs="Arial" w:eastAsia="Arial" w:hAnsi="Arial"/>
          <w:sz w:val="19"/>
          <w:szCs w:val="19"/>
          <w:b w:val="1"/>
          <w:bCs w:val="1"/>
          <w:color w:val="auto"/>
        </w:rPr>
        <w:t>Financial Statements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elected to provide financial statements pursuant to Item 18.</w:t>
      </w:r>
    </w:p>
    <w:p>
      <w:pPr>
        <w:spacing w:after="0" w:line="34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22"/>
          <w:szCs w:val="22"/>
          <w:b w:val="1"/>
          <w:bCs w:val="1"/>
          <w:color w:val="auto"/>
        </w:rPr>
        <w:t>Item 18.</w:t>
      </w:r>
      <w:r>
        <w:rPr>
          <w:sz w:val="20"/>
          <w:szCs w:val="20"/>
          <w:color w:val="auto"/>
        </w:rPr>
        <w:tab/>
      </w:r>
      <w:r>
        <w:rPr>
          <w:rFonts w:ascii="Arial" w:cs="Arial" w:eastAsia="Arial" w:hAnsi="Arial"/>
          <w:sz w:val="19"/>
          <w:szCs w:val="19"/>
          <w:b w:val="1"/>
          <w:bCs w:val="1"/>
          <w:color w:val="auto"/>
        </w:rPr>
        <w:t>Financial Statements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audited consolidated financial statements are included in this annual report beginning at page F-1.</w:t>
      </w: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19.</w:t>
            </w:r>
          </w:p>
        </w:tc>
        <w:tc>
          <w:tcPr>
            <w:tcW w:w="9760" w:type="dxa"/>
            <w:vAlign w:val="bottom"/>
            <w:gridSpan w:val="14"/>
          </w:tcPr>
          <w:p>
            <w:pPr>
              <w:ind w:left="80"/>
              <w:spacing w:after="0"/>
              <w:rPr>
                <w:sz w:val="20"/>
                <w:szCs w:val="20"/>
                <w:color w:val="auto"/>
              </w:rPr>
            </w:pPr>
            <w:r>
              <w:rPr>
                <w:rFonts w:ascii="Arial" w:cs="Arial" w:eastAsia="Arial" w:hAnsi="Arial"/>
                <w:sz w:val="22"/>
                <w:szCs w:val="22"/>
                <w:b w:val="1"/>
                <w:bCs w:val="1"/>
                <w:color w:val="auto"/>
              </w:rPr>
              <w:t>Exhibits</w:t>
            </w:r>
          </w:p>
        </w:tc>
      </w:tr>
      <w:tr>
        <w:trPr>
          <w:trHeight w:val="675"/>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80" w:type="dxa"/>
            <w:vAlign w:val="bottom"/>
            <w:gridSpan w:val="11"/>
          </w:tcPr>
          <w:p>
            <w:pPr>
              <w:jc w:val="center"/>
              <w:ind w:right="3280"/>
              <w:spacing w:after="0"/>
              <w:rPr>
                <w:sz w:val="20"/>
                <w:szCs w:val="20"/>
                <w:color w:val="auto"/>
              </w:rPr>
            </w:pPr>
            <w:r>
              <w:rPr>
                <w:rFonts w:ascii="Arial" w:cs="Arial" w:eastAsia="Arial" w:hAnsi="Arial"/>
                <w:sz w:val="22"/>
                <w:szCs w:val="22"/>
                <w:b w:val="1"/>
                <w:bCs w:val="1"/>
                <w:color w:val="auto"/>
              </w:rPr>
              <w:t>EXHIBIT INDEX</w:t>
            </w:r>
          </w:p>
        </w:tc>
      </w:tr>
      <w:tr>
        <w:trPr>
          <w:trHeight w:val="440"/>
        </w:trPr>
        <w:tc>
          <w:tcPr>
            <w:tcW w:w="1220" w:type="dxa"/>
            <w:vAlign w:val="bottom"/>
            <w:gridSpan w:val="2"/>
          </w:tcPr>
          <w:p>
            <w:pPr>
              <w:ind w:left="40"/>
              <w:spacing w:after="0"/>
              <w:rPr>
                <w:sz w:val="20"/>
                <w:szCs w:val="20"/>
                <w:color w:val="auto"/>
              </w:rPr>
            </w:pPr>
            <w:r>
              <w:rPr>
                <w:rFonts w:ascii="Arial" w:cs="Arial" w:eastAsia="Arial" w:hAnsi="Arial"/>
                <w:sz w:val="20"/>
                <w:szCs w:val="20"/>
                <w:b w:val="1"/>
                <w:bCs w:val="1"/>
                <w:color w:val="auto"/>
              </w:rPr>
              <w:t>Exhibit</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6"/>
        </w:trPr>
        <w:tc>
          <w:tcPr>
            <w:tcW w:w="1220" w:type="dxa"/>
            <w:vAlign w:val="bottom"/>
            <w:gridSpan w:val="2"/>
          </w:tcPr>
          <w:p>
            <w:pPr>
              <w:ind w:left="200"/>
              <w:spacing w:after="0"/>
              <w:rPr>
                <w:sz w:val="20"/>
                <w:szCs w:val="20"/>
                <w:color w:val="auto"/>
              </w:rPr>
            </w:pPr>
            <w:r>
              <w:rPr>
                <w:rFonts w:ascii="Arial" w:cs="Arial" w:eastAsia="Arial" w:hAnsi="Arial"/>
                <w:sz w:val="20"/>
                <w:szCs w:val="20"/>
                <w:b w:val="1"/>
                <w:bCs w:val="1"/>
                <w:color w:val="auto"/>
              </w:rPr>
              <w:t>No.</w:t>
            </w: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60" w:type="dxa"/>
            <w:vAlign w:val="bottom"/>
            <w:gridSpan w:val="10"/>
          </w:tcPr>
          <w:p>
            <w:pPr>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8"/>
        </w:trPr>
        <w:tc>
          <w:tcPr>
            <w:tcW w:w="680" w:type="dxa"/>
            <w:vAlign w:val="bottom"/>
          </w:tcPr>
          <w:p>
            <w:pPr>
              <w:ind w:left="220"/>
              <w:spacing w:after="0"/>
              <w:rPr>
                <w:sz w:val="20"/>
                <w:szCs w:val="20"/>
                <w:color w:val="auto"/>
              </w:rPr>
            </w:pPr>
            <w:r>
              <w:rPr>
                <w:rFonts w:ascii="Arial" w:cs="Arial" w:eastAsia="Arial" w:hAnsi="Arial"/>
                <w:sz w:val="22"/>
                <w:szCs w:val="22"/>
                <w:color w:val="auto"/>
              </w:rPr>
              <w:t>1.1*</w:t>
            </w:r>
          </w:p>
        </w:tc>
        <w:tc>
          <w:tcPr>
            <w:tcW w:w="54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22"/>
                <w:szCs w:val="22"/>
                <w:color w:val="0000EE"/>
                <w:w w:val="97"/>
              </w:rPr>
            </w:pPr>
            <w:hyperlink r:id="rId173">
              <w:r>
                <w:rPr>
                  <w:rFonts w:ascii="Arial" w:cs="Arial" w:eastAsia="Arial" w:hAnsi="Arial"/>
                  <w:sz w:val="22"/>
                  <w:szCs w:val="22"/>
                  <w:color w:val="0000EE"/>
                  <w:w w:val="97"/>
                </w:rPr>
                <w:t>Articles of Association of Mereo BioPharma Group plc (incorporated into this Form 20-F by reference to</w:t>
              </w:r>
            </w:hyperlink>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00" w:type="dxa"/>
            <w:vAlign w:val="bottom"/>
            <w:tcBorders>
              <w:top w:val="single" w:sz="8" w:color="0000EE"/>
            </w:tcBorders>
            <w:gridSpan w:val="9"/>
          </w:tcPr>
          <w:p>
            <w:pPr>
              <w:spacing w:after="0" w:line="223" w:lineRule="exact"/>
              <w:rPr>
                <w:rFonts w:ascii="Arial" w:cs="Arial" w:eastAsia="Arial" w:hAnsi="Arial"/>
                <w:sz w:val="22"/>
                <w:szCs w:val="22"/>
                <w:color w:val="0000EE"/>
              </w:rPr>
            </w:pPr>
            <w:hyperlink r:id="rId173">
              <w:r>
                <w:rPr>
                  <w:rFonts w:ascii="Arial" w:cs="Arial" w:eastAsia="Arial" w:hAnsi="Arial"/>
                  <w:sz w:val="22"/>
                  <w:szCs w:val="22"/>
                  <w:color w:val="0000EE"/>
                </w:rPr>
                <w:t>Mereo’s Form F-4 filed January 24, 2019 (File No. 333-229351)).</w:t>
              </w:r>
            </w:hyperlink>
          </w:p>
        </w:tc>
        <w:tc>
          <w:tcPr>
            <w:tcW w:w="660" w:type="dxa"/>
            <w:vAlign w:val="bottom"/>
            <w:gridSpan w:val="5"/>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1"/>
        </w:trPr>
        <w:tc>
          <w:tcPr>
            <w:tcW w:w="680" w:type="dxa"/>
            <w:vAlign w:val="bottom"/>
          </w:tcPr>
          <w:p>
            <w:pPr>
              <w:ind w:left="220"/>
              <w:spacing w:after="0"/>
              <w:rPr>
                <w:sz w:val="20"/>
                <w:szCs w:val="20"/>
                <w:color w:val="auto"/>
              </w:rPr>
            </w:pPr>
            <w:r>
              <w:rPr>
                <w:rFonts w:ascii="Arial" w:cs="Arial" w:eastAsia="Arial" w:hAnsi="Arial"/>
                <w:sz w:val="22"/>
                <w:szCs w:val="22"/>
                <w:color w:val="auto"/>
              </w:rPr>
              <w:t>2.1*</w:t>
            </w:r>
          </w:p>
        </w:tc>
        <w:tc>
          <w:tcPr>
            <w:tcW w:w="540" w:type="dxa"/>
            <w:vAlign w:val="bottom"/>
          </w:tcPr>
          <w:p>
            <w:pPr>
              <w:spacing w:after="0"/>
              <w:rPr>
                <w:sz w:val="24"/>
                <w:szCs w:val="24"/>
                <w:color w:val="auto"/>
              </w:rPr>
            </w:pPr>
          </w:p>
        </w:tc>
        <w:tc>
          <w:tcPr>
            <w:tcW w:w="9360" w:type="dxa"/>
            <w:vAlign w:val="bottom"/>
            <w:tcBorders>
              <w:bottom w:val="single" w:sz="8" w:color="0000EE"/>
            </w:tcBorders>
            <w:gridSpan w:val="12"/>
          </w:tcPr>
          <w:p>
            <w:pPr>
              <w:spacing w:after="0"/>
              <w:rPr>
                <w:rFonts w:ascii="Arial" w:cs="Arial" w:eastAsia="Arial" w:hAnsi="Arial"/>
                <w:sz w:val="22"/>
                <w:szCs w:val="22"/>
                <w:color w:val="0000EE"/>
                <w:w w:val="90"/>
              </w:rPr>
            </w:pPr>
            <w:hyperlink r:id="rId174">
              <w:r>
                <w:rPr>
                  <w:rFonts w:ascii="Arial" w:cs="Arial" w:eastAsia="Arial" w:hAnsi="Arial"/>
                  <w:sz w:val="22"/>
                  <w:szCs w:val="22"/>
                  <w:color w:val="0000EE"/>
                  <w:w w:val="90"/>
                </w:rPr>
                <w:t>Form of American Depositary Receipt of Mereo BioPharma Group plc (incorporated into this Form 20-F by</w:t>
              </w:r>
            </w:hyperlink>
          </w:p>
        </w:tc>
        <w:tc>
          <w:tcPr>
            <w:tcW w:w="400" w:type="dxa"/>
            <w:vAlign w:val="bottom"/>
            <w:gridSpan w:val="2"/>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00" w:type="dxa"/>
            <w:vAlign w:val="bottom"/>
            <w:tcBorders>
              <w:bottom w:val="single" w:sz="8" w:color="0000EE"/>
            </w:tcBorders>
            <w:gridSpan w:val="7"/>
          </w:tcPr>
          <w:p>
            <w:pPr>
              <w:spacing w:after="0" w:line="223" w:lineRule="exact"/>
              <w:rPr>
                <w:rFonts w:ascii="Arial" w:cs="Arial" w:eastAsia="Arial" w:hAnsi="Arial"/>
                <w:sz w:val="22"/>
                <w:szCs w:val="22"/>
                <w:color w:val="0000EE"/>
                <w:w w:val="90"/>
              </w:rPr>
            </w:pPr>
            <w:hyperlink r:id="rId174">
              <w:r>
                <w:rPr>
                  <w:rFonts w:ascii="Arial" w:cs="Arial" w:eastAsia="Arial" w:hAnsi="Arial"/>
                  <w:sz w:val="22"/>
                  <w:szCs w:val="22"/>
                  <w:color w:val="0000EE"/>
                  <w:w w:val="90"/>
                </w:rPr>
                <w:t>reference to Mereo’s Form F-4/A filed March 15, 2019 (File No. 333-229351)).</w:t>
              </w:r>
            </w:hyperlink>
          </w:p>
        </w:tc>
        <w:tc>
          <w:tcPr>
            <w:tcW w:w="2860" w:type="dxa"/>
            <w:vAlign w:val="bottom"/>
            <w:gridSpan w:val="7"/>
          </w:tcPr>
          <w:p>
            <w:pPr>
              <w:spacing w:after="0"/>
              <w:rPr>
                <w:sz w:val="19"/>
                <w:szCs w:val="19"/>
                <w:color w:val="auto"/>
              </w:rPr>
            </w:pPr>
          </w:p>
        </w:tc>
      </w:tr>
      <w:tr>
        <w:trPr>
          <w:trHeight w:val="331"/>
        </w:trPr>
        <w:tc>
          <w:tcPr>
            <w:tcW w:w="680" w:type="dxa"/>
            <w:vAlign w:val="bottom"/>
          </w:tcPr>
          <w:p>
            <w:pPr>
              <w:ind w:left="220"/>
              <w:spacing w:after="0"/>
              <w:rPr>
                <w:sz w:val="20"/>
                <w:szCs w:val="20"/>
                <w:color w:val="auto"/>
              </w:rPr>
            </w:pPr>
            <w:r>
              <w:rPr>
                <w:rFonts w:ascii="Arial" w:cs="Arial" w:eastAsia="Arial" w:hAnsi="Arial"/>
                <w:sz w:val="22"/>
                <w:szCs w:val="22"/>
                <w:color w:val="auto"/>
              </w:rPr>
              <w:t>2.2*</w:t>
            </w:r>
          </w:p>
        </w:tc>
        <w:tc>
          <w:tcPr>
            <w:tcW w:w="54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Arial" w:cs="Arial" w:eastAsia="Arial" w:hAnsi="Arial"/>
                <w:sz w:val="22"/>
                <w:szCs w:val="22"/>
                <w:color w:val="0000EE"/>
                <w:w w:val="89"/>
              </w:rPr>
            </w:pPr>
            <w:hyperlink r:id="rId175">
              <w:r>
                <w:rPr>
                  <w:rFonts w:ascii="Arial" w:cs="Arial" w:eastAsia="Arial" w:hAnsi="Arial"/>
                  <w:sz w:val="22"/>
                  <w:szCs w:val="22"/>
                  <w:color w:val="0000EE"/>
                  <w:w w:val="89"/>
                </w:rPr>
                <w:t>Description of Securities Registered under Section 12 of the Exchange Act. (incorporated into this Form 20-F by</w:t>
              </w:r>
            </w:hyperlink>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80" w:type="dxa"/>
            <w:vAlign w:val="bottom"/>
            <w:tcBorders>
              <w:bottom w:val="single" w:sz="8" w:color="0000EE"/>
            </w:tcBorders>
            <w:gridSpan w:val="10"/>
          </w:tcPr>
          <w:p>
            <w:pPr>
              <w:spacing w:after="0" w:line="223" w:lineRule="exact"/>
              <w:rPr>
                <w:rFonts w:ascii="Arial" w:cs="Arial" w:eastAsia="Arial" w:hAnsi="Arial"/>
                <w:sz w:val="22"/>
                <w:szCs w:val="22"/>
                <w:color w:val="0000EE"/>
                <w:w w:val="89"/>
              </w:rPr>
            </w:pPr>
            <w:hyperlink r:id="rId175">
              <w:r>
                <w:rPr>
                  <w:rFonts w:ascii="Arial" w:cs="Arial" w:eastAsia="Arial" w:hAnsi="Arial"/>
                  <w:sz w:val="22"/>
                  <w:szCs w:val="22"/>
                  <w:color w:val="0000EE"/>
                  <w:w w:val="89"/>
                </w:rPr>
                <w:t>reference to exhibit 2.2 to Mereo’s Form 20-F for the year ended December 31, 2020 filed with the SEC on</w:t>
              </w:r>
            </w:hyperlink>
          </w:p>
        </w:tc>
        <w:tc>
          <w:tcPr>
            <w:tcW w:w="480" w:type="dxa"/>
            <w:vAlign w:val="bottom"/>
            <w:gridSpan w:val="4"/>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tcBorders>
              <w:bottom w:val="single" w:sz="8" w:color="0000EE"/>
            </w:tcBorders>
            <w:gridSpan w:val="2"/>
          </w:tcPr>
          <w:p>
            <w:pPr>
              <w:spacing w:after="0" w:line="223" w:lineRule="exact"/>
              <w:rPr>
                <w:rFonts w:ascii="Arial" w:cs="Arial" w:eastAsia="Arial" w:hAnsi="Arial"/>
                <w:sz w:val="22"/>
                <w:szCs w:val="22"/>
                <w:color w:val="0000EE"/>
                <w:w w:val="89"/>
              </w:rPr>
            </w:pPr>
            <w:hyperlink r:id="rId175">
              <w:r>
                <w:rPr>
                  <w:rFonts w:ascii="Arial" w:cs="Arial" w:eastAsia="Arial" w:hAnsi="Arial"/>
                  <w:sz w:val="22"/>
                  <w:szCs w:val="22"/>
                  <w:color w:val="0000EE"/>
                  <w:w w:val="89"/>
                </w:rPr>
                <w:t>March 31, 2021)</w:t>
              </w:r>
            </w:hyperlink>
          </w:p>
        </w:tc>
        <w:tc>
          <w:tcPr>
            <w:tcW w:w="8300" w:type="dxa"/>
            <w:vAlign w:val="bottom"/>
            <w:gridSpan w:val="12"/>
          </w:tcPr>
          <w:p>
            <w:pPr>
              <w:spacing w:after="0"/>
              <w:rPr>
                <w:sz w:val="19"/>
                <w:szCs w:val="19"/>
                <w:color w:val="auto"/>
              </w:rPr>
            </w:pPr>
          </w:p>
        </w:tc>
      </w:tr>
      <w:tr>
        <w:trPr>
          <w:trHeight w:val="331"/>
        </w:trPr>
        <w:tc>
          <w:tcPr>
            <w:tcW w:w="680" w:type="dxa"/>
            <w:vAlign w:val="bottom"/>
          </w:tcPr>
          <w:p>
            <w:pPr>
              <w:ind w:left="220"/>
              <w:spacing w:after="0"/>
              <w:rPr>
                <w:sz w:val="20"/>
                <w:szCs w:val="20"/>
                <w:color w:val="auto"/>
              </w:rPr>
            </w:pPr>
            <w:r>
              <w:rPr>
                <w:rFonts w:ascii="Arial" w:cs="Arial" w:eastAsia="Arial" w:hAnsi="Arial"/>
                <w:sz w:val="22"/>
                <w:szCs w:val="22"/>
                <w:color w:val="auto"/>
              </w:rPr>
              <w:t>4.1*</w:t>
            </w:r>
          </w:p>
        </w:tc>
        <w:tc>
          <w:tcPr>
            <w:tcW w:w="540" w:type="dxa"/>
            <w:vAlign w:val="bottom"/>
          </w:tcPr>
          <w:p>
            <w:pPr>
              <w:spacing w:after="0"/>
              <w:rPr>
                <w:sz w:val="24"/>
                <w:szCs w:val="24"/>
                <w:color w:val="auto"/>
              </w:rPr>
            </w:pPr>
          </w:p>
        </w:tc>
        <w:tc>
          <w:tcPr>
            <w:tcW w:w="9620" w:type="dxa"/>
            <w:vAlign w:val="bottom"/>
            <w:tcBorders>
              <w:bottom w:val="single" w:sz="8" w:color="0000EE"/>
            </w:tcBorders>
            <w:gridSpan w:val="13"/>
          </w:tcPr>
          <w:p>
            <w:pPr>
              <w:spacing w:after="0"/>
              <w:rPr>
                <w:rFonts w:ascii="Arial" w:cs="Arial" w:eastAsia="Arial" w:hAnsi="Arial"/>
                <w:sz w:val="22"/>
                <w:szCs w:val="22"/>
                <w:color w:val="0000EE"/>
                <w:w w:val="88"/>
              </w:rPr>
            </w:pPr>
            <w:hyperlink r:id="rId176">
              <w:r>
                <w:rPr>
                  <w:rFonts w:ascii="Arial" w:cs="Arial" w:eastAsia="Arial" w:hAnsi="Arial"/>
                  <w:sz w:val="22"/>
                  <w:szCs w:val="22"/>
                  <w:color w:val="0000EE"/>
                  <w:w w:val="88"/>
                </w:rPr>
                <w:t>Agreement and Plan of Merger and Reorganization, dated December 5, 2018, by and among Mereo BioPharma</w:t>
              </w:r>
            </w:hyperlink>
          </w:p>
        </w:tc>
        <w:tc>
          <w:tcPr>
            <w:tcW w:w="14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60" w:type="dxa"/>
            <w:vAlign w:val="bottom"/>
            <w:gridSpan w:val="14"/>
          </w:tcPr>
          <w:p>
            <w:pPr>
              <w:spacing w:after="0" w:line="223" w:lineRule="exact"/>
              <w:rPr>
                <w:rFonts w:ascii="Arial" w:cs="Arial" w:eastAsia="Arial" w:hAnsi="Arial"/>
                <w:sz w:val="22"/>
                <w:szCs w:val="22"/>
                <w:color w:val="0000EE"/>
              </w:rPr>
            </w:pPr>
            <w:hyperlink r:id="rId176">
              <w:r>
                <w:rPr>
                  <w:rFonts w:ascii="Arial" w:cs="Arial" w:eastAsia="Arial" w:hAnsi="Arial"/>
                  <w:sz w:val="22"/>
                  <w:szCs w:val="22"/>
                  <w:color w:val="0000EE"/>
                </w:rPr>
                <w:t>Group plc, Mereo US Holdings Inc., Mereo MergerCo One Inc. and OncoMed Pharmaceuticals, Inc.</w:t>
              </w:r>
            </w:hyperlink>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620" w:type="dxa"/>
            <w:vAlign w:val="bottom"/>
            <w:gridSpan w:val="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60" w:type="dxa"/>
            <w:vAlign w:val="bottom"/>
            <w:gridSpan w:val="14"/>
          </w:tcPr>
          <w:p>
            <w:pPr>
              <w:spacing w:after="0" w:line="223" w:lineRule="exact"/>
              <w:rPr>
                <w:rFonts w:ascii="Arial" w:cs="Arial" w:eastAsia="Arial" w:hAnsi="Arial"/>
                <w:sz w:val="22"/>
                <w:szCs w:val="22"/>
                <w:color w:val="0000EE"/>
                <w:w w:val="95"/>
              </w:rPr>
            </w:pPr>
            <w:hyperlink r:id="rId176">
              <w:r>
                <w:rPr>
                  <w:rFonts w:ascii="Arial" w:cs="Arial" w:eastAsia="Arial" w:hAnsi="Arial"/>
                  <w:sz w:val="22"/>
                  <w:szCs w:val="22"/>
                  <w:color w:val="0000EE"/>
                  <w:w w:val="95"/>
                </w:rPr>
                <w:t>(incorporated into this Form 20-F by reference to Mereo’s Form F-4/A filed March 15, 2019 (File No. 333-</w:t>
              </w:r>
            </w:hyperlink>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9"/>
              </w:rPr>
            </w:pPr>
            <w:hyperlink r:id="rId176">
              <w:r>
                <w:rPr>
                  <w:rFonts w:ascii="Arial" w:cs="Arial" w:eastAsia="Arial" w:hAnsi="Arial"/>
                  <w:sz w:val="22"/>
                  <w:szCs w:val="22"/>
                  <w:color w:val="0000EE"/>
                  <w:w w:val="89"/>
                </w:rPr>
                <w:t>229351)</w:t>
              </w:r>
              <w:r>
                <w:rPr>
                  <w:rFonts w:ascii="Arial" w:cs="Arial" w:eastAsia="Arial" w:hAnsi="Arial"/>
                  <w:sz w:val="22"/>
                  <w:szCs w:val="22"/>
                  <w:u w:val="single" w:color="auto"/>
                  <w:color w:val="0000EE"/>
                  <w:w w:val="89"/>
                </w:rPr>
                <w:t>)</w:t>
              </w:r>
              <w:r>
                <w:rPr>
                  <w:rFonts w:ascii="Arial" w:cs="Arial" w:eastAsia="Arial" w:hAnsi="Arial"/>
                  <w:sz w:val="22"/>
                  <w:szCs w:val="22"/>
                  <w:color w:val="0000EE"/>
                  <w:w w:val="89"/>
                </w:rPr>
                <w:t>.</w:t>
              </w:r>
            </w:hyperlink>
          </w:p>
        </w:tc>
        <w:tc>
          <w:tcPr>
            <w:tcW w:w="60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3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1220" w:type="dxa"/>
            <w:vAlign w:val="bottom"/>
            <w:gridSpan w:val="2"/>
          </w:tcPr>
          <w:p>
            <w:pPr>
              <w:ind w:left="220"/>
              <w:spacing w:after="0"/>
              <w:rPr>
                <w:sz w:val="20"/>
                <w:szCs w:val="20"/>
                <w:color w:val="auto"/>
              </w:rPr>
            </w:pPr>
            <w:r>
              <w:rPr>
                <w:rFonts w:ascii="Arial" w:cs="Arial" w:eastAsia="Arial" w:hAnsi="Arial"/>
                <w:sz w:val="22"/>
                <w:szCs w:val="22"/>
                <w:color w:val="auto"/>
              </w:rPr>
              <w:t>4.9*†</w:t>
            </w:r>
          </w:p>
        </w:tc>
        <w:tc>
          <w:tcPr>
            <w:tcW w:w="9760" w:type="dxa"/>
            <w:vAlign w:val="bottom"/>
            <w:gridSpan w:val="14"/>
          </w:tcPr>
          <w:p>
            <w:pPr>
              <w:spacing w:after="0"/>
              <w:rPr>
                <w:rFonts w:ascii="Arial" w:cs="Arial" w:eastAsia="Arial" w:hAnsi="Arial"/>
                <w:sz w:val="22"/>
                <w:szCs w:val="22"/>
                <w:color w:val="0000EE"/>
                <w:w w:val="92"/>
              </w:rPr>
            </w:pPr>
            <w:hyperlink r:id="rId177">
              <w:r>
                <w:rPr>
                  <w:rFonts w:ascii="Arial" w:cs="Arial" w:eastAsia="Arial" w:hAnsi="Arial"/>
                  <w:sz w:val="22"/>
                  <w:szCs w:val="22"/>
                  <w:color w:val="0000EE"/>
                  <w:w w:val="92"/>
                </w:rPr>
                <w:t>BCT197 Asset Purchase Agreement, dated July 28, 2015, by and between Mereo BioPharma 1 Limited and</w:t>
              </w:r>
            </w:hyperlink>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7220" w:type="dxa"/>
            <w:vAlign w:val="bottom"/>
            <w:gridSpan w:val="8"/>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60" w:type="dxa"/>
            <w:vAlign w:val="bottom"/>
            <w:tcBorders>
              <w:bottom w:val="single" w:sz="8" w:color="0000EE"/>
            </w:tcBorders>
            <w:gridSpan w:val="14"/>
          </w:tcPr>
          <w:p>
            <w:pPr>
              <w:spacing w:after="0" w:line="223" w:lineRule="exact"/>
              <w:rPr>
                <w:rFonts w:ascii="Arial" w:cs="Arial" w:eastAsia="Arial" w:hAnsi="Arial"/>
                <w:sz w:val="22"/>
                <w:szCs w:val="22"/>
                <w:color w:val="0000EE"/>
                <w:w w:val="89"/>
              </w:rPr>
            </w:pPr>
            <w:hyperlink r:id="rId177">
              <w:r>
                <w:rPr>
                  <w:rFonts w:ascii="Arial" w:cs="Arial" w:eastAsia="Arial" w:hAnsi="Arial"/>
                  <w:sz w:val="22"/>
                  <w:szCs w:val="22"/>
                  <w:color w:val="0000EE"/>
                  <w:w w:val="89"/>
                </w:rPr>
                <w:t>Novartis Pharma AG (incorporated into this Form 20-F by reference to Mereo’s Form F-4 filed January 25, 2019</w:t>
              </w:r>
            </w:hyperlink>
          </w:p>
        </w:tc>
      </w:tr>
      <w:tr>
        <w:trPr>
          <w:trHeight w:val="223"/>
        </w:trPr>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60" w:type="dxa"/>
            <w:vAlign w:val="bottom"/>
            <w:gridSpan w:val="14"/>
          </w:tcPr>
          <w:p>
            <w:pPr>
              <w:spacing w:after="0" w:line="223" w:lineRule="exact"/>
              <w:rPr>
                <w:rFonts w:ascii="Arial" w:cs="Arial" w:eastAsia="Arial" w:hAnsi="Arial"/>
                <w:sz w:val="22"/>
                <w:szCs w:val="22"/>
                <w:color w:val="0000EE"/>
              </w:rPr>
            </w:pPr>
            <w:hyperlink r:id="rId177">
              <w:r>
                <w:rPr>
                  <w:rFonts w:ascii="Arial" w:cs="Arial" w:eastAsia="Arial" w:hAnsi="Arial"/>
                  <w:sz w:val="22"/>
                  <w:szCs w:val="22"/>
                  <w:color w:val="0000EE"/>
                </w:rPr>
                <w:t>(File No. 333-229351)).</w:t>
              </w:r>
            </w:hyperlink>
          </w:p>
        </w:tc>
      </w:tr>
      <w:tr>
        <w:trPr>
          <w:trHeight w:val="422"/>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Borders>
              <w:top w:val="single" w:sz="8" w:color="0000EE"/>
            </w:tcBorders>
            <w:gridSpan w:val="3"/>
          </w:tcPr>
          <w:p>
            <w:pPr>
              <w:spacing w:after="0"/>
              <w:rPr>
                <w:sz w:val="24"/>
                <w:szCs w:val="24"/>
                <w:color w:val="auto"/>
              </w:rPr>
            </w:pPr>
          </w:p>
        </w:tc>
        <w:tc>
          <w:tcPr>
            <w:tcW w:w="3320" w:type="dxa"/>
            <w:vAlign w:val="bottom"/>
            <w:gridSpan w:val="2"/>
          </w:tcPr>
          <w:p>
            <w:pPr>
              <w:jc w:val="right"/>
              <w:ind w:right="861"/>
              <w:spacing w:after="0"/>
              <w:rPr>
                <w:sz w:val="20"/>
                <w:szCs w:val="20"/>
                <w:color w:val="auto"/>
              </w:rPr>
            </w:pPr>
            <w:r>
              <w:rPr>
                <w:rFonts w:ascii="Arial" w:cs="Arial" w:eastAsia="Arial" w:hAnsi="Arial"/>
                <w:sz w:val="22"/>
                <w:szCs w:val="22"/>
                <w:color w:val="auto"/>
              </w:rPr>
              <w:t>134</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86" w:right="479" w:bottom="1440" w:gutter="0" w:footer="0" w:header="0"/>
        </w:sectPr>
      </w:pPr>
    </w:p>
    <w:p>
      <w:pPr>
        <w:spacing w:after="0" w:line="324" w:lineRule="exact"/>
        <w:rPr>
          <w:sz w:val="20"/>
          <w:szCs w:val="20"/>
          <w:color w:val="auto"/>
        </w:rPr>
      </w:pPr>
    </w:p>
    <w:p>
      <w:pPr>
        <w:jc w:val="center"/>
        <w:ind w:right="3860"/>
        <w:spacing w:after="0"/>
        <w:rPr>
          <w:sz w:val="20"/>
          <w:szCs w:val="20"/>
          <w:color w:val="auto"/>
        </w:rPr>
      </w:pPr>
      <w:r>
        <w:rPr>
          <w:rFonts w:ascii="Arial" w:cs="Arial" w:eastAsia="Arial" w:hAnsi="Arial"/>
          <w:sz w:val="19"/>
          <w:szCs w:val="19"/>
          <w:b w:val="1"/>
          <w:bCs w:val="1"/>
          <w:color w:val="auto"/>
        </w:rPr>
        <w:t>Exhibit</w:t>
      </w:r>
    </w:p>
    <w:p>
      <w:pPr>
        <w:spacing w:after="0" w:line="33" w:lineRule="exact"/>
        <w:rPr>
          <w:sz w:val="20"/>
          <w:szCs w:val="20"/>
          <w:color w:val="auto"/>
        </w:rPr>
      </w:pPr>
    </w:p>
    <w:p>
      <w:pPr>
        <w:jc w:val="center"/>
        <w:ind w:right="3860"/>
        <w:spacing w:after="0"/>
        <w:rPr>
          <w:sz w:val="20"/>
          <w:szCs w:val="20"/>
          <w:color w:val="auto"/>
        </w:rPr>
      </w:pPr>
      <w:r>
        <w:rPr>
          <w:rFonts w:ascii="Arial" w:cs="Arial" w:eastAsia="Arial" w:hAnsi="Arial"/>
          <w:sz w:val="20"/>
          <w:szCs w:val="20"/>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8890</wp:posOffset>
            </wp:positionV>
            <wp:extent cx="4286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Description</w:t>
      </w:r>
    </w:p>
    <w:p>
      <w:pPr>
        <w:spacing w:after="0" w:line="167" w:lineRule="exact"/>
        <w:rPr>
          <w:sz w:val="20"/>
          <w:szCs w:val="20"/>
          <w:color w:val="auto"/>
        </w:rPr>
      </w:pPr>
    </w:p>
    <w:p>
      <w:pPr>
        <w:sectPr>
          <w:pgSz w:w="11900" w:h="16838" w:orient="portrait"/>
          <w:cols w:equalWidth="0" w:num="2">
            <w:col w:w="5060" w:space="720"/>
            <w:col w:w="5320"/>
          </w:cols>
          <w:pgMar w:left="320" w:top="486" w:right="479" w:bottom="1440" w:gutter="0" w:footer="0" w:header="0"/>
          <w:type w:val="continuous"/>
        </w:sectPr>
      </w:pPr>
    </w:p>
    <w:p>
      <w:pPr>
        <w:ind w:left="140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4.9.1*</w:t>
      </w:r>
      <w:r>
        <w:rPr>
          <w:sz w:val="20"/>
          <w:szCs w:val="20"/>
          <w:color w:val="auto"/>
        </w:rPr>
        <w:tab/>
      </w:r>
      <w:hyperlink r:id="rId180">
        <w:r>
          <w:rPr>
            <w:rFonts w:ascii="Arial" w:cs="Arial" w:eastAsia="Arial" w:hAnsi="Arial"/>
            <w:sz w:val="22"/>
            <w:szCs w:val="22"/>
            <w:u w:val="single" w:color="auto"/>
            <w:color w:val="0000EE"/>
          </w:rPr>
          <w:t>Amendment Agreement for BCT197, dated October 19, 2018, by and between Mereo BioPharma 1 Limited and</w:t>
        </w:r>
      </w:hyperlink>
      <w:r>
        <w:rPr>
          <w:rFonts w:ascii="Arial" w:cs="Arial" w:eastAsia="Arial" w:hAnsi="Arial"/>
          <w:sz w:val="22"/>
          <w:szCs w:val="22"/>
          <w:u w:val="single" w:color="auto"/>
          <w:color w:val="0000EE"/>
        </w:rPr>
        <w:t xml:space="preserve"> </w:t>
      </w:r>
      <w:hyperlink r:id="rId180">
        <w:r>
          <w:rPr>
            <w:rFonts w:ascii="Arial" w:cs="Arial" w:eastAsia="Arial" w:hAnsi="Arial"/>
            <w:sz w:val="22"/>
            <w:szCs w:val="22"/>
            <w:u w:val="single" w:color="auto"/>
            <w:color w:val="0000EE"/>
          </w:rPr>
          <w:t>Novartis Pharma AG (incorporated into this Form 20-F by reference to Mereo’s Form F-4 filed January 25,</w:t>
        </w:r>
      </w:hyperlink>
      <w:r>
        <w:rPr>
          <w:rFonts w:ascii="Arial" w:cs="Arial" w:eastAsia="Arial" w:hAnsi="Arial"/>
          <w:sz w:val="22"/>
          <w:szCs w:val="22"/>
          <w:u w:val="single" w:color="auto"/>
          <w:color w:val="0000EE"/>
        </w:rPr>
        <w:t xml:space="preserve"> </w:t>
      </w:r>
      <w:hyperlink r:id="rId180">
        <w:r>
          <w:rPr>
            <w:rFonts w:ascii="Arial" w:cs="Arial" w:eastAsia="Arial" w:hAnsi="Arial"/>
            <w:sz w:val="22"/>
            <w:szCs w:val="22"/>
            <w:u w:val="single" w:color="auto"/>
            <w:color w:val="0000EE"/>
          </w:rPr>
          <w:t>2019 (File No. 333-229351)).</w:t>
        </w:r>
      </w:hyperlink>
    </w:p>
    <w:p>
      <w:pPr>
        <w:spacing w:after="0" w:line="78" w:lineRule="exact"/>
        <w:rPr>
          <w:rFonts w:ascii="Arial" w:cs="Arial" w:eastAsia="Arial" w:hAnsi="Arial"/>
          <w:sz w:val="22"/>
          <w:szCs w:val="22"/>
          <w:u w:val="single" w:color="auto"/>
          <w:color w:val="0000EE"/>
        </w:rPr>
      </w:pPr>
    </w:p>
    <w:p>
      <w:pPr>
        <w:ind w:left="1400" w:right="38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4.9.2*</w:t>
      </w:r>
      <w:r>
        <w:rPr>
          <w:sz w:val="20"/>
          <w:szCs w:val="20"/>
          <w:color w:val="auto"/>
        </w:rPr>
        <w:tab/>
      </w:r>
      <w:hyperlink r:id="rId181">
        <w:r>
          <w:rPr>
            <w:rFonts w:ascii="Arial" w:cs="Arial" w:eastAsia="Arial" w:hAnsi="Arial"/>
            <w:sz w:val="22"/>
            <w:szCs w:val="22"/>
            <w:u w:val="single" w:color="auto"/>
            <w:color w:val="0000EE"/>
          </w:rPr>
          <w:t>Addendum to the Asset Purchase Agreement, dated October 4, 2017, by and between Mereo BioPharma 1</w:t>
        </w:r>
      </w:hyperlink>
      <w:r>
        <w:rPr>
          <w:rFonts w:ascii="Arial" w:cs="Arial" w:eastAsia="Arial" w:hAnsi="Arial"/>
          <w:sz w:val="22"/>
          <w:szCs w:val="22"/>
          <w:u w:val="single" w:color="auto"/>
          <w:color w:val="0000EE"/>
        </w:rPr>
        <w:t xml:space="preserve"> </w:t>
      </w:r>
      <w:hyperlink r:id="rId181">
        <w:r>
          <w:rPr>
            <w:rFonts w:ascii="Arial" w:cs="Arial" w:eastAsia="Arial" w:hAnsi="Arial"/>
            <w:sz w:val="22"/>
            <w:szCs w:val="22"/>
            <w:u w:val="single" w:color="auto"/>
            <w:color w:val="0000EE"/>
          </w:rPr>
          <w:t>Limited and Novartis Pharma AG (incorporated into this Form 20-F by reference to Mereo’s Form F-4 filed</w:t>
        </w:r>
      </w:hyperlink>
      <w:r>
        <w:rPr>
          <w:rFonts w:ascii="Arial" w:cs="Arial" w:eastAsia="Arial" w:hAnsi="Arial"/>
          <w:sz w:val="22"/>
          <w:szCs w:val="22"/>
          <w:u w:val="single" w:color="auto"/>
          <w:color w:val="0000EE"/>
        </w:rPr>
        <w:t xml:space="preserve"> </w:t>
      </w:r>
      <w:hyperlink r:id="rId181">
        <w:r>
          <w:rPr>
            <w:rFonts w:ascii="Arial" w:cs="Arial" w:eastAsia="Arial" w:hAnsi="Arial"/>
            <w:sz w:val="22"/>
            <w:szCs w:val="22"/>
            <w:u w:val="single" w:color="auto"/>
            <w:color w:val="0000EE"/>
          </w:rPr>
          <w:t>January 25, 2019 (File No. 333-229351)).</w:t>
        </w:r>
      </w:hyperlink>
    </w:p>
    <w:p>
      <w:pPr>
        <w:spacing w:after="0" w:line="78" w:lineRule="exact"/>
        <w:rPr>
          <w:rFonts w:ascii="Arial" w:cs="Arial" w:eastAsia="Arial" w:hAnsi="Arial"/>
          <w:sz w:val="22"/>
          <w:szCs w:val="22"/>
          <w:u w:val="single" w:color="auto"/>
          <w:color w:val="0000EE"/>
        </w:rPr>
      </w:pPr>
    </w:p>
    <w:p>
      <w:pPr>
        <w:ind w:left="1400" w:right="38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4.9.3*</w:t>
      </w:r>
      <w:r>
        <w:rPr>
          <w:sz w:val="20"/>
          <w:szCs w:val="20"/>
          <w:color w:val="auto"/>
        </w:rPr>
        <w:tab/>
      </w:r>
      <w:hyperlink r:id="rId182">
        <w:r>
          <w:rPr>
            <w:rFonts w:ascii="Arial" w:cs="Arial" w:eastAsia="Arial" w:hAnsi="Arial"/>
            <w:sz w:val="22"/>
            <w:szCs w:val="22"/>
            <w:u w:val="single" w:color="auto"/>
            <w:color w:val="0000EE"/>
          </w:rPr>
          <w:t>Addendum to the Asset Purchase Agreement, dated April 12, 2016, by and between Mereo BioPharma 1</w:t>
        </w:r>
      </w:hyperlink>
      <w:r>
        <w:rPr>
          <w:rFonts w:ascii="Arial" w:cs="Arial" w:eastAsia="Arial" w:hAnsi="Arial"/>
          <w:sz w:val="22"/>
          <w:szCs w:val="22"/>
          <w:u w:val="single" w:color="auto"/>
          <w:color w:val="0000EE"/>
        </w:rPr>
        <w:t xml:space="preserve"> </w:t>
      </w:r>
      <w:hyperlink r:id="rId182">
        <w:r>
          <w:rPr>
            <w:rFonts w:ascii="Arial" w:cs="Arial" w:eastAsia="Arial" w:hAnsi="Arial"/>
            <w:sz w:val="22"/>
            <w:szCs w:val="22"/>
            <w:u w:val="single" w:color="auto"/>
            <w:color w:val="0000EE"/>
          </w:rPr>
          <w:t>Limited and Novartis Pharma AG (incorporated into this Form 20-F by reference to Mereo’s Form F-4 filed</w:t>
        </w:r>
      </w:hyperlink>
      <w:r>
        <w:rPr>
          <w:rFonts w:ascii="Arial" w:cs="Arial" w:eastAsia="Arial" w:hAnsi="Arial"/>
          <w:sz w:val="22"/>
          <w:szCs w:val="22"/>
          <w:u w:val="single" w:color="auto"/>
          <w:color w:val="0000EE"/>
        </w:rPr>
        <w:t xml:space="preserve"> </w:t>
      </w:r>
      <w:hyperlink r:id="rId182">
        <w:r>
          <w:rPr>
            <w:rFonts w:ascii="Arial" w:cs="Arial" w:eastAsia="Arial" w:hAnsi="Arial"/>
            <w:sz w:val="22"/>
            <w:szCs w:val="22"/>
            <w:u w:val="single" w:color="auto"/>
            <w:color w:val="0000EE"/>
          </w:rPr>
          <w:t>January 25, 2019 (File No. 333-229351)).</w:t>
        </w:r>
      </w:hyperlink>
    </w:p>
    <w:p>
      <w:pPr>
        <w:spacing w:after="0" w:line="78" w:lineRule="exact"/>
        <w:rPr>
          <w:rFonts w:ascii="Arial" w:cs="Arial" w:eastAsia="Arial" w:hAnsi="Arial"/>
          <w:sz w:val="22"/>
          <w:szCs w:val="22"/>
          <w:u w:val="single" w:color="auto"/>
          <w:color w:val="0000EE"/>
        </w:rPr>
      </w:pPr>
    </w:p>
    <w:p>
      <w:pPr>
        <w:jc w:val="both"/>
        <w:ind w:left="1400" w:right="40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4.10*†</w:t>
      </w:r>
      <w:r>
        <w:rPr>
          <w:sz w:val="20"/>
          <w:szCs w:val="20"/>
          <w:color w:val="auto"/>
        </w:rPr>
        <w:tab/>
      </w:r>
      <w:hyperlink r:id="rId183">
        <w:r>
          <w:rPr>
            <w:rFonts w:ascii="Arial" w:cs="Arial" w:eastAsia="Arial" w:hAnsi="Arial"/>
            <w:sz w:val="22"/>
            <w:szCs w:val="22"/>
            <w:u w:val="single" w:color="auto"/>
            <w:color w:val="0000EE"/>
          </w:rPr>
          <w:t>BGS649 Asset Purchase Agreement, dated July 28, 2015, by and between Mereo BioPharma 2 Limited and</w:t>
        </w:r>
      </w:hyperlink>
      <w:r>
        <w:rPr>
          <w:rFonts w:ascii="Arial" w:cs="Arial" w:eastAsia="Arial" w:hAnsi="Arial"/>
          <w:sz w:val="22"/>
          <w:szCs w:val="22"/>
          <w:u w:val="single" w:color="auto"/>
          <w:color w:val="0000EE"/>
        </w:rPr>
        <w:t xml:space="preserve"> </w:t>
      </w:r>
      <w:hyperlink r:id="rId183">
        <w:r>
          <w:rPr>
            <w:rFonts w:ascii="Arial" w:cs="Arial" w:eastAsia="Arial" w:hAnsi="Arial"/>
            <w:sz w:val="22"/>
            <w:szCs w:val="22"/>
            <w:u w:val="single" w:color="auto"/>
            <w:color w:val="0000EE"/>
          </w:rPr>
          <w:t>Novartis Pharma AG (incorporated into this Form 20-F by reference to Mereo’s Form F-4 filed January 25,</w:t>
        </w:r>
      </w:hyperlink>
      <w:r>
        <w:rPr>
          <w:rFonts w:ascii="Arial" w:cs="Arial" w:eastAsia="Arial" w:hAnsi="Arial"/>
          <w:sz w:val="22"/>
          <w:szCs w:val="22"/>
          <w:u w:val="single" w:color="auto"/>
          <w:color w:val="0000EE"/>
        </w:rPr>
        <w:t xml:space="preserve"> </w:t>
      </w:r>
      <w:hyperlink r:id="rId183">
        <w:r>
          <w:rPr>
            <w:rFonts w:ascii="Arial" w:cs="Arial" w:eastAsia="Arial" w:hAnsi="Arial"/>
            <w:sz w:val="22"/>
            <w:szCs w:val="22"/>
            <w:u w:val="single" w:color="auto"/>
            <w:color w:val="0000EE"/>
          </w:rPr>
          <w:t>2019 (File No. 333-229351)).</w:t>
        </w:r>
      </w:hyperlink>
    </w:p>
    <w:p>
      <w:pPr>
        <w:spacing w:after="0" w:line="78" w:lineRule="exact"/>
        <w:rPr>
          <w:rFonts w:ascii="Arial" w:cs="Arial" w:eastAsia="Arial" w:hAnsi="Arial"/>
          <w:sz w:val="22"/>
          <w:szCs w:val="22"/>
          <w:u w:val="single" w:color="auto"/>
          <w:color w:val="0000EE"/>
        </w:rPr>
      </w:pPr>
    </w:p>
    <w:p>
      <w:pPr>
        <w:ind w:left="140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4.10.1*</w:t>
      </w:r>
      <w:r>
        <w:rPr>
          <w:sz w:val="20"/>
          <w:szCs w:val="20"/>
          <w:color w:val="auto"/>
        </w:rPr>
        <w:tab/>
      </w:r>
      <w:hyperlink r:id="rId184">
        <w:r>
          <w:rPr>
            <w:rFonts w:ascii="Arial" w:cs="Arial" w:eastAsia="Arial" w:hAnsi="Arial"/>
            <w:sz w:val="22"/>
            <w:szCs w:val="22"/>
            <w:u w:val="single" w:color="auto"/>
            <w:color w:val="0000EE"/>
          </w:rPr>
          <w:t>Amendment Agreement for BGS649, dated October 19, 2018, by and between Mereo BioPharma 2 Limited and</w:t>
        </w:r>
      </w:hyperlink>
      <w:r>
        <w:rPr>
          <w:rFonts w:ascii="Arial" w:cs="Arial" w:eastAsia="Arial" w:hAnsi="Arial"/>
          <w:sz w:val="22"/>
          <w:szCs w:val="22"/>
          <w:u w:val="single" w:color="auto"/>
          <w:color w:val="0000EE"/>
        </w:rPr>
        <w:t xml:space="preserve"> </w:t>
      </w:r>
      <w:hyperlink r:id="rId184">
        <w:r>
          <w:rPr>
            <w:rFonts w:ascii="Arial" w:cs="Arial" w:eastAsia="Arial" w:hAnsi="Arial"/>
            <w:sz w:val="22"/>
            <w:szCs w:val="22"/>
            <w:u w:val="single" w:color="auto"/>
            <w:color w:val="0000EE"/>
          </w:rPr>
          <w:t>Novartis Pharma AG (incorporated into this Form 20-F by reference to Mereo’s Form F-4 filed January 25,</w:t>
        </w:r>
      </w:hyperlink>
      <w:r>
        <w:rPr>
          <w:rFonts w:ascii="Arial" w:cs="Arial" w:eastAsia="Arial" w:hAnsi="Arial"/>
          <w:sz w:val="22"/>
          <w:szCs w:val="22"/>
          <w:u w:val="single" w:color="auto"/>
          <w:color w:val="0000EE"/>
        </w:rPr>
        <w:t xml:space="preserve"> </w:t>
      </w:r>
      <w:hyperlink r:id="rId184">
        <w:r>
          <w:rPr>
            <w:rFonts w:ascii="Arial" w:cs="Arial" w:eastAsia="Arial" w:hAnsi="Arial"/>
            <w:sz w:val="22"/>
            <w:szCs w:val="22"/>
            <w:u w:val="single" w:color="auto"/>
            <w:color w:val="0000EE"/>
          </w:rPr>
          <w:t>2019 (File No. 333-229351)).</w:t>
        </w:r>
      </w:hyperlink>
    </w:p>
    <w:p>
      <w:pPr>
        <w:spacing w:after="0" w:line="78" w:lineRule="exact"/>
        <w:rPr>
          <w:rFonts w:ascii="Arial" w:cs="Arial" w:eastAsia="Arial" w:hAnsi="Arial"/>
          <w:sz w:val="22"/>
          <w:szCs w:val="22"/>
          <w:u w:val="single" w:color="auto"/>
          <w:color w:val="0000EE"/>
        </w:rPr>
      </w:pPr>
    </w:p>
    <w:p>
      <w:pPr>
        <w:jc w:val="both"/>
        <w:ind w:left="1400" w:right="38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4.10.2*</w:t>
      </w:r>
      <w:r>
        <w:rPr>
          <w:sz w:val="20"/>
          <w:szCs w:val="20"/>
          <w:color w:val="auto"/>
        </w:rPr>
        <w:tab/>
      </w:r>
      <w:hyperlink r:id="rId185">
        <w:r>
          <w:rPr>
            <w:rFonts w:ascii="Arial" w:cs="Arial" w:eastAsia="Arial" w:hAnsi="Arial"/>
            <w:sz w:val="22"/>
            <w:szCs w:val="22"/>
            <w:u w:val="single" w:color="auto"/>
            <w:color w:val="0000EE"/>
          </w:rPr>
          <w:t>Addendum to the Asset Purchase Agreement, dated August 17, 2017, by and between Mereo BioPharma 2</w:t>
        </w:r>
      </w:hyperlink>
      <w:r>
        <w:rPr>
          <w:rFonts w:ascii="Arial" w:cs="Arial" w:eastAsia="Arial" w:hAnsi="Arial"/>
          <w:sz w:val="22"/>
          <w:szCs w:val="22"/>
          <w:u w:val="single" w:color="auto"/>
          <w:color w:val="0000EE"/>
        </w:rPr>
        <w:t xml:space="preserve"> </w:t>
      </w:r>
      <w:hyperlink r:id="rId185">
        <w:r>
          <w:rPr>
            <w:rFonts w:ascii="Arial" w:cs="Arial" w:eastAsia="Arial" w:hAnsi="Arial"/>
            <w:sz w:val="22"/>
            <w:szCs w:val="22"/>
            <w:u w:val="single" w:color="auto"/>
            <w:color w:val="0000EE"/>
          </w:rPr>
          <w:t>Limited and Novartis Pharma AG (incorporated into this Form 20-F by reference to Mereo’s Form F-4 filed</w:t>
        </w:r>
      </w:hyperlink>
      <w:r>
        <w:rPr>
          <w:rFonts w:ascii="Arial" w:cs="Arial" w:eastAsia="Arial" w:hAnsi="Arial"/>
          <w:sz w:val="22"/>
          <w:szCs w:val="22"/>
          <w:u w:val="single" w:color="auto"/>
          <w:color w:val="0000EE"/>
        </w:rPr>
        <w:t xml:space="preserve"> </w:t>
      </w:r>
      <w:hyperlink r:id="rId185">
        <w:r>
          <w:rPr>
            <w:rFonts w:ascii="Arial" w:cs="Arial" w:eastAsia="Arial" w:hAnsi="Arial"/>
            <w:sz w:val="22"/>
            <w:szCs w:val="22"/>
            <w:u w:val="single" w:color="auto"/>
            <w:color w:val="0000EE"/>
          </w:rPr>
          <w:t>January 25, 2019 (File No. 333-229351)).</w:t>
        </w:r>
      </w:hyperlink>
    </w:p>
    <w:p>
      <w:pPr>
        <w:spacing w:after="0" w:line="78" w:lineRule="exact"/>
        <w:rPr>
          <w:rFonts w:ascii="Arial" w:cs="Arial" w:eastAsia="Arial" w:hAnsi="Arial"/>
          <w:sz w:val="22"/>
          <w:szCs w:val="22"/>
          <w:u w:val="single" w:color="auto"/>
          <w:color w:val="0000EE"/>
        </w:rPr>
      </w:pPr>
    </w:p>
    <w:p>
      <w:pPr>
        <w:jc w:val="both"/>
        <w:ind w:left="1400" w:right="44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4.11*†</w:t>
      </w:r>
      <w:r>
        <w:rPr>
          <w:sz w:val="20"/>
          <w:szCs w:val="20"/>
          <w:color w:val="auto"/>
        </w:rPr>
        <w:tab/>
      </w:r>
      <w:hyperlink r:id="rId186">
        <w:r>
          <w:rPr>
            <w:rFonts w:ascii="Arial" w:cs="Arial" w:eastAsia="Arial" w:hAnsi="Arial"/>
            <w:sz w:val="22"/>
            <w:szCs w:val="22"/>
            <w:u w:val="single" w:color="auto"/>
            <w:color w:val="0000EE"/>
          </w:rPr>
          <w:t>BPS804 Asset Purchase Agreement, dated July 28, 2015, by and between Mereo BioPharma 3 Limited and</w:t>
        </w:r>
      </w:hyperlink>
      <w:r>
        <w:rPr>
          <w:rFonts w:ascii="Arial" w:cs="Arial" w:eastAsia="Arial" w:hAnsi="Arial"/>
          <w:sz w:val="22"/>
          <w:szCs w:val="22"/>
          <w:u w:val="single" w:color="auto"/>
          <w:color w:val="0000EE"/>
        </w:rPr>
        <w:t xml:space="preserve"> </w:t>
      </w:r>
      <w:hyperlink r:id="rId186">
        <w:r>
          <w:rPr>
            <w:rFonts w:ascii="Arial" w:cs="Arial" w:eastAsia="Arial" w:hAnsi="Arial"/>
            <w:sz w:val="22"/>
            <w:szCs w:val="22"/>
            <w:u w:val="single" w:color="auto"/>
            <w:color w:val="0000EE"/>
          </w:rPr>
          <w:t>Novartis Pharma AG (incorporated into this Form 20-F by reference to Mereo’s Form F-4 filed January 25,</w:t>
        </w:r>
      </w:hyperlink>
      <w:r>
        <w:rPr>
          <w:rFonts w:ascii="Arial" w:cs="Arial" w:eastAsia="Arial" w:hAnsi="Arial"/>
          <w:sz w:val="22"/>
          <w:szCs w:val="22"/>
          <w:u w:val="single" w:color="auto"/>
          <w:color w:val="0000EE"/>
        </w:rPr>
        <w:t xml:space="preserve"> </w:t>
      </w:r>
      <w:hyperlink r:id="rId186">
        <w:r>
          <w:rPr>
            <w:rFonts w:ascii="Arial" w:cs="Arial" w:eastAsia="Arial" w:hAnsi="Arial"/>
            <w:sz w:val="22"/>
            <w:szCs w:val="22"/>
            <w:u w:val="single" w:color="auto"/>
            <w:color w:val="0000EE"/>
          </w:rPr>
          <w:t>2019 (File No. 333-229351)).</w:t>
        </w:r>
      </w:hyperlink>
    </w:p>
    <w:p>
      <w:pPr>
        <w:spacing w:after="0" w:line="78" w:lineRule="exact"/>
        <w:rPr>
          <w:rFonts w:ascii="Arial" w:cs="Arial" w:eastAsia="Arial" w:hAnsi="Arial"/>
          <w:sz w:val="22"/>
          <w:szCs w:val="22"/>
          <w:u w:val="single" w:color="auto"/>
          <w:color w:val="0000EE"/>
        </w:rPr>
      </w:pPr>
    </w:p>
    <w:p>
      <w:pPr>
        <w:jc w:val="both"/>
        <w:ind w:left="1400" w:right="28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4.11.1*†</w:t>
      </w:r>
      <w:r>
        <w:rPr>
          <w:sz w:val="20"/>
          <w:szCs w:val="20"/>
          <w:color w:val="auto"/>
        </w:rPr>
        <w:tab/>
      </w:r>
      <w:hyperlink r:id="rId187">
        <w:r>
          <w:rPr>
            <w:rFonts w:ascii="Arial" w:cs="Arial" w:eastAsia="Arial" w:hAnsi="Arial"/>
            <w:sz w:val="22"/>
            <w:szCs w:val="22"/>
            <w:u w:val="single" w:color="auto"/>
            <w:color w:val="0000EE"/>
          </w:rPr>
          <w:t>Amendment Agreement, dated August 10, 2018, by and between Mereo BioPharma 3 Limited and Novartis</w:t>
        </w:r>
      </w:hyperlink>
      <w:r>
        <w:rPr>
          <w:rFonts w:ascii="Arial" w:cs="Arial" w:eastAsia="Arial" w:hAnsi="Arial"/>
          <w:sz w:val="22"/>
          <w:szCs w:val="22"/>
          <w:u w:val="single" w:color="auto"/>
          <w:color w:val="0000EE"/>
        </w:rPr>
        <w:t xml:space="preserve"> </w:t>
      </w:r>
      <w:hyperlink r:id="rId187">
        <w:r>
          <w:rPr>
            <w:rFonts w:ascii="Arial" w:cs="Arial" w:eastAsia="Arial" w:hAnsi="Arial"/>
            <w:sz w:val="22"/>
            <w:szCs w:val="22"/>
            <w:u w:val="single" w:color="auto"/>
            <w:color w:val="0000EE"/>
          </w:rPr>
          <w:t>Pharma AG (incorporated into this Form 20-F by reference to Mereo’s Form F-4 filed January 25, 2019 (File</w:t>
        </w:r>
      </w:hyperlink>
      <w:r>
        <w:rPr>
          <w:rFonts w:ascii="Arial" w:cs="Arial" w:eastAsia="Arial" w:hAnsi="Arial"/>
          <w:sz w:val="22"/>
          <w:szCs w:val="22"/>
          <w:u w:val="single" w:color="auto"/>
          <w:color w:val="0000EE"/>
        </w:rPr>
        <w:t xml:space="preserve"> </w:t>
      </w:r>
      <w:hyperlink r:id="rId187">
        <w:r>
          <w:rPr>
            <w:rFonts w:ascii="Arial" w:cs="Arial" w:eastAsia="Arial" w:hAnsi="Arial"/>
            <w:sz w:val="22"/>
            <w:szCs w:val="22"/>
            <w:u w:val="single" w:color="auto"/>
            <w:color w:val="0000EE"/>
          </w:rPr>
          <w:t>No. 333-229351)).</w:t>
        </w:r>
      </w:hyperlink>
    </w:p>
    <w:p>
      <w:pPr>
        <w:spacing w:after="0" w:line="78" w:lineRule="exact"/>
        <w:rPr>
          <w:rFonts w:ascii="Arial" w:cs="Arial" w:eastAsia="Arial" w:hAnsi="Arial"/>
          <w:sz w:val="22"/>
          <w:szCs w:val="22"/>
          <w:u w:val="single" w:color="auto"/>
          <w:color w:val="0000EE"/>
        </w:rPr>
      </w:pPr>
    </w:p>
    <w:p>
      <w:pPr>
        <w:ind w:left="1400" w:right="22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4.11.2*</w:t>
      </w:r>
      <w:r>
        <w:rPr>
          <w:sz w:val="20"/>
          <w:szCs w:val="20"/>
          <w:color w:val="auto"/>
        </w:rPr>
        <w:tab/>
      </w:r>
      <w:hyperlink r:id="rId188">
        <w:r>
          <w:rPr>
            <w:rFonts w:ascii="Arial" w:cs="Arial" w:eastAsia="Arial" w:hAnsi="Arial"/>
            <w:sz w:val="22"/>
            <w:szCs w:val="22"/>
            <w:u w:val="single" w:color="auto"/>
            <w:color w:val="0000EE"/>
          </w:rPr>
          <w:t>Addendum to the Asset Purchase Agreement, dated December 21, 2016, by and between Mereo BioPharma 3</w:t>
        </w:r>
      </w:hyperlink>
      <w:r>
        <w:rPr>
          <w:rFonts w:ascii="Arial" w:cs="Arial" w:eastAsia="Arial" w:hAnsi="Arial"/>
          <w:sz w:val="22"/>
          <w:szCs w:val="22"/>
          <w:u w:val="single" w:color="auto"/>
          <w:color w:val="0000EE"/>
        </w:rPr>
        <w:t xml:space="preserve"> </w:t>
      </w:r>
      <w:hyperlink r:id="rId188">
        <w:r>
          <w:rPr>
            <w:rFonts w:ascii="Arial" w:cs="Arial" w:eastAsia="Arial" w:hAnsi="Arial"/>
            <w:sz w:val="22"/>
            <w:szCs w:val="22"/>
            <w:u w:val="single" w:color="auto"/>
            <w:color w:val="0000EE"/>
          </w:rPr>
          <w:t>Limited and Novartis Pharma AG (incorporated into this Form 20-F by reference to Mereo’s Form F-4 filed</w:t>
        </w:r>
      </w:hyperlink>
      <w:r>
        <w:rPr>
          <w:rFonts w:ascii="Arial" w:cs="Arial" w:eastAsia="Arial" w:hAnsi="Arial"/>
          <w:sz w:val="22"/>
          <w:szCs w:val="22"/>
          <w:u w:val="single" w:color="auto"/>
          <w:color w:val="0000EE"/>
        </w:rPr>
        <w:t xml:space="preserve"> </w:t>
      </w:r>
      <w:hyperlink r:id="rId188">
        <w:r>
          <w:rPr>
            <w:rFonts w:ascii="Arial" w:cs="Arial" w:eastAsia="Arial" w:hAnsi="Arial"/>
            <w:sz w:val="22"/>
            <w:szCs w:val="22"/>
            <w:u w:val="single" w:color="auto"/>
            <w:color w:val="0000EE"/>
          </w:rPr>
          <w:t>January 25, 2019 (File No. 333-229351)).</w:t>
        </w:r>
      </w:hyperlink>
    </w:p>
    <w:p>
      <w:pPr>
        <w:spacing w:after="0" w:line="78" w:lineRule="exact"/>
        <w:rPr>
          <w:rFonts w:ascii="Arial" w:cs="Arial" w:eastAsia="Arial" w:hAnsi="Arial"/>
          <w:sz w:val="22"/>
          <w:szCs w:val="22"/>
          <w:u w:val="single" w:color="auto"/>
          <w:color w:val="0000EE"/>
        </w:rPr>
      </w:pPr>
    </w:p>
    <w:p>
      <w:pPr>
        <w:jc w:val="both"/>
        <w:ind w:left="1400" w:right="6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4.12*†</w:t>
      </w:r>
      <w:r>
        <w:rPr>
          <w:sz w:val="20"/>
          <w:szCs w:val="20"/>
          <w:color w:val="auto"/>
        </w:rPr>
        <w:tab/>
      </w:r>
      <w:hyperlink r:id="rId189">
        <w:r>
          <w:rPr>
            <w:rFonts w:ascii="Arial" w:cs="Arial" w:eastAsia="Arial" w:hAnsi="Arial"/>
            <w:sz w:val="22"/>
            <w:szCs w:val="22"/>
            <w:u w:val="single" w:color="auto"/>
            <w:color w:val="0000EE"/>
          </w:rPr>
          <w:t>Sublicense Agreement, dated July 29, 2015, by and between Mereo BioPharma 3 Limited and Novartis Pharma</w:t>
        </w:r>
      </w:hyperlink>
      <w:r>
        <w:rPr>
          <w:rFonts w:ascii="Arial" w:cs="Arial" w:eastAsia="Arial" w:hAnsi="Arial"/>
          <w:sz w:val="22"/>
          <w:szCs w:val="22"/>
          <w:u w:val="single" w:color="auto"/>
          <w:color w:val="0000EE"/>
        </w:rPr>
        <w:t xml:space="preserve"> </w:t>
      </w:r>
      <w:hyperlink r:id="rId189">
        <w:r>
          <w:rPr>
            <w:rFonts w:ascii="Arial" w:cs="Arial" w:eastAsia="Arial" w:hAnsi="Arial"/>
            <w:sz w:val="22"/>
            <w:szCs w:val="22"/>
            <w:u w:val="single" w:color="auto"/>
            <w:color w:val="0000EE"/>
          </w:rPr>
          <w:t>AG (incorporated into this Form 20-F by reference to Mereo’s Form F-4 filed January 25, 2019 (File No. 333-</w:t>
        </w:r>
      </w:hyperlink>
      <w:hyperlink r:id="rId189">
        <w:r>
          <w:rPr>
            <w:rFonts w:ascii="Arial" w:cs="Arial" w:eastAsia="Arial" w:hAnsi="Arial"/>
            <w:sz w:val="22"/>
            <w:szCs w:val="22"/>
            <w:u w:val="single" w:color="auto"/>
            <w:color w:val="0000EE"/>
          </w:rPr>
          <w:t>229351)).</w:t>
        </w:r>
      </w:hyperlink>
    </w:p>
    <w:p>
      <w:pPr>
        <w:spacing w:after="0" w:line="78" w:lineRule="exact"/>
        <w:rPr>
          <w:rFonts w:ascii="Arial" w:cs="Arial" w:eastAsia="Arial" w:hAnsi="Arial"/>
          <w:sz w:val="22"/>
          <w:szCs w:val="22"/>
          <w:u w:val="single" w:color="auto"/>
          <w:color w:val="0000EE"/>
        </w:rPr>
      </w:pPr>
    </w:p>
    <w:p>
      <w:pPr>
        <w:jc w:val="both"/>
        <w:ind w:left="1400" w:right="68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4.13*†</w:t>
      </w:r>
      <w:r>
        <w:rPr>
          <w:sz w:val="20"/>
          <w:szCs w:val="20"/>
          <w:color w:val="auto"/>
        </w:rPr>
        <w:tab/>
      </w:r>
      <w:hyperlink r:id="rId190">
        <w:r>
          <w:rPr>
            <w:rFonts w:ascii="Arial" w:cs="Arial" w:eastAsia="Arial" w:hAnsi="Arial"/>
            <w:sz w:val="22"/>
            <w:szCs w:val="22"/>
            <w:u w:val="single" w:color="auto"/>
            <w:color w:val="0000EE"/>
          </w:rPr>
          <w:t>Exclusive License and Option Agreement, dated October 28, 2017, by and between Mereo BioPharma 4</w:t>
        </w:r>
      </w:hyperlink>
      <w:r>
        <w:rPr>
          <w:rFonts w:ascii="Arial" w:cs="Arial" w:eastAsia="Arial" w:hAnsi="Arial"/>
          <w:sz w:val="22"/>
          <w:szCs w:val="22"/>
          <w:u w:val="single" w:color="auto"/>
          <w:color w:val="0000EE"/>
        </w:rPr>
        <w:t xml:space="preserve"> </w:t>
      </w:r>
      <w:hyperlink r:id="rId190">
        <w:r>
          <w:rPr>
            <w:rFonts w:ascii="Arial" w:cs="Arial" w:eastAsia="Arial" w:hAnsi="Arial"/>
            <w:sz w:val="22"/>
            <w:szCs w:val="22"/>
            <w:u w:val="single" w:color="auto"/>
            <w:color w:val="0000EE"/>
          </w:rPr>
          <w:t>Limited and AstraZeneca AB (incorporated into this Form 20-F by reference to Mereo’s Form F-4 filed</w:t>
        </w:r>
      </w:hyperlink>
      <w:r>
        <w:rPr>
          <w:rFonts w:ascii="Arial" w:cs="Arial" w:eastAsia="Arial" w:hAnsi="Arial"/>
          <w:sz w:val="22"/>
          <w:szCs w:val="22"/>
          <w:u w:val="single" w:color="auto"/>
          <w:color w:val="0000EE"/>
        </w:rPr>
        <w:t xml:space="preserve"> </w:t>
      </w:r>
      <w:hyperlink r:id="rId190">
        <w:r>
          <w:rPr>
            <w:rFonts w:ascii="Arial" w:cs="Arial" w:eastAsia="Arial" w:hAnsi="Arial"/>
            <w:sz w:val="22"/>
            <w:szCs w:val="22"/>
            <w:u w:val="single" w:color="auto"/>
            <w:color w:val="0000EE"/>
          </w:rPr>
          <w:t>January 25, 2019 (File No. 333-229351)).</w:t>
        </w:r>
      </w:hyperlink>
    </w:p>
    <w:p>
      <w:pPr>
        <w:spacing w:after="0" w:line="78" w:lineRule="exact"/>
        <w:rPr>
          <w:rFonts w:ascii="Arial" w:cs="Arial" w:eastAsia="Arial" w:hAnsi="Arial"/>
          <w:sz w:val="22"/>
          <w:szCs w:val="22"/>
          <w:u w:val="single" w:color="auto"/>
          <w:color w:val="0000EE"/>
        </w:rPr>
      </w:pPr>
    </w:p>
    <w:p>
      <w:pPr>
        <w:ind w:left="1400" w:hanging="1065"/>
        <w:spacing w:after="0" w:line="326" w:lineRule="auto"/>
        <w:tabs>
          <w:tab w:leader="none" w:pos="1380" w:val="left"/>
        </w:tabs>
        <w:rPr>
          <w:rFonts w:ascii="Arial" w:cs="Arial" w:eastAsia="Arial" w:hAnsi="Arial"/>
          <w:sz w:val="19"/>
          <w:szCs w:val="19"/>
          <w:u w:val="single" w:color="auto"/>
          <w:color w:val="0000EE"/>
        </w:rPr>
      </w:pPr>
      <w:r>
        <w:rPr>
          <w:rFonts w:ascii="Arial" w:cs="Arial" w:eastAsia="Arial" w:hAnsi="Arial"/>
          <w:sz w:val="22"/>
          <w:szCs w:val="22"/>
          <w:color w:val="auto"/>
        </w:rPr>
        <w:t>4.14*</w:t>
      </w:r>
      <w:r>
        <w:rPr>
          <w:sz w:val="20"/>
          <w:szCs w:val="20"/>
          <w:color w:val="auto"/>
        </w:rPr>
        <w:tab/>
      </w:r>
      <w:hyperlink r:id="rId191">
        <w:r>
          <w:rPr>
            <w:rFonts w:ascii="Arial" w:cs="Arial" w:eastAsia="Arial" w:hAnsi="Arial"/>
            <w:sz w:val="19"/>
            <w:szCs w:val="19"/>
            <w:u w:val="single" w:color="auto"/>
            <w:color w:val="0000EE"/>
          </w:rPr>
          <w:t>Form of Deed of Indemnity for members of the board of directors of Mereo BioPharma Group plc (incorporated</w:t>
        </w:r>
      </w:hyperlink>
      <w:r>
        <w:rPr>
          <w:rFonts w:ascii="Arial" w:cs="Arial" w:eastAsia="Arial" w:hAnsi="Arial"/>
          <w:sz w:val="19"/>
          <w:szCs w:val="19"/>
          <w:u w:val="single" w:color="auto"/>
          <w:color w:val="0000EE"/>
        </w:rPr>
        <w:t xml:space="preserve"> </w:t>
      </w:r>
      <w:hyperlink r:id="rId191">
        <w:r>
          <w:rPr>
            <w:rFonts w:ascii="Arial" w:cs="Arial" w:eastAsia="Arial" w:hAnsi="Arial"/>
            <w:sz w:val="19"/>
            <w:szCs w:val="19"/>
            <w:u w:val="single" w:color="auto"/>
            <w:color w:val="0000EE"/>
          </w:rPr>
          <w:t>into this Form 20-F by reference to Mereo’s Form F-4 filed January 25, 2019 (File No. 333-229351)).</w:t>
        </w:r>
      </w:hyperlink>
    </w:p>
    <w:p>
      <w:pPr>
        <w:jc w:val="both"/>
        <w:ind w:left="1400" w:right="200" w:hanging="1065"/>
        <w:spacing w:after="0"/>
        <w:tabs>
          <w:tab w:leader="none" w:pos="1380" w:val="left"/>
        </w:tabs>
        <w:rPr>
          <w:rFonts w:ascii="Arial" w:cs="Arial" w:eastAsia="Arial" w:hAnsi="Arial"/>
          <w:sz w:val="22"/>
          <w:szCs w:val="22"/>
          <w:u w:val="single" w:color="auto"/>
          <w:color w:val="0000EE"/>
        </w:rPr>
      </w:pPr>
      <w:r>
        <w:rPr>
          <w:rFonts w:ascii="Arial" w:cs="Arial" w:eastAsia="Arial" w:hAnsi="Arial"/>
          <w:sz w:val="22"/>
          <w:szCs w:val="22"/>
          <w:color w:val="auto"/>
        </w:rPr>
        <w:t>4.15*</w:t>
      </w:r>
      <w:r>
        <w:rPr>
          <w:sz w:val="20"/>
          <w:szCs w:val="20"/>
          <w:color w:val="auto"/>
        </w:rPr>
        <w:tab/>
      </w:r>
      <w:hyperlink r:id="rId192">
        <w:r>
          <w:rPr>
            <w:rFonts w:ascii="Arial" w:cs="Arial" w:eastAsia="Arial" w:hAnsi="Arial"/>
            <w:sz w:val="22"/>
            <w:szCs w:val="22"/>
            <w:u w:val="single" w:color="auto"/>
            <w:color w:val="0000EE"/>
          </w:rPr>
          <w:t>Form of Contingent Value Rights Agreement by and between Computershare, Inc., as rights agent, and Mereo</w:t>
        </w:r>
      </w:hyperlink>
      <w:r>
        <w:rPr>
          <w:rFonts w:ascii="Arial" w:cs="Arial" w:eastAsia="Arial" w:hAnsi="Arial"/>
          <w:sz w:val="22"/>
          <w:szCs w:val="22"/>
          <w:u w:val="single" w:color="auto"/>
          <w:color w:val="0000EE"/>
        </w:rPr>
        <w:t xml:space="preserve"> </w:t>
      </w:r>
      <w:hyperlink r:id="rId192">
        <w:r>
          <w:rPr>
            <w:rFonts w:ascii="Arial" w:cs="Arial" w:eastAsia="Arial" w:hAnsi="Arial"/>
            <w:sz w:val="22"/>
            <w:szCs w:val="22"/>
            <w:u w:val="single" w:color="auto"/>
            <w:color w:val="0000EE"/>
          </w:rPr>
          <w:t>BioPharma Group plc (incorporated into this Form 20-F by reference to Mereo’s Form F-4/A filed March 15,</w:t>
        </w:r>
      </w:hyperlink>
      <w:r>
        <w:rPr>
          <w:rFonts w:ascii="Arial" w:cs="Arial" w:eastAsia="Arial" w:hAnsi="Arial"/>
          <w:sz w:val="22"/>
          <w:szCs w:val="22"/>
          <w:u w:val="single" w:color="auto"/>
          <w:color w:val="0000EE"/>
        </w:rPr>
        <w:t xml:space="preserve"> </w:t>
      </w:r>
      <w:hyperlink r:id="rId192">
        <w:r>
          <w:rPr>
            <w:rFonts w:ascii="Arial" w:cs="Arial" w:eastAsia="Arial" w:hAnsi="Arial"/>
            <w:sz w:val="22"/>
            <w:szCs w:val="22"/>
            <w:u w:val="single" w:color="auto"/>
            <w:color w:val="0000EE"/>
          </w:rPr>
          <w:t>2019 (File No. 333-229351)).</w:t>
        </w:r>
      </w:hyperlink>
    </w:p>
    <w:p>
      <w:pPr>
        <w:spacing w:after="0" w:line="119" w:lineRule="exact"/>
        <w:rPr>
          <w:rFonts w:ascii="Arial" w:cs="Arial" w:eastAsia="Arial" w:hAnsi="Arial"/>
          <w:sz w:val="22"/>
          <w:szCs w:val="22"/>
          <w:u w:val="single" w:color="auto"/>
          <w:color w:val="0000EE"/>
        </w:rPr>
      </w:pPr>
    </w:p>
    <w:p>
      <w:pPr>
        <w:jc w:val="center"/>
        <w:ind w:right="-159"/>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100"/>
          </w:cols>
          <w:pgMar w:left="320" w:top="486" w:right="479" w:bottom="144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Table of Contents</w:t>
              </w:r>
            </w:hyperlink>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24"/>
        </w:trPr>
        <w:tc>
          <w:tcPr>
            <w:tcW w:w="34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w w:val="95"/>
              </w:rPr>
              <w:t>Exhibit</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340" w:type="dxa"/>
            <w:vAlign w:val="bottom"/>
          </w:tcPr>
          <w:p>
            <w:pPr>
              <w:spacing w:after="0"/>
              <w:rPr>
                <w:sz w:val="23"/>
                <w:szCs w:val="2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140" w:type="dxa"/>
            <w:vAlign w:val="bottom"/>
            <w:gridSpan w:val="28"/>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8"/>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4.17**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Borders>
              <w:bottom w:val="single" w:sz="8" w:color="0000EE"/>
            </w:tcBorders>
            <w:gridSpan w:val="29"/>
          </w:tcPr>
          <w:p>
            <w:pPr>
              <w:spacing w:after="0"/>
              <w:rPr>
                <w:rFonts w:ascii="Arial" w:cs="Arial" w:eastAsia="Arial" w:hAnsi="Arial"/>
                <w:sz w:val="22"/>
                <w:szCs w:val="22"/>
                <w:color w:val="0000EE"/>
                <w:w w:val="90"/>
              </w:rPr>
            </w:pPr>
            <w:hyperlink w:anchor="page227">
              <w:r>
                <w:rPr>
                  <w:rFonts w:ascii="Arial" w:cs="Arial" w:eastAsia="Arial" w:hAnsi="Arial"/>
                  <w:sz w:val="22"/>
                  <w:szCs w:val="22"/>
                  <w:color w:val="0000EE"/>
                  <w:w w:val="90"/>
                </w:rPr>
                <w:t>Form of Letter of Appointment for members of the board of directors of Mereo BioPharma Group plc.</w:t>
              </w:r>
            </w:hyperlink>
          </w:p>
        </w:tc>
        <w:tc>
          <w:tcPr>
            <w:tcW w:w="440" w:type="dxa"/>
            <w:vAlign w:val="bottom"/>
            <w:gridSpan w:val="10"/>
          </w:tcPr>
          <w:p>
            <w:pPr>
              <w:spacing w:after="0"/>
              <w:rPr>
                <w:sz w:val="24"/>
                <w:szCs w:val="24"/>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4.19*</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20" w:type="dxa"/>
            <w:vAlign w:val="bottom"/>
            <w:tcBorders>
              <w:bottom w:val="single" w:sz="8" w:color="0000EE"/>
            </w:tcBorders>
            <w:gridSpan w:val="34"/>
          </w:tcPr>
          <w:p>
            <w:pPr>
              <w:spacing w:after="0"/>
              <w:rPr>
                <w:rFonts w:ascii="Arial" w:cs="Arial" w:eastAsia="Arial" w:hAnsi="Arial"/>
                <w:sz w:val="22"/>
                <w:szCs w:val="22"/>
                <w:color w:val="0000EE"/>
                <w:w w:val="89"/>
              </w:rPr>
            </w:pPr>
            <w:hyperlink r:id="rId193">
              <w:r>
                <w:rPr>
                  <w:rFonts w:ascii="Arial" w:cs="Arial" w:eastAsia="Arial" w:hAnsi="Arial"/>
                  <w:sz w:val="22"/>
                  <w:szCs w:val="22"/>
                  <w:color w:val="0000EE"/>
                  <w:w w:val="89"/>
                </w:rPr>
                <w:t>Form of Convertible Loan Note Instrument, dated June 3, 2020, relating to Mereo BioPharma Group plc</w:t>
              </w:r>
            </w:hyperlink>
          </w:p>
        </w:tc>
        <w:tc>
          <w:tcPr>
            <w:tcW w:w="260" w:type="dxa"/>
            <w:vAlign w:val="bottom"/>
            <w:gridSpan w:val="5"/>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80" w:type="dxa"/>
            <w:vAlign w:val="bottom"/>
            <w:gridSpan w:val="39"/>
          </w:tcPr>
          <w:p>
            <w:pPr>
              <w:spacing w:after="0" w:line="223" w:lineRule="exact"/>
              <w:rPr>
                <w:rFonts w:ascii="Arial" w:cs="Arial" w:eastAsia="Arial" w:hAnsi="Arial"/>
                <w:sz w:val="22"/>
                <w:szCs w:val="22"/>
                <w:color w:val="0000EE"/>
                <w:w w:val="95"/>
              </w:rPr>
            </w:pPr>
            <w:hyperlink r:id="rId193">
              <w:r>
                <w:rPr>
                  <w:rFonts w:ascii="Arial" w:cs="Arial" w:eastAsia="Arial" w:hAnsi="Arial"/>
                  <w:sz w:val="22"/>
                  <w:szCs w:val="22"/>
                  <w:color w:val="0000EE"/>
                  <w:w w:val="95"/>
                </w:rPr>
                <w:t>and amended March 29, 2021 (incorporated by reference to Exhibit 10.3 to the registrant’s report on</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40" w:type="dxa"/>
            <w:vAlign w:val="bottom"/>
            <w:tcBorders>
              <w:top w:val="single" w:sz="8" w:color="0000EE"/>
            </w:tcBorders>
            <w:gridSpan w:val="27"/>
          </w:tcPr>
          <w:p>
            <w:pPr>
              <w:spacing w:after="0" w:line="223" w:lineRule="exact"/>
              <w:rPr>
                <w:rFonts w:ascii="Arial" w:cs="Arial" w:eastAsia="Arial" w:hAnsi="Arial"/>
                <w:sz w:val="22"/>
                <w:szCs w:val="22"/>
                <w:color w:val="0000EE"/>
              </w:rPr>
            </w:pPr>
            <w:hyperlink r:id="rId193">
              <w:r>
                <w:rPr>
                  <w:rFonts w:ascii="Arial" w:cs="Arial" w:eastAsia="Arial" w:hAnsi="Arial"/>
                  <w:sz w:val="22"/>
                  <w:szCs w:val="22"/>
                  <w:color w:val="0000EE"/>
                </w:rPr>
                <w:t>Form 6-K filed with the SEC on June 5, 2020 (File No. 001-38452)).</w:t>
              </w:r>
            </w:hyperlink>
          </w:p>
        </w:tc>
        <w:tc>
          <w:tcPr>
            <w:tcW w:w="640" w:type="dxa"/>
            <w:vAlign w:val="bottom"/>
            <w:gridSpan w:val="12"/>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4.20*</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20" w:type="dxa"/>
            <w:vAlign w:val="bottom"/>
            <w:tcBorders>
              <w:bottom w:val="single" w:sz="8" w:color="0000EE"/>
            </w:tcBorders>
            <w:gridSpan w:val="30"/>
          </w:tcPr>
          <w:p>
            <w:pPr>
              <w:spacing w:after="0"/>
              <w:rPr>
                <w:rFonts w:ascii="Arial" w:cs="Arial" w:eastAsia="Arial" w:hAnsi="Arial"/>
                <w:sz w:val="22"/>
                <w:szCs w:val="22"/>
                <w:color w:val="0000EE"/>
                <w:w w:val="88"/>
              </w:rPr>
            </w:pPr>
            <w:hyperlink r:id="rId194">
              <w:r>
                <w:rPr>
                  <w:rFonts w:ascii="Arial" w:cs="Arial" w:eastAsia="Arial" w:hAnsi="Arial"/>
                  <w:sz w:val="22"/>
                  <w:szCs w:val="22"/>
                  <w:color w:val="0000EE"/>
                  <w:w w:val="88"/>
                </w:rPr>
                <w:t>Form of Warrant Instrument, dated June 3, 2020, relating to Mereo BioPharma Group plc and amended</w:t>
              </w:r>
            </w:hyperlink>
          </w:p>
        </w:tc>
        <w:tc>
          <w:tcPr>
            <w:tcW w:w="360" w:type="dxa"/>
            <w:vAlign w:val="bottom"/>
            <w:gridSpan w:val="9"/>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80" w:type="dxa"/>
            <w:vAlign w:val="bottom"/>
            <w:gridSpan w:val="39"/>
          </w:tcPr>
          <w:p>
            <w:pPr>
              <w:spacing w:after="0" w:line="223" w:lineRule="exact"/>
              <w:rPr>
                <w:rFonts w:ascii="Arial" w:cs="Arial" w:eastAsia="Arial" w:hAnsi="Arial"/>
                <w:sz w:val="22"/>
                <w:szCs w:val="22"/>
                <w:color w:val="0000EE"/>
                <w:w w:val="90"/>
              </w:rPr>
            </w:pPr>
            <w:hyperlink r:id="rId194">
              <w:r>
                <w:rPr>
                  <w:rFonts w:ascii="Arial" w:cs="Arial" w:eastAsia="Arial" w:hAnsi="Arial"/>
                  <w:sz w:val="22"/>
                  <w:szCs w:val="22"/>
                  <w:color w:val="0000EE"/>
                  <w:w w:val="90"/>
                </w:rPr>
                <w:t>March 29, 2021 (incorporated by reference to Exhibit 10.4 to the registrant’s report on Form 6-K filed with</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40" w:type="dxa"/>
            <w:vAlign w:val="bottom"/>
            <w:tcBorders>
              <w:top w:val="single" w:sz="8" w:color="0000EE"/>
            </w:tcBorders>
            <w:gridSpan w:val="38"/>
          </w:tcPr>
          <w:p>
            <w:pPr>
              <w:spacing w:after="0" w:line="223" w:lineRule="exact"/>
              <w:rPr>
                <w:rFonts w:ascii="Arial" w:cs="Arial" w:eastAsia="Arial" w:hAnsi="Arial"/>
                <w:sz w:val="22"/>
                <w:szCs w:val="22"/>
                <w:color w:val="0000EE"/>
              </w:rPr>
            </w:pPr>
            <w:hyperlink r:id="rId194">
              <w:r>
                <w:rPr>
                  <w:rFonts w:ascii="Arial" w:cs="Arial" w:eastAsia="Arial" w:hAnsi="Arial"/>
                  <w:sz w:val="22"/>
                  <w:szCs w:val="22"/>
                  <w:color w:val="0000EE"/>
                </w:rPr>
                <w:t>the SEC on June 5, 2020 (File No. 001-384520).</w:t>
              </w:r>
            </w:hyperlink>
          </w:p>
        </w:tc>
        <w:tc>
          <w:tcPr>
            <w:tcW w:w="40" w:type="dxa"/>
            <w:vAlign w:val="bottom"/>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tcBorders>
              <w:bottom w:val="single" w:sz="8" w:color="0000EE"/>
            </w:tcBorders>
            <w:gridSpan w:val="39"/>
          </w:tcPr>
          <w:p>
            <w:pPr>
              <w:spacing w:after="0"/>
              <w:rPr>
                <w:rFonts w:ascii="Arial" w:cs="Arial" w:eastAsia="Arial" w:hAnsi="Arial"/>
                <w:sz w:val="22"/>
                <w:szCs w:val="22"/>
                <w:color w:val="0000EE"/>
                <w:w w:val="88"/>
              </w:rPr>
            </w:pPr>
            <w:hyperlink r:id="rId195">
              <w:r>
                <w:rPr>
                  <w:rFonts w:ascii="Arial" w:cs="Arial" w:eastAsia="Arial" w:hAnsi="Arial"/>
                  <w:sz w:val="22"/>
                  <w:szCs w:val="22"/>
                  <w:color w:val="0000EE"/>
                  <w:w w:val="88"/>
                </w:rPr>
                <w:t>Deed of Consent and Amendment to Convertible Loan Note Instrument, dated December 17, 2020 between</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80" w:type="dxa"/>
            <w:vAlign w:val="bottom"/>
            <w:gridSpan w:val="39"/>
          </w:tcPr>
          <w:p>
            <w:pPr>
              <w:spacing w:after="0" w:line="223" w:lineRule="exact"/>
              <w:rPr>
                <w:rFonts w:ascii="Arial" w:cs="Arial" w:eastAsia="Arial" w:hAnsi="Arial"/>
                <w:sz w:val="22"/>
                <w:szCs w:val="22"/>
                <w:color w:val="0000EE"/>
              </w:rPr>
            </w:pPr>
            <w:hyperlink r:id="rId195">
              <w:r>
                <w:rPr>
                  <w:rFonts w:ascii="Arial" w:cs="Arial" w:eastAsia="Arial" w:hAnsi="Arial"/>
                  <w:sz w:val="22"/>
                  <w:szCs w:val="22"/>
                  <w:color w:val="0000EE"/>
                </w:rPr>
                <w:t>Mereo BioPharma Group plc. and the Noteholders named therein.</w:t>
              </w:r>
            </w:hyperlink>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4.22*</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7"/>
              </w:rPr>
            </w:pPr>
            <w:hyperlink r:id="rId196">
              <w:r>
                <w:rPr>
                  <w:rFonts w:ascii="Arial" w:cs="Arial" w:eastAsia="Arial" w:hAnsi="Arial"/>
                  <w:sz w:val="22"/>
                  <w:szCs w:val="22"/>
                  <w:color w:val="0000EE"/>
                  <w:w w:val="97"/>
                </w:rPr>
                <w:t>Form of Amended Convertible Loan Note Instrument, dated December 18, 2020 relating to Mereo</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500" w:type="dxa"/>
            <w:vAlign w:val="bottom"/>
            <w:tcBorders>
              <w:top w:val="single" w:sz="8" w:color="0000EE"/>
            </w:tcBorders>
            <w:gridSpan w:val="23"/>
          </w:tcPr>
          <w:p>
            <w:pPr>
              <w:spacing w:after="0" w:line="223" w:lineRule="exact"/>
              <w:rPr>
                <w:rFonts w:ascii="Arial" w:cs="Arial" w:eastAsia="Arial" w:hAnsi="Arial"/>
                <w:sz w:val="22"/>
                <w:szCs w:val="22"/>
                <w:color w:val="0000EE"/>
              </w:rPr>
            </w:pPr>
            <w:hyperlink r:id="rId196">
              <w:r>
                <w:rPr>
                  <w:rFonts w:ascii="Arial" w:cs="Arial" w:eastAsia="Arial" w:hAnsi="Arial"/>
                  <w:sz w:val="22"/>
                  <w:szCs w:val="22"/>
                  <w:color w:val="0000EE"/>
                </w:rPr>
                <w:t>BioPharma Group plc.</w:t>
              </w:r>
            </w:hyperlink>
          </w:p>
        </w:tc>
        <w:tc>
          <w:tcPr>
            <w:tcW w:w="780" w:type="dxa"/>
            <w:vAlign w:val="bottom"/>
            <w:gridSpan w:val="16"/>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4.23*</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tcBorders>
              <w:bottom w:val="single" w:sz="8" w:color="0000EE"/>
            </w:tcBorders>
            <w:gridSpan w:val="21"/>
          </w:tcPr>
          <w:p>
            <w:pPr>
              <w:spacing w:after="0"/>
              <w:rPr>
                <w:rFonts w:ascii="Arial" w:cs="Arial" w:eastAsia="Arial" w:hAnsi="Arial"/>
                <w:sz w:val="22"/>
                <w:szCs w:val="22"/>
                <w:color w:val="0000EE"/>
                <w:w w:val="89"/>
              </w:rPr>
            </w:pPr>
            <w:hyperlink r:id="rId197">
              <w:r>
                <w:rPr>
                  <w:rFonts w:ascii="Arial" w:cs="Arial" w:eastAsia="Arial" w:hAnsi="Arial"/>
                  <w:sz w:val="22"/>
                  <w:szCs w:val="22"/>
                  <w:color w:val="0000EE"/>
                  <w:w w:val="89"/>
                </w:rPr>
                <w:t>Form of Amended Convertible Loan Note Instrument, dated February 5, 2021 relating to Mereo</w:t>
              </w:r>
            </w:hyperlink>
          </w:p>
        </w:tc>
        <w:tc>
          <w:tcPr>
            <w:tcW w:w="980" w:type="dxa"/>
            <w:vAlign w:val="bottom"/>
            <w:gridSpan w:val="18"/>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80" w:type="dxa"/>
            <w:vAlign w:val="bottom"/>
            <w:gridSpan w:val="39"/>
          </w:tcPr>
          <w:p>
            <w:pPr>
              <w:spacing w:after="0" w:line="223" w:lineRule="exact"/>
              <w:rPr>
                <w:rFonts w:ascii="Arial" w:cs="Arial" w:eastAsia="Arial" w:hAnsi="Arial"/>
                <w:sz w:val="22"/>
                <w:szCs w:val="22"/>
                <w:color w:val="0000EE"/>
              </w:rPr>
            </w:pPr>
            <w:hyperlink r:id="rId197">
              <w:r>
                <w:rPr>
                  <w:rFonts w:ascii="Arial" w:cs="Arial" w:eastAsia="Arial" w:hAnsi="Arial"/>
                  <w:sz w:val="22"/>
                  <w:szCs w:val="22"/>
                  <w:color w:val="0000EE"/>
                </w:rPr>
                <w:t>BioPharma Group plc.</w:t>
              </w:r>
            </w:hyperlink>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4.24*</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0"/>
              </w:rPr>
            </w:pPr>
            <w:hyperlink r:id="rId198">
              <w:r>
                <w:rPr>
                  <w:rFonts w:ascii="Arial" w:cs="Arial" w:eastAsia="Arial" w:hAnsi="Arial"/>
                  <w:sz w:val="22"/>
                  <w:szCs w:val="22"/>
                  <w:color w:val="0000EE"/>
                  <w:w w:val="90"/>
                </w:rPr>
                <w:t>Form of Amended Convertible Loan Note Instrument, dated March 29, 2021 relating to Mereo BioPharma</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8"/>
              </w:rPr>
            </w:pPr>
            <w:hyperlink r:id="rId198">
              <w:r>
                <w:rPr>
                  <w:rFonts w:ascii="Arial" w:cs="Arial" w:eastAsia="Arial" w:hAnsi="Arial"/>
                  <w:sz w:val="22"/>
                  <w:szCs w:val="22"/>
                  <w:color w:val="0000EE"/>
                  <w:w w:val="88"/>
                </w:rPr>
                <w:t>Group plc.</w:t>
              </w:r>
            </w:hyperlink>
          </w:p>
        </w:tc>
        <w:tc>
          <w:tcPr>
            <w:tcW w:w="8280" w:type="dxa"/>
            <w:vAlign w:val="bottom"/>
            <w:tcBorders>
              <w:top w:val="single" w:sz="8" w:color="0000EE"/>
            </w:tcBorders>
            <w:gridSpan w:val="33"/>
          </w:tcPr>
          <w:p>
            <w:pPr>
              <w:spacing w:after="0"/>
              <w:rPr>
                <w:sz w:val="19"/>
                <w:szCs w:val="19"/>
                <w:color w:val="auto"/>
              </w:rPr>
            </w:pPr>
          </w:p>
        </w:tc>
        <w:tc>
          <w:tcPr>
            <w:tcW w:w="80" w:type="dxa"/>
            <w:vAlign w:val="bottom"/>
            <w:gridSpan w:val="2"/>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4.25*</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8"/>
              </w:rPr>
            </w:pPr>
            <w:hyperlink r:id="rId199">
              <w:r>
                <w:rPr>
                  <w:rFonts w:ascii="Arial" w:cs="Arial" w:eastAsia="Arial" w:hAnsi="Arial"/>
                  <w:sz w:val="22"/>
                  <w:szCs w:val="22"/>
                  <w:color w:val="0000EE"/>
                  <w:w w:val="98"/>
                </w:rPr>
                <w:t>Deed of Consent and Amendment to Warrant Instrument, dated March 29, 2021 between Mereo</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80" w:type="dxa"/>
            <w:vAlign w:val="bottom"/>
            <w:tcBorders>
              <w:top w:val="single" w:sz="8" w:color="0000EE"/>
            </w:tcBorders>
            <w:gridSpan w:val="20"/>
          </w:tcPr>
          <w:p>
            <w:pPr>
              <w:spacing w:after="0" w:line="223" w:lineRule="exact"/>
              <w:rPr>
                <w:rFonts w:ascii="Arial" w:cs="Arial" w:eastAsia="Arial" w:hAnsi="Arial"/>
                <w:sz w:val="22"/>
                <w:szCs w:val="22"/>
                <w:color w:val="0000EE"/>
              </w:rPr>
            </w:pPr>
            <w:hyperlink r:id="rId199">
              <w:r>
                <w:rPr>
                  <w:rFonts w:ascii="Arial" w:cs="Arial" w:eastAsia="Arial" w:hAnsi="Arial"/>
                  <w:sz w:val="22"/>
                  <w:szCs w:val="22"/>
                  <w:color w:val="0000EE"/>
                </w:rPr>
                <w:t>BioPharma Group plc. and the Alpha-1 Project, Inc.</w:t>
              </w:r>
            </w:hyperlink>
          </w:p>
        </w:tc>
        <w:tc>
          <w:tcPr>
            <w:tcW w:w="1000" w:type="dxa"/>
            <w:vAlign w:val="bottom"/>
            <w:gridSpan w:val="19"/>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4.26**</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0" w:type="dxa"/>
            <w:vAlign w:val="bottom"/>
            <w:tcBorders>
              <w:bottom w:val="single" w:sz="8" w:color="0000EE"/>
            </w:tcBorders>
            <w:gridSpan w:val="25"/>
          </w:tcPr>
          <w:p>
            <w:pPr>
              <w:spacing w:after="0"/>
              <w:rPr>
                <w:rFonts w:ascii="Arial" w:cs="Arial" w:eastAsia="Arial" w:hAnsi="Arial"/>
                <w:sz w:val="22"/>
                <w:szCs w:val="22"/>
                <w:color w:val="0000EE"/>
                <w:w w:val="88"/>
              </w:rPr>
            </w:pPr>
            <w:hyperlink w:anchor="page238">
              <w:r>
                <w:rPr>
                  <w:rFonts w:ascii="Arial" w:cs="Arial" w:eastAsia="Arial" w:hAnsi="Arial"/>
                  <w:sz w:val="22"/>
                  <w:szCs w:val="22"/>
                  <w:color w:val="0000EE"/>
                  <w:w w:val="88"/>
                </w:rPr>
                <w:t>Employment Agreement, dated September 1, 2019 between Mereo Biopharma Group plc. and John</w:t>
              </w:r>
            </w:hyperlink>
          </w:p>
        </w:tc>
        <w:tc>
          <w:tcPr>
            <w:tcW w:w="680" w:type="dxa"/>
            <w:vAlign w:val="bottom"/>
            <w:gridSpan w:val="14"/>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bottom w:val="single" w:sz="8" w:color="0000EE"/>
            </w:tcBorders>
            <w:gridSpan w:val="2"/>
          </w:tcPr>
          <w:p>
            <w:pPr>
              <w:spacing w:after="0" w:line="223" w:lineRule="exact"/>
              <w:rPr>
                <w:rFonts w:ascii="Arial" w:cs="Arial" w:eastAsia="Arial" w:hAnsi="Arial"/>
                <w:sz w:val="22"/>
                <w:szCs w:val="22"/>
                <w:color w:val="0000EE"/>
                <w:w w:val="87"/>
              </w:rPr>
            </w:pPr>
            <w:hyperlink w:anchor="page238">
              <w:r>
                <w:rPr>
                  <w:rFonts w:ascii="Arial" w:cs="Arial" w:eastAsia="Arial" w:hAnsi="Arial"/>
                  <w:sz w:val="22"/>
                  <w:szCs w:val="22"/>
                  <w:color w:val="0000EE"/>
                  <w:w w:val="87"/>
                </w:rPr>
                <w:t>Richard</w:t>
              </w:r>
            </w:hyperlink>
          </w:p>
        </w:tc>
        <w:tc>
          <w:tcPr>
            <w:tcW w:w="8600" w:type="dxa"/>
            <w:vAlign w:val="bottom"/>
            <w:gridSpan w:val="37"/>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0" w:type="dxa"/>
            <w:vAlign w:val="bottom"/>
            <w:tcBorders>
              <w:bottom w:val="single" w:sz="8" w:color="0000EE"/>
            </w:tcBorders>
            <w:gridSpan w:val="28"/>
          </w:tcPr>
          <w:p>
            <w:pPr>
              <w:spacing w:after="0"/>
              <w:rPr>
                <w:rFonts w:ascii="Arial" w:cs="Arial" w:eastAsia="Arial" w:hAnsi="Arial"/>
                <w:sz w:val="22"/>
                <w:szCs w:val="22"/>
                <w:color w:val="0000EE"/>
                <w:w w:val="89"/>
              </w:rPr>
            </w:pPr>
            <w:hyperlink r:id="rId200">
              <w:r>
                <w:rPr>
                  <w:rFonts w:ascii="Arial" w:cs="Arial" w:eastAsia="Arial" w:hAnsi="Arial"/>
                  <w:sz w:val="22"/>
                  <w:szCs w:val="22"/>
                  <w:color w:val="0000EE"/>
                  <w:w w:val="89"/>
                </w:rPr>
                <w:t>Employment Agreement, dated July 1, 2020 between Mereo BioPharma Group plc and John Lewicki.</w:t>
              </w:r>
            </w:hyperlink>
          </w:p>
        </w:tc>
        <w:tc>
          <w:tcPr>
            <w:tcW w:w="480" w:type="dxa"/>
            <w:vAlign w:val="bottom"/>
            <w:gridSpan w:val="11"/>
          </w:tcPr>
          <w:p>
            <w:pPr>
              <w:spacing w:after="0"/>
              <w:rPr>
                <w:sz w:val="24"/>
                <w:szCs w:val="24"/>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4.28*</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40" w:type="dxa"/>
            <w:vAlign w:val="bottom"/>
            <w:tcBorders>
              <w:bottom w:val="single" w:sz="8" w:color="0000EE"/>
            </w:tcBorders>
            <w:gridSpan w:val="35"/>
          </w:tcPr>
          <w:p>
            <w:pPr>
              <w:spacing w:after="0"/>
              <w:rPr>
                <w:rFonts w:ascii="Arial" w:cs="Arial" w:eastAsia="Arial" w:hAnsi="Arial"/>
                <w:sz w:val="22"/>
                <w:szCs w:val="22"/>
                <w:color w:val="0000EE"/>
                <w:w w:val="89"/>
              </w:rPr>
            </w:pPr>
            <w:hyperlink r:id="rId201">
              <w:r>
                <w:rPr>
                  <w:rFonts w:ascii="Arial" w:cs="Arial" w:eastAsia="Arial" w:hAnsi="Arial"/>
                  <w:sz w:val="22"/>
                  <w:szCs w:val="22"/>
                  <w:color w:val="0000EE"/>
                  <w:w w:val="89"/>
                </w:rPr>
                <w:t>Form of Convertible Loan Instrument, dated February 10, 2020 relating to Mereo BioPharma Group plc.</w:t>
              </w:r>
            </w:hyperlink>
          </w:p>
        </w:tc>
        <w:tc>
          <w:tcPr>
            <w:tcW w:w="240" w:type="dxa"/>
            <w:vAlign w:val="bottom"/>
            <w:gridSpan w:val="4"/>
          </w:tcPr>
          <w:p>
            <w:pPr>
              <w:spacing w:after="0"/>
              <w:rPr>
                <w:sz w:val="24"/>
                <w:szCs w:val="24"/>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4.29*</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rPr>
            </w:pPr>
            <w:hyperlink r:id="rId202">
              <w:r>
                <w:rPr>
                  <w:rFonts w:ascii="Arial" w:cs="Arial" w:eastAsia="Arial" w:hAnsi="Arial"/>
                  <w:sz w:val="22"/>
                  <w:szCs w:val="22"/>
                  <w:color w:val="0000EE"/>
                </w:rPr>
                <w:t>Form of Warrant Instrument, dated February 10, 2020 relating to Mereo BioPharma Group plc.</w:t>
              </w:r>
            </w:hyperlink>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4.30*</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60" w:type="dxa"/>
            <w:vAlign w:val="bottom"/>
            <w:tcBorders>
              <w:bottom w:val="single" w:sz="8" w:color="0000EE"/>
            </w:tcBorders>
            <w:gridSpan w:val="22"/>
          </w:tcPr>
          <w:p>
            <w:pPr>
              <w:spacing w:after="0"/>
              <w:rPr>
                <w:rFonts w:ascii="Arial" w:cs="Arial" w:eastAsia="Arial" w:hAnsi="Arial"/>
                <w:sz w:val="22"/>
                <w:szCs w:val="22"/>
                <w:color w:val="0000EE"/>
                <w:w w:val="88"/>
              </w:rPr>
            </w:pPr>
            <w:hyperlink r:id="rId203">
              <w:r>
                <w:rPr>
                  <w:rFonts w:ascii="Arial" w:cs="Arial" w:eastAsia="Arial" w:hAnsi="Arial"/>
                  <w:sz w:val="22"/>
                  <w:szCs w:val="22"/>
                  <w:color w:val="0000EE"/>
                  <w:w w:val="88"/>
                </w:rPr>
                <w:t>Deed of Consent and Amendment to Note Instrument, dated November 24, 2020 between Mereo</w:t>
              </w:r>
            </w:hyperlink>
          </w:p>
        </w:tc>
        <w:tc>
          <w:tcPr>
            <w:tcW w:w="920" w:type="dxa"/>
            <w:vAlign w:val="bottom"/>
            <w:gridSpan w:val="17"/>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40" w:type="dxa"/>
            <w:vAlign w:val="bottom"/>
            <w:tcBorders>
              <w:bottom w:val="single" w:sz="8" w:color="0000EE"/>
            </w:tcBorders>
            <w:gridSpan w:val="13"/>
          </w:tcPr>
          <w:p>
            <w:pPr>
              <w:spacing w:after="0" w:line="223" w:lineRule="exact"/>
              <w:rPr>
                <w:rFonts w:ascii="Arial" w:cs="Arial" w:eastAsia="Arial" w:hAnsi="Arial"/>
                <w:sz w:val="22"/>
                <w:szCs w:val="22"/>
                <w:color w:val="0000EE"/>
                <w:w w:val="89"/>
              </w:rPr>
            </w:pPr>
            <w:hyperlink r:id="rId203">
              <w:r>
                <w:rPr>
                  <w:rFonts w:ascii="Arial" w:cs="Arial" w:eastAsia="Arial" w:hAnsi="Arial"/>
                  <w:sz w:val="22"/>
                  <w:szCs w:val="22"/>
                  <w:color w:val="0000EE"/>
                  <w:w w:val="89"/>
                </w:rPr>
                <w:t>BioPharma Group plc. and Novartis Pharma AG.</w:t>
              </w:r>
            </w:hyperlink>
          </w:p>
        </w:tc>
        <w:tc>
          <w:tcPr>
            <w:tcW w:w="5040" w:type="dxa"/>
            <w:vAlign w:val="bottom"/>
            <w:gridSpan w:val="26"/>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4"/>
              </w:rPr>
            </w:pPr>
            <w:hyperlink r:id="rId204">
              <w:r>
                <w:rPr>
                  <w:rFonts w:ascii="Arial" w:cs="Arial" w:eastAsia="Arial" w:hAnsi="Arial"/>
                  <w:sz w:val="22"/>
                  <w:szCs w:val="22"/>
                  <w:color w:val="0000EE"/>
                  <w:w w:val="94"/>
                </w:rPr>
                <w:t>Deed of Consent and Amendment to Warrant Instrument, dated November 24, 2020 between Mereo</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13"/>
          </w:tcPr>
          <w:p>
            <w:pPr>
              <w:spacing w:after="0" w:line="223" w:lineRule="exact"/>
              <w:rPr>
                <w:rFonts w:ascii="Arial" w:cs="Arial" w:eastAsia="Arial" w:hAnsi="Arial"/>
                <w:sz w:val="22"/>
                <w:szCs w:val="22"/>
                <w:color w:val="0000EE"/>
                <w:w w:val="89"/>
              </w:rPr>
            </w:pPr>
            <w:hyperlink r:id="rId204">
              <w:r>
                <w:rPr>
                  <w:rFonts w:ascii="Arial" w:cs="Arial" w:eastAsia="Arial" w:hAnsi="Arial"/>
                  <w:sz w:val="22"/>
                  <w:szCs w:val="22"/>
                  <w:color w:val="0000EE"/>
                  <w:w w:val="89"/>
                </w:rPr>
                <w:t>BioPharma Group plc. and Novartis Pharma AG.</w:t>
              </w:r>
            </w:hyperlink>
          </w:p>
        </w:tc>
        <w:tc>
          <w:tcPr>
            <w:tcW w:w="4380" w:type="dxa"/>
            <w:vAlign w:val="bottom"/>
            <w:tcBorders>
              <w:top w:val="single" w:sz="8" w:color="0000EE"/>
            </w:tcBorders>
            <w:gridSpan w:val="13"/>
          </w:tcPr>
          <w:p>
            <w:pPr>
              <w:spacing w:after="0"/>
              <w:rPr>
                <w:sz w:val="19"/>
                <w:szCs w:val="19"/>
                <w:color w:val="auto"/>
              </w:rPr>
            </w:pPr>
          </w:p>
        </w:tc>
        <w:tc>
          <w:tcPr>
            <w:tcW w:w="660" w:type="dxa"/>
            <w:vAlign w:val="bottom"/>
            <w:gridSpan w:val="13"/>
          </w:tcPr>
          <w:p>
            <w:pPr>
              <w:spacing w:after="0"/>
              <w:rPr>
                <w:sz w:val="19"/>
                <w:szCs w:val="19"/>
                <w:color w:val="auto"/>
              </w:rPr>
            </w:pPr>
          </w:p>
        </w:tc>
      </w:tr>
      <w:tr>
        <w:trPr>
          <w:trHeight w:val="331"/>
        </w:trPr>
        <w:tc>
          <w:tcPr>
            <w:tcW w:w="1360" w:type="dxa"/>
            <w:vAlign w:val="bottom"/>
            <w:gridSpan w:val="3"/>
          </w:tcPr>
          <w:p>
            <w:pPr>
              <w:ind w:left="340"/>
              <w:spacing w:after="0"/>
              <w:rPr>
                <w:sz w:val="20"/>
                <w:szCs w:val="20"/>
                <w:color w:val="auto"/>
              </w:rPr>
            </w:pPr>
            <w:r>
              <w:rPr>
                <w:rFonts w:ascii="Arial" w:cs="Arial" w:eastAsia="Arial" w:hAnsi="Arial"/>
                <w:sz w:val="22"/>
                <w:szCs w:val="22"/>
                <w:color w:val="auto"/>
              </w:rPr>
              <w:t>4.32*††</w:t>
            </w: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1"/>
              </w:rPr>
            </w:pPr>
            <w:hyperlink r:id="rId205">
              <w:r>
                <w:rPr>
                  <w:rFonts w:ascii="Arial" w:cs="Arial" w:eastAsia="Arial" w:hAnsi="Arial"/>
                  <w:sz w:val="22"/>
                  <w:szCs w:val="22"/>
                  <w:color w:val="0000EE"/>
                  <w:w w:val="91"/>
                </w:rPr>
                <w:t>Collaboration and License Agreement, dated December 17, 2020, between Mereo BioPharma 3 Limited</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100" w:type="dxa"/>
            <w:vAlign w:val="bottom"/>
            <w:tcBorders>
              <w:top w:val="single" w:sz="8" w:color="0000EE"/>
              <w:bottom w:val="single" w:sz="8" w:color="0000EE"/>
            </w:tcBorders>
            <w:gridSpan w:val="10"/>
          </w:tcPr>
          <w:p>
            <w:pPr>
              <w:spacing w:after="0" w:line="223" w:lineRule="exact"/>
              <w:rPr>
                <w:rFonts w:ascii="Arial" w:cs="Arial" w:eastAsia="Arial" w:hAnsi="Arial"/>
                <w:sz w:val="22"/>
                <w:szCs w:val="22"/>
                <w:color w:val="0000EE"/>
                <w:w w:val="88"/>
              </w:rPr>
            </w:pPr>
            <w:hyperlink r:id="rId205">
              <w:r>
                <w:rPr>
                  <w:rFonts w:ascii="Arial" w:cs="Arial" w:eastAsia="Arial" w:hAnsi="Arial"/>
                  <w:sz w:val="22"/>
                  <w:szCs w:val="22"/>
                  <w:color w:val="0000EE"/>
                  <w:w w:val="88"/>
                </w:rPr>
                <w:t>and Ultragenyx Pharmaceutical Inc.</w:t>
              </w:r>
            </w:hyperlink>
          </w:p>
        </w:tc>
        <w:tc>
          <w:tcPr>
            <w:tcW w:w="5880" w:type="dxa"/>
            <w:vAlign w:val="bottom"/>
            <w:tcBorders>
              <w:top w:val="single" w:sz="8" w:color="0000EE"/>
            </w:tcBorders>
            <w:gridSpan w:val="22"/>
          </w:tcPr>
          <w:p>
            <w:pPr>
              <w:spacing w:after="0"/>
              <w:rPr>
                <w:sz w:val="19"/>
                <w:szCs w:val="19"/>
                <w:color w:val="auto"/>
              </w:rPr>
            </w:pPr>
          </w:p>
        </w:tc>
        <w:tc>
          <w:tcPr>
            <w:tcW w:w="300" w:type="dxa"/>
            <w:vAlign w:val="bottom"/>
            <w:gridSpan w:val="7"/>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4.33**</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2"/>
              </w:rPr>
            </w:pPr>
            <w:hyperlink w:anchor="page256">
              <w:r>
                <w:rPr>
                  <w:rFonts w:ascii="Arial" w:cs="Arial" w:eastAsia="Arial" w:hAnsi="Arial"/>
                  <w:sz w:val="22"/>
                  <w:szCs w:val="22"/>
                  <w:color w:val="0000EE"/>
                  <w:w w:val="92"/>
                </w:rPr>
                <w:t>Amended and restated Contract of Employment, dated September 3, 2021, between Mereo BioPharma</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80" w:type="dxa"/>
            <w:vAlign w:val="bottom"/>
            <w:tcBorders>
              <w:top w:val="single" w:sz="8" w:color="0000EE"/>
              <w:bottom w:val="single" w:sz="8" w:color="0000EE"/>
            </w:tcBorders>
            <w:gridSpan w:val="9"/>
          </w:tcPr>
          <w:p>
            <w:pPr>
              <w:spacing w:after="0" w:line="223" w:lineRule="exact"/>
              <w:rPr>
                <w:rFonts w:ascii="Arial" w:cs="Arial" w:eastAsia="Arial" w:hAnsi="Arial"/>
                <w:sz w:val="22"/>
                <w:szCs w:val="22"/>
                <w:color w:val="0000EE"/>
                <w:w w:val="89"/>
              </w:rPr>
            </w:pPr>
            <w:hyperlink w:anchor="page256">
              <w:r>
                <w:rPr>
                  <w:rFonts w:ascii="Arial" w:cs="Arial" w:eastAsia="Arial" w:hAnsi="Arial"/>
                  <w:sz w:val="22"/>
                  <w:szCs w:val="22"/>
                  <w:color w:val="0000EE"/>
                  <w:w w:val="89"/>
                </w:rPr>
                <w:t>Group plc and Denise Scots-Knight</w:t>
              </w:r>
            </w:hyperlink>
          </w:p>
        </w:tc>
        <w:tc>
          <w:tcPr>
            <w:tcW w:w="5760" w:type="dxa"/>
            <w:vAlign w:val="bottom"/>
            <w:tcBorders>
              <w:top w:val="single" w:sz="8" w:color="0000EE"/>
            </w:tcBorders>
            <w:gridSpan w:val="20"/>
          </w:tcPr>
          <w:p>
            <w:pPr>
              <w:spacing w:after="0"/>
              <w:rPr>
                <w:sz w:val="19"/>
                <w:szCs w:val="19"/>
                <w:color w:val="auto"/>
              </w:rPr>
            </w:pPr>
          </w:p>
        </w:tc>
        <w:tc>
          <w:tcPr>
            <w:tcW w:w="440" w:type="dxa"/>
            <w:vAlign w:val="bottom"/>
            <w:gridSpan w:val="10"/>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4.34**</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2"/>
              </w:rPr>
            </w:pPr>
            <w:hyperlink w:anchor="page286">
              <w:r>
                <w:rPr>
                  <w:rFonts w:ascii="Arial" w:cs="Arial" w:eastAsia="Arial" w:hAnsi="Arial"/>
                  <w:sz w:val="22"/>
                  <w:szCs w:val="22"/>
                  <w:color w:val="0000EE"/>
                  <w:w w:val="92"/>
                </w:rPr>
                <w:t>Amended and restated Contract of Employment, dated September 3, 2021, between Mereo BioPharma</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40" w:type="dxa"/>
            <w:vAlign w:val="bottom"/>
            <w:tcBorders>
              <w:top w:val="single" w:sz="8" w:color="0000EE"/>
            </w:tcBorders>
            <w:gridSpan w:val="29"/>
          </w:tcPr>
          <w:p>
            <w:pPr>
              <w:spacing w:after="0" w:line="223" w:lineRule="exact"/>
              <w:rPr>
                <w:rFonts w:ascii="Arial" w:cs="Arial" w:eastAsia="Arial" w:hAnsi="Arial"/>
                <w:sz w:val="22"/>
                <w:szCs w:val="22"/>
                <w:color w:val="0000EE"/>
              </w:rPr>
            </w:pPr>
            <w:hyperlink w:anchor="page286">
              <w:r>
                <w:rPr>
                  <w:rFonts w:ascii="Arial" w:cs="Arial" w:eastAsia="Arial" w:hAnsi="Arial"/>
                  <w:sz w:val="22"/>
                  <w:szCs w:val="22"/>
                  <w:color w:val="0000EE"/>
                </w:rPr>
                <w:t>Group plc and Christine Fox</w:t>
              </w:r>
            </w:hyperlink>
          </w:p>
        </w:tc>
        <w:tc>
          <w:tcPr>
            <w:tcW w:w="440" w:type="dxa"/>
            <w:vAlign w:val="bottom"/>
            <w:gridSpan w:val="10"/>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4.35**</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2"/>
              </w:rPr>
            </w:pPr>
            <w:hyperlink w:anchor="page316">
              <w:r>
                <w:rPr>
                  <w:rFonts w:ascii="Arial" w:cs="Arial" w:eastAsia="Arial" w:hAnsi="Arial"/>
                  <w:sz w:val="22"/>
                  <w:szCs w:val="22"/>
                  <w:color w:val="0000EE"/>
                  <w:w w:val="92"/>
                </w:rPr>
                <w:t>Amended and restated Contract of Employment, dated September 3, 2021, between Mereo BioPharma</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40" w:type="dxa"/>
            <w:vAlign w:val="bottom"/>
            <w:tcBorders>
              <w:top w:val="single" w:sz="8" w:color="0000EE"/>
            </w:tcBorders>
            <w:gridSpan w:val="29"/>
          </w:tcPr>
          <w:p>
            <w:pPr>
              <w:spacing w:after="0" w:line="223" w:lineRule="exact"/>
              <w:rPr>
                <w:rFonts w:ascii="Arial" w:cs="Arial" w:eastAsia="Arial" w:hAnsi="Arial"/>
                <w:sz w:val="22"/>
                <w:szCs w:val="22"/>
                <w:color w:val="0000EE"/>
              </w:rPr>
            </w:pPr>
            <w:hyperlink w:anchor="page316">
              <w:r>
                <w:rPr>
                  <w:rFonts w:ascii="Arial" w:cs="Arial" w:eastAsia="Arial" w:hAnsi="Arial"/>
                  <w:sz w:val="22"/>
                  <w:szCs w:val="22"/>
                  <w:color w:val="0000EE"/>
                </w:rPr>
                <w:t>Group plc and Alastair Mackinnon</w:t>
              </w:r>
            </w:hyperlink>
          </w:p>
        </w:tc>
        <w:tc>
          <w:tcPr>
            <w:tcW w:w="440" w:type="dxa"/>
            <w:vAlign w:val="bottom"/>
            <w:gridSpan w:val="10"/>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4.36**</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2"/>
              </w:rPr>
            </w:pPr>
            <w:hyperlink w:anchor="page346">
              <w:r>
                <w:rPr>
                  <w:rFonts w:ascii="Arial" w:cs="Arial" w:eastAsia="Arial" w:hAnsi="Arial"/>
                  <w:sz w:val="22"/>
                  <w:szCs w:val="22"/>
                  <w:color w:val="0000EE"/>
                  <w:w w:val="92"/>
                </w:rPr>
                <w:t>Amended and restated Contract of Employment, dated September 3, 2021, between Mereo BioPharma</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40" w:type="dxa"/>
            <w:vAlign w:val="bottom"/>
            <w:tcBorders>
              <w:top w:val="single" w:sz="8" w:color="0000EE"/>
            </w:tcBorders>
            <w:gridSpan w:val="29"/>
          </w:tcPr>
          <w:p>
            <w:pPr>
              <w:spacing w:after="0" w:line="223" w:lineRule="exact"/>
              <w:rPr>
                <w:rFonts w:ascii="Arial" w:cs="Arial" w:eastAsia="Arial" w:hAnsi="Arial"/>
                <w:sz w:val="22"/>
                <w:szCs w:val="22"/>
                <w:color w:val="0000EE"/>
              </w:rPr>
            </w:pPr>
            <w:hyperlink w:anchor="page346">
              <w:r>
                <w:rPr>
                  <w:rFonts w:ascii="Arial" w:cs="Arial" w:eastAsia="Arial" w:hAnsi="Arial"/>
                  <w:sz w:val="22"/>
                  <w:szCs w:val="22"/>
                  <w:color w:val="0000EE"/>
                </w:rPr>
                <w:t>Group plc and Charles Sermon</w:t>
              </w:r>
            </w:hyperlink>
          </w:p>
        </w:tc>
        <w:tc>
          <w:tcPr>
            <w:tcW w:w="440" w:type="dxa"/>
            <w:vAlign w:val="bottom"/>
            <w:gridSpan w:val="10"/>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60" w:type="dxa"/>
            <w:vAlign w:val="bottom"/>
            <w:tcBorders>
              <w:bottom w:val="single" w:sz="8" w:color="0000EE"/>
            </w:tcBorders>
            <w:gridSpan w:val="31"/>
          </w:tcPr>
          <w:p>
            <w:pPr>
              <w:spacing w:after="0"/>
              <w:rPr>
                <w:rFonts w:ascii="Arial" w:cs="Arial" w:eastAsia="Arial" w:hAnsi="Arial"/>
                <w:sz w:val="22"/>
                <w:szCs w:val="22"/>
                <w:color w:val="0000EE"/>
                <w:w w:val="87"/>
              </w:rPr>
            </w:pPr>
            <w:hyperlink w:anchor="page376">
              <w:r>
                <w:rPr>
                  <w:rFonts w:ascii="Arial" w:cs="Arial" w:eastAsia="Arial" w:hAnsi="Arial"/>
                  <w:sz w:val="22"/>
                  <w:szCs w:val="22"/>
                  <w:color w:val="0000EE"/>
                  <w:w w:val="87"/>
                </w:rPr>
                <w:t>Amended and restated Contract of Employment, dated September 16, 2021, between Mereo BioPharma</w:t>
              </w:r>
            </w:hyperlink>
          </w:p>
        </w:tc>
        <w:tc>
          <w:tcPr>
            <w:tcW w:w="320" w:type="dxa"/>
            <w:vAlign w:val="bottom"/>
            <w:gridSpan w:val="8"/>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40" w:type="dxa"/>
            <w:vAlign w:val="bottom"/>
            <w:tcBorders>
              <w:bottom w:val="single" w:sz="8" w:color="0000EE"/>
            </w:tcBorders>
            <w:gridSpan w:val="13"/>
          </w:tcPr>
          <w:p>
            <w:pPr>
              <w:spacing w:after="0" w:line="223" w:lineRule="exact"/>
              <w:rPr>
                <w:rFonts w:ascii="Arial" w:cs="Arial" w:eastAsia="Arial" w:hAnsi="Arial"/>
                <w:sz w:val="22"/>
                <w:szCs w:val="22"/>
                <w:color w:val="0000EE"/>
                <w:w w:val="90"/>
              </w:rPr>
            </w:pPr>
            <w:hyperlink w:anchor="page376">
              <w:r>
                <w:rPr>
                  <w:rFonts w:ascii="Arial" w:cs="Arial" w:eastAsia="Arial" w:hAnsi="Arial"/>
                  <w:sz w:val="22"/>
                  <w:szCs w:val="22"/>
                  <w:color w:val="0000EE"/>
                  <w:w w:val="90"/>
                </w:rPr>
                <w:t>Group plc and Alexandra (Wills) Hughes-Wilson</w:t>
              </w:r>
            </w:hyperlink>
          </w:p>
        </w:tc>
        <w:tc>
          <w:tcPr>
            <w:tcW w:w="5040" w:type="dxa"/>
            <w:vAlign w:val="bottom"/>
            <w:gridSpan w:val="26"/>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4.38**</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5"/>
              </w:rPr>
            </w:pPr>
            <w:hyperlink w:anchor="page406">
              <w:r>
                <w:rPr>
                  <w:rFonts w:ascii="Arial" w:cs="Arial" w:eastAsia="Arial" w:hAnsi="Arial"/>
                  <w:sz w:val="22"/>
                  <w:szCs w:val="22"/>
                  <w:color w:val="0000EE"/>
                  <w:w w:val="95"/>
                </w:rPr>
                <w:t>Employment Agreement, dated December 7, 2020, between Mereo BioPharma Group plc and Suba</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580" w:type="dxa"/>
            <w:vAlign w:val="bottom"/>
            <w:tcBorders>
              <w:top w:val="single" w:sz="8" w:color="0000EE"/>
            </w:tcBorders>
            <w:gridSpan w:val="24"/>
          </w:tcPr>
          <w:p>
            <w:pPr>
              <w:spacing w:after="0" w:line="223" w:lineRule="exact"/>
              <w:rPr>
                <w:rFonts w:ascii="Arial" w:cs="Arial" w:eastAsia="Arial" w:hAnsi="Arial"/>
                <w:sz w:val="22"/>
                <w:szCs w:val="22"/>
                <w:color w:val="0000EE"/>
              </w:rPr>
            </w:pPr>
            <w:hyperlink w:anchor="page406">
              <w:r>
                <w:rPr>
                  <w:rFonts w:ascii="Arial" w:cs="Arial" w:eastAsia="Arial" w:hAnsi="Arial"/>
                  <w:sz w:val="22"/>
                  <w:szCs w:val="22"/>
                  <w:color w:val="0000EE"/>
                </w:rPr>
                <w:t>Krishnan</w:t>
              </w:r>
            </w:hyperlink>
          </w:p>
        </w:tc>
        <w:tc>
          <w:tcPr>
            <w:tcW w:w="700" w:type="dxa"/>
            <w:vAlign w:val="bottom"/>
            <w:gridSpan w:val="15"/>
          </w:tcPr>
          <w:p>
            <w:pPr>
              <w:spacing w:after="0"/>
              <w:rPr>
                <w:sz w:val="19"/>
                <w:szCs w:val="19"/>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60" w:type="dxa"/>
            <w:vAlign w:val="bottom"/>
            <w:gridSpan w:val="10"/>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4.39**</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w w:val="93"/>
              </w:rPr>
            </w:pPr>
            <w:hyperlink w:anchor="page426">
              <w:r>
                <w:rPr>
                  <w:rFonts w:ascii="Arial" w:cs="Arial" w:eastAsia="Arial" w:hAnsi="Arial"/>
                  <w:sz w:val="22"/>
                  <w:szCs w:val="22"/>
                  <w:color w:val="0000EE"/>
                  <w:w w:val="93"/>
                </w:rPr>
                <w:t>Amended and restated Contract of Employment, dated October 12, 2021], between Mereo BioPharma</w:t>
              </w:r>
            </w:hyperlink>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tcBorders>
              <w:top w:val="single" w:sz="8" w:color="0000EE"/>
              <w:bottom w:val="single" w:sz="8" w:color="0000EE"/>
            </w:tcBorders>
            <w:gridSpan w:val="6"/>
          </w:tcPr>
          <w:p>
            <w:pPr>
              <w:spacing w:after="0" w:line="223" w:lineRule="exact"/>
              <w:rPr>
                <w:rFonts w:ascii="Arial" w:cs="Arial" w:eastAsia="Arial" w:hAnsi="Arial"/>
                <w:sz w:val="22"/>
                <w:szCs w:val="22"/>
                <w:color w:val="0000EE"/>
                <w:w w:val="87"/>
              </w:rPr>
            </w:pPr>
            <w:hyperlink w:anchor="page426">
              <w:r>
                <w:rPr>
                  <w:rFonts w:ascii="Arial" w:cs="Arial" w:eastAsia="Arial" w:hAnsi="Arial"/>
                  <w:sz w:val="22"/>
                  <w:szCs w:val="22"/>
                  <w:color w:val="0000EE"/>
                  <w:w w:val="87"/>
                </w:rPr>
                <w:t>Group plc and Jackie Parkin</w:t>
              </w:r>
            </w:hyperlink>
          </w:p>
        </w:tc>
        <w:tc>
          <w:tcPr>
            <w:tcW w:w="6340" w:type="dxa"/>
            <w:vAlign w:val="bottom"/>
            <w:tcBorders>
              <w:top w:val="single" w:sz="8" w:color="0000EE"/>
            </w:tcBorders>
            <w:gridSpan w:val="22"/>
          </w:tcPr>
          <w:p>
            <w:pPr>
              <w:spacing w:after="0"/>
              <w:rPr>
                <w:sz w:val="19"/>
                <w:szCs w:val="19"/>
                <w:color w:val="auto"/>
              </w:rPr>
            </w:pPr>
          </w:p>
        </w:tc>
        <w:tc>
          <w:tcPr>
            <w:tcW w:w="480" w:type="dxa"/>
            <w:vAlign w:val="bottom"/>
            <w:gridSpan w:val="11"/>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4.40**</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0" w:type="dxa"/>
            <w:vAlign w:val="bottom"/>
            <w:tcBorders>
              <w:bottom w:val="single" w:sz="8" w:color="0000EE"/>
            </w:tcBorders>
            <w:gridSpan w:val="33"/>
          </w:tcPr>
          <w:p>
            <w:pPr>
              <w:spacing w:after="0"/>
              <w:rPr>
                <w:rFonts w:ascii="Arial" w:cs="Arial" w:eastAsia="Arial" w:hAnsi="Arial"/>
                <w:sz w:val="22"/>
                <w:szCs w:val="22"/>
                <w:color w:val="0000EE"/>
                <w:w w:val="89"/>
              </w:rPr>
            </w:pPr>
            <w:hyperlink w:anchor="page456">
              <w:r>
                <w:rPr>
                  <w:rFonts w:ascii="Arial" w:cs="Arial" w:eastAsia="Arial" w:hAnsi="Arial"/>
                  <w:sz w:val="22"/>
                  <w:szCs w:val="22"/>
                  <w:color w:val="0000EE"/>
                  <w:w w:val="89"/>
                </w:rPr>
                <w:t>Form of Change in Control and Severance Agreement for Executives employed by Mereo Biopharma 5,</w:t>
              </w:r>
            </w:hyperlink>
          </w:p>
        </w:tc>
        <w:tc>
          <w:tcPr>
            <w:tcW w:w="280" w:type="dxa"/>
            <w:vAlign w:val="bottom"/>
            <w:gridSpan w:val="6"/>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80" w:type="dxa"/>
            <w:vAlign w:val="bottom"/>
            <w:gridSpan w:val="39"/>
          </w:tcPr>
          <w:p>
            <w:pPr>
              <w:spacing w:after="0" w:line="223" w:lineRule="exact"/>
              <w:rPr>
                <w:rFonts w:ascii="Arial" w:cs="Arial" w:eastAsia="Arial" w:hAnsi="Arial"/>
                <w:sz w:val="22"/>
                <w:szCs w:val="22"/>
                <w:color w:val="0000EE"/>
              </w:rPr>
            </w:pPr>
            <w:hyperlink w:anchor="page456">
              <w:r>
                <w:rPr>
                  <w:rFonts w:ascii="Arial" w:cs="Arial" w:eastAsia="Arial" w:hAnsi="Arial"/>
                  <w:sz w:val="22"/>
                  <w:szCs w:val="22"/>
                  <w:color w:val="0000EE"/>
                </w:rPr>
                <w:t>Inc.</w:t>
              </w:r>
            </w:hyperlink>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00" w:type="dxa"/>
            <w:vAlign w:val="bottom"/>
            <w:gridSpan w:val="1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4.44**</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80" w:type="dxa"/>
            <w:vAlign w:val="bottom"/>
            <w:gridSpan w:val="39"/>
          </w:tcPr>
          <w:p>
            <w:pPr>
              <w:spacing w:after="0"/>
              <w:rPr>
                <w:rFonts w:ascii="Arial" w:cs="Arial" w:eastAsia="Arial" w:hAnsi="Arial"/>
                <w:sz w:val="22"/>
                <w:szCs w:val="22"/>
                <w:color w:val="0000EE"/>
              </w:rPr>
            </w:pPr>
            <w:hyperlink w:anchor="page467">
              <w:r>
                <w:rPr>
                  <w:rFonts w:ascii="Arial" w:cs="Arial" w:eastAsia="Arial" w:hAnsi="Arial"/>
                  <w:sz w:val="22"/>
                  <w:szCs w:val="22"/>
                  <w:color w:val="0000EE"/>
                </w:rPr>
                <w:t>Deferred Compensation Plan for Non-Employee Directors, dated January 31, 2022</w:t>
              </w:r>
            </w:hyperlink>
          </w:p>
        </w:tc>
      </w:tr>
      <w:tr>
        <w:trPr>
          <w:trHeight w:val="20"/>
        </w:trPr>
        <w:tc>
          <w:tcPr>
            <w:tcW w:w="1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tcBorders>
              <w:right w:val="single" w:sz="8" w:color="0000EE"/>
            </w:tcBorders>
            <w:gridSpan w:val="7"/>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2000" w:type="dxa"/>
            <w:vAlign w:val="bottom"/>
            <w:gridSpan w:val="1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31"/>
        </w:trPr>
        <w:tc>
          <w:tcPr>
            <w:tcW w:w="1360" w:type="dxa"/>
            <w:vAlign w:val="bottom"/>
            <w:gridSpan w:val="3"/>
          </w:tcPr>
          <w:p>
            <w:pPr>
              <w:ind w:left="340"/>
              <w:spacing w:after="0"/>
              <w:rPr>
                <w:sz w:val="20"/>
                <w:szCs w:val="20"/>
                <w:color w:val="auto"/>
              </w:rPr>
            </w:pPr>
            <w:r>
              <w:rPr>
                <w:rFonts w:ascii="Arial" w:cs="Arial" w:eastAsia="Arial" w:hAnsi="Arial"/>
                <w:sz w:val="22"/>
                <w:szCs w:val="22"/>
                <w:color w:val="auto"/>
              </w:rPr>
              <w:t>4.45**†††</w:t>
            </w:r>
          </w:p>
        </w:tc>
        <w:tc>
          <w:tcPr>
            <w:tcW w:w="480" w:type="dxa"/>
            <w:vAlign w:val="bottom"/>
          </w:tcPr>
          <w:p>
            <w:pPr>
              <w:spacing w:after="0"/>
              <w:rPr>
                <w:sz w:val="24"/>
                <w:szCs w:val="24"/>
                <w:color w:val="auto"/>
              </w:rPr>
            </w:pPr>
          </w:p>
        </w:tc>
        <w:tc>
          <w:tcPr>
            <w:tcW w:w="9140" w:type="dxa"/>
            <w:vAlign w:val="bottom"/>
            <w:tcBorders>
              <w:bottom w:val="single" w:sz="8" w:color="0000EE"/>
            </w:tcBorders>
            <w:gridSpan w:val="36"/>
          </w:tcPr>
          <w:p>
            <w:pPr>
              <w:spacing w:after="0"/>
              <w:rPr>
                <w:rFonts w:ascii="Arial" w:cs="Arial" w:eastAsia="Arial" w:hAnsi="Arial"/>
                <w:sz w:val="22"/>
                <w:szCs w:val="22"/>
                <w:color w:val="0000EE"/>
                <w:w w:val="88"/>
              </w:rPr>
            </w:pPr>
            <w:hyperlink w:anchor="page473">
              <w:r>
                <w:rPr>
                  <w:rFonts w:ascii="Arial" w:cs="Arial" w:eastAsia="Arial" w:hAnsi="Arial"/>
                  <w:sz w:val="22"/>
                  <w:szCs w:val="22"/>
                  <w:color w:val="0000EE"/>
                  <w:w w:val="88"/>
                </w:rPr>
                <w:t>License Agreement, dated January 13, 2020, between OncoMed Pharmaceuticals, Inc., Mereo BioPharma</w:t>
              </w:r>
            </w:hyperlink>
          </w:p>
        </w:tc>
        <w:tc>
          <w:tcPr>
            <w:tcW w:w="140" w:type="dxa"/>
            <w:vAlign w:val="bottom"/>
            <w:gridSpan w:val="3"/>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60" w:type="dxa"/>
            <w:vAlign w:val="bottom"/>
            <w:tcBorders>
              <w:bottom w:val="single" w:sz="8" w:color="0000EE"/>
            </w:tcBorders>
            <w:gridSpan w:val="7"/>
          </w:tcPr>
          <w:p>
            <w:pPr>
              <w:spacing w:after="0" w:line="223" w:lineRule="exact"/>
              <w:rPr>
                <w:rFonts w:ascii="Arial" w:cs="Arial" w:eastAsia="Arial" w:hAnsi="Arial"/>
                <w:sz w:val="22"/>
                <w:szCs w:val="22"/>
                <w:color w:val="0000EE"/>
                <w:w w:val="90"/>
              </w:rPr>
            </w:pPr>
            <w:hyperlink w:anchor="page473">
              <w:r>
                <w:rPr>
                  <w:rFonts w:ascii="Arial" w:cs="Arial" w:eastAsia="Arial" w:hAnsi="Arial"/>
                  <w:sz w:val="22"/>
                  <w:szCs w:val="22"/>
                  <w:color w:val="0000EE"/>
                  <w:w w:val="90"/>
                </w:rPr>
                <w:t>Group plc and Oncologie, Inc.</w:t>
              </w:r>
            </w:hyperlink>
          </w:p>
        </w:tc>
        <w:tc>
          <w:tcPr>
            <w:tcW w:w="6620" w:type="dxa"/>
            <w:vAlign w:val="bottom"/>
            <w:gridSpan w:val="32"/>
          </w:tcPr>
          <w:p>
            <w:pPr>
              <w:spacing w:after="0"/>
              <w:rPr>
                <w:sz w:val="19"/>
                <w:szCs w:val="19"/>
                <w:color w:val="auto"/>
              </w:rPr>
            </w:pPr>
          </w:p>
        </w:tc>
      </w:tr>
      <w:tr>
        <w:trPr>
          <w:trHeight w:val="331"/>
        </w:trPr>
        <w:tc>
          <w:tcPr>
            <w:tcW w:w="1020" w:type="dxa"/>
            <w:vAlign w:val="bottom"/>
            <w:gridSpan w:val="2"/>
          </w:tcPr>
          <w:p>
            <w:pPr>
              <w:ind w:left="340"/>
              <w:spacing w:after="0"/>
              <w:rPr>
                <w:sz w:val="20"/>
                <w:szCs w:val="20"/>
                <w:color w:val="auto"/>
              </w:rPr>
            </w:pPr>
            <w:r>
              <w:rPr>
                <w:rFonts w:ascii="Arial" w:cs="Arial" w:eastAsia="Arial" w:hAnsi="Arial"/>
                <w:sz w:val="22"/>
                <w:szCs w:val="22"/>
                <w:color w:val="auto"/>
              </w:rPr>
              <w:t>8.1*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80" w:type="dxa"/>
            <w:vAlign w:val="bottom"/>
            <w:tcBorders>
              <w:bottom w:val="single" w:sz="8" w:color="0000EE"/>
            </w:tcBorders>
            <w:gridSpan w:val="14"/>
          </w:tcPr>
          <w:p>
            <w:pPr>
              <w:spacing w:after="0"/>
              <w:rPr>
                <w:rFonts w:ascii="Arial" w:cs="Arial" w:eastAsia="Arial" w:hAnsi="Arial"/>
                <w:sz w:val="22"/>
                <w:szCs w:val="22"/>
                <w:color w:val="0000EE"/>
                <w:w w:val="90"/>
              </w:rPr>
            </w:pPr>
            <w:hyperlink r:id="rId206">
              <w:r>
                <w:rPr>
                  <w:rFonts w:ascii="Arial" w:cs="Arial" w:eastAsia="Arial" w:hAnsi="Arial"/>
                  <w:sz w:val="22"/>
                  <w:szCs w:val="22"/>
                  <w:color w:val="0000EE"/>
                  <w:w w:val="90"/>
                </w:rPr>
                <w:t>List of Subsidiaries of Mereo BioPharma Group plc</w:t>
              </w:r>
            </w:hyperlink>
          </w:p>
        </w:tc>
        <w:tc>
          <w:tcPr>
            <w:tcW w:w="4800" w:type="dxa"/>
            <w:vAlign w:val="bottom"/>
            <w:gridSpan w:val="25"/>
          </w:tcPr>
          <w:p>
            <w:pPr>
              <w:spacing w:after="0"/>
              <w:rPr>
                <w:sz w:val="24"/>
                <w:szCs w:val="24"/>
                <w:color w:val="auto"/>
              </w:rPr>
            </w:pPr>
          </w:p>
        </w:tc>
      </w:tr>
    </w:tbl>
    <w:p>
      <w:pPr>
        <w:spacing w:after="0"/>
        <w:rPr>
          <w:sz w:val="20"/>
          <w:szCs w:val="20"/>
          <w:color w:val="auto"/>
        </w:rPr>
        <w:sectPr>
          <w:pgSz w:w="11900" w:h="16838" w:orient="portrait"/>
          <w:cols w:equalWidth="0" w:num="1">
            <w:col w:w="11120"/>
          </w:cols>
          <w:pgMar w:left="320" w:top="473" w:right="459" w:bottom="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136</w:t>
      </w:r>
    </w:p>
    <w:p>
      <w:pPr>
        <w:sectPr>
          <w:pgSz w:w="11900" w:h="16838" w:orient="portrait"/>
          <w:cols w:equalWidth="0" w:num="1">
            <w:col w:w="11120"/>
          </w:cols>
          <w:pgMar w:left="320" w:top="473" w:right="459" w:bottom="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24"/>
        </w:trPr>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180" w:type="dxa"/>
            <w:vAlign w:val="bottom"/>
          </w:tcPr>
          <w:p>
            <w:pPr>
              <w:spacing w:after="0"/>
              <w:rPr>
                <w:sz w:val="23"/>
                <w:szCs w:val="23"/>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20"/>
                <w:szCs w:val="20"/>
                <w:b w:val="1"/>
                <w:bCs w:val="1"/>
                <w:color w:val="auto"/>
              </w:rPr>
              <w:t>No.</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040" w:type="dxa"/>
            <w:vAlign w:val="bottom"/>
            <w:gridSpan w:val="18"/>
          </w:tcPr>
          <w:p>
            <w:pPr>
              <w:ind w:left="1760"/>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8"/>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10.1*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tcBorders>
              <w:bottom w:val="single" w:sz="8" w:color="0000EE"/>
            </w:tcBorders>
            <w:gridSpan w:val="17"/>
          </w:tcPr>
          <w:p>
            <w:pPr>
              <w:spacing w:after="0"/>
              <w:rPr>
                <w:rFonts w:ascii="Arial" w:cs="Arial" w:eastAsia="Arial" w:hAnsi="Arial"/>
                <w:sz w:val="22"/>
                <w:szCs w:val="22"/>
                <w:color w:val="0000EE"/>
                <w:w w:val="88"/>
              </w:rPr>
            </w:pPr>
            <w:hyperlink r:id="rId208">
              <w:r>
                <w:rPr>
                  <w:rFonts w:ascii="Arial" w:cs="Arial" w:eastAsia="Arial" w:hAnsi="Arial"/>
                  <w:sz w:val="22"/>
                  <w:szCs w:val="22"/>
                  <w:color w:val="0000EE"/>
                  <w:w w:val="88"/>
                </w:rPr>
                <w:t>Securities Purchase Agreement, dated February 10, 2020, by and between Mereo BioPharma Group PLC and</w:t>
              </w:r>
            </w:hyperlink>
          </w:p>
        </w:tc>
        <w:tc>
          <w:tcPr>
            <w:tcW w:w="180" w:type="dxa"/>
            <w:vAlign w:val="bottom"/>
            <w:gridSpan w:val="3"/>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40" w:type="dxa"/>
            <w:vAlign w:val="bottom"/>
            <w:gridSpan w:val="20"/>
          </w:tcPr>
          <w:p>
            <w:pPr>
              <w:spacing w:after="0" w:line="223" w:lineRule="exact"/>
              <w:rPr>
                <w:rFonts w:ascii="Arial" w:cs="Arial" w:eastAsia="Arial" w:hAnsi="Arial"/>
                <w:sz w:val="22"/>
                <w:szCs w:val="22"/>
                <w:color w:val="0000EE"/>
                <w:w w:val="94"/>
              </w:rPr>
            </w:pPr>
            <w:hyperlink r:id="rId208">
              <w:r>
                <w:rPr>
                  <w:rFonts w:ascii="Arial" w:cs="Arial" w:eastAsia="Arial" w:hAnsi="Arial"/>
                  <w:sz w:val="22"/>
                  <w:szCs w:val="22"/>
                  <w:color w:val="0000EE"/>
                  <w:w w:val="94"/>
                </w:rPr>
                <w:t>Aspire Capital Fund, LLC (incorporated by reference to Exhibit 10.1 to the registrant’s report on Form 6-K</w:t>
              </w:r>
            </w:hyperlink>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40" w:type="dxa"/>
            <w:vAlign w:val="bottom"/>
            <w:tcBorders>
              <w:top w:val="single" w:sz="8" w:color="0000EE"/>
              <w:bottom w:val="single" w:sz="8" w:color="0000EE"/>
            </w:tcBorders>
            <w:gridSpan w:val="6"/>
          </w:tcPr>
          <w:p>
            <w:pPr>
              <w:spacing w:after="0" w:line="223" w:lineRule="exact"/>
              <w:rPr>
                <w:rFonts w:ascii="Arial" w:cs="Arial" w:eastAsia="Arial" w:hAnsi="Arial"/>
                <w:sz w:val="22"/>
                <w:szCs w:val="22"/>
                <w:color w:val="0000EE"/>
                <w:w w:val="90"/>
              </w:rPr>
            </w:pPr>
            <w:hyperlink r:id="rId208">
              <w:r>
                <w:rPr>
                  <w:rFonts w:ascii="Arial" w:cs="Arial" w:eastAsia="Arial" w:hAnsi="Arial"/>
                  <w:sz w:val="22"/>
                  <w:szCs w:val="22"/>
                  <w:color w:val="0000EE"/>
                  <w:w w:val="90"/>
                </w:rPr>
                <w:t>filed with the SEC on February 10, 2020 (File No. 001-38452)).</w:t>
              </w:r>
            </w:hyperlink>
          </w:p>
        </w:tc>
        <w:tc>
          <w:tcPr>
            <w:tcW w:w="3720" w:type="dxa"/>
            <w:vAlign w:val="bottom"/>
            <w:tcBorders>
              <w:top w:val="single" w:sz="8" w:color="0000EE"/>
            </w:tcBorders>
            <w:gridSpan w:val="6"/>
          </w:tcPr>
          <w:p>
            <w:pPr>
              <w:spacing w:after="0"/>
              <w:rPr>
                <w:sz w:val="19"/>
                <w:szCs w:val="19"/>
                <w:color w:val="auto"/>
              </w:rPr>
            </w:pPr>
          </w:p>
        </w:tc>
        <w:tc>
          <w:tcPr>
            <w:tcW w:w="380" w:type="dxa"/>
            <w:vAlign w:val="bottom"/>
            <w:gridSpan w:val="8"/>
          </w:tcPr>
          <w:p>
            <w:pPr>
              <w:spacing w:after="0"/>
              <w:rPr>
                <w:sz w:val="19"/>
                <w:szCs w:val="19"/>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10.2*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bottom w:val="single" w:sz="8" w:color="0000EE"/>
            </w:tcBorders>
            <w:gridSpan w:val="16"/>
          </w:tcPr>
          <w:p>
            <w:pPr>
              <w:spacing w:after="0"/>
              <w:rPr>
                <w:rFonts w:ascii="Arial" w:cs="Arial" w:eastAsia="Arial" w:hAnsi="Arial"/>
                <w:sz w:val="22"/>
                <w:szCs w:val="22"/>
                <w:color w:val="0000EE"/>
                <w:w w:val="88"/>
              </w:rPr>
            </w:pPr>
            <w:hyperlink r:id="rId209">
              <w:r>
                <w:rPr>
                  <w:rFonts w:ascii="Arial" w:cs="Arial" w:eastAsia="Arial" w:hAnsi="Arial"/>
                  <w:sz w:val="22"/>
                  <w:szCs w:val="22"/>
                  <w:color w:val="0000EE"/>
                  <w:w w:val="88"/>
                </w:rPr>
                <w:t>Registration Rights Agreement, dated February 10, 2020, by and between Mereo BioPharma Group PLC and</w:t>
              </w:r>
            </w:hyperlink>
          </w:p>
        </w:tc>
        <w:tc>
          <w:tcPr>
            <w:tcW w:w="200" w:type="dxa"/>
            <w:vAlign w:val="bottom"/>
            <w:gridSpan w:val="4"/>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40" w:type="dxa"/>
            <w:vAlign w:val="bottom"/>
            <w:gridSpan w:val="20"/>
          </w:tcPr>
          <w:p>
            <w:pPr>
              <w:spacing w:after="0" w:line="223" w:lineRule="exact"/>
              <w:rPr>
                <w:rFonts w:ascii="Arial" w:cs="Arial" w:eastAsia="Arial" w:hAnsi="Arial"/>
                <w:sz w:val="22"/>
                <w:szCs w:val="22"/>
                <w:color w:val="0000EE"/>
                <w:w w:val="94"/>
              </w:rPr>
            </w:pPr>
            <w:hyperlink r:id="rId209">
              <w:r>
                <w:rPr>
                  <w:rFonts w:ascii="Arial" w:cs="Arial" w:eastAsia="Arial" w:hAnsi="Arial"/>
                  <w:sz w:val="22"/>
                  <w:szCs w:val="22"/>
                  <w:color w:val="0000EE"/>
                  <w:w w:val="94"/>
                </w:rPr>
                <w:t>Aspire Capital Fund, LLC (incorporated by reference to Exhibit 10.2 to the registrant’s report on Form 6-K</w:t>
              </w:r>
            </w:hyperlink>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40" w:type="dxa"/>
            <w:vAlign w:val="bottom"/>
            <w:tcBorders>
              <w:top w:val="single" w:sz="8" w:color="0000EE"/>
              <w:bottom w:val="single" w:sz="8" w:color="0000EE"/>
            </w:tcBorders>
            <w:gridSpan w:val="6"/>
          </w:tcPr>
          <w:p>
            <w:pPr>
              <w:spacing w:after="0" w:line="223" w:lineRule="exact"/>
              <w:rPr>
                <w:rFonts w:ascii="Arial" w:cs="Arial" w:eastAsia="Arial" w:hAnsi="Arial"/>
                <w:sz w:val="22"/>
                <w:szCs w:val="22"/>
                <w:color w:val="0000EE"/>
                <w:w w:val="90"/>
              </w:rPr>
            </w:pPr>
            <w:hyperlink r:id="rId209">
              <w:r>
                <w:rPr>
                  <w:rFonts w:ascii="Arial" w:cs="Arial" w:eastAsia="Arial" w:hAnsi="Arial"/>
                  <w:sz w:val="22"/>
                  <w:szCs w:val="22"/>
                  <w:color w:val="0000EE"/>
                  <w:w w:val="90"/>
                </w:rPr>
                <w:t>filed with the SEC on February 10, 2020 (File No. 001-38452)).</w:t>
              </w:r>
            </w:hyperlink>
          </w:p>
        </w:tc>
        <w:tc>
          <w:tcPr>
            <w:tcW w:w="3720" w:type="dxa"/>
            <w:vAlign w:val="bottom"/>
            <w:tcBorders>
              <w:top w:val="single" w:sz="8" w:color="0000EE"/>
            </w:tcBorders>
            <w:gridSpan w:val="6"/>
          </w:tcPr>
          <w:p>
            <w:pPr>
              <w:spacing w:after="0"/>
              <w:rPr>
                <w:sz w:val="19"/>
                <w:szCs w:val="19"/>
                <w:color w:val="auto"/>
              </w:rPr>
            </w:pPr>
          </w:p>
        </w:tc>
        <w:tc>
          <w:tcPr>
            <w:tcW w:w="380" w:type="dxa"/>
            <w:vAlign w:val="bottom"/>
            <w:gridSpan w:val="8"/>
          </w:tcPr>
          <w:p>
            <w:pPr>
              <w:spacing w:after="0"/>
              <w:rPr>
                <w:sz w:val="19"/>
                <w:szCs w:val="19"/>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10.3*</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tcBorders>
              <w:bottom w:val="single" w:sz="8" w:color="0000EE"/>
            </w:tcBorders>
            <w:gridSpan w:val="17"/>
          </w:tcPr>
          <w:p>
            <w:pPr>
              <w:spacing w:after="0"/>
              <w:rPr>
                <w:rFonts w:ascii="Arial" w:cs="Arial" w:eastAsia="Arial" w:hAnsi="Arial"/>
                <w:sz w:val="22"/>
                <w:szCs w:val="22"/>
                <w:color w:val="0000EE"/>
                <w:w w:val="88"/>
              </w:rPr>
            </w:pPr>
            <w:hyperlink r:id="rId210">
              <w:r>
                <w:rPr>
                  <w:rFonts w:ascii="Arial" w:cs="Arial" w:eastAsia="Arial" w:hAnsi="Arial"/>
                  <w:sz w:val="22"/>
                  <w:szCs w:val="22"/>
                  <w:color w:val="0000EE"/>
                  <w:w w:val="88"/>
                </w:rPr>
                <w:t>Securities Purchase Agreement, dated February 19, 2020, by and between Mereo BioPharma Group PLC and</w:t>
              </w:r>
            </w:hyperlink>
          </w:p>
        </w:tc>
        <w:tc>
          <w:tcPr>
            <w:tcW w:w="180" w:type="dxa"/>
            <w:vAlign w:val="bottom"/>
            <w:gridSpan w:val="3"/>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40" w:type="dxa"/>
            <w:vAlign w:val="bottom"/>
            <w:gridSpan w:val="20"/>
          </w:tcPr>
          <w:p>
            <w:pPr>
              <w:spacing w:after="0" w:line="223" w:lineRule="exact"/>
              <w:rPr>
                <w:rFonts w:ascii="Arial" w:cs="Arial" w:eastAsia="Arial" w:hAnsi="Arial"/>
                <w:sz w:val="22"/>
                <w:szCs w:val="22"/>
                <w:color w:val="0000EE"/>
                <w:w w:val="91"/>
              </w:rPr>
            </w:pPr>
            <w:hyperlink r:id="rId210">
              <w:r>
                <w:rPr>
                  <w:rFonts w:ascii="Arial" w:cs="Arial" w:eastAsia="Arial" w:hAnsi="Arial"/>
                  <w:sz w:val="22"/>
                  <w:szCs w:val="22"/>
                  <w:color w:val="0000EE"/>
                  <w:w w:val="91"/>
                </w:rPr>
                <w:t>Boxer Capital, LLC (incorporated by reference to Exhibit 10.1 to the registrant’s report on Form 6-K filed with</w:t>
              </w:r>
            </w:hyperlink>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0" w:type="dxa"/>
            <w:vAlign w:val="bottom"/>
            <w:tcBorders>
              <w:top w:val="single" w:sz="8" w:color="0000EE"/>
            </w:tcBorders>
            <w:gridSpan w:val="19"/>
          </w:tcPr>
          <w:p>
            <w:pPr>
              <w:spacing w:after="0" w:line="223" w:lineRule="exact"/>
              <w:rPr>
                <w:rFonts w:ascii="Arial" w:cs="Arial" w:eastAsia="Arial" w:hAnsi="Arial"/>
                <w:sz w:val="22"/>
                <w:szCs w:val="22"/>
                <w:color w:val="0000EE"/>
              </w:rPr>
            </w:pPr>
            <w:hyperlink r:id="rId210">
              <w:r>
                <w:rPr>
                  <w:rFonts w:ascii="Arial" w:cs="Arial" w:eastAsia="Arial" w:hAnsi="Arial"/>
                  <w:sz w:val="22"/>
                  <w:szCs w:val="22"/>
                  <w:color w:val="0000EE"/>
                </w:rPr>
                <w:t>the SEC on February 19, 2020 (File No. 001-38452)).</w:t>
              </w:r>
            </w:hyperlink>
          </w:p>
        </w:tc>
        <w:tc>
          <w:tcPr>
            <w:tcW w:w="40" w:type="dxa"/>
            <w:vAlign w:val="bottom"/>
          </w:tcPr>
          <w:p>
            <w:pPr>
              <w:spacing w:after="0"/>
              <w:rPr>
                <w:sz w:val="19"/>
                <w:szCs w:val="19"/>
                <w:color w:val="auto"/>
              </w:rPr>
            </w:pPr>
          </w:p>
        </w:tc>
      </w:tr>
      <w:tr>
        <w:trPr>
          <w:trHeight w:val="20"/>
        </w:trPr>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10.4*</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tcBorders>
              <w:bottom w:val="single" w:sz="8" w:color="0000EE"/>
            </w:tcBorders>
            <w:gridSpan w:val="16"/>
          </w:tcPr>
          <w:p>
            <w:pPr>
              <w:spacing w:after="0"/>
              <w:rPr>
                <w:rFonts w:ascii="Arial" w:cs="Arial" w:eastAsia="Arial" w:hAnsi="Arial"/>
                <w:sz w:val="22"/>
                <w:szCs w:val="22"/>
                <w:color w:val="0000EE"/>
                <w:w w:val="88"/>
              </w:rPr>
            </w:pPr>
            <w:hyperlink r:id="rId211">
              <w:r>
                <w:rPr>
                  <w:rFonts w:ascii="Arial" w:cs="Arial" w:eastAsia="Arial" w:hAnsi="Arial"/>
                  <w:sz w:val="22"/>
                  <w:szCs w:val="22"/>
                  <w:color w:val="0000EE"/>
                  <w:w w:val="88"/>
                </w:rPr>
                <w:t>Registration Rights Agreement, dated February 19, 2020, by and between Mereo BioPharma Group PLC and</w:t>
              </w:r>
            </w:hyperlink>
          </w:p>
        </w:tc>
        <w:tc>
          <w:tcPr>
            <w:tcW w:w="200" w:type="dxa"/>
            <w:vAlign w:val="bottom"/>
            <w:gridSpan w:val="4"/>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40" w:type="dxa"/>
            <w:vAlign w:val="bottom"/>
            <w:gridSpan w:val="20"/>
          </w:tcPr>
          <w:p>
            <w:pPr>
              <w:spacing w:after="0" w:line="223" w:lineRule="exact"/>
              <w:rPr>
                <w:rFonts w:ascii="Arial" w:cs="Arial" w:eastAsia="Arial" w:hAnsi="Arial"/>
                <w:sz w:val="22"/>
                <w:szCs w:val="22"/>
                <w:color w:val="0000EE"/>
                <w:w w:val="91"/>
              </w:rPr>
            </w:pPr>
            <w:hyperlink r:id="rId211">
              <w:r>
                <w:rPr>
                  <w:rFonts w:ascii="Arial" w:cs="Arial" w:eastAsia="Arial" w:hAnsi="Arial"/>
                  <w:sz w:val="22"/>
                  <w:szCs w:val="22"/>
                  <w:color w:val="0000EE"/>
                  <w:w w:val="91"/>
                </w:rPr>
                <w:t>Boxer Capital, LLC (incorporated by reference to Exhibit 10.2 to the registrant’s report on Form 6-K filed with</w:t>
              </w:r>
            </w:hyperlink>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0" w:type="dxa"/>
            <w:vAlign w:val="bottom"/>
            <w:tcBorders>
              <w:top w:val="single" w:sz="8" w:color="0000EE"/>
            </w:tcBorders>
            <w:gridSpan w:val="19"/>
          </w:tcPr>
          <w:p>
            <w:pPr>
              <w:spacing w:after="0" w:line="223" w:lineRule="exact"/>
              <w:rPr>
                <w:rFonts w:ascii="Arial" w:cs="Arial" w:eastAsia="Arial" w:hAnsi="Arial"/>
                <w:sz w:val="22"/>
                <w:szCs w:val="22"/>
                <w:color w:val="0000EE"/>
              </w:rPr>
            </w:pPr>
            <w:hyperlink r:id="rId211">
              <w:r>
                <w:rPr>
                  <w:rFonts w:ascii="Arial" w:cs="Arial" w:eastAsia="Arial" w:hAnsi="Arial"/>
                  <w:sz w:val="22"/>
                  <w:szCs w:val="22"/>
                  <w:color w:val="0000EE"/>
                </w:rPr>
                <w:t>the SEC on February 19, 2020 (File No. 001-38452)).</w:t>
              </w:r>
            </w:hyperlink>
          </w:p>
        </w:tc>
        <w:tc>
          <w:tcPr>
            <w:tcW w:w="40" w:type="dxa"/>
            <w:vAlign w:val="bottom"/>
          </w:tcPr>
          <w:p>
            <w:pPr>
              <w:spacing w:after="0"/>
              <w:rPr>
                <w:sz w:val="19"/>
                <w:szCs w:val="19"/>
                <w:color w:val="auto"/>
              </w:rPr>
            </w:pPr>
          </w:p>
        </w:tc>
      </w:tr>
      <w:tr>
        <w:trPr>
          <w:trHeight w:val="20"/>
        </w:trPr>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10.5*</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80" w:type="dxa"/>
            <w:vAlign w:val="bottom"/>
            <w:tcBorders>
              <w:bottom w:val="single" w:sz="8" w:color="0000EE"/>
            </w:tcBorders>
            <w:gridSpan w:val="18"/>
          </w:tcPr>
          <w:p>
            <w:pPr>
              <w:spacing w:after="0"/>
              <w:rPr>
                <w:rFonts w:ascii="Arial" w:cs="Arial" w:eastAsia="Arial" w:hAnsi="Arial"/>
                <w:sz w:val="22"/>
                <w:szCs w:val="22"/>
                <w:color w:val="0000EE"/>
                <w:w w:val="88"/>
              </w:rPr>
            </w:pPr>
            <w:hyperlink r:id="rId212">
              <w:r>
                <w:rPr>
                  <w:rFonts w:ascii="Arial" w:cs="Arial" w:eastAsia="Arial" w:hAnsi="Arial"/>
                  <w:sz w:val="22"/>
                  <w:szCs w:val="22"/>
                  <w:color w:val="0000EE"/>
                  <w:w w:val="88"/>
                </w:rPr>
                <w:t>Form of Securities Purchase Agreement, dated June 3, 2020, by and among Mereo BioPharma Group PLC and</w:t>
              </w:r>
            </w:hyperlink>
          </w:p>
        </w:tc>
        <w:tc>
          <w:tcPr>
            <w:tcW w:w="60" w:type="dxa"/>
            <w:vAlign w:val="bottom"/>
            <w:gridSpan w:val="2"/>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80" w:type="dxa"/>
            <w:vAlign w:val="bottom"/>
            <w:tcBorders>
              <w:bottom w:val="single" w:sz="8" w:color="0000EE"/>
            </w:tcBorders>
            <w:gridSpan w:val="13"/>
          </w:tcPr>
          <w:p>
            <w:pPr>
              <w:spacing w:after="0" w:line="223" w:lineRule="exact"/>
              <w:rPr>
                <w:rFonts w:ascii="Arial" w:cs="Arial" w:eastAsia="Arial" w:hAnsi="Arial"/>
                <w:sz w:val="22"/>
                <w:szCs w:val="22"/>
                <w:color w:val="0000EE"/>
                <w:w w:val="88"/>
              </w:rPr>
            </w:pPr>
            <w:hyperlink r:id="rId212">
              <w:r>
                <w:rPr>
                  <w:rFonts w:ascii="Arial" w:cs="Arial" w:eastAsia="Arial" w:hAnsi="Arial"/>
                  <w:sz w:val="22"/>
                  <w:szCs w:val="22"/>
                  <w:color w:val="0000EE"/>
                  <w:w w:val="88"/>
                </w:rPr>
                <w:t>the several purchasers named therein (incorporated by reference to Exhibit 10.1 to the registrant’s report on</w:t>
              </w:r>
            </w:hyperlink>
          </w:p>
        </w:tc>
        <w:tc>
          <w:tcPr>
            <w:tcW w:w="360" w:type="dxa"/>
            <w:vAlign w:val="bottom"/>
            <w:gridSpan w:val="7"/>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960" w:type="dxa"/>
            <w:vAlign w:val="bottom"/>
            <w:tcBorders>
              <w:bottom w:val="single" w:sz="8" w:color="0000EE"/>
            </w:tcBorders>
            <w:gridSpan w:val="7"/>
          </w:tcPr>
          <w:p>
            <w:pPr>
              <w:spacing w:after="0" w:line="223" w:lineRule="exact"/>
              <w:rPr>
                <w:rFonts w:ascii="Arial" w:cs="Arial" w:eastAsia="Arial" w:hAnsi="Arial"/>
                <w:sz w:val="22"/>
                <w:szCs w:val="22"/>
                <w:color w:val="0000EE"/>
                <w:w w:val="90"/>
              </w:rPr>
            </w:pPr>
            <w:hyperlink r:id="rId212">
              <w:r>
                <w:rPr>
                  <w:rFonts w:ascii="Arial" w:cs="Arial" w:eastAsia="Arial" w:hAnsi="Arial"/>
                  <w:sz w:val="22"/>
                  <w:szCs w:val="22"/>
                  <w:color w:val="0000EE"/>
                  <w:w w:val="90"/>
                </w:rPr>
                <w:t>Form 6-K filed with the SEC on June 5, 2020 (File No. 001-38452)).</w:t>
              </w:r>
            </w:hyperlink>
          </w:p>
        </w:tc>
        <w:tc>
          <w:tcPr>
            <w:tcW w:w="3680" w:type="dxa"/>
            <w:vAlign w:val="bottom"/>
            <w:gridSpan w:val="13"/>
          </w:tcPr>
          <w:p>
            <w:pPr>
              <w:spacing w:after="0"/>
              <w:rPr>
                <w:sz w:val="19"/>
                <w:szCs w:val="19"/>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10.6*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40" w:type="dxa"/>
            <w:vAlign w:val="bottom"/>
            <w:tcBorders>
              <w:bottom w:val="single" w:sz="8" w:color="0000EE"/>
            </w:tcBorders>
            <w:gridSpan w:val="15"/>
          </w:tcPr>
          <w:p>
            <w:pPr>
              <w:spacing w:after="0"/>
              <w:rPr>
                <w:rFonts w:ascii="Arial" w:cs="Arial" w:eastAsia="Arial" w:hAnsi="Arial"/>
                <w:sz w:val="22"/>
                <w:szCs w:val="22"/>
                <w:color w:val="0000EE"/>
                <w:w w:val="88"/>
              </w:rPr>
            </w:pPr>
            <w:hyperlink r:id="rId213">
              <w:r>
                <w:rPr>
                  <w:rFonts w:ascii="Arial" w:cs="Arial" w:eastAsia="Arial" w:hAnsi="Arial"/>
                  <w:sz w:val="22"/>
                  <w:szCs w:val="22"/>
                  <w:color w:val="0000EE"/>
                  <w:w w:val="88"/>
                </w:rPr>
                <w:t>Form of Registration Rights Agreement, dated June 3, 2020, by and between Mereo BioPharma Group PLC</w:t>
              </w:r>
            </w:hyperlink>
          </w:p>
        </w:tc>
        <w:tc>
          <w:tcPr>
            <w:tcW w:w="300" w:type="dxa"/>
            <w:vAlign w:val="bottom"/>
            <w:gridSpan w:val="5"/>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40" w:type="dxa"/>
            <w:vAlign w:val="bottom"/>
            <w:tcBorders>
              <w:bottom w:val="single" w:sz="8" w:color="0000EE"/>
            </w:tcBorders>
            <w:gridSpan w:val="20"/>
          </w:tcPr>
          <w:p>
            <w:pPr>
              <w:spacing w:after="0" w:line="223" w:lineRule="exact"/>
              <w:rPr>
                <w:rFonts w:ascii="Arial" w:cs="Arial" w:eastAsia="Arial" w:hAnsi="Arial"/>
                <w:sz w:val="22"/>
                <w:szCs w:val="22"/>
                <w:color w:val="0000EE"/>
                <w:w w:val="88"/>
              </w:rPr>
            </w:pPr>
            <w:hyperlink r:id="rId213">
              <w:r>
                <w:rPr>
                  <w:rFonts w:ascii="Arial" w:cs="Arial" w:eastAsia="Arial" w:hAnsi="Arial"/>
                  <w:sz w:val="22"/>
                  <w:szCs w:val="22"/>
                  <w:color w:val="0000EE"/>
                  <w:w w:val="88"/>
                </w:rPr>
                <w:t>and the several purchasers named therein (incorporated by reference to Exhibit 10.2 to the registrant’s report on</w:t>
              </w:r>
            </w:hyperlink>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960" w:type="dxa"/>
            <w:vAlign w:val="bottom"/>
            <w:tcBorders>
              <w:bottom w:val="single" w:sz="8" w:color="0000EE"/>
            </w:tcBorders>
            <w:gridSpan w:val="7"/>
          </w:tcPr>
          <w:p>
            <w:pPr>
              <w:spacing w:after="0" w:line="223" w:lineRule="exact"/>
              <w:rPr>
                <w:rFonts w:ascii="Arial" w:cs="Arial" w:eastAsia="Arial" w:hAnsi="Arial"/>
                <w:sz w:val="22"/>
                <w:szCs w:val="22"/>
                <w:color w:val="0000EE"/>
                <w:w w:val="90"/>
              </w:rPr>
            </w:pPr>
            <w:hyperlink r:id="rId213">
              <w:r>
                <w:rPr>
                  <w:rFonts w:ascii="Arial" w:cs="Arial" w:eastAsia="Arial" w:hAnsi="Arial"/>
                  <w:sz w:val="22"/>
                  <w:szCs w:val="22"/>
                  <w:color w:val="0000EE"/>
                  <w:w w:val="90"/>
                </w:rPr>
                <w:t>Form 6-K filed with the SEC on June 5, 2020 (File No. 001-38452)).</w:t>
              </w:r>
            </w:hyperlink>
          </w:p>
        </w:tc>
        <w:tc>
          <w:tcPr>
            <w:tcW w:w="3680" w:type="dxa"/>
            <w:vAlign w:val="bottom"/>
            <w:gridSpan w:val="13"/>
          </w:tcPr>
          <w:p>
            <w:pPr>
              <w:spacing w:after="0"/>
              <w:rPr>
                <w:sz w:val="19"/>
                <w:szCs w:val="19"/>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12.1**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tcBorders>
              <w:bottom w:val="single" w:sz="8" w:color="0000EE"/>
            </w:tcBorders>
            <w:gridSpan w:val="10"/>
          </w:tcPr>
          <w:p>
            <w:pPr>
              <w:spacing w:after="0"/>
              <w:rPr>
                <w:rFonts w:ascii="Arial" w:cs="Arial" w:eastAsia="Arial" w:hAnsi="Arial"/>
                <w:sz w:val="22"/>
                <w:szCs w:val="22"/>
                <w:color w:val="0000EE"/>
                <w:w w:val="89"/>
              </w:rPr>
            </w:pPr>
            <w:hyperlink w:anchor="page519">
              <w:r>
                <w:rPr>
                  <w:rFonts w:ascii="Arial" w:cs="Arial" w:eastAsia="Arial" w:hAnsi="Arial"/>
                  <w:sz w:val="22"/>
                  <w:szCs w:val="22"/>
                  <w:color w:val="0000EE"/>
                  <w:w w:val="89"/>
                </w:rPr>
                <w:t>Certification Pursuant to Section 302 of the Sarbanes-Oxley Act of 2002</w:t>
              </w:r>
            </w:hyperlink>
          </w:p>
        </w:tc>
        <w:tc>
          <w:tcPr>
            <w:tcW w:w="3340" w:type="dxa"/>
            <w:vAlign w:val="bottom"/>
            <w:gridSpan w:val="10"/>
          </w:tcPr>
          <w:p>
            <w:pPr>
              <w:spacing w:after="0"/>
              <w:rPr>
                <w:sz w:val="24"/>
                <w:szCs w:val="24"/>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12.2**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Borders>
              <w:bottom w:val="single" w:sz="8" w:color="0000EE"/>
            </w:tcBorders>
            <w:gridSpan w:val="9"/>
          </w:tcPr>
          <w:p>
            <w:pPr>
              <w:spacing w:after="0"/>
              <w:rPr>
                <w:rFonts w:ascii="Arial" w:cs="Arial" w:eastAsia="Arial" w:hAnsi="Arial"/>
                <w:sz w:val="22"/>
                <w:szCs w:val="22"/>
                <w:color w:val="0000EE"/>
                <w:w w:val="89"/>
              </w:rPr>
            </w:pPr>
            <w:hyperlink w:anchor="page520">
              <w:r>
                <w:rPr>
                  <w:rFonts w:ascii="Arial" w:cs="Arial" w:eastAsia="Arial" w:hAnsi="Arial"/>
                  <w:sz w:val="22"/>
                  <w:szCs w:val="22"/>
                  <w:color w:val="0000EE"/>
                  <w:w w:val="89"/>
                </w:rPr>
                <w:t>Certification Pursuant to Section 302 of the Sarbanes-Oxley Act of 2002</w:t>
              </w:r>
            </w:hyperlink>
          </w:p>
        </w:tc>
        <w:tc>
          <w:tcPr>
            <w:tcW w:w="3360" w:type="dxa"/>
            <w:vAlign w:val="bottom"/>
            <w:gridSpan w:val="11"/>
          </w:tcPr>
          <w:p>
            <w:pPr>
              <w:spacing w:after="0"/>
              <w:rPr>
                <w:sz w:val="24"/>
                <w:szCs w:val="24"/>
                <w:color w:val="auto"/>
              </w:rPr>
            </w:pPr>
          </w:p>
        </w:tc>
      </w:tr>
      <w:tr>
        <w:trPr>
          <w:trHeight w:val="331"/>
        </w:trPr>
        <w:tc>
          <w:tcPr>
            <w:tcW w:w="1360" w:type="dxa"/>
            <w:vAlign w:val="bottom"/>
            <w:gridSpan w:val="3"/>
          </w:tcPr>
          <w:p>
            <w:pPr>
              <w:ind w:left="220"/>
              <w:spacing w:after="0"/>
              <w:rPr>
                <w:sz w:val="20"/>
                <w:szCs w:val="20"/>
                <w:color w:val="auto"/>
              </w:rPr>
            </w:pPr>
            <w:r>
              <w:rPr>
                <w:rFonts w:ascii="Arial" w:cs="Arial" w:eastAsia="Arial" w:hAnsi="Arial"/>
                <w:sz w:val="22"/>
                <w:szCs w:val="22"/>
                <w:color w:val="auto"/>
              </w:rPr>
              <w:t>13.1***</w:t>
            </w:r>
          </w:p>
        </w:tc>
        <w:tc>
          <w:tcPr>
            <w:tcW w:w="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22"/>
                <w:szCs w:val="22"/>
                <w:color w:val="0000EE"/>
                <w:w w:val="91"/>
              </w:rPr>
            </w:pPr>
            <w:hyperlink w:anchor="page521">
              <w:r>
                <w:rPr>
                  <w:rFonts w:ascii="Arial" w:cs="Arial" w:eastAsia="Arial" w:hAnsi="Arial"/>
                  <w:sz w:val="22"/>
                  <w:szCs w:val="22"/>
                  <w:color w:val="0000EE"/>
                  <w:w w:val="91"/>
                </w:rPr>
                <w:t>Certification Pursuant to 18 U.S.C. Section 1350, as adopted pursuant to Section 906 of the Sarbanes-Oxley</w:t>
              </w:r>
            </w:hyperlink>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91"/>
              </w:rPr>
            </w:pPr>
            <w:hyperlink w:anchor="page521">
              <w:r>
                <w:rPr>
                  <w:rFonts w:ascii="Arial" w:cs="Arial" w:eastAsia="Arial" w:hAnsi="Arial"/>
                  <w:sz w:val="22"/>
                  <w:szCs w:val="22"/>
                  <w:color w:val="0000EE"/>
                  <w:w w:val="91"/>
                </w:rPr>
                <w:t>Act of 2002</w:t>
              </w:r>
            </w:hyperlink>
          </w:p>
        </w:tc>
        <w:tc>
          <w:tcPr>
            <w:tcW w:w="8280" w:type="dxa"/>
            <w:vAlign w:val="bottom"/>
            <w:tcBorders>
              <w:top w:val="single" w:sz="8" w:color="0000EE"/>
            </w:tcBorders>
            <w:gridSpan w:val="13"/>
          </w:tcPr>
          <w:p>
            <w:pPr>
              <w:spacing w:after="0"/>
              <w:rPr>
                <w:sz w:val="19"/>
                <w:szCs w:val="19"/>
                <w:color w:val="auto"/>
              </w:rPr>
            </w:pPr>
          </w:p>
        </w:tc>
        <w:tc>
          <w:tcPr>
            <w:tcW w:w="320" w:type="dxa"/>
            <w:vAlign w:val="bottom"/>
            <w:gridSpan w:val="6"/>
          </w:tcPr>
          <w:p>
            <w:pPr>
              <w:spacing w:after="0"/>
              <w:rPr>
                <w:sz w:val="19"/>
                <w:szCs w:val="19"/>
                <w:color w:val="auto"/>
              </w:rPr>
            </w:pPr>
          </w:p>
        </w:tc>
      </w:tr>
      <w:tr>
        <w:trPr>
          <w:trHeight w:val="331"/>
        </w:trPr>
        <w:tc>
          <w:tcPr>
            <w:tcW w:w="1360" w:type="dxa"/>
            <w:vAlign w:val="bottom"/>
            <w:gridSpan w:val="3"/>
          </w:tcPr>
          <w:p>
            <w:pPr>
              <w:ind w:left="220"/>
              <w:spacing w:after="0"/>
              <w:rPr>
                <w:sz w:val="20"/>
                <w:szCs w:val="20"/>
                <w:color w:val="auto"/>
              </w:rPr>
            </w:pPr>
            <w:r>
              <w:rPr>
                <w:rFonts w:ascii="Arial" w:cs="Arial" w:eastAsia="Arial" w:hAnsi="Arial"/>
                <w:sz w:val="22"/>
                <w:szCs w:val="22"/>
                <w:color w:val="auto"/>
              </w:rPr>
              <w:t>13.2***</w:t>
            </w:r>
          </w:p>
        </w:tc>
        <w:tc>
          <w:tcPr>
            <w:tcW w:w="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22"/>
                <w:szCs w:val="22"/>
                <w:color w:val="0000EE"/>
                <w:w w:val="91"/>
              </w:rPr>
            </w:pPr>
            <w:hyperlink w:anchor="page522">
              <w:r>
                <w:rPr>
                  <w:rFonts w:ascii="Arial" w:cs="Arial" w:eastAsia="Arial" w:hAnsi="Arial"/>
                  <w:sz w:val="22"/>
                  <w:szCs w:val="22"/>
                  <w:color w:val="0000EE"/>
                  <w:w w:val="91"/>
                </w:rPr>
                <w:t>Certification Pursuant to 18 U.S.C. Section 1350, as adopted pursuant to Section 906 of the Sarbanes-Oxley</w:t>
              </w:r>
            </w:hyperlink>
          </w:p>
        </w:tc>
      </w:tr>
      <w:tr>
        <w:trPr>
          <w:trHeight w:val="223"/>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91"/>
              </w:rPr>
            </w:pPr>
            <w:hyperlink w:anchor="page522">
              <w:r>
                <w:rPr>
                  <w:rFonts w:ascii="Arial" w:cs="Arial" w:eastAsia="Arial" w:hAnsi="Arial"/>
                  <w:sz w:val="22"/>
                  <w:szCs w:val="22"/>
                  <w:color w:val="0000EE"/>
                  <w:w w:val="91"/>
                </w:rPr>
                <w:t>Act of 2002</w:t>
              </w:r>
            </w:hyperlink>
          </w:p>
        </w:tc>
        <w:tc>
          <w:tcPr>
            <w:tcW w:w="8280" w:type="dxa"/>
            <w:vAlign w:val="bottom"/>
            <w:tcBorders>
              <w:top w:val="single" w:sz="8" w:color="0000EE"/>
            </w:tcBorders>
            <w:gridSpan w:val="13"/>
          </w:tcPr>
          <w:p>
            <w:pPr>
              <w:spacing w:after="0"/>
              <w:rPr>
                <w:sz w:val="19"/>
                <w:szCs w:val="19"/>
                <w:color w:val="auto"/>
              </w:rPr>
            </w:pPr>
          </w:p>
        </w:tc>
        <w:tc>
          <w:tcPr>
            <w:tcW w:w="320" w:type="dxa"/>
            <w:vAlign w:val="bottom"/>
            <w:gridSpan w:val="6"/>
          </w:tcPr>
          <w:p>
            <w:pPr>
              <w:spacing w:after="0"/>
              <w:rPr>
                <w:sz w:val="19"/>
                <w:szCs w:val="19"/>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15.1**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22"/>
                <w:szCs w:val="22"/>
                <w:color w:val="0000EE"/>
              </w:rPr>
            </w:pPr>
            <w:hyperlink w:anchor="page523">
              <w:r>
                <w:rPr>
                  <w:rFonts w:ascii="Arial" w:cs="Arial" w:eastAsia="Arial" w:hAnsi="Arial"/>
                  <w:sz w:val="22"/>
                  <w:szCs w:val="22"/>
                  <w:color w:val="0000EE"/>
                </w:rPr>
                <w:t>Consent of BDO LLP, Independent Registered Public Accounting Firm</w:t>
              </w:r>
            </w:hyperlink>
          </w:p>
        </w:tc>
      </w:tr>
      <w:tr>
        <w:trPr>
          <w:trHeight w:val="20"/>
        </w:trPr>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15.2**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22"/>
                <w:szCs w:val="22"/>
                <w:color w:val="0000EE"/>
              </w:rPr>
            </w:pPr>
            <w:hyperlink w:anchor="page524">
              <w:r>
                <w:rPr>
                  <w:rFonts w:ascii="Arial" w:cs="Arial" w:eastAsia="Arial" w:hAnsi="Arial"/>
                  <w:sz w:val="22"/>
                  <w:szCs w:val="22"/>
                  <w:color w:val="0000EE"/>
                </w:rPr>
                <w:t>Consent of Ernst &amp; Young LLP, Independent Registered Public Accounting Firm</w:t>
              </w:r>
            </w:hyperlink>
          </w:p>
        </w:tc>
      </w:tr>
      <w:tr>
        <w:trPr>
          <w:trHeight w:val="331"/>
        </w:trPr>
        <w:tc>
          <w:tcPr>
            <w:tcW w:w="860" w:type="dxa"/>
            <w:vAlign w:val="bottom"/>
            <w:gridSpan w:val="2"/>
          </w:tcPr>
          <w:p>
            <w:pPr>
              <w:ind w:left="220"/>
              <w:spacing w:after="0"/>
              <w:rPr>
                <w:sz w:val="20"/>
                <w:szCs w:val="20"/>
                <w:color w:val="auto"/>
              </w:rPr>
            </w:pPr>
            <w:r>
              <w:rPr>
                <w:rFonts w:ascii="Arial" w:cs="Arial" w:eastAsia="Arial" w:hAnsi="Arial"/>
                <w:sz w:val="22"/>
                <w:szCs w:val="22"/>
                <w:color w:val="auto"/>
              </w:rPr>
              <w:t>16.1**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Borders>
              <w:top w:val="single" w:sz="8" w:color="0000EE"/>
              <w:bottom w:val="single" w:sz="8" w:color="0000EE"/>
            </w:tcBorders>
            <w:gridSpan w:val="2"/>
          </w:tcPr>
          <w:p>
            <w:pPr>
              <w:spacing w:after="0"/>
              <w:rPr>
                <w:rFonts w:ascii="Arial" w:cs="Arial" w:eastAsia="Arial" w:hAnsi="Arial"/>
                <w:sz w:val="22"/>
                <w:szCs w:val="22"/>
                <w:color w:val="0000EE"/>
                <w:w w:val="92"/>
              </w:rPr>
            </w:pPr>
            <w:hyperlink w:anchor="page525">
              <w:r>
                <w:rPr>
                  <w:rFonts w:ascii="Arial" w:cs="Arial" w:eastAsia="Arial" w:hAnsi="Arial"/>
                  <w:sz w:val="22"/>
                  <w:szCs w:val="22"/>
                  <w:color w:val="0000EE"/>
                  <w:w w:val="92"/>
                </w:rPr>
                <w:t>Letter of Ernst&amp; Young , LLP</w:t>
              </w:r>
            </w:hyperlink>
          </w:p>
        </w:tc>
        <w:tc>
          <w:tcPr>
            <w:tcW w:w="4400" w:type="dxa"/>
            <w:vAlign w:val="bottom"/>
            <w:tcBorders>
              <w:top w:val="single" w:sz="8" w:color="0000EE"/>
            </w:tcBorders>
            <w:gridSpan w:val="9"/>
          </w:tcPr>
          <w:p>
            <w:pPr>
              <w:spacing w:after="0"/>
              <w:rPr>
                <w:sz w:val="24"/>
                <w:szCs w:val="24"/>
                <w:color w:val="auto"/>
              </w:rPr>
            </w:pPr>
          </w:p>
        </w:tc>
        <w:tc>
          <w:tcPr>
            <w:tcW w:w="2640" w:type="dxa"/>
            <w:vAlign w:val="bottom"/>
            <w:gridSpan w:val="9"/>
          </w:tcPr>
          <w:p>
            <w:pPr>
              <w:spacing w:after="0"/>
              <w:rPr>
                <w:sz w:val="24"/>
                <w:szCs w:val="24"/>
                <w:color w:val="auto"/>
              </w:rPr>
            </w:pP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440" w:hanging="1324"/>
        <w:spacing w:after="0" w:line="235" w:lineRule="auto"/>
        <w:tabs>
          <w:tab w:leader="none" w:pos="14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following materials from this annual report on Form 20-F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p>
      <w:pPr>
        <w:spacing w:after="0" w:line="80"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color w:val="auto"/>
        </w:rPr>
        <w:t>Cover Page 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880" w:hanging="764"/>
        <w:spacing w:after="0"/>
        <w:tabs>
          <w:tab w:leader="none" w:pos="8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Previously filed.</w:t>
      </w:r>
    </w:p>
    <w:p>
      <w:pPr>
        <w:spacing w:after="0" w:line="8"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Filed herewith.</w:t>
      </w:r>
    </w:p>
    <w:p>
      <w:pPr>
        <w:ind w:left="12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Furnished herewith.</w:t>
      </w:r>
    </w:p>
    <w:p>
      <w:pPr>
        <w:ind w:left="880" w:right="260" w:hanging="769"/>
        <w:spacing w:after="0" w:line="230" w:lineRule="auto"/>
        <w:rPr>
          <w:rFonts w:ascii="Arial" w:cs="Arial" w:eastAsia="Arial" w:hAnsi="Arial"/>
          <w:sz w:val="22"/>
          <w:szCs w:val="22"/>
          <w:color w:val="auto"/>
        </w:rPr>
      </w:pPr>
      <w:r>
        <w:rPr>
          <w:rFonts w:ascii="Arial" w:cs="Arial" w:eastAsia="Arial" w:hAnsi="Arial"/>
          <w:sz w:val="22"/>
          <w:szCs w:val="22"/>
          <w:color w:val="auto"/>
        </w:rPr>
        <w:t>†Portions of this exhibit are subject to a previously filed confidential treatment order pursuant to Rule 406 under the Securities Act.</w:t>
      </w:r>
    </w:p>
    <w:p>
      <w:pPr>
        <w:spacing w:after="0" w:line="1" w:lineRule="exact"/>
        <w:rPr>
          <w:rFonts w:ascii="Arial" w:cs="Arial" w:eastAsia="Arial" w:hAnsi="Arial"/>
          <w:sz w:val="22"/>
          <w:szCs w:val="22"/>
          <w:color w:val="auto"/>
        </w:rPr>
      </w:pPr>
    </w:p>
    <w:p>
      <w:pPr>
        <w:ind w:left="880" w:right="160" w:hanging="769"/>
        <w:spacing w:after="0" w:line="241"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1"/>
          <w:szCs w:val="21"/>
          <w:color w:val="auto"/>
        </w:rPr>
        <w:t>Confidential portions of this exhibit were redacted pursuant to Item 601(b)(10) of Regulation S-K and the Company agrees to furnish supplementally to the Commission a copy of any omissions upon request.</w:t>
      </w:r>
    </w:p>
    <w:p>
      <w:pPr>
        <w:spacing w:after="0" w:line="1" w:lineRule="exact"/>
        <w:rPr>
          <w:rFonts w:ascii="Arial" w:cs="Arial" w:eastAsia="Arial" w:hAnsi="Arial"/>
          <w:sz w:val="22"/>
          <w:szCs w:val="22"/>
          <w:color w:val="auto"/>
        </w:rPr>
      </w:pPr>
    </w:p>
    <w:p>
      <w:pPr>
        <w:ind w:left="880" w:right="180" w:hanging="769"/>
        <w:spacing w:after="0" w:line="236" w:lineRule="auto"/>
        <w:rPr>
          <w:rFonts w:ascii="Arial" w:cs="Arial" w:eastAsia="Arial" w:hAnsi="Arial"/>
          <w:sz w:val="22"/>
          <w:szCs w:val="22"/>
          <w:color w:val="auto"/>
        </w:rPr>
      </w:pPr>
      <w:r>
        <w:rPr>
          <w:rFonts w:ascii="Arial" w:cs="Arial" w:eastAsia="Arial" w:hAnsi="Arial"/>
          <w:sz w:val="22"/>
          <w:szCs w:val="22"/>
          <w:color w:val="auto"/>
        </w:rPr>
        <w:t>†††Certain portions of this exhibit have been omitted because they are not material and they are the type of information that the Registrant treats as private or confidential.</w:t>
      </w:r>
    </w:p>
    <w:p>
      <w:pPr>
        <w:sectPr>
          <w:pgSz w:w="11900" w:h="16838" w:orient="portrait"/>
          <w:cols w:equalWidth="0" w:num="1">
            <w:col w:w="11080"/>
          </w:cols>
          <w:pgMar w:left="320" w:top="473" w:right="499" w:bottom="1440" w:gutter="0" w:footer="0" w:header="0"/>
        </w:sectPr>
      </w:pP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137</w:t>
      </w:r>
    </w:p>
    <w:p>
      <w:pPr>
        <w:sectPr>
          <w:pgSz w:w="11900" w:h="16838" w:orient="portrait"/>
          <w:cols w:equalWidth="0" w:num="1">
            <w:col w:w="11080"/>
          </w:cols>
          <w:pgMar w:left="320" w:top="473" w:right="49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left="120" w:firstLine="551"/>
        <w:spacing w:after="0" w:line="250" w:lineRule="auto"/>
        <w:rPr>
          <w:sz w:val="20"/>
          <w:szCs w:val="20"/>
          <w:color w:val="auto"/>
        </w:rPr>
      </w:pPr>
      <w:r>
        <w:rPr>
          <w:rFonts w:ascii="Arial" w:cs="Arial" w:eastAsia="Arial" w:hAnsi="Arial"/>
          <w:sz w:val="22"/>
          <w:szCs w:val="22"/>
          <w:color w:val="auto"/>
        </w:rPr>
        <w:t>The registrant hereby certifies that it meets all of the requirements for filing on Form 20-F and that it has duly caused and authorized the undersigned to sign this annual report on its behalf.</w:t>
      </w:r>
    </w:p>
    <w:p>
      <w:pPr>
        <w:spacing w:after="0" w:line="196" w:lineRule="exact"/>
        <w:rPr>
          <w:sz w:val="20"/>
          <w:szCs w:val="20"/>
          <w:color w:val="auto"/>
        </w:rPr>
      </w:pPr>
    </w:p>
    <w:p>
      <w:pPr>
        <w:ind w:left="6740"/>
        <w:spacing w:after="0"/>
        <w:rPr>
          <w:sz w:val="20"/>
          <w:szCs w:val="20"/>
          <w:color w:val="auto"/>
        </w:rPr>
      </w:pPr>
      <w:r>
        <w:rPr>
          <w:rFonts w:ascii="Arial" w:cs="Arial" w:eastAsia="Arial" w:hAnsi="Arial"/>
          <w:sz w:val="22"/>
          <w:szCs w:val="22"/>
          <w:b w:val="1"/>
          <w:bCs w:val="1"/>
          <w:color w:val="auto"/>
        </w:rPr>
        <w:t>MEREO BIOPHARMA GROUP PLC</w:t>
      </w:r>
    </w:p>
    <w:p>
      <w:pPr>
        <w:spacing w:after="0" w:line="212"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6985</wp:posOffset>
            </wp:positionV>
            <wp:extent cx="23399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Name:  Denise Scots-Knight</w:t>
      </w:r>
    </w:p>
    <w:p>
      <w:pPr>
        <w:spacing w:after="0" w:line="4"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22"/>
          <w:szCs w:val="22"/>
          <w:color w:val="auto"/>
        </w:rPr>
        <w:t>Title:</w:t>
        <w:tab/>
        <w:t>Chief Executive Officer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Date: March 31, 2022</w:t>
      </w:r>
    </w:p>
    <w:p>
      <w:pPr>
        <w:sectPr>
          <w:pgSz w:w="11900" w:h="16838" w:orient="portrait"/>
          <w:cols w:equalWidth="0" w:num="1">
            <w:col w:w="10800"/>
          </w:cols>
          <w:pgMar w:left="320" w:top="486" w:right="77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058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960" w:type="dxa"/>
            <w:vAlign w:val="bottom"/>
            <w:gridSpan w:val="7"/>
          </w:tcPr>
          <w:p>
            <w:pPr>
              <w:jc w:val="center"/>
              <w:ind w:right="1960"/>
              <w:spacing w:after="0"/>
              <w:rPr>
                <w:sz w:val="20"/>
                <w:szCs w:val="20"/>
                <w:color w:val="auto"/>
              </w:rPr>
            </w:pPr>
            <w:r>
              <w:rPr>
                <w:rFonts w:ascii="Arial" w:cs="Arial" w:eastAsia="Arial" w:hAnsi="Arial"/>
                <w:sz w:val="20"/>
                <w:szCs w:val="20"/>
                <w:b w:val="1"/>
                <w:bCs w:val="1"/>
                <w:color w:val="auto"/>
              </w:rPr>
              <w:t>INDEX TO CONSOLIDATED 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20" w:type="dxa"/>
            <w:vAlign w:val="bottom"/>
          </w:tcPr>
          <w:p>
            <w:pPr>
              <w:spacing w:after="0"/>
              <w:rPr>
                <w:sz w:val="24"/>
                <w:szCs w:val="24"/>
                <w:color w:val="auto"/>
              </w:rPr>
            </w:pPr>
          </w:p>
        </w:tc>
        <w:tc>
          <w:tcPr>
            <w:tcW w:w="10460" w:type="dxa"/>
            <w:vAlign w:val="bottom"/>
            <w:gridSpan w:val="12"/>
            <w:vMerge w:val="restart"/>
          </w:tcPr>
          <w:p>
            <w:pPr>
              <w:spacing w:after="0"/>
              <w:rPr>
                <w:sz w:val="20"/>
                <w:szCs w:val="20"/>
                <w:color w:val="auto"/>
              </w:rPr>
            </w:pPr>
            <w:r>
              <w:rPr>
                <w:rFonts w:ascii="Arial" w:cs="Arial" w:eastAsia="Arial" w:hAnsi="Arial"/>
                <w:sz w:val="22"/>
                <w:szCs w:val="22"/>
                <w:b w:val="1"/>
                <w:bCs w:val="1"/>
                <w:color w:val="auto"/>
              </w:rPr>
              <w:t>Audited Financial Statements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460" w:type="dxa"/>
            <w:vAlign w:val="bottom"/>
            <w:gridSpan w:val="12"/>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0460" w:type="dxa"/>
            <w:vAlign w:val="bottom"/>
            <w:gridSpan w:val="12"/>
          </w:tcPr>
          <w:p>
            <w:pPr>
              <w:spacing w:after="0" w:line="224" w:lineRule="exact"/>
              <w:rPr>
                <w:rFonts w:ascii="Arial" w:cs="Arial" w:eastAsia="Arial" w:hAnsi="Arial"/>
                <w:sz w:val="22"/>
                <w:szCs w:val="22"/>
                <w:color w:val="0000EE"/>
              </w:rPr>
            </w:pPr>
            <w:hyperlink w:anchor="page162">
              <w:r>
                <w:rPr>
                  <w:rFonts w:ascii="Arial" w:cs="Arial" w:eastAsia="Arial" w:hAnsi="Arial"/>
                  <w:sz w:val="22"/>
                  <w:szCs w:val="22"/>
                  <w:color w:val="0000EE"/>
                </w:rPr>
                <w:t>Report of Independent Registered Public Accounting Firm (BDO LLP; London, United Kingdom; PCAOB ID</w:t>
              </w:r>
            </w:hyperlink>
          </w:p>
        </w:tc>
        <w:tc>
          <w:tcPr>
            <w:tcW w:w="500" w:type="dxa"/>
            <w:vAlign w:val="bottom"/>
            <w:vMerge w:val="restart"/>
          </w:tcPr>
          <w:p>
            <w:pPr>
              <w:jc w:val="right"/>
              <w:spacing w:after="0"/>
              <w:rPr>
                <w:sz w:val="20"/>
                <w:szCs w:val="20"/>
                <w:color w:val="auto"/>
              </w:rPr>
            </w:pPr>
            <w:r>
              <w:rPr>
                <w:rFonts w:ascii="Arial" w:cs="Arial" w:eastAsia="Arial" w:hAnsi="Arial"/>
                <w:sz w:val="22"/>
                <w:szCs w:val="22"/>
                <w:color w:val="auto"/>
              </w:rPr>
              <w:t>F-2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6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88"/>
              </w:rPr>
            </w:pPr>
            <w:hyperlink w:anchor="page162">
              <w:r>
                <w:rPr>
                  <w:rFonts w:ascii="Arial" w:cs="Arial" w:eastAsia="Arial" w:hAnsi="Arial"/>
                  <w:sz w:val="22"/>
                  <w:szCs w:val="22"/>
                  <w:color w:val="0000EE"/>
                  <w:w w:val="88"/>
                </w:rPr>
                <w:t>Number 1295)</w:t>
              </w:r>
            </w:hyperlink>
          </w:p>
        </w:tc>
        <w:tc>
          <w:tcPr>
            <w:tcW w:w="8060" w:type="dxa"/>
            <w:vAlign w:val="bottom"/>
            <w:tcBorders>
              <w:top w:val="single" w:sz="8" w:color="0000EE"/>
            </w:tcBorders>
            <w:gridSpan w:val="7"/>
          </w:tcPr>
          <w:p>
            <w:pPr>
              <w:spacing w:after="0"/>
              <w:rPr>
                <w:sz w:val="19"/>
                <w:szCs w:val="19"/>
                <w:color w:val="auto"/>
              </w:rPr>
            </w:pPr>
          </w:p>
        </w:tc>
        <w:tc>
          <w:tcPr>
            <w:tcW w:w="920" w:type="dxa"/>
            <w:vAlign w:val="bottom"/>
            <w:gridSpan w:val="2"/>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460" w:type="dxa"/>
            <w:vAlign w:val="bottom"/>
            <w:gridSpan w:val="12"/>
          </w:tcPr>
          <w:p>
            <w:pPr>
              <w:spacing w:after="0" w:line="223" w:lineRule="exact"/>
              <w:rPr>
                <w:rFonts w:ascii="Arial" w:cs="Arial" w:eastAsia="Arial" w:hAnsi="Arial"/>
                <w:sz w:val="22"/>
                <w:szCs w:val="22"/>
                <w:color w:val="0000EE"/>
                <w:w w:val="94"/>
              </w:rPr>
            </w:pPr>
            <w:hyperlink w:anchor="page163">
              <w:r>
                <w:rPr>
                  <w:rFonts w:ascii="Arial" w:cs="Arial" w:eastAsia="Arial" w:hAnsi="Arial"/>
                  <w:sz w:val="22"/>
                  <w:szCs w:val="22"/>
                  <w:color w:val="0000EE"/>
                  <w:w w:val="94"/>
                </w:rPr>
                <w:t>Report of Independent Registered Public Accounting Firm (Ernst &amp; Young LLP; London, United Kingdom; PCAOB</w:t>
              </w:r>
            </w:hyperlink>
          </w:p>
        </w:tc>
        <w:tc>
          <w:tcPr>
            <w:tcW w:w="500" w:type="dxa"/>
            <w:vAlign w:val="bottom"/>
            <w:vMerge w:val="restart"/>
          </w:tcPr>
          <w:p>
            <w:pPr>
              <w:jc w:val="right"/>
              <w:spacing w:after="0"/>
              <w:rPr>
                <w:sz w:val="20"/>
                <w:szCs w:val="20"/>
                <w:color w:val="auto"/>
              </w:rPr>
            </w:pPr>
            <w:r>
              <w:rPr>
                <w:rFonts w:ascii="Arial" w:cs="Arial" w:eastAsia="Arial" w:hAnsi="Arial"/>
                <w:sz w:val="22"/>
                <w:szCs w:val="22"/>
                <w:color w:val="auto"/>
              </w:rPr>
              <w:t>F-3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60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90"/>
              </w:rPr>
            </w:pPr>
            <w:hyperlink w:anchor="page163">
              <w:r>
                <w:rPr>
                  <w:rFonts w:ascii="Arial" w:cs="Arial" w:eastAsia="Arial" w:hAnsi="Arial"/>
                  <w:sz w:val="22"/>
                  <w:szCs w:val="22"/>
                  <w:color w:val="0000EE"/>
                  <w:w w:val="90"/>
                </w:rPr>
                <w:t>ID Number: 1438)</w:t>
              </w:r>
            </w:hyperlink>
          </w:p>
        </w:tc>
        <w:tc>
          <w:tcPr>
            <w:tcW w:w="8280" w:type="dxa"/>
            <w:vAlign w:val="bottom"/>
            <w:tcBorders>
              <w:top w:val="single" w:sz="8" w:color="0000EE"/>
            </w:tcBorders>
            <w:gridSpan w:val="7"/>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460" w:type="dxa"/>
            <w:vAlign w:val="bottom"/>
            <w:gridSpan w:val="12"/>
          </w:tcPr>
          <w:p>
            <w:pPr>
              <w:spacing w:after="0" w:line="223" w:lineRule="exact"/>
              <w:rPr>
                <w:rFonts w:ascii="Arial" w:cs="Arial" w:eastAsia="Arial" w:hAnsi="Arial"/>
                <w:sz w:val="22"/>
                <w:szCs w:val="22"/>
                <w:color w:val="0000EE"/>
              </w:rPr>
            </w:pPr>
            <w:hyperlink w:anchor="page164">
              <w:r>
                <w:rPr>
                  <w:rFonts w:ascii="Arial" w:cs="Arial" w:eastAsia="Arial" w:hAnsi="Arial"/>
                  <w:sz w:val="22"/>
                  <w:szCs w:val="22"/>
                  <w:color w:val="0000EE"/>
                </w:rPr>
                <w:t>Consolidated Statements of Comprehensive Income/(loss)</w:t>
              </w:r>
            </w:hyperlink>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F-4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020" w:type="dxa"/>
            <w:vAlign w:val="bottom"/>
            <w:tcBorders>
              <w:top w:val="single" w:sz="8" w:color="0000EE"/>
            </w:tcBorders>
            <w:gridSpan w:val="9"/>
          </w:tcPr>
          <w:p>
            <w:pPr>
              <w:spacing w:after="0" w:line="223" w:lineRule="exact"/>
              <w:rPr>
                <w:rFonts w:ascii="Arial" w:cs="Arial" w:eastAsia="Arial" w:hAnsi="Arial"/>
                <w:sz w:val="22"/>
                <w:szCs w:val="22"/>
                <w:color w:val="0000EE"/>
              </w:rPr>
            </w:pPr>
            <w:hyperlink w:anchor="page165">
              <w:r>
                <w:rPr>
                  <w:rFonts w:ascii="Arial" w:cs="Arial" w:eastAsia="Arial" w:hAnsi="Arial"/>
                  <w:sz w:val="22"/>
                  <w:szCs w:val="22"/>
                  <w:color w:val="0000EE"/>
                </w:rPr>
                <w:t>Consolidated Balance Sheets</w:t>
              </w:r>
            </w:hyperlink>
          </w:p>
        </w:tc>
        <w:tc>
          <w:tcPr>
            <w:tcW w:w="5440" w:type="dxa"/>
            <w:vAlign w:val="bottom"/>
            <w:gridSpan w:val="3"/>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5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F-6</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460" w:type="dxa"/>
            <w:vAlign w:val="bottom"/>
            <w:gridSpan w:val="12"/>
          </w:tcPr>
          <w:p>
            <w:pPr>
              <w:spacing w:after="0" w:line="223" w:lineRule="exact"/>
              <w:rPr>
                <w:rFonts w:ascii="Arial" w:cs="Arial" w:eastAsia="Arial" w:hAnsi="Arial"/>
                <w:sz w:val="22"/>
                <w:szCs w:val="22"/>
                <w:color w:val="0000EE"/>
              </w:rPr>
            </w:pPr>
            <w:hyperlink w:anchor="page166">
              <w:r>
                <w:rPr>
                  <w:rFonts w:ascii="Arial" w:cs="Arial" w:eastAsia="Arial" w:hAnsi="Arial"/>
                  <w:sz w:val="22"/>
                  <w:szCs w:val="22"/>
                  <w:color w:val="0000EE"/>
                </w:rPr>
                <w:t>Consolidated Statements of Cash Flows</w:t>
              </w:r>
            </w:hyperlink>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5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F-7</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460" w:type="dxa"/>
            <w:vAlign w:val="bottom"/>
            <w:gridSpan w:val="12"/>
          </w:tcPr>
          <w:p>
            <w:pPr>
              <w:spacing w:after="0" w:line="223" w:lineRule="exact"/>
              <w:rPr>
                <w:rFonts w:ascii="Arial" w:cs="Arial" w:eastAsia="Arial" w:hAnsi="Arial"/>
                <w:sz w:val="22"/>
                <w:szCs w:val="22"/>
                <w:color w:val="0000EE"/>
              </w:rPr>
            </w:pPr>
            <w:hyperlink w:anchor="page167">
              <w:r>
                <w:rPr>
                  <w:rFonts w:ascii="Arial" w:cs="Arial" w:eastAsia="Arial" w:hAnsi="Arial"/>
                  <w:sz w:val="22"/>
                  <w:szCs w:val="22"/>
                  <w:color w:val="0000EE"/>
                </w:rPr>
                <w:t>Consolidated Statements of Changes in Equity</w:t>
              </w:r>
            </w:hyperlink>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5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F-8</w:t>
            </w: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460" w:type="dxa"/>
            <w:vAlign w:val="bottom"/>
            <w:gridSpan w:val="12"/>
          </w:tcPr>
          <w:p>
            <w:pPr>
              <w:spacing w:after="0" w:line="223" w:lineRule="exact"/>
              <w:rPr>
                <w:rFonts w:ascii="Arial" w:cs="Arial" w:eastAsia="Arial" w:hAnsi="Arial"/>
                <w:sz w:val="22"/>
                <w:szCs w:val="22"/>
                <w:color w:val="0000EE"/>
              </w:rPr>
            </w:pPr>
            <w:hyperlink w:anchor="page168">
              <w:r>
                <w:rPr>
                  <w:rFonts w:ascii="Arial" w:cs="Arial" w:eastAsia="Arial" w:hAnsi="Arial"/>
                  <w:sz w:val="22"/>
                  <w:szCs w:val="22"/>
                  <w:color w:val="0000EE"/>
                </w:rPr>
                <w:t>Notes to the Consolidated Financial Statements</w:t>
              </w:r>
            </w:hyperlink>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5440" w:type="dxa"/>
            <w:vAlign w:val="bottom"/>
            <w:gridSpan w:val="3"/>
          </w:tcPr>
          <w:p>
            <w:pPr>
              <w:jc w:val="center"/>
              <w:ind w:right="4460"/>
              <w:spacing w:after="0"/>
              <w:rPr>
                <w:sz w:val="20"/>
                <w:szCs w:val="20"/>
                <w:color w:val="auto"/>
              </w:rPr>
            </w:pPr>
            <w:r>
              <w:rPr>
                <w:rFonts w:ascii="Arial" w:cs="Arial" w:eastAsia="Arial" w:hAnsi="Arial"/>
                <w:sz w:val="22"/>
                <w:szCs w:val="22"/>
                <w:color w:val="auto"/>
                <w:w w:val="90"/>
              </w:rPr>
              <w:t>F-1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right="2780" w:firstLine="2804"/>
        <w:spacing w:after="0" w:line="563"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Shareholders and Board of Directors Mereo BioPharma Group plc London, United Kingdom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 on the Consolidated Financial Statements</w:t>
      </w:r>
    </w:p>
    <w:p>
      <w:pPr>
        <w:spacing w:after="0" w:line="212" w:lineRule="exact"/>
        <w:rPr>
          <w:sz w:val="20"/>
          <w:szCs w:val="20"/>
          <w:color w:val="auto"/>
        </w:rPr>
      </w:pPr>
    </w:p>
    <w:p>
      <w:pPr>
        <w:ind w:left="120" w:right="40"/>
        <w:spacing w:after="0" w:line="279" w:lineRule="auto"/>
        <w:rPr>
          <w:sz w:val="20"/>
          <w:szCs w:val="20"/>
          <w:color w:val="auto"/>
        </w:rPr>
      </w:pPr>
      <w:r>
        <w:rPr>
          <w:rFonts w:ascii="Arial" w:cs="Arial" w:eastAsia="Arial" w:hAnsi="Arial"/>
          <w:sz w:val="19"/>
          <w:szCs w:val="19"/>
          <w:color w:val="auto"/>
        </w:rPr>
        <w:t>We have audited the accompanying consolidated balance sheet of Mereo BioPharma Group plc (the “Company”) as of December 31, 2021, the related consolidated statements of comprehensive income/(loss), changes in equity, and cash flows for the year ended December 31, 2021,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the year ended December 31, 2021</w:t>
      </w:r>
      <w:r>
        <w:rPr>
          <w:rFonts w:ascii="Arial" w:cs="Arial" w:eastAsia="Arial" w:hAnsi="Arial"/>
          <w:sz w:val="19"/>
          <w:szCs w:val="19"/>
          <w:b w:val="1"/>
          <w:bCs w:val="1"/>
          <w:color w:val="auto"/>
        </w:rPr>
        <w:t>,</w:t>
      </w:r>
      <w:r>
        <w:rPr>
          <w:rFonts w:ascii="Arial" w:cs="Arial" w:eastAsia="Arial" w:hAnsi="Arial"/>
          <w:sz w:val="19"/>
          <w:szCs w:val="19"/>
          <w:color w:val="auto"/>
        </w:rPr>
        <w:t xml:space="preserve"> in conformity with International Financial Reporting Standards as issued by the International Accounting Standards Board.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Basis for Opinion</w:t>
      </w:r>
    </w:p>
    <w:p>
      <w:pPr>
        <w:spacing w:after="0" w:line="104" w:lineRule="exact"/>
        <w:rPr>
          <w:sz w:val="20"/>
          <w:szCs w:val="20"/>
          <w:color w:val="auto"/>
        </w:rPr>
      </w:pPr>
    </w:p>
    <w:p>
      <w:pPr>
        <w:ind w:left="120" w:right="80"/>
        <w:spacing w:after="0" w:line="249" w:lineRule="auto"/>
        <w:rPr>
          <w:sz w:val="20"/>
          <w:szCs w:val="20"/>
          <w:color w:val="auto"/>
        </w:rPr>
      </w:pPr>
      <w:r>
        <w:rPr>
          <w:rFonts w:ascii="Arial" w:cs="Arial" w:eastAsia="Arial" w:hAnsi="Arial"/>
          <w:sz w:val="21"/>
          <w:szCs w:val="21"/>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120"/>
        <w:spacing w:after="0" w:line="248" w:lineRule="auto"/>
        <w:rPr>
          <w:sz w:val="20"/>
          <w:szCs w:val="20"/>
          <w:color w:val="auto"/>
        </w:rPr>
      </w:pPr>
      <w:r>
        <w:rPr>
          <w:rFonts w:ascii="Arial" w:cs="Arial" w:eastAsia="Arial" w:hAnsi="Arial"/>
          <w:sz w:val="21"/>
          <w:szCs w:val="21"/>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7" w:lineRule="exact"/>
        <w:rPr>
          <w:sz w:val="20"/>
          <w:szCs w:val="20"/>
          <w:color w:val="auto"/>
        </w:rPr>
      </w:pPr>
    </w:p>
    <w:p>
      <w:pPr>
        <w:ind w:left="120" w:right="40"/>
        <w:spacing w:after="0" w:line="282" w:lineRule="auto"/>
        <w:rPr>
          <w:sz w:val="20"/>
          <w:szCs w:val="20"/>
          <w:color w:val="auto"/>
        </w:rPr>
      </w:pPr>
      <w:r>
        <w:rPr>
          <w:rFonts w:ascii="Arial" w:cs="Arial" w:eastAsia="Arial" w:hAnsi="Arial"/>
          <w:sz w:val="19"/>
          <w:szCs w:val="19"/>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BDO LLP</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BDO LLP</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We have served as the Company’s auditor since 2021.</w:t>
      </w:r>
    </w:p>
    <w:p>
      <w:pPr>
        <w:ind w:left="120"/>
        <w:spacing w:after="0" w:line="238" w:lineRule="auto"/>
        <w:rPr>
          <w:sz w:val="20"/>
          <w:szCs w:val="20"/>
          <w:color w:val="auto"/>
        </w:rPr>
      </w:pPr>
      <w:r>
        <w:rPr>
          <w:rFonts w:ascii="Arial" w:cs="Arial" w:eastAsia="Arial" w:hAnsi="Arial"/>
          <w:sz w:val="22"/>
          <w:szCs w:val="22"/>
          <w:color w:val="auto"/>
        </w:rPr>
        <w:t>Reading, United Kingdom</w:t>
      </w:r>
    </w:p>
    <w:p>
      <w:pPr>
        <w:ind w:left="120"/>
        <w:spacing w:after="0"/>
        <w:rPr>
          <w:sz w:val="20"/>
          <w:szCs w:val="20"/>
          <w:color w:val="auto"/>
        </w:rPr>
      </w:pPr>
      <w:r>
        <w:rPr>
          <w:rFonts w:ascii="Arial" w:cs="Arial" w:eastAsia="Arial" w:hAnsi="Arial"/>
          <w:sz w:val="22"/>
          <w:szCs w:val="22"/>
          <w:color w:val="auto"/>
        </w:rPr>
        <w:t>March 31, 2022</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100"/>
          </w:cols>
          <w:pgMar w:left="320" w:top="486"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right="2820" w:firstLine="2804"/>
        <w:spacing w:after="0" w:line="494" w:lineRule="auto"/>
        <w:rPr>
          <w:sz w:val="20"/>
          <w:szCs w:val="20"/>
          <w:color w:val="auto"/>
        </w:rPr>
      </w:pPr>
      <w:r>
        <w:rPr>
          <w:rFonts w:ascii="Arial" w:cs="Arial" w:eastAsia="Arial" w:hAnsi="Arial"/>
          <w:sz w:val="21"/>
          <w:szCs w:val="21"/>
          <w:b w:val="1"/>
          <w:bCs w:val="1"/>
          <w:color w:val="auto"/>
        </w:rPr>
        <w:t xml:space="preserve">Report of Independent Registered Public Accounting Firm </w:t>
      </w:r>
      <w:r>
        <w:rPr>
          <w:rFonts w:ascii="Arial" w:cs="Arial" w:eastAsia="Arial" w:hAnsi="Arial"/>
          <w:sz w:val="21"/>
          <w:szCs w:val="21"/>
          <w:color w:val="auto"/>
        </w:rPr>
        <w:t>To the Shareholders and the Board of Directors of Mereo BioPharma Group plc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21"/>
          <w:szCs w:val="21"/>
          <w:color w:val="auto"/>
        </w:rPr>
        <w:t>We have audited the accompanying consolidated balance sheet of Mereo BioPharma Group plc (the Company) as of December 31, 2020, and the related consolidated statements of comprehensive loss, changes in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each of the two years in the period ended December 31, 2020, in conformity with International Financial Reporting Standards as issued by the International Accounting Standards Board.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Adoption of New Accounting Standard</w:t>
      </w:r>
    </w:p>
    <w:p>
      <w:pPr>
        <w:spacing w:after="0" w:line="104" w:lineRule="exact"/>
        <w:rPr>
          <w:sz w:val="20"/>
          <w:szCs w:val="20"/>
          <w:color w:val="auto"/>
        </w:rPr>
      </w:pPr>
    </w:p>
    <w:p>
      <w:pPr>
        <w:ind w:left="120" w:right="240"/>
        <w:spacing w:after="0" w:line="250" w:lineRule="auto"/>
        <w:rPr>
          <w:sz w:val="20"/>
          <w:szCs w:val="20"/>
          <w:color w:val="auto"/>
        </w:rPr>
      </w:pPr>
      <w:r>
        <w:rPr>
          <w:rFonts w:ascii="Arial" w:cs="Arial" w:eastAsia="Arial" w:hAnsi="Arial"/>
          <w:sz w:val="22"/>
          <w:szCs w:val="22"/>
          <w:color w:val="auto"/>
        </w:rPr>
        <w:t>As discussed in Note 2 to the consolidated financial statements, the Company changed its method of accounting for leases in 2019 due to the adoption of IFRS 16 (Leases).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Basis for Opinion</w:t>
      </w:r>
    </w:p>
    <w:p>
      <w:pPr>
        <w:spacing w:after="0" w:line="104" w:lineRule="exact"/>
        <w:rPr>
          <w:sz w:val="20"/>
          <w:szCs w:val="20"/>
          <w:color w:val="auto"/>
        </w:rPr>
      </w:pPr>
    </w:p>
    <w:p>
      <w:pPr>
        <w:ind w:left="120" w:right="80"/>
        <w:spacing w:after="0" w:line="236"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80"/>
        <w:spacing w:after="0" w:line="248"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7" w:lineRule="exact"/>
        <w:rPr>
          <w:sz w:val="20"/>
          <w:szCs w:val="20"/>
          <w:color w:val="auto"/>
        </w:rPr>
      </w:pPr>
    </w:p>
    <w:p>
      <w:pPr>
        <w:ind w:left="120" w:right="20"/>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 Ernst &amp; Young LLP</w:t>
      </w:r>
    </w:p>
    <w:p>
      <w:pPr>
        <w:ind w:left="120"/>
        <w:spacing w:after="0" w:line="238" w:lineRule="auto"/>
        <w:rPr>
          <w:sz w:val="20"/>
          <w:szCs w:val="20"/>
          <w:color w:val="auto"/>
        </w:rPr>
      </w:pPr>
      <w:r>
        <w:rPr>
          <w:rFonts w:ascii="Arial" w:cs="Arial" w:eastAsia="Arial" w:hAnsi="Arial"/>
          <w:sz w:val="22"/>
          <w:szCs w:val="22"/>
          <w:color w:val="auto"/>
        </w:rPr>
        <w:t>We have served as the Company’s auditor since 2015.</w:t>
      </w:r>
    </w:p>
    <w:p>
      <w:pPr>
        <w:ind w:left="120"/>
        <w:spacing w:after="0" w:line="230" w:lineRule="auto"/>
        <w:rPr>
          <w:sz w:val="20"/>
          <w:szCs w:val="20"/>
          <w:color w:val="auto"/>
        </w:rPr>
      </w:pPr>
      <w:r>
        <w:rPr>
          <w:rFonts w:ascii="Arial" w:cs="Arial" w:eastAsia="Arial" w:hAnsi="Arial"/>
          <w:sz w:val="22"/>
          <w:szCs w:val="22"/>
          <w:color w:val="auto"/>
        </w:rPr>
        <w:t>Reading, United Kingdom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March 31, 2021</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1140"/>
          </w:cols>
          <w:pgMar w:left="320" w:top="486" w:right="4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160" w:type="dxa"/>
            <w:vAlign w:val="bottom"/>
          </w:tcPr>
          <w:p>
            <w:pPr>
              <w:ind w:left="2740"/>
              <w:spacing w:after="0"/>
              <w:rPr>
                <w:sz w:val="20"/>
                <w:szCs w:val="20"/>
                <w:color w:val="auto"/>
              </w:rPr>
            </w:pPr>
            <w:r>
              <w:rPr>
                <w:rFonts w:ascii="Arial" w:cs="Arial" w:eastAsia="Arial" w:hAnsi="Arial"/>
                <w:sz w:val="20"/>
                <w:szCs w:val="20"/>
                <w:color w:val="auto"/>
              </w:rPr>
              <w:t>MEREO BIOPHARMA GROUP PLC</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20" w:type="dxa"/>
            <w:vAlign w:val="bottom"/>
            <w:gridSpan w:val="5"/>
          </w:tcPr>
          <w:p>
            <w:pPr>
              <w:jc w:val="right"/>
              <w:ind w:right="400"/>
              <w:spacing w:after="0"/>
              <w:rPr>
                <w:sz w:val="20"/>
                <w:szCs w:val="20"/>
                <w:color w:val="auto"/>
              </w:rPr>
            </w:pPr>
            <w:r>
              <w:rPr>
                <w:rFonts w:ascii="Arial" w:cs="Arial" w:eastAsia="Arial" w:hAnsi="Arial"/>
                <w:sz w:val="20"/>
                <w:szCs w:val="20"/>
                <w:color w:val="auto"/>
              </w:rPr>
              <w:t>CONSOLIDATED STATEMENTS OF COMPREHENSIVE INCOME/(LOSS)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Notes</w:t>
            </w:r>
          </w:p>
        </w:tc>
        <w:tc>
          <w:tcPr>
            <w:tcW w:w="2920" w:type="dxa"/>
            <w:vAlign w:val="bottom"/>
            <w:gridSpan w:val="6"/>
          </w:tcPr>
          <w:p>
            <w:pPr>
              <w:jc w:val="right"/>
              <w:ind w:right="279"/>
              <w:spacing w:after="0"/>
              <w:rPr>
                <w:sz w:val="20"/>
                <w:szCs w:val="20"/>
                <w:color w:val="auto"/>
              </w:rPr>
            </w:pPr>
            <w:r>
              <w:rPr>
                <w:rFonts w:ascii="Arial" w:cs="Arial" w:eastAsia="Arial" w:hAnsi="Arial"/>
                <w:sz w:val="22"/>
                <w:szCs w:val="22"/>
                <w:b w:val="1"/>
                <w:bCs w:val="1"/>
                <w:color w:val="auto"/>
                <w:w w:val="94"/>
              </w:rPr>
              <w:t>Year ended December 31,</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720" w:type="dxa"/>
            <w:vAlign w:val="bottom"/>
            <w:tcBorders>
              <w:top w:val="single" w:sz="8" w:color="auto"/>
            </w:tcBorders>
          </w:tcPr>
          <w:p>
            <w:pPr>
              <w:jc w:val="right"/>
              <w:ind w:right="32"/>
              <w:spacing w:after="0" w:line="237" w:lineRule="exact"/>
              <w:rPr>
                <w:sz w:val="20"/>
                <w:szCs w:val="20"/>
                <w:color w:val="auto"/>
              </w:rPr>
            </w:pPr>
            <w:r>
              <w:rPr>
                <w:rFonts w:ascii="Arial" w:cs="Arial" w:eastAsia="Arial" w:hAnsi="Arial"/>
                <w:sz w:val="22"/>
                <w:szCs w:val="22"/>
                <w:b w:val="1"/>
                <w:bCs w:val="1"/>
                <w:color w:val="auto"/>
              </w:rPr>
              <w:t>2021</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2"/>
              <w:spacing w:after="0" w:line="237" w:lineRule="exact"/>
              <w:rPr>
                <w:sz w:val="20"/>
                <w:szCs w:val="20"/>
                <w:color w:val="auto"/>
              </w:rPr>
            </w:pPr>
            <w:r>
              <w:rPr>
                <w:rFonts w:ascii="Arial" w:cs="Arial" w:eastAsia="Arial" w:hAnsi="Arial"/>
                <w:sz w:val="22"/>
                <w:szCs w:val="22"/>
                <w:b w:val="1"/>
                <w:bCs w:val="1"/>
                <w:color w:val="auto"/>
              </w:rPr>
              <w:t>2020</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2"/>
              <w:spacing w:after="0" w:line="237" w:lineRule="exact"/>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240" w:type="dxa"/>
            <w:vAlign w:val="bottom"/>
          </w:tcPr>
          <w:p>
            <w:pPr>
              <w:spacing w:after="0"/>
              <w:rPr>
                <w:sz w:val="20"/>
                <w:szCs w:val="20"/>
                <w:color w:val="auto"/>
              </w:rPr>
            </w:pPr>
          </w:p>
        </w:tc>
        <w:tc>
          <w:tcPr>
            <w:tcW w:w="8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240" w:type="dxa"/>
            <w:vAlign w:val="bottom"/>
          </w:tcPr>
          <w:p>
            <w:pPr>
              <w:spacing w:after="0"/>
              <w:rPr>
                <w:sz w:val="20"/>
                <w:szCs w:val="20"/>
                <w:color w:val="auto"/>
              </w:rPr>
            </w:pPr>
          </w:p>
        </w:tc>
        <w:tc>
          <w:tcPr>
            <w:tcW w:w="7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Revenue</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6</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36,464</w:t>
            </w:r>
          </w:p>
        </w:tc>
        <w:tc>
          <w:tcPr>
            <w:tcW w:w="1080" w:type="dxa"/>
            <w:vAlign w:val="bottom"/>
            <w:gridSpan w:val="2"/>
            <w:shd w:val="clear" w:color="auto" w:fill="CCEEFF"/>
          </w:tcPr>
          <w:p>
            <w:pPr>
              <w:jc w:val="right"/>
              <w:ind w:right="232"/>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Cost of revenue</w:t>
            </w:r>
          </w:p>
        </w:tc>
        <w:tc>
          <w:tcPr>
            <w:tcW w:w="7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6</w:t>
            </w: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w w:val="95"/>
              </w:rPr>
              <w:t>(17,908)</w:t>
            </w:r>
          </w:p>
        </w:tc>
        <w:tc>
          <w:tcPr>
            <w:tcW w:w="108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 expenses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w w:val="95"/>
              </w:rPr>
              <w:t>(23,559)</w:t>
            </w:r>
          </w:p>
        </w:tc>
        <w:tc>
          <w:tcPr>
            <w:tcW w:w="1080" w:type="dxa"/>
            <w:vAlign w:val="bottom"/>
            <w:gridSpan w:val="2"/>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(16,347)</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w w:val="95"/>
              </w:rPr>
              <w:t>(23,608)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Administrative expenses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w w:val="95"/>
              </w:rPr>
              <w:t>(15,933)</w:t>
            </w:r>
          </w:p>
        </w:tc>
        <w:tc>
          <w:tcPr>
            <w:tcW w:w="108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(21,222)</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5"/>
              </w:rPr>
              <w:t>(15,909)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Operating loss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b w:val="1"/>
                <w:bCs w:val="1"/>
                <w:color w:val="auto"/>
                <w:w w:val="95"/>
              </w:rPr>
              <w:t>(20,936)</w:t>
            </w:r>
          </w:p>
        </w:tc>
        <w:tc>
          <w:tcPr>
            <w:tcW w:w="1080" w:type="dxa"/>
            <w:vAlign w:val="bottom"/>
            <w:gridSpan w:val="2"/>
            <w:shd w:val="clear" w:color="auto" w:fill="CCEEFF"/>
          </w:tcPr>
          <w:p>
            <w:pPr>
              <w:jc w:val="right"/>
              <w:ind w:right="52"/>
              <w:spacing w:after="0" w:line="243" w:lineRule="exact"/>
              <w:rPr>
                <w:sz w:val="20"/>
                <w:szCs w:val="20"/>
                <w:color w:val="auto"/>
              </w:rPr>
            </w:pPr>
            <w:r>
              <w:rPr>
                <w:rFonts w:ascii="Arial" w:cs="Arial" w:eastAsia="Arial" w:hAnsi="Arial"/>
                <w:sz w:val="22"/>
                <w:szCs w:val="22"/>
                <w:b w:val="1"/>
                <w:bCs w:val="1"/>
                <w:color w:val="auto"/>
              </w:rPr>
              <w:t>(37,569)</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5"/>
              </w:rPr>
              <w:t>(39,517)</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400" w:type="dxa"/>
            <w:vAlign w:val="bottom"/>
            <w:gridSpan w:val="2"/>
          </w:tcPr>
          <w:p>
            <w:pPr>
              <w:spacing w:after="0" w:line="250" w:lineRule="exact"/>
              <w:rPr>
                <w:sz w:val="20"/>
                <w:szCs w:val="20"/>
                <w:color w:val="auto"/>
              </w:rPr>
            </w:pPr>
            <w:r>
              <w:rPr>
                <w:rFonts w:ascii="Arial" w:cs="Arial" w:eastAsia="Arial" w:hAnsi="Arial"/>
                <w:sz w:val="22"/>
                <w:szCs w:val="22"/>
                <w:color w:val="auto"/>
              </w:rPr>
              <w:t>Net income recognized on acquisition of subsidiary</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8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7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1,035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Finance income</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w:t>
            </w:r>
          </w:p>
        </w:tc>
        <w:tc>
          <w:tcPr>
            <w:tcW w:w="1080" w:type="dxa"/>
            <w:vAlign w:val="bottom"/>
            <w:gridSpan w:val="2"/>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rPr>
              <w:t>44</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377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Finance costs</w:t>
            </w:r>
          </w:p>
        </w:tc>
        <w:tc>
          <w:tcPr>
            <w:tcW w:w="7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(4,022)</w:t>
            </w:r>
          </w:p>
        </w:tc>
        <w:tc>
          <w:tcPr>
            <w:tcW w:w="108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(6,383)</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(4,371)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Changes in the fair value of financial instruments</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40,039</w:t>
            </w:r>
          </w:p>
        </w:tc>
        <w:tc>
          <w:tcPr>
            <w:tcW w:w="1080" w:type="dxa"/>
            <w:vAlign w:val="bottom"/>
            <w:gridSpan w:val="2"/>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w w:val="95"/>
              </w:rPr>
              <w:t>(109,849)</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875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Gain/(loss) on disposal of intangible assets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113</w:t>
            </w:r>
          </w:p>
        </w:tc>
        <w:tc>
          <w:tcPr>
            <w:tcW w:w="1080" w:type="dxa"/>
            <w:vAlign w:val="bottom"/>
            <w:gridSpan w:val="2"/>
          </w:tcPr>
          <w:p>
            <w:pPr>
              <w:jc w:val="right"/>
              <w:ind w:right="52"/>
              <w:spacing w:after="0" w:line="243" w:lineRule="exact"/>
              <w:rPr>
                <w:sz w:val="20"/>
                <w:szCs w:val="20"/>
                <w:color w:val="auto"/>
              </w:rPr>
            </w:pPr>
            <w:r>
              <w:rPr>
                <w:rFonts w:ascii="Arial" w:cs="Arial" w:eastAsia="Arial" w:hAnsi="Arial"/>
                <w:sz w:val="22"/>
                <w:szCs w:val="22"/>
                <w:color w:val="auto"/>
              </w:rPr>
              <w:t>(10,872)</w:t>
            </w:r>
          </w:p>
        </w:tc>
        <w:tc>
          <w:tcPr>
            <w:tcW w:w="880" w:type="dxa"/>
            <w:vAlign w:val="bottom"/>
            <w:gridSpan w:val="2"/>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Net foreign exchange loss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(954)</w:t>
            </w:r>
          </w:p>
        </w:tc>
        <w:tc>
          <w:tcPr>
            <w:tcW w:w="1080" w:type="dxa"/>
            <w:vAlign w:val="bottom"/>
            <w:gridSpan w:val="2"/>
            <w:shd w:val="clear" w:color="auto" w:fill="CCEEFF"/>
          </w:tcPr>
          <w:p>
            <w:pPr>
              <w:jc w:val="right"/>
              <w:ind w:right="52"/>
              <w:spacing w:after="0" w:line="243" w:lineRule="exact"/>
              <w:rPr>
                <w:sz w:val="20"/>
                <w:szCs w:val="20"/>
                <w:color w:val="auto"/>
              </w:rPr>
            </w:pPr>
            <w:r>
              <w:rPr>
                <w:rFonts w:ascii="Arial" w:cs="Arial" w:eastAsia="Arial" w:hAnsi="Arial"/>
                <w:sz w:val="22"/>
                <w:szCs w:val="22"/>
                <w:color w:val="auto"/>
              </w:rPr>
              <w:t>(1,821)</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483</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40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Profit/(loss) before tax</w:t>
            </w:r>
          </w:p>
        </w:tc>
        <w:tc>
          <w:tcPr>
            <w:tcW w:w="700" w:type="dxa"/>
            <w:vAlign w:val="bottom"/>
            <w:gridSpan w:val="2"/>
          </w:tcPr>
          <w:p>
            <w:pPr>
              <w:jc w:val="right"/>
              <w:ind w:right="160"/>
              <w:spacing w:after="0" w:line="250" w:lineRule="exact"/>
              <w:rPr>
                <w:sz w:val="20"/>
                <w:szCs w:val="20"/>
                <w:color w:val="auto"/>
              </w:rPr>
            </w:pPr>
            <w:r>
              <w:rPr>
                <w:rFonts w:ascii="Arial" w:cs="Arial" w:eastAsia="Arial" w:hAnsi="Arial"/>
                <w:sz w:val="22"/>
                <w:szCs w:val="22"/>
                <w:b w:val="1"/>
                <w:bCs w:val="1"/>
                <w:color w:val="auto"/>
              </w:rPr>
              <w:t>7</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14,241</w:t>
            </w:r>
          </w:p>
        </w:tc>
        <w:tc>
          <w:tcPr>
            <w:tcW w:w="2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4"/>
              </w:rPr>
              <w:t>(166,450</w:t>
            </w:r>
          </w:p>
        </w:tc>
        <w:tc>
          <w:tcPr>
            <w:tcW w:w="240" w:type="dxa"/>
            <w:vAlign w:val="bottom"/>
          </w:tcPr>
          <w:p>
            <w:pPr>
              <w:jc w:val="right"/>
              <w:ind w:right="52"/>
              <w:spacing w:after="0" w:line="250" w:lineRule="exact"/>
              <w:rPr>
                <w:sz w:val="20"/>
                <w:szCs w:val="20"/>
                <w:color w:val="auto"/>
              </w:rPr>
            </w:pPr>
            <w:r>
              <w:rPr>
                <w:rFonts w:ascii="Arial" w:cs="Arial" w:eastAsia="Arial" w:hAnsi="Arial"/>
                <w:sz w:val="22"/>
                <w:szCs w:val="22"/>
                <w:b w:val="1"/>
                <w:bCs w:val="1"/>
                <w:color w:val="auto"/>
                <w:w w:val="81"/>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6"/>
              </w:rPr>
              <w:t>(41,118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Taxation</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10</w:t>
            </w: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(1,516)</w:t>
            </w:r>
          </w:p>
        </w:tc>
        <w:tc>
          <w:tcPr>
            <w:tcW w:w="1080" w:type="dxa"/>
            <w:vAlign w:val="bottom"/>
            <w:gridSpan w:val="2"/>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rPr>
              <w:t>2,822</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6,274</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40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Profit/(loss) for the year, attributable to equity holders of the parent</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12,725</w:t>
            </w:r>
          </w:p>
        </w:tc>
        <w:tc>
          <w:tcPr>
            <w:tcW w:w="240" w:type="dxa"/>
            <w:vAlign w:val="bottom"/>
          </w:tcPr>
          <w:p>
            <w:pPr>
              <w:spacing w:after="0"/>
              <w:rPr>
                <w:sz w:val="21"/>
                <w:szCs w:val="21"/>
                <w:color w:val="auto"/>
              </w:rPr>
            </w:pPr>
          </w:p>
        </w:tc>
        <w:tc>
          <w:tcPr>
            <w:tcW w:w="8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87"/>
              </w:rPr>
              <w:t>(163,628)</w:t>
            </w:r>
          </w:p>
        </w:tc>
        <w:tc>
          <w:tcPr>
            <w:tcW w:w="240" w:type="dxa"/>
            <w:vAlign w:val="bottom"/>
          </w:tcPr>
          <w:p>
            <w:pPr>
              <w:spacing w:after="0"/>
              <w:rPr>
                <w:sz w:val="21"/>
                <w:szCs w:val="21"/>
                <w:color w:val="auto"/>
              </w:rPr>
            </w:pPr>
          </w:p>
        </w:tc>
        <w:tc>
          <w:tcPr>
            <w:tcW w:w="7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87"/>
              </w:rPr>
              <w:t>(34,844)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i w:val="1"/>
                <w:iCs w:val="1"/>
                <w:color w:val="auto"/>
              </w:rPr>
              <w:t>Items that may be reclassified subsequently to profit or loss: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Currency translation of foreign operations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(191)</w:t>
            </w:r>
          </w:p>
        </w:tc>
        <w:tc>
          <w:tcPr>
            <w:tcW w:w="108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349</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(499)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400" w:type="dxa"/>
            <w:vAlign w:val="bottom"/>
            <w:gridSpan w:val="2"/>
            <w:shd w:val="clear" w:color="auto" w:fill="CCEEFF"/>
          </w:tcPr>
          <w:p>
            <w:pPr>
              <w:spacing w:after="0" w:line="216" w:lineRule="exact"/>
              <w:rPr>
                <w:sz w:val="20"/>
                <w:szCs w:val="20"/>
                <w:color w:val="auto"/>
              </w:rPr>
            </w:pPr>
            <w:r>
              <w:rPr>
                <w:rFonts w:ascii="Arial" w:cs="Arial" w:eastAsia="Arial" w:hAnsi="Arial"/>
                <w:sz w:val="22"/>
                <w:szCs w:val="22"/>
                <w:b w:val="1"/>
                <w:bCs w:val="1"/>
                <w:color w:val="auto"/>
                <w:w w:val="91"/>
              </w:rPr>
              <w:t>Total comprehensive income/(loss) for the year, attributable to equity holders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400" w:type="dxa"/>
            <w:vAlign w:val="bottom"/>
            <w:gridSpan w:val="2"/>
            <w:shd w:val="clear" w:color="auto" w:fill="CCEEFF"/>
          </w:tcPr>
          <w:p>
            <w:pPr>
              <w:ind w:left="220"/>
              <w:spacing w:after="0"/>
              <w:rPr>
                <w:sz w:val="20"/>
                <w:szCs w:val="20"/>
                <w:color w:val="auto"/>
              </w:rPr>
            </w:pPr>
            <w:r>
              <w:rPr>
                <w:rFonts w:ascii="Arial" w:cs="Arial" w:eastAsia="Arial" w:hAnsi="Arial"/>
                <w:sz w:val="22"/>
                <w:szCs w:val="22"/>
                <w:b w:val="1"/>
                <w:bCs w:val="1"/>
                <w:color w:val="auto"/>
              </w:rPr>
              <w:t>of the parent</w:t>
            </w:r>
          </w:p>
        </w:tc>
        <w:tc>
          <w:tcPr>
            <w:tcW w:w="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b w:val="1"/>
                <w:bCs w:val="1"/>
                <w:color w:val="auto"/>
              </w:rPr>
              <w:t>12,534</w:t>
            </w:r>
          </w:p>
        </w:tc>
        <w:tc>
          <w:tcPr>
            <w:tcW w:w="1080" w:type="dxa"/>
            <w:vAlign w:val="bottom"/>
            <w:gridSpan w:val="2"/>
            <w:shd w:val="clear" w:color="auto" w:fill="CCEEFF"/>
          </w:tcPr>
          <w:p>
            <w:pPr>
              <w:jc w:val="right"/>
              <w:ind w:right="52"/>
              <w:spacing w:after="0"/>
              <w:rPr>
                <w:sz w:val="20"/>
                <w:szCs w:val="20"/>
                <w:color w:val="auto"/>
              </w:rPr>
            </w:pPr>
            <w:r>
              <w:rPr>
                <w:rFonts w:ascii="Arial" w:cs="Arial" w:eastAsia="Arial" w:hAnsi="Arial"/>
                <w:sz w:val="22"/>
                <w:szCs w:val="22"/>
                <w:b w:val="1"/>
                <w:bCs w:val="1"/>
                <w:color w:val="auto"/>
                <w:w w:val="95"/>
              </w:rPr>
              <w:t>(163,279)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22"/>
                <w:szCs w:val="22"/>
                <w:b w:val="1"/>
                <w:bCs w:val="1"/>
                <w:color w:val="auto"/>
                <w:w w:val="95"/>
              </w:rPr>
              <w:t>(35,343)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Basic profit/(loss) per share for the year (in £)</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22"/>
                <w:szCs w:val="22"/>
                <w:b w:val="1"/>
                <w:bCs w:val="1"/>
                <w:color w:val="auto"/>
              </w:rPr>
              <w:t>11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740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72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0.02</w:t>
            </w:r>
          </w:p>
        </w:tc>
        <w:tc>
          <w:tcPr>
            <w:tcW w:w="240" w:type="dxa"/>
            <w:vAlign w:val="bottom"/>
            <w:vMerge w:val="continue"/>
          </w:tcPr>
          <w:p>
            <w:pPr>
              <w:spacing w:after="0"/>
              <w:rPr>
                <w:sz w:val="20"/>
                <w:szCs w:val="20"/>
                <w:color w:val="auto"/>
              </w:rPr>
            </w:pPr>
          </w:p>
        </w:tc>
        <w:tc>
          <w:tcPr>
            <w:tcW w:w="1080" w:type="dxa"/>
            <w:vAlign w:val="bottom"/>
            <w:gridSpan w:val="2"/>
          </w:tcPr>
          <w:p>
            <w:pPr>
              <w:jc w:val="right"/>
              <w:ind w:right="52"/>
              <w:spacing w:after="0" w:line="237" w:lineRule="exact"/>
              <w:rPr>
                <w:sz w:val="20"/>
                <w:szCs w:val="20"/>
                <w:color w:val="auto"/>
              </w:rPr>
            </w:pPr>
            <w:r>
              <w:rPr>
                <w:rFonts w:ascii="Arial" w:cs="Arial" w:eastAsia="Arial" w:hAnsi="Arial"/>
                <w:sz w:val="22"/>
                <w:szCs w:val="22"/>
                <w:b w:val="1"/>
                <w:bCs w:val="1"/>
                <w:color w:val="auto"/>
              </w:rPr>
              <w:t>(0.48)</w:t>
            </w:r>
          </w:p>
        </w:tc>
        <w:tc>
          <w:tcPr>
            <w:tcW w:w="880" w:type="dxa"/>
            <w:vAlign w:val="bottom"/>
            <w:gridSpan w:val="2"/>
          </w:tcPr>
          <w:p>
            <w:pPr>
              <w:jc w:val="right"/>
              <w:spacing w:after="0" w:line="237" w:lineRule="exact"/>
              <w:rPr>
                <w:sz w:val="20"/>
                <w:szCs w:val="20"/>
                <w:color w:val="auto"/>
              </w:rPr>
            </w:pPr>
            <w:r>
              <w:rPr>
                <w:rFonts w:ascii="Arial" w:cs="Arial" w:eastAsia="Arial" w:hAnsi="Arial"/>
                <w:sz w:val="22"/>
                <w:szCs w:val="22"/>
                <w:b w:val="1"/>
                <w:bCs w:val="1"/>
                <w:color w:val="auto"/>
              </w:rPr>
              <w:t>(0.39)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Diluted loss per share for the year (in £)</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b w:val="1"/>
                <w:bCs w:val="1"/>
                <w:color w:val="auto"/>
              </w:rPr>
              <w:t>11</w:t>
            </w: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b w:val="1"/>
                <w:bCs w:val="1"/>
                <w:color w:val="auto"/>
              </w:rPr>
              <w:t>(0.05)</w:t>
            </w:r>
          </w:p>
        </w:tc>
        <w:tc>
          <w:tcPr>
            <w:tcW w:w="1080" w:type="dxa"/>
            <w:vAlign w:val="bottom"/>
            <w:gridSpan w:val="2"/>
            <w:shd w:val="clear" w:color="auto" w:fill="CCEEFF"/>
          </w:tcPr>
          <w:p>
            <w:pPr>
              <w:jc w:val="right"/>
              <w:ind w:right="52"/>
              <w:spacing w:after="0" w:line="243" w:lineRule="exact"/>
              <w:rPr>
                <w:sz w:val="20"/>
                <w:szCs w:val="20"/>
                <w:color w:val="auto"/>
              </w:rPr>
            </w:pPr>
            <w:r>
              <w:rPr>
                <w:rFonts w:ascii="Arial" w:cs="Arial" w:eastAsia="Arial" w:hAnsi="Arial"/>
                <w:sz w:val="22"/>
                <w:szCs w:val="22"/>
                <w:b w:val="1"/>
                <w:bCs w:val="1"/>
                <w:color w:val="auto"/>
              </w:rPr>
              <w:t>(0.48)</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(0.39)</w:t>
            </w:r>
          </w:p>
        </w:tc>
        <w:tc>
          <w:tcPr>
            <w:tcW w:w="0" w:type="dxa"/>
            <w:vAlign w:val="bottom"/>
          </w:tcPr>
          <w:p>
            <w:pPr>
              <w:spacing w:after="0"/>
              <w:rPr>
                <w:sz w:val="1"/>
                <w:szCs w:val="1"/>
                <w:color w:val="auto"/>
              </w:rPr>
            </w:pPr>
          </w:p>
        </w:tc>
      </w:tr>
    </w:tbl>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i w:val="1"/>
          <w:iCs w:val="1"/>
          <w:color w:val="auto"/>
        </w:rPr>
        <w:t>The accompanying notes form an integral part of these consolidated financial statements.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140"/>
          </w:cols>
          <w:pgMar w:left="320" w:top="473" w:right="4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5600" w:type="dxa"/>
            <w:vAlign w:val="bottom"/>
            <w:gridSpan w:val="3"/>
          </w:tcPr>
          <w:p>
            <w:pPr>
              <w:jc w:val="right"/>
              <w:ind w:right="1820"/>
              <w:spacing w:after="0"/>
              <w:rPr>
                <w:sz w:val="20"/>
                <w:szCs w:val="20"/>
                <w:color w:val="auto"/>
              </w:rPr>
            </w:pPr>
            <w:r>
              <w:rPr>
                <w:rFonts w:ascii="Arial" w:cs="Arial" w:eastAsia="Arial" w:hAnsi="Arial"/>
                <w:sz w:val="20"/>
                <w:szCs w:val="20"/>
                <w:color w:val="auto"/>
              </w:rPr>
              <w:t>MEREO BIOPHARMA GROUP PLC</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600" w:type="dxa"/>
            <w:vAlign w:val="bottom"/>
            <w:gridSpan w:val="3"/>
          </w:tcPr>
          <w:p>
            <w:pPr>
              <w:jc w:val="right"/>
              <w:ind w:right="1720"/>
              <w:spacing w:after="0"/>
              <w:rPr>
                <w:sz w:val="20"/>
                <w:szCs w:val="20"/>
                <w:color w:val="auto"/>
              </w:rPr>
            </w:pPr>
            <w:r>
              <w:rPr>
                <w:rFonts w:ascii="Arial" w:cs="Arial" w:eastAsia="Arial" w:hAnsi="Arial"/>
                <w:sz w:val="20"/>
                <w:szCs w:val="20"/>
                <w:color w:val="auto"/>
              </w:rPr>
              <w:t>CONSOLIDATED BALANCE SHEETS</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4"/>
          </w:tcPr>
          <w:p>
            <w:pPr>
              <w:ind w:left="760"/>
              <w:spacing w:after="0"/>
              <w:rPr>
                <w:sz w:val="20"/>
                <w:szCs w:val="20"/>
                <w:color w:val="auto"/>
              </w:rPr>
            </w:pPr>
            <w:r>
              <w:rPr>
                <w:rFonts w:ascii="Arial" w:cs="Arial" w:eastAsia="Arial" w:hAnsi="Arial"/>
                <w:sz w:val="22"/>
                <w:szCs w:val="22"/>
                <w:b w:val="1"/>
                <w:bCs w:val="1"/>
                <w:color w:val="auto"/>
                <w:w w:val="85"/>
              </w:rPr>
              <w:t>As at</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22"/>
                <w:szCs w:val="22"/>
                <w:b w:val="1"/>
                <w:bCs w:val="1"/>
                <w:color w:val="auto"/>
                <w:w w:val="81"/>
              </w:rPr>
              <w:t>Notes</w:t>
            </w:r>
          </w:p>
        </w:tc>
        <w:tc>
          <w:tcPr>
            <w:tcW w:w="2160" w:type="dxa"/>
            <w:vAlign w:val="bottom"/>
            <w:gridSpan w:val="6"/>
          </w:tcPr>
          <w:p>
            <w:pPr>
              <w:jc w:val="right"/>
              <w:ind w:right="520"/>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820" w:type="dxa"/>
            <w:vAlign w:val="bottom"/>
            <w:tcBorders>
              <w:top w:val="single" w:sz="8" w:color="auto"/>
            </w:tcBorders>
          </w:tcPr>
          <w:p>
            <w:pPr>
              <w:jc w:val="right"/>
              <w:ind w:right="92"/>
              <w:spacing w:after="0" w:line="237" w:lineRule="exact"/>
              <w:rPr>
                <w:sz w:val="20"/>
                <w:szCs w:val="20"/>
                <w:color w:val="auto"/>
              </w:rPr>
            </w:pPr>
            <w:r>
              <w:rPr>
                <w:rFonts w:ascii="Arial" w:cs="Arial" w:eastAsia="Arial" w:hAnsi="Arial"/>
                <w:sz w:val="22"/>
                <w:szCs w:val="22"/>
                <w:b w:val="1"/>
                <w:bCs w:val="1"/>
                <w:color w:val="auto"/>
              </w:rPr>
              <w:t>2021</w:t>
            </w: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2"/>
              <w:spacing w:after="0" w:line="237" w:lineRule="exact"/>
              <w:rPr>
                <w:sz w:val="20"/>
                <w:szCs w:val="20"/>
                <w:color w:val="auto"/>
              </w:rPr>
            </w:pPr>
            <w:r>
              <w:rPr>
                <w:rFonts w:ascii="Arial" w:cs="Arial" w:eastAsia="Arial" w:hAnsi="Arial"/>
                <w:sz w:val="22"/>
                <w:szCs w:val="22"/>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60" w:type="dxa"/>
            <w:vAlign w:val="bottom"/>
            <w:gridSpan w:val="2"/>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Assets</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Non-current assets</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12</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2,530</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1,573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Intangible assets</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13</w:t>
            </w:r>
          </w:p>
        </w:tc>
        <w:tc>
          <w:tcPr>
            <w:tcW w:w="8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24,564</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31,648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27,094</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33,221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Current assets</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Prepayments</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2,799</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1,619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R&amp;D tax credits</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10</w:t>
            </w:r>
          </w:p>
        </w:tc>
        <w:tc>
          <w:tcPr>
            <w:tcW w:w="1240" w:type="dxa"/>
            <w:vAlign w:val="bottom"/>
            <w:gridSpan w:val="4"/>
          </w:tcPr>
          <w:p>
            <w:pPr>
              <w:ind w:left="50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2,818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taxes receivable</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809</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804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Other receivables</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15</w:t>
            </w: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1,419</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1,016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Cash and short-term deposits</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16</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94,296</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23,469</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99,323</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29,726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 assets</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b w:val="1"/>
                <w:bCs w:val="1"/>
                <w:color w:val="auto"/>
              </w:rPr>
              <w:t>126,417</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b w:val="1"/>
                <w:bCs w:val="1"/>
                <w:color w:val="auto"/>
              </w:rPr>
              <w:t>62,947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Equity and liabilities</w:t>
            </w:r>
          </w:p>
        </w:tc>
        <w:tc>
          <w:tcPr>
            <w:tcW w:w="4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4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Non-current liabilities</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Provisions</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18</w:t>
            </w: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1,320</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1,216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Convertible loan notes</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21</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14,384</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16,142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Warrant liability</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20</w:t>
            </w: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8,336</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50,775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Lease liability</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12</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1,754</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1,158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Other liabilities</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80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25,874</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69,353</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Current liabilities</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Trade and other payables</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17</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2,499</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3,333</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Accruals</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3,826</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4,178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Current tax liabilities</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1,522</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Provisions</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18</w:t>
            </w: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2,803</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418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Lease liability</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12</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622</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636</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Other liabilities</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6</w:t>
            </w:r>
          </w:p>
        </w:tc>
        <w:tc>
          <w:tcPr>
            <w:tcW w:w="8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1,269</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12,541</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8,565</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2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Total liabilities</w:t>
            </w:r>
          </w:p>
        </w:tc>
        <w:tc>
          <w:tcPr>
            <w:tcW w:w="4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38,415</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77,918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Net assets/(liabilities)</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b w:val="1"/>
                <w:bCs w:val="1"/>
                <w:color w:val="auto"/>
              </w:rPr>
              <w:t>88,002</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b w:val="1"/>
                <w:bCs w:val="1"/>
                <w:color w:val="auto"/>
              </w:rPr>
              <w:t>(14,971)</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2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Equity</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Issued capital</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22</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1,755</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1,017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Share premium</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22</w:t>
            </w:r>
          </w:p>
        </w:tc>
        <w:tc>
          <w:tcPr>
            <w:tcW w:w="8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247,460</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w w:val="95"/>
              </w:rPr>
              <w:t>161,785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capital reserves</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22</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129,835</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w w:val="95"/>
              </w:rPr>
              <w:t>128,374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Employee Benefit Trust shares</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(1,140)</w:t>
            </w:r>
          </w:p>
        </w:tc>
        <w:tc>
          <w:tcPr>
            <w:tcW w:w="60" w:type="dxa"/>
            <w:vAlign w:val="bottom"/>
          </w:tcPr>
          <w:p>
            <w:pPr>
              <w:spacing w:after="0"/>
              <w:rPr>
                <w:sz w:val="21"/>
                <w:szCs w:val="21"/>
                <w:color w:val="auto"/>
              </w:rPr>
            </w:pPr>
          </w:p>
        </w:tc>
        <w:tc>
          <w:tcPr>
            <w:tcW w:w="9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(1,305)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reserves</w:t>
            </w:r>
          </w:p>
        </w:tc>
        <w:tc>
          <w:tcPr>
            <w:tcW w:w="560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22</w:t>
            </w:r>
          </w:p>
        </w:tc>
        <w:tc>
          <w:tcPr>
            <w:tcW w:w="8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7,401</w:t>
            </w: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5,001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22"/>
                <w:szCs w:val="22"/>
                <w:color w:val="auto"/>
              </w:rPr>
              <w:t>Accumulated losses</w:t>
            </w:r>
          </w:p>
        </w:tc>
        <w:tc>
          <w:tcPr>
            <w:tcW w:w="560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22</w:t>
            </w:r>
          </w:p>
        </w:tc>
        <w:tc>
          <w:tcPr>
            <w:tcW w:w="118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w w:val="93"/>
              </w:rPr>
              <w:t>(296,968)</w:t>
            </w:r>
          </w:p>
        </w:tc>
        <w:tc>
          <w:tcPr>
            <w:tcW w:w="60" w:type="dxa"/>
            <w:vAlign w:val="bottom"/>
          </w:tcPr>
          <w:p>
            <w:pPr>
              <w:spacing w:after="0"/>
              <w:rPr>
                <w:sz w:val="21"/>
                <w:szCs w:val="21"/>
                <w:color w:val="auto"/>
              </w:rPr>
            </w:pPr>
          </w:p>
        </w:tc>
        <w:tc>
          <w:tcPr>
            <w:tcW w:w="9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87"/>
              </w:rPr>
              <w:t>(309,693)</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Translation reserve</w:t>
            </w:r>
          </w:p>
        </w:tc>
        <w:tc>
          <w:tcPr>
            <w:tcW w:w="4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(341)</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2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Total equity</w:t>
            </w:r>
          </w:p>
        </w:tc>
        <w:tc>
          <w:tcPr>
            <w:tcW w:w="4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88,002</w:t>
            </w:r>
          </w:p>
        </w:tc>
        <w:tc>
          <w:tcPr>
            <w:tcW w:w="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2"/>
              </w:rPr>
              <w:t>(14,971)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i w:val="1"/>
          <w:iCs w:val="1"/>
          <w:color w:val="auto"/>
        </w:rPr>
        <w:t>The accompanying notes form an integral part of these consolidated financial statements.</w:t>
      </w:r>
    </w:p>
    <w:p>
      <w:pPr>
        <w:sectPr>
          <w:pgSz w:w="11900" w:h="16838" w:orient="portrait"/>
          <w:cols w:equalWidth="0" w:num="1">
            <w:col w:w="11140"/>
          </w:cols>
          <w:pgMar w:left="320" w:top="473" w:right="439" w:bottom="1440" w:gutter="0" w:footer="0" w:header="0"/>
        </w:sectPr>
      </w:pP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F-5</w:t>
      </w:r>
    </w:p>
    <w:p>
      <w:pPr>
        <w:sectPr>
          <w:pgSz w:w="11900" w:h="16838" w:orient="portrait"/>
          <w:cols w:equalWidth="0" w:num="1">
            <w:col w:w="11140"/>
          </w:cols>
          <w:pgMar w:left="320" w:top="473" w:right="439" w:bottom="144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160" w:type="dxa"/>
            <w:vAlign w:val="bottom"/>
          </w:tcPr>
          <w:p>
            <w:pPr>
              <w:jc w:val="center"/>
              <w:ind w:left="2281"/>
              <w:spacing w:after="0"/>
              <w:rPr>
                <w:sz w:val="20"/>
                <w:szCs w:val="20"/>
                <w:color w:val="auto"/>
              </w:rPr>
            </w:pPr>
            <w:r>
              <w:rPr>
                <w:rFonts w:ascii="Arial" w:cs="Arial" w:eastAsia="Arial" w:hAnsi="Arial"/>
                <w:sz w:val="20"/>
                <w:szCs w:val="20"/>
                <w:color w:val="auto"/>
                <w:w w:val="94"/>
              </w:rPr>
              <w:t>MEREO BIOPHARMA GROUP PLC</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860" w:type="dxa"/>
            <w:vAlign w:val="bottom"/>
            <w:gridSpan w:val="3"/>
          </w:tcPr>
          <w:p>
            <w:pPr>
              <w:jc w:val="center"/>
              <w:ind w:left="1561"/>
              <w:spacing w:after="0"/>
              <w:rPr>
                <w:sz w:val="20"/>
                <w:szCs w:val="20"/>
                <w:color w:val="auto"/>
              </w:rPr>
            </w:pPr>
            <w:r>
              <w:rPr>
                <w:rFonts w:ascii="Arial" w:cs="Arial" w:eastAsia="Arial" w:hAnsi="Arial"/>
                <w:sz w:val="20"/>
                <w:szCs w:val="20"/>
                <w:color w:val="auto"/>
                <w:w w:val="93"/>
              </w:rPr>
              <w:t>CONSOLIDATED STATEMENTS OF CASH FLOWS</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Notes</w:t>
            </w:r>
          </w:p>
        </w:tc>
        <w:tc>
          <w:tcPr>
            <w:tcW w:w="2920" w:type="dxa"/>
            <w:vAlign w:val="bottom"/>
            <w:gridSpan w:val="6"/>
          </w:tcPr>
          <w:p>
            <w:pPr>
              <w:jc w:val="right"/>
              <w:ind w:right="279"/>
              <w:spacing w:after="0"/>
              <w:rPr>
                <w:sz w:val="20"/>
                <w:szCs w:val="20"/>
                <w:color w:val="auto"/>
              </w:rPr>
            </w:pPr>
            <w:r>
              <w:rPr>
                <w:rFonts w:ascii="Arial" w:cs="Arial" w:eastAsia="Arial" w:hAnsi="Arial"/>
                <w:sz w:val="22"/>
                <w:szCs w:val="22"/>
                <w:b w:val="1"/>
                <w:bCs w:val="1"/>
                <w:color w:val="auto"/>
                <w:w w:val="94"/>
              </w:rPr>
              <w:t>Year ended December 31,</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720" w:type="dxa"/>
            <w:vAlign w:val="bottom"/>
            <w:tcBorders>
              <w:top w:val="single" w:sz="8" w:color="auto"/>
            </w:tcBorders>
          </w:tcPr>
          <w:p>
            <w:pPr>
              <w:jc w:val="right"/>
              <w:ind w:right="32"/>
              <w:spacing w:after="0" w:line="237" w:lineRule="exact"/>
              <w:rPr>
                <w:sz w:val="20"/>
                <w:szCs w:val="20"/>
                <w:color w:val="auto"/>
              </w:rPr>
            </w:pPr>
            <w:r>
              <w:rPr>
                <w:rFonts w:ascii="Arial" w:cs="Arial" w:eastAsia="Arial" w:hAnsi="Arial"/>
                <w:sz w:val="22"/>
                <w:szCs w:val="22"/>
                <w:b w:val="1"/>
                <w:bCs w:val="1"/>
                <w:color w:val="auto"/>
              </w:rPr>
              <w:t>2021</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2"/>
              <w:spacing w:after="0" w:line="237" w:lineRule="exact"/>
              <w:rPr>
                <w:sz w:val="20"/>
                <w:szCs w:val="20"/>
                <w:color w:val="auto"/>
              </w:rPr>
            </w:pPr>
            <w:r>
              <w:rPr>
                <w:rFonts w:ascii="Arial" w:cs="Arial" w:eastAsia="Arial" w:hAnsi="Arial"/>
                <w:sz w:val="22"/>
                <w:szCs w:val="22"/>
                <w:b w:val="1"/>
                <w:bCs w:val="1"/>
                <w:color w:val="auto"/>
              </w:rPr>
              <w:t>2020</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2"/>
              <w:spacing w:after="0" w:line="237" w:lineRule="exact"/>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240" w:type="dxa"/>
            <w:vAlign w:val="bottom"/>
          </w:tcPr>
          <w:p>
            <w:pPr>
              <w:spacing w:after="0"/>
              <w:rPr>
                <w:sz w:val="20"/>
                <w:szCs w:val="20"/>
                <w:color w:val="auto"/>
              </w:rPr>
            </w:pPr>
          </w:p>
        </w:tc>
        <w:tc>
          <w:tcPr>
            <w:tcW w:w="8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240" w:type="dxa"/>
            <w:vAlign w:val="bottom"/>
          </w:tcPr>
          <w:p>
            <w:pPr>
              <w:spacing w:after="0"/>
              <w:rPr>
                <w:sz w:val="20"/>
                <w:szCs w:val="20"/>
                <w:color w:val="auto"/>
              </w:rPr>
            </w:pPr>
          </w:p>
        </w:tc>
        <w:tc>
          <w:tcPr>
            <w:tcW w:w="7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Operating activities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Profit/(loss) before tax</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14,241</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w w:val="95"/>
              </w:rPr>
              <w:t>(166,450)</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5"/>
              </w:rPr>
              <w:t>(41,118)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Adjustments to reconcile profit/(loss) before tax to net cash flows: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Depreciation of property, plant and equipment</w:t>
            </w:r>
          </w:p>
        </w:tc>
        <w:tc>
          <w:tcPr>
            <w:tcW w:w="7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12</w:t>
            </w:r>
          </w:p>
        </w:tc>
        <w:tc>
          <w:tcPr>
            <w:tcW w:w="9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642</w:t>
            </w:r>
          </w:p>
        </w:tc>
        <w:tc>
          <w:tcPr>
            <w:tcW w:w="10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1,599</w:t>
            </w:r>
          </w:p>
        </w:tc>
        <w:tc>
          <w:tcPr>
            <w:tcW w:w="880" w:type="dxa"/>
            <w:vAlign w:val="bottom"/>
            <w:gridSpan w:val="2"/>
          </w:tcPr>
          <w:p>
            <w:pPr>
              <w:jc w:val="right"/>
              <w:ind w:right="59"/>
              <w:spacing w:after="0" w:line="243" w:lineRule="exact"/>
              <w:rPr>
                <w:sz w:val="20"/>
                <w:szCs w:val="20"/>
                <w:color w:val="auto"/>
              </w:rPr>
            </w:pPr>
            <w:r>
              <w:rPr>
                <w:rFonts w:ascii="Arial" w:cs="Arial" w:eastAsia="Arial" w:hAnsi="Arial"/>
                <w:sz w:val="22"/>
                <w:szCs w:val="22"/>
                <w:color w:val="auto"/>
              </w:rPr>
              <w:t>1,577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rPr>
              <w:t>Share based payments expense</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26</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3,302</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1,558</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1,636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Net foreign exchange loss/(gain)</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954</w:t>
            </w:r>
          </w:p>
        </w:tc>
        <w:tc>
          <w:tcPr>
            <w:tcW w:w="10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1,821</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(483)</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rPr>
              <w:t>Increase/(decrease) in provisions and other liabilities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1,385</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162</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(517)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Finance income</w:t>
            </w:r>
          </w:p>
        </w:tc>
        <w:tc>
          <w:tcPr>
            <w:tcW w:w="7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(44)</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(377)</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rPr>
              <w:t>Finance costs</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3,797</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6,226</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4,606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Other non-cash movements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156</w:t>
            </w:r>
          </w:p>
        </w:tc>
        <w:tc>
          <w:tcPr>
            <w:tcW w:w="10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rPr>
              <w:t>Modification gain on bank loan</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(456)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Gain on bargain purchase</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(3,681)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rPr>
              <w:t>Gain on lease modification</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(957)</w:t>
            </w:r>
          </w:p>
        </w:tc>
        <w:tc>
          <w:tcPr>
            <w:tcW w:w="880" w:type="dxa"/>
            <w:vAlign w:val="bottom"/>
            <w:gridSpan w:val="2"/>
            <w:shd w:val="clear" w:color="auto" w:fill="CCEEFF"/>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Fair value remeasurement on contingent consideration</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59"/>
              <w:spacing w:after="0" w:line="243" w:lineRule="exact"/>
              <w:rPr>
                <w:sz w:val="20"/>
                <w:szCs w:val="20"/>
                <w:color w:val="auto"/>
              </w:rPr>
            </w:pPr>
            <w:r>
              <w:rPr>
                <w:rFonts w:ascii="Arial" w:cs="Arial" w:eastAsia="Arial" w:hAnsi="Arial"/>
                <w:sz w:val="22"/>
                <w:szCs w:val="22"/>
                <w:color w:val="auto"/>
              </w:rPr>
              <w:t>354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rPr>
              <w:t>Fair value remeasurement on warrants</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w w:val="95"/>
              </w:rPr>
              <w:t>(40,039)</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109,849</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(875)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(Gain)/loss on disposal of intangible assets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(113)</w:t>
            </w:r>
          </w:p>
        </w:tc>
        <w:tc>
          <w:tcPr>
            <w:tcW w:w="10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10,872</w:t>
            </w:r>
          </w:p>
        </w:tc>
        <w:tc>
          <w:tcPr>
            <w:tcW w:w="880" w:type="dxa"/>
            <w:vAlign w:val="bottom"/>
            <w:gridSpan w:val="2"/>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ind w:left="420"/>
              <w:spacing w:after="0" w:line="243" w:lineRule="exact"/>
              <w:rPr>
                <w:sz w:val="20"/>
                <w:szCs w:val="20"/>
                <w:color w:val="auto"/>
              </w:rPr>
            </w:pPr>
            <w:r>
              <w:rPr>
                <w:rFonts w:ascii="Arial" w:cs="Arial" w:eastAsia="Arial" w:hAnsi="Arial"/>
                <w:sz w:val="22"/>
                <w:szCs w:val="22"/>
                <w:color w:val="auto"/>
              </w:rPr>
              <w:t>Out-license of intangible asset</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13</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9,457</w:t>
            </w:r>
          </w:p>
        </w:tc>
        <w:tc>
          <w:tcPr>
            <w:tcW w:w="108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Working capital adjustments: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(Increase)/decrease in receivables and prepayments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(589)</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141</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(936)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Decrease in trade and other payables and accruals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(1,256)</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(3,551)</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(6,730)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Tax credits received</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2,825</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10,433</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1,069</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40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Net cash flows used in operating activities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(5,239)</w:t>
            </w:r>
          </w:p>
        </w:tc>
        <w:tc>
          <w:tcPr>
            <w:tcW w:w="2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(28,341)</w:t>
            </w:r>
          </w:p>
        </w:tc>
        <w:tc>
          <w:tcPr>
            <w:tcW w:w="24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6"/>
              </w:rPr>
              <w:t>(45,931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Investing activities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Acquisition of subsidiary</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(354)</w:t>
            </w:r>
          </w:p>
        </w:tc>
        <w:tc>
          <w:tcPr>
            <w:tcW w:w="880" w:type="dxa"/>
            <w:vAlign w:val="bottom"/>
            <w:gridSpan w:val="2"/>
          </w:tcPr>
          <w:p>
            <w:pPr>
              <w:jc w:val="right"/>
              <w:ind w:right="59"/>
              <w:spacing w:after="0" w:line="243" w:lineRule="exact"/>
              <w:rPr>
                <w:sz w:val="20"/>
                <w:szCs w:val="20"/>
                <w:color w:val="auto"/>
              </w:rPr>
            </w:pPr>
            <w:r>
              <w:rPr>
                <w:rFonts w:ascii="Arial" w:cs="Arial" w:eastAsia="Arial" w:hAnsi="Arial"/>
                <w:sz w:val="22"/>
                <w:szCs w:val="22"/>
                <w:color w:val="auto"/>
              </w:rPr>
              <w:t>10,074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Purchase of property, plant and equipment</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12</w:t>
            </w: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(535)</w:t>
            </w:r>
          </w:p>
        </w:tc>
        <w:tc>
          <w:tcPr>
            <w:tcW w:w="108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(16)</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Disposal of intangible assets (net of transaction costs)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113</w:t>
            </w:r>
          </w:p>
        </w:tc>
        <w:tc>
          <w:tcPr>
            <w:tcW w:w="10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1,821</w:t>
            </w:r>
          </w:p>
        </w:tc>
        <w:tc>
          <w:tcPr>
            <w:tcW w:w="880" w:type="dxa"/>
            <w:vAlign w:val="bottom"/>
            <w:gridSpan w:val="2"/>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Proceeds from sale of short-term investments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32,865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Interest earned</w:t>
            </w:r>
          </w:p>
        </w:tc>
        <w:tc>
          <w:tcPr>
            <w:tcW w:w="7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w:t>
            </w:r>
          </w:p>
        </w:tc>
        <w:tc>
          <w:tcPr>
            <w:tcW w:w="9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w:t>
            </w:r>
          </w:p>
        </w:tc>
        <w:tc>
          <w:tcPr>
            <w:tcW w:w="10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44</w:t>
            </w:r>
          </w:p>
        </w:tc>
        <w:tc>
          <w:tcPr>
            <w:tcW w:w="880" w:type="dxa"/>
            <w:vAlign w:val="bottom"/>
            <w:gridSpan w:val="2"/>
          </w:tcPr>
          <w:p>
            <w:pPr>
              <w:jc w:val="right"/>
              <w:ind w:right="59"/>
              <w:spacing w:after="0" w:line="243" w:lineRule="exact"/>
              <w:rPr>
                <w:sz w:val="20"/>
                <w:szCs w:val="20"/>
                <w:color w:val="auto"/>
              </w:rPr>
            </w:pPr>
            <w:r>
              <w:rPr>
                <w:rFonts w:ascii="Arial" w:cs="Arial" w:eastAsia="Arial" w:hAnsi="Arial"/>
                <w:sz w:val="22"/>
                <w:szCs w:val="22"/>
                <w:color w:val="auto"/>
              </w:rPr>
              <w:t>377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Net cash flows (used in)/from investing activities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b w:val="1"/>
                <w:bCs w:val="1"/>
                <w:color w:val="auto"/>
              </w:rPr>
              <w:t>(421)</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1,495</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b w:val="1"/>
                <w:bCs w:val="1"/>
                <w:color w:val="auto"/>
              </w:rPr>
              <w:t>43,295</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40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Financing activities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Proceeds from issuance of ordinary shares</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22</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78,532</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20,136</w:t>
            </w:r>
          </w:p>
        </w:tc>
        <w:tc>
          <w:tcPr>
            <w:tcW w:w="880" w:type="dxa"/>
            <w:vAlign w:val="bottom"/>
            <w:gridSpan w:val="2"/>
            <w:shd w:val="clear" w:color="auto" w:fill="CCEEFF"/>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Transaction costs on issuance of shares</w:t>
            </w:r>
          </w:p>
        </w:tc>
        <w:tc>
          <w:tcPr>
            <w:tcW w:w="7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22</w:t>
            </w: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(234)</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(1,307)</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(761)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Proceeds from exercise of employee share options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46</w:t>
            </w:r>
          </w:p>
        </w:tc>
        <w:tc>
          <w:tcPr>
            <w:tcW w:w="108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Proceeds from issuance of convertible loan notes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44,375</w:t>
            </w:r>
          </w:p>
        </w:tc>
        <w:tc>
          <w:tcPr>
            <w:tcW w:w="880" w:type="dxa"/>
            <w:vAlign w:val="bottom"/>
            <w:gridSpan w:val="2"/>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Transaction costs issuance of convertible loan notes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(3,598)</w:t>
            </w:r>
          </w:p>
        </w:tc>
        <w:tc>
          <w:tcPr>
            <w:tcW w:w="880" w:type="dxa"/>
            <w:vAlign w:val="bottom"/>
            <w:gridSpan w:val="2"/>
            <w:shd w:val="clear" w:color="auto" w:fill="CCEEFF"/>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Repayment of bank loans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(19,802)</w:t>
            </w:r>
          </w:p>
        </w:tc>
        <w:tc>
          <w:tcPr>
            <w:tcW w:w="880" w:type="dxa"/>
            <w:vAlign w:val="bottom"/>
            <w:gridSpan w:val="2"/>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Transaction costs related to loans and borrowings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(81)</w:t>
            </w:r>
          </w:p>
        </w:tc>
        <w:tc>
          <w:tcPr>
            <w:tcW w:w="880" w:type="dxa"/>
            <w:vAlign w:val="bottom"/>
            <w:gridSpan w:val="2"/>
            <w:shd w:val="clear" w:color="auto" w:fill="CCEEFF"/>
          </w:tcPr>
          <w:p>
            <w:pPr>
              <w:jc w:val="right"/>
              <w:ind w:right="179"/>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Interest paid on bank loan</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(2,900)</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(1,739)</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Purchase of treasury shares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(998)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Payment of lease liabilities</w:t>
            </w:r>
          </w:p>
        </w:tc>
        <w:tc>
          <w:tcPr>
            <w:tcW w:w="7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12</w:t>
            </w: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(692)</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(2,086)</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(2,212)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Net cash flows from/(used in) financing activities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77,652</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34,737</w:t>
            </w:r>
          </w:p>
        </w:tc>
        <w:tc>
          <w:tcPr>
            <w:tcW w:w="8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(5,710)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40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Net increase/(decrease) in cash and cash equivalents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71,992</w:t>
            </w:r>
          </w:p>
        </w:tc>
        <w:tc>
          <w:tcPr>
            <w:tcW w:w="240" w:type="dxa"/>
            <w:vAlign w:val="bottom"/>
          </w:tcPr>
          <w:p>
            <w:pPr>
              <w:spacing w:after="0"/>
              <w:rPr>
                <w:sz w:val="21"/>
                <w:szCs w:val="21"/>
                <w:color w:val="auto"/>
              </w:rPr>
            </w:pPr>
          </w:p>
        </w:tc>
        <w:tc>
          <w:tcPr>
            <w:tcW w:w="8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7,891</w:t>
            </w:r>
          </w:p>
        </w:tc>
        <w:tc>
          <w:tcPr>
            <w:tcW w:w="240" w:type="dxa"/>
            <w:vAlign w:val="bottom"/>
          </w:tcPr>
          <w:p>
            <w:pPr>
              <w:spacing w:after="0"/>
              <w:rPr>
                <w:sz w:val="21"/>
                <w:szCs w:val="21"/>
                <w:color w:val="auto"/>
              </w:rPr>
            </w:pPr>
          </w:p>
        </w:tc>
        <w:tc>
          <w:tcPr>
            <w:tcW w:w="7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(8,346)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Cash and cash equivalents at January 1</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23,469</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16,347</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25,042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tcPr>
          <w:p>
            <w:pPr>
              <w:spacing w:after="0" w:line="243" w:lineRule="exact"/>
              <w:rPr>
                <w:sz w:val="20"/>
                <w:szCs w:val="20"/>
                <w:color w:val="auto"/>
              </w:rPr>
            </w:pPr>
            <w:r>
              <w:rPr>
                <w:rFonts w:ascii="Arial" w:cs="Arial" w:eastAsia="Arial" w:hAnsi="Arial"/>
                <w:sz w:val="22"/>
                <w:szCs w:val="22"/>
                <w:color w:val="auto"/>
              </w:rPr>
              <w:t>Effect of exchange rate changes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(1,165)</w:t>
            </w:r>
          </w:p>
        </w:tc>
        <w:tc>
          <w:tcPr>
            <w:tcW w:w="10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(769)</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7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Cash and cash equivalents at December 31</w:t>
            </w:r>
          </w:p>
        </w:tc>
        <w:tc>
          <w:tcPr>
            <w:tcW w:w="70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b w:val="1"/>
                <w:bCs w:val="1"/>
                <w:color w:val="auto"/>
              </w:rPr>
              <w:t>16</w:t>
            </w:r>
          </w:p>
        </w:tc>
        <w:tc>
          <w:tcPr>
            <w:tcW w:w="9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94,296</w:t>
            </w:r>
          </w:p>
        </w:tc>
        <w:tc>
          <w:tcPr>
            <w:tcW w:w="10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23,469</w:t>
            </w:r>
          </w:p>
        </w:tc>
        <w:tc>
          <w:tcPr>
            <w:tcW w:w="88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b w:val="1"/>
                <w:bCs w:val="1"/>
                <w:color w:val="auto"/>
              </w:rPr>
              <w:t>16,347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i w:val="1"/>
          <w:iCs w:val="1"/>
          <w:color w:val="auto"/>
        </w:rPr>
        <w:t>The accompanying notes form an integral part of these consolidated financial statements.</w:t>
      </w:r>
    </w:p>
    <w:p>
      <w:pPr>
        <w:sectPr>
          <w:pgSz w:w="11900" w:h="16838" w:orient="portrait"/>
          <w:cols w:equalWidth="0" w:num="1">
            <w:col w:w="11140"/>
          </w:cols>
          <w:pgMar w:left="320" w:top="473" w:right="439" w:bottom="1440" w:gutter="0" w:footer="0" w:header="0"/>
        </w:sectPr>
      </w:pP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F-6</w:t>
      </w:r>
    </w:p>
    <w:p>
      <w:pPr>
        <w:sectPr>
          <w:pgSz w:w="11900" w:h="16838" w:orient="portrait"/>
          <w:cols w:equalWidth="0" w:num="1">
            <w:col w:w="11140"/>
          </w:cols>
          <w:pgMar w:left="320" w:top="473" w:right="4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MEREO BIOPHARMA GROUP PLC</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CONSOLIDATED STATEMENTS OF CHANGES IN EQUITY</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Issued</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Share</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Other</w:t>
            </w: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Employee</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Translation</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79"/>
              </w:rPr>
              <w:t>Notes</w:t>
            </w:r>
          </w:p>
        </w:tc>
        <w:tc>
          <w:tcPr>
            <w:tcW w:w="760" w:type="dxa"/>
            <w:vAlign w:val="bottom"/>
            <w:gridSpan w:val="3"/>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40" w:type="dxa"/>
            <w:vAlign w:val="bottom"/>
            <w:gridSpan w:val="2"/>
          </w:tcPr>
          <w:p>
            <w:pPr>
              <w:jc w:val="right"/>
              <w:ind w:right="360"/>
              <w:spacing w:after="0" w:line="176" w:lineRule="exact"/>
              <w:rPr>
                <w:sz w:val="20"/>
                <w:szCs w:val="20"/>
                <w:color w:val="auto"/>
              </w:rPr>
            </w:pPr>
            <w:r>
              <w:rPr>
                <w:rFonts w:ascii="Arial" w:cs="Arial" w:eastAsia="Arial" w:hAnsi="Arial"/>
                <w:sz w:val="18"/>
                <w:szCs w:val="18"/>
                <w:b w:val="1"/>
                <w:bCs w:val="1"/>
                <w:color w:val="auto"/>
                <w:w w:val="98"/>
              </w:rPr>
              <w:t>capital</w:t>
            </w:r>
          </w:p>
        </w:tc>
        <w:tc>
          <w:tcPr>
            <w:tcW w:w="12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Benefit</w:t>
            </w:r>
          </w:p>
        </w:tc>
        <w:tc>
          <w:tcPr>
            <w:tcW w:w="92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capital</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2"/>
              </w:rPr>
              <w:t>premium</w:t>
            </w: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w w:val="83"/>
              </w:rPr>
              <w:t>reserves</w:t>
            </w:r>
          </w:p>
        </w:tc>
        <w:tc>
          <w:tcPr>
            <w:tcW w:w="12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86"/>
              </w:rPr>
              <w:t>Trust shares</w:t>
            </w:r>
          </w:p>
        </w:tc>
        <w:tc>
          <w:tcPr>
            <w:tcW w:w="9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83"/>
              </w:rPr>
              <w:t>reserves</w:t>
            </w:r>
          </w:p>
        </w:tc>
        <w:tc>
          <w:tcPr>
            <w:tcW w:w="13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78"/>
              </w:rPr>
              <w:t>losses</w:t>
            </w:r>
          </w:p>
        </w:tc>
        <w:tc>
          <w:tcPr>
            <w:tcW w:w="11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87"/>
              </w:rPr>
              <w:t>reserve</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b w:val="1"/>
                <w:bCs w:val="1"/>
                <w:color w:val="auto"/>
                <w:w w:val="90"/>
              </w:rPr>
              <w:t>£’000s</w:t>
            </w:r>
          </w:p>
        </w:tc>
        <w:tc>
          <w:tcPr>
            <w:tcW w:w="240" w:type="dxa"/>
            <w:vAlign w:val="bottom"/>
            <w:gridSpan w:val="2"/>
          </w:tcPr>
          <w:p>
            <w:pPr>
              <w:spacing w:after="0"/>
              <w:rPr>
                <w:sz w:val="14"/>
                <w:szCs w:val="14"/>
                <w:color w:val="auto"/>
              </w:rPr>
            </w:pPr>
          </w:p>
        </w:tc>
        <w:tc>
          <w:tcPr>
            <w:tcW w:w="720" w:type="dxa"/>
            <w:vAlign w:val="bottom"/>
            <w:tcBorders>
              <w:top w:val="single" w:sz="8" w:color="auto"/>
            </w:tcBorders>
          </w:tcPr>
          <w:p>
            <w:pPr>
              <w:jc w:val="right"/>
              <w:ind w:right="30"/>
              <w:spacing w:after="0" w:line="169" w:lineRule="exact"/>
              <w:rPr>
                <w:sz w:val="20"/>
                <w:szCs w:val="20"/>
                <w:color w:val="auto"/>
              </w:rPr>
            </w:pPr>
            <w:r>
              <w:rPr>
                <w:rFonts w:ascii="Arial" w:cs="Arial" w:eastAsia="Arial" w:hAnsi="Arial"/>
                <w:sz w:val="18"/>
                <w:szCs w:val="18"/>
                <w:b w:val="1"/>
                <w:bCs w:val="1"/>
                <w:color w:val="auto"/>
              </w:rPr>
              <w:t>£’000s</w:t>
            </w:r>
          </w:p>
        </w:tc>
        <w:tc>
          <w:tcPr>
            <w:tcW w:w="280" w:type="dxa"/>
            <w:vAlign w:val="bottom"/>
          </w:tcPr>
          <w:p>
            <w:pPr>
              <w:spacing w:after="0"/>
              <w:rPr>
                <w:sz w:val="14"/>
                <w:szCs w:val="14"/>
                <w:color w:val="auto"/>
              </w:rPr>
            </w:pPr>
          </w:p>
        </w:tc>
        <w:tc>
          <w:tcPr>
            <w:tcW w:w="6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98"/>
              </w:rPr>
              <w:t>£’000s</w:t>
            </w:r>
          </w:p>
        </w:tc>
        <w:tc>
          <w:tcPr>
            <w:tcW w:w="300" w:type="dxa"/>
            <w:vAlign w:val="bottom"/>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£’000s</w:t>
            </w:r>
          </w:p>
        </w:tc>
        <w:tc>
          <w:tcPr>
            <w:tcW w:w="30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£’000s</w:t>
            </w:r>
          </w:p>
        </w:tc>
        <w:tc>
          <w:tcPr>
            <w:tcW w:w="3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7"/>
              </w:rPr>
              <w:t>£’000s</w:t>
            </w:r>
          </w:p>
        </w:tc>
        <w:tc>
          <w:tcPr>
            <w:tcW w:w="30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7"/>
              </w:rPr>
              <w:t>£’000s</w:t>
            </w:r>
          </w:p>
        </w:tc>
        <w:tc>
          <w:tcPr>
            <w:tcW w:w="300" w:type="dxa"/>
            <w:vAlign w:val="bottom"/>
          </w:tcPr>
          <w:p>
            <w:pPr>
              <w:spacing w:after="0"/>
              <w:rPr>
                <w:sz w:val="14"/>
                <w:szCs w:val="14"/>
                <w:color w:val="auto"/>
              </w:rPr>
            </w:pPr>
          </w:p>
        </w:tc>
        <w:tc>
          <w:tcPr>
            <w:tcW w:w="700" w:type="dxa"/>
            <w:vAlign w:val="bottom"/>
            <w:tcBorders>
              <w:top w:val="single" w:sz="8" w:color="auto"/>
            </w:tcBorders>
          </w:tcPr>
          <w:p>
            <w:pPr>
              <w:jc w:val="right"/>
              <w:ind w:right="10"/>
              <w:spacing w:after="0" w:line="169" w:lineRule="exact"/>
              <w:rPr>
                <w:sz w:val="20"/>
                <w:szCs w:val="20"/>
                <w:color w:val="auto"/>
              </w:rPr>
            </w:pPr>
            <w:r>
              <w:rPr>
                <w:rFonts w:ascii="Arial" w:cs="Arial" w:eastAsia="Arial" w:hAnsi="Arial"/>
                <w:sz w:val="18"/>
                <w:szCs w:val="18"/>
                <w:b w:val="1"/>
                <w:bCs w:val="1"/>
                <w:color w:val="auto"/>
              </w:rPr>
              <w:t>£’000s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At December 31, 2018</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b w:val="1"/>
                <w:bCs w:val="1"/>
                <w:color w:val="auto"/>
                <w:w w:val="93"/>
              </w:rPr>
              <w:t>214</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b w:val="1"/>
                <w:bCs w:val="1"/>
                <w:color w:val="auto"/>
              </w:rPr>
              <w:t>118,492</w:t>
            </w:r>
          </w:p>
        </w:tc>
        <w:tc>
          <w:tcPr>
            <w:tcW w:w="94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b w:val="1"/>
                <w:bCs w:val="1"/>
                <w:color w:val="auto"/>
              </w:rPr>
              <w:t>18,593</w:t>
            </w:r>
          </w:p>
        </w:tc>
        <w:tc>
          <w:tcPr>
            <w:tcW w:w="12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b w:val="1"/>
                <w:bCs w:val="1"/>
                <w:color w:val="auto"/>
              </w:rPr>
              <w:t>(307)</w:t>
            </w:r>
          </w:p>
        </w:tc>
        <w:tc>
          <w:tcPr>
            <w:tcW w:w="9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b w:val="1"/>
                <w:bCs w:val="1"/>
                <w:color w:val="auto"/>
              </w:rPr>
              <w:t>7,000</w:t>
            </w:r>
          </w:p>
        </w:tc>
        <w:tc>
          <w:tcPr>
            <w:tcW w:w="13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b w:val="1"/>
                <w:bCs w:val="1"/>
                <w:color w:val="auto"/>
              </w:rPr>
              <w:t>(111,221)</w:t>
            </w:r>
          </w:p>
        </w:tc>
        <w:tc>
          <w:tcPr>
            <w:tcW w:w="1180" w:type="dxa"/>
            <w:vAlign w:val="bottom"/>
            <w:gridSpan w:val="2"/>
            <w:shd w:val="clear" w:color="auto" w:fill="CCEEFF"/>
          </w:tcPr>
          <w:p>
            <w:pPr>
              <w:ind w:left="620"/>
              <w:spacing w:after="0" w:line="176"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b w:val="1"/>
                <w:bCs w:val="1"/>
                <w:color w:val="auto"/>
              </w:rPr>
              <w:t>32,771</w:t>
            </w:r>
          </w:p>
        </w:tc>
        <w:tc>
          <w:tcPr>
            <w:tcW w:w="0" w:type="dxa"/>
            <w:vAlign w:val="bottom"/>
          </w:tcPr>
          <w:p>
            <w:pPr>
              <w:spacing w:after="0"/>
              <w:rPr>
                <w:sz w:val="1"/>
                <w:szCs w:val="1"/>
                <w:color w:val="auto"/>
              </w:rPr>
            </w:pPr>
          </w:p>
        </w:tc>
      </w:tr>
      <w:tr>
        <w:trPr>
          <w:trHeight w:val="175"/>
        </w:trPr>
        <w:tc>
          <w:tcPr>
            <w:tcW w:w="2160" w:type="dxa"/>
            <w:vAlign w:val="bottom"/>
          </w:tcPr>
          <w:p>
            <w:pPr>
              <w:spacing w:after="0" w:line="176" w:lineRule="exact"/>
              <w:rPr>
                <w:sz w:val="20"/>
                <w:szCs w:val="20"/>
                <w:color w:val="auto"/>
              </w:rPr>
            </w:pPr>
            <w:r>
              <w:rPr>
                <w:rFonts w:ascii="Arial" w:cs="Arial" w:eastAsia="Arial" w:hAnsi="Arial"/>
                <w:sz w:val="18"/>
                <w:szCs w:val="18"/>
                <w:color w:val="auto"/>
              </w:rPr>
              <w:t>Loss for the year</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(34,844)</w:t>
            </w:r>
          </w:p>
        </w:tc>
        <w:tc>
          <w:tcPr>
            <w:tcW w:w="1180" w:type="dxa"/>
            <w:vAlign w:val="bottom"/>
            <w:gridSpan w:val="2"/>
          </w:tcPr>
          <w:p>
            <w:pPr>
              <w:ind w:left="6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(34,844)</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60"/>
              <w:spacing w:after="0" w:line="176" w:lineRule="exact"/>
              <w:rPr>
                <w:sz w:val="20"/>
                <w:szCs w:val="20"/>
                <w:color w:val="auto"/>
              </w:rPr>
            </w:pPr>
            <w:r>
              <w:rPr>
                <w:rFonts w:ascii="Arial" w:cs="Arial" w:eastAsia="Arial" w:hAnsi="Arial"/>
                <w:sz w:val="18"/>
                <w:szCs w:val="18"/>
                <w:color w:val="auto"/>
              </w:rPr>
              <w:t>(499)</w:t>
            </w:r>
          </w:p>
        </w:tc>
        <w:tc>
          <w:tcPr>
            <w:tcW w:w="8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76"/>
        </w:trPr>
        <w:tc>
          <w:tcPr>
            <w:tcW w:w="2160" w:type="dxa"/>
            <w:vAlign w:val="bottom"/>
          </w:tcPr>
          <w:p>
            <w:pPr>
              <w:spacing w:after="0" w:line="176" w:lineRule="exact"/>
              <w:rPr>
                <w:sz w:val="20"/>
                <w:szCs w:val="20"/>
                <w:color w:val="auto"/>
              </w:rPr>
            </w:pPr>
            <w:r>
              <w:rPr>
                <w:rFonts w:ascii="Arial" w:cs="Arial" w:eastAsia="Arial" w:hAnsi="Arial"/>
                <w:sz w:val="18"/>
                <w:szCs w:val="18"/>
                <w:color w:val="auto"/>
              </w:rPr>
              <w:t>Total</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(34,844)</w:t>
            </w:r>
          </w:p>
        </w:tc>
        <w:tc>
          <w:tcPr>
            <w:tcW w:w="1180" w:type="dxa"/>
            <w:vAlign w:val="bottom"/>
            <w:gridSpan w:val="2"/>
          </w:tcPr>
          <w:p>
            <w:pPr>
              <w:ind w:left="560"/>
              <w:spacing w:after="0" w:line="176" w:lineRule="exact"/>
              <w:rPr>
                <w:sz w:val="20"/>
                <w:szCs w:val="20"/>
                <w:color w:val="auto"/>
              </w:rPr>
            </w:pPr>
            <w:r>
              <w:rPr>
                <w:rFonts w:ascii="Arial" w:cs="Arial" w:eastAsia="Arial" w:hAnsi="Arial"/>
                <w:sz w:val="18"/>
                <w:szCs w:val="18"/>
                <w:color w:val="auto"/>
              </w:rPr>
              <w:t>(499)</w:t>
            </w: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(35,343)</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Share-based payments –</w:t>
            </w: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7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1,543</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 options</w:t>
            </w:r>
          </w:p>
        </w:tc>
        <w:tc>
          <w:tcPr>
            <w:tcW w:w="680" w:type="dxa"/>
            <w:vAlign w:val="bottom"/>
            <w:gridSpan w:val="2"/>
            <w:vMerge w:val="continue"/>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7"/>
                <w:szCs w:val="17"/>
                <w:color w:val="auto"/>
              </w:rPr>
              <w:t>Share-based payments -</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26</w:t>
            </w:r>
          </w:p>
        </w:tc>
        <w:tc>
          <w:tcPr>
            <w:tcW w:w="76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93</w:t>
            </w:r>
          </w:p>
        </w:tc>
        <w:tc>
          <w:tcPr>
            <w:tcW w:w="12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LTIPs</w:t>
            </w:r>
          </w:p>
        </w:tc>
        <w:tc>
          <w:tcPr>
            <w:tcW w:w="68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Issuance of share capital</w:t>
            </w: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40,818</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40,892</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on April 23, 2019</w:t>
            </w:r>
          </w:p>
        </w:tc>
        <w:tc>
          <w:tcPr>
            <w:tcW w:w="68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7"/>
                <w:szCs w:val="17"/>
                <w:color w:val="auto"/>
              </w:rPr>
              <w:t>Transaction costs related to</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180"/>
              <w:spacing w:after="0" w:line="176" w:lineRule="exact"/>
              <w:rPr>
                <w:sz w:val="20"/>
                <w:szCs w:val="20"/>
                <w:color w:val="auto"/>
              </w:rPr>
            </w:pPr>
            <w:r>
              <w:rPr>
                <w:rFonts w:ascii="Arial" w:cs="Arial" w:eastAsia="Arial" w:hAnsi="Arial"/>
                <w:sz w:val="18"/>
                <w:szCs w:val="18"/>
                <w:color w:val="auto"/>
                <w:w w:val="98"/>
              </w:rPr>
              <w:t>issuance of share capital</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22</w:t>
            </w:r>
          </w:p>
        </w:tc>
        <w:tc>
          <w:tcPr>
            <w:tcW w:w="76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(761)</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on April 23, 2019</w:t>
            </w:r>
          </w:p>
        </w:tc>
        <w:tc>
          <w:tcPr>
            <w:tcW w:w="68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Issuance of share capital</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on conversion of loan</w:t>
            </w: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5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2,366</w:t>
            </w:r>
          </w:p>
        </w:tc>
        <w:tc>
          <w:tcPr>
            <w:tcW w:w="9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note</w:t>
            </w:r>
          </w:p>
        </w:tc>
        <w:tc>
          <w:tcPr>
            <w:tcW w:w="68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7"/>
                <w:szCs w:val="17"/>
                <w:color w:val="auto"/>
              </w:rPr>
              <w:t>Issuance of share capital</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80"/>
              <w:spacing w:after="0" w:line="176" w:lineRule="exact"/>
              <w:rPr>
                <w:sz w:val="20"/>
                <w:szCs w:val="20"/>
                <w:color w:val="auto"/>
              </w:rPr>
            </w:pPr>
            <w:r>
              <w:rPr>
                <w:rFonts w:ascii="Arial" w:cs="Arial" w:eastAsia="Arial" w:hAnsi="Arial"/>
                <w:sz w:val="18"/>
                <w:szCs w:val="18"/>
                <w:color w:val="auto"/>
              </w:rPr>
              <w:t>on Novartis bonus</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22</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1,587</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(1,590)</w:t>
            </w:r>
          </w:p>
        </w:tc>
        <w:tc>
          <w:tcPr>
            <w:tcW w:w="12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shares</w:t>
            </w:r>
          </w:p>
        </w:tc>
        <w:tc>
          <w:tcPr>
            <w:tcW w:w="68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Equity element of</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convertible loan note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line="176" w:lineRule="exact"/>
              <w:rPr>
                <w:sz w:val="20"/>
                <w:szCs w:val="20"/>
                <w:color w:val="auto"/>
              </w:rPr>
            </w:pPr>
            <w:r>
              <w:rPr>
                <w:rFonts w:ascii="Arial" w:cs="Arial" w:eastAsia="Arial" w:hAnsi="Arial"/>
                <w:sz w:val="18"/>
                <w:szCs w:val="18"/>
                <w:color w:val="auto"/>
                <w:w w:val="95"/>
              </w:rPr>
              <w:t>Purchase of treasury shares</w:t>
            </w:r>
          </w:p>
        </w:tc>
        <w:tc>
          <w:tcPr>
            <w:tcW w:w="6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22</w:t>
            </w:r>
          </w:p>
        </w:tc>
        <w:tc>
          <w:tcPr>
            <w:tcW w:w="76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(998)</w:t>
            </w:r>
          </w:p>
        </w:tc>
        <w:tc>
          <w:tcPr>
            <w:tcW w:w="9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At December 31, 2019</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b w:val="1"/>
                <w:bCs w:val="1"/>
                <w:color w:val="auto"/>
                <w:w w:val="86"/>
              </w:rPr>
              <w:t>294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121,684</w:t>
            </w: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b w:val="1"/>
                <w:bCs w:val="1"/>
                <w:color w:val="auto"/>
              </w:rPr>
              <w:t>59,147</w:t>
            </w:r>
          </w:p>
        </w:tc>
        <w:tc>
          <w:tcPr>
            <w:tcW w:w="12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b w:val="1"/>
                <w:bCs w:val="1"/>
                <w:color w:val="auto"/>
              </w:rPr>
              <w:t>(1,305)</w:t>
            </w:r>
          </w:p>
        </w:tc>
        <w:tc>
          <w:tcPr>
            <w:tcW w:w="9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b w:val="1"/>
                <w:bCs w:val="1"/>
                <w:color w:val="auto"/>
              </w:rPr>
              <w:t>7,000</w:t>
            </w:r>
          </w:p>
        </w:tc>
        <w:tc>
          <w:tcPr>
            <w:tcW w:w="13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b w:val="1"/>
                <w:bCs w:val="1"/>
                <w:color w:val="auto"/>
              </w:rPr>
              <w:t>(146,065)</w:t>
            </w:r>
          </w:p>
        </w:tc>
        <w:tc>
          <w:tcPr>
            <w:tcW w:w="1180" w:type="dxa"/>
            <w:vAlign w:val="bottom"/>
            <w:gridSpan w:val="2"/>
            <w:shd w:val="clear" w:color="auto" w:fill="CCEEFF"/>
          </w:tcPr>
          <w:p>
            <w:pPr>
              <w:ind w:left="560"/>
              <w:spacing w:after="0" w:line="176" w:lineRule="exact"/>
              <w:rPr>
                <w:sz w:val="20"/>
                <w:szCs w:val="20"/>
                <w:color w:val="auto"/>
              </w:rPr>
            </w:pPr>
            <w:r>
              <w:rPr>
                <w:rFonts w:ascii="Arial" w:cs="Arial" w:eastAsia="Arial" w:hAnsi="Arial"/>
                <w:sz w:val="18"/>
                <w:szCs w:val="18"/>
                <w:b w:val="1"/>
                <w:bCs w:val="1"/>
                <w:color w:val="auto"/>
              </w:rPr>
              <w:t>(499)</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b w:val="1"/>
                <w:bCs w:val="1"/>
                <w:color w:val="auto"/>
              </w:rPr>
              <w:t>40,256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160" w:type="dxa"/>
            <w:vAlign w:val="bottom"/>
          </w:tcPr>
          <w:p>
            <w:pPr>
              <w:spacing w:after="0"/>
              <w:rPr>
                <w:sz w:val="20"/>
                <w:szCs w:val="20"/>
                <w:color w:val="auto"/>
              </w:rPr>
            </w:pPr>
            <w:r>
              <w:rPr>
                <w:rFonts w:ascii="Arial" w:cs="Arial" w:eastAsia="Arial" w:hAnsi="Arial"/>
                <w:sz w:val="18"/>
                <w:szCs w:val="18"/>
                <w:color w:val="auto"/>
              </w:rPr>
              <w:t>Loss for the year</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(163,628)</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(163,628)</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Other comprehensive</w:t>
            </w: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349</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line="176" w:lineRule="exact"/>
              <w:rPr>
                <w:sz w:val="20"/>
                <w:szCs w:val="20"/>
                <w:color w:val="auto"/>
              </w:rPr>
            </w:pPr>
            <w:r>
              <w:rPr>
                <w:rFonts w:ascii="Arial" w:cs="Arial" w:eastAsia="Arial" w:hAnsi="Arial"/>
                <w:sz w:val="18"/>
                <w:szCs w:val="18"/>
                <w:color w:val="auto"/>
              </w:rPr>
              <w:t>Total</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(163,628)</w:t>
            </w:r>
          </w:p>
        </w:tc>
        <w:tc>
          <w:tcPr>
            <w:tcW w:w="1180" w:type="dxa"/>
            <w:vAlign w:val="bottom"/>
            <w:gridSpan w:val="2"/>
          </w:tcPr>
          <w:p>
            <w:pPr>
              <w:ind w:left="620"/>
              <w:spacing w:after="0" w:line="176" w:lineRule="exact"/>
              <w:rPr>
                <w:sz w:val="20"/>
                <w:szCs w:val="20"/>
                <w:color w:val="auto"/>
              </w:rPr>
            </w:pPr>
            <w:r>
              <w:rPr>
                <w:rFonts w:ascii="Arial" w:cs="Arial" w:eastAsia="Arial" w:hAnsi="Arial"/>
                <w:sz w:val="18"/>
                <w:szCs w:val="18"/>
                <w:color w:val="auto"/>
              </w:rPr>
              <w:t>349</w:t>
            </w: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5"/>
              </w:rPr>
              <w:t>(163,279)</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Share-based payments</w:t>
            </w:r>
          </w:p>
        </w:tc>
        <w:tc>
          <w:tcPr>
            <w:tcW w:w="6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26</w:t>
            </w:r>
          </w:p>
        </w:tc>
        <w:tc>
          <w:tcPr>
            <w:tcW w:w="76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1,558</w:t>
            </w:r>
          </w:p>
        </w:tc>
        <w:tc>
          <w:tcPr>
            <w:tcW w:w="124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7"/>
                <w:szCs w:val="17"/>
                <w:color w:val="auto"/>
              </w:rPr>
              <w:t>Issuance of share capital,</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22</w:t>
            </w:r>
          </w:p>
        </w:tc>
        <w:tc>
          <w:tcPr>
            <w:tcW w:w="540" w:type="dxa"/>
            <w:vAlign w:val="bottom"/>
            <w:gridSpan w:val="2"/>
            <w:vMerge w:val="restart"/>
          </w:tcPr>
          <w:p>
            <w:pPr>
              <w:ind w:left="240"/>
              <w:spacing w:after="0"/>
              <w:rPr>
                <w:sz w:val="20"/>
                <w:szCs w:val="20"/>
                <w:color w:val="auto"/>
              </w:rPr>
            </w:pPr>
            <w:r>
              <w:rPr>
                <w:rFonts w:ascii="Arial" w:cs="Arial" w:eastAsia="Arial" w:hAnsi="Arial"/>
                <w:sz w:val="18"/>
                <w:szCs w:val="18"/>
                <w:color w:val="auto"/>
                <w:w w:val="93"/>
              </w:rPr>
              <w:t>347</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18,715</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(2,125)</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net</w:t>
            </w:r>
          </w:p>
        </w:tc>
        <w:tc>
          <w:tcPr>
            <w:tcW w:w="68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Conversion of loan notes</w:t>
            </w: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w w:val="93"/>
              </w:rPr>
              <w:t>375</w:t>
            </w: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21,386</w:t>
            </w:r>
          </w:p>
        </w:tc>
        <w:tc>
          <w:tcPr>
            <w:tcW w:w="9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34,188</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55,949</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warrants</w:t>
            </w:r>
          </w:p>
        </w:tc>
        <w:tc>
          <w:tcPr>
            <w:tcW w:w="68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7"/>
                <w:szCs w:val="17"/>
                <w:color w:val="auto"/>
              </w:rPr>
              <w:t>Reclassification of loan</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80"/>
              <w:spacing w:after="0" w:line="176" w:lineRule="exact"/>
              <w:rPr>
                <w:sz w:val="20"/>
                <w:szCs w:val="20"/>
                <w:color w:val="auto"/>
              </w:rPr>
            </w:pPr>
            <w:r>
              <w:rPr>
                <w:rFonts w:ascii="Arial" w:cs="Arial" w:eastAsia="Arial" w:hAnsi="Arial"/>
                <w:sz w:val="18"/>
                <w:szCs w:val="18"/>
                <w:color w:val="auto"/>
              </w:rPr>
              <w:t>notes embedded</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19</w:t>
            </w:r>
          </w:p>
        </w:tc>
        <w:tc>
          <w:tcPr>
            <w:tcW w:w="76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33,481</w:t>
            </w:r>
          </w:p>
        </w:tc>
        <w:tc>
          <w:tcPr>
            <w:tcW w:w="12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33,481</w:t>
            </w: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derivative</w:t>
            </w:r>
          </w:p>
        </w:tc>
        <w:tc>
          <w:tcPr>
            <w:tcW w:w="68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Conversion of warrants</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126</w:t>
            </w:r>
          </w:p>
        </w:tc>
        <w:tc>
          <w:tcPr>
            <w:tcW w:w="132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6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6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161,785</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128,374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(1,305)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5,001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(309,693)</w:t>
            </w:r>
          </w:p>
        </w:tc>
        <w:tc>
          <w:tcPr>
            <w:tcW w:w="1180" w:type="dxa"/>
            <w:vAlign w:val="bottom"/>
            <w:gridSpan w:val="2"/>
          </w:tcPr>
          <w:p>
            <w:pPr>
              <w:ind w:left="560"/>
              <w:spacing w:after="0"/>
              <w:rPr>
                <w:sz w:val="20"/>
                <w:szCs w:val="20"/>
                <w:color w:val="auto"/>
              </w:rPr>
            </w:pPr>
            <w:r>
              <w:rPr>
                <w:rFonts w:ascii="Arial" w:cs="Arial" w:eastAsia="Arial" w:hAnsi="Arial"/>
                <w:sz w:val="18"/>
                <w:szCs w:val="18"/>
                <w:b w:val="1"/>
                <w:bCs w:val="1"/>
                <w:color w:val="auto"/>
              </w:rPr>
              <w:t>(150)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(14,971)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Profit for the year</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12,725</w:t>
            </w:r>
          </w:p>
        </w:tc>
        <w:tc>
          <w:tcPr>
            <w:tcW w:w="1180" w:type="dxa"/>
            <w:vAlign w:val="bottom"/>
            <w:gridSpan w:val="2"/>
            <w:shd w:val="clear" w:color="auto" w:fill="CCEEFF"/>
          </w:tcPr>
          <w:p>
            <w:pPr>
              <w:ind w:left="6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12,725</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7"/>
                <w:szCs w:val="17"/>
                <w:color w:val="auto"/>
              </w:rPr>
              <w:t>Other comprehensive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ind w:left="560"/>
              <w:spacing w:after="0"/>
              <w:rPr>
                <w:sz w:val="20"/>
                <w:szCs w:val="20"/>
                <w:color w:val="auto"/>
              </w:rPr>
            </w:pPr>
            <w:r>
              <w:rPr>
                <w:rFonts w:ascii="Arial" w:cs="Arial" w:eastAsia="Arial" w:hAnsi="Arial"/>
                <w:sz w:val="18"/>
                <w:szCs w:val="18"/>
                <w:color w:val="auto"/>
              </w:rPr>
              <w:t>(191)</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income</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12,725</w:t>
            </w:r>
          </w:p>
        </w:tc>
        <w:tc>
          <w:tcPr>
            <w:tcW w:w="1180" w:type="dxa"/>
            <w:vAlign w:val="bottom"/>
            <w:gridSpan w:val="2"/>
            <w:shd w:val="clear" w:color="auto" w:fill="CCEEFF"/>
          </w:tcPr>
          <w:p>
            <w:pPr>
              <w:ind w:left="560"/>
              <w:spacing w:after="0" w:line="176" w:lineRule="exact"/>
              <w:rPr>
                <w:sz w:val="20"/>
                <w:szCs w:val="20"/>
                <w:color w:val="auto"/>
              </w:rPr>
            </w:pPr>
            <w:r>
              <w:rPr>
                <w:rFonts w:ascii="Arial" w:cs="Arial" w:eastAsia="Arial" w:hAnsi="Arial"/>
                <w:sz w:val="18"/>
                <w:szCs w:val="18"/>
                <w:color w:val="auto"/>
              </w:rPr>
              <w:t>(191)</w:t>
            </w:r>
          </w:p>
        </w:tc>
        <w:tc>
          <w:tcPr>
            <w:tcW w:w="8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12,534</w:t>
            </w:r>
          </w:p>
        </w:tc>
        <w:tc>
          <w:tcPr>
            <w:tcW w:w="0" w:type="dxa"/>
            <w:vAlign w:val="bottom"/>
          </w:tcPr>
          <w:p>
            <w:pPr>
              <w:spacing w:after="0"/>
              <w:rPr>
                <w:sz w:val="1"/>
                <w:szCs w:val="1"/>
                <w:color w:val="auto"/>
              </w:rPr>
            </w:pPr>
          </w:p>
        </w:tc>
      </w:tr>
      <w:tr>
        <w:trPr>
          <w:trHeight w:val="175"/>
        </w:trPr>
        <w:tc>
          <w:tcPr>
            <w:tcW w:w="2160" w:type="dxa"/>
            <w:vAlign w:val="bottom"/>
          </w:tcPr>
          <w:p>
            <w:pPr>
              <w:spacing w:after="0" w:line="176" w:lineRule="exact"/>
              <w:rPr>
                <w:sz w:val="20"/>
                <w:szCs w:val="20"/>
                <w:color w:val="auto"/>
              </w:rPr>
            </w:pPr>
            <w:r>
              <w:rPr>
                <w:rFonts w:ascii="Arial" w:cs="Arial" w:eastAsia="Arial" w:hAnsi="Arial"/>
                <w:sz w:val="18"/>
                <w:szCs w:val="18"/>
                <w:color w:val="auto"/>
              </w:rPr>
              <w:t>Share-based payments</w:t>
            </w:r>
          </w:p>
        </w:tc>
        <w:tc>
          <w:tcPr>
            <w:tcW w:w="6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26</w:t>
            </w:r>
          </w:p>
        </w:tc>
        <w:tc>
          <w:tcPr>
            <w:tcW w:w="76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3,302</w:t>
            </w:r>
          </w:p>
        </w:tc>
        <w:tc>
          <w:tcPr>
            <w:tcW w:w="1240" w:type="dxa"/>
            <w:vAlign w:val="bottom"/>
            <w:gridSpan w:val="2"/>
          </w:tcPr>
          <w:p>
            <w:pPr>
              <w:ind w:left="68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Issuance of share capital,</w:t>
            </w: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54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w w:val="93"/>
              </w:rPr>
              <w:t>601</w:t>
            </w:r>
          </w:p>
        </w:tc>
        <w:tc>
          <w:tcPr>
            <w:tcW w:w="2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78,609</w:t>
            </w:r>
          </w:p>
        </w:tc>
        <w:tc>
          <w:tcPr>
            <w:tcW w:w="9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79,210</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w:t>
            </w:r>
          </w:p>
        </w:tc>
        <w:tc>
          <w:tcPr>
            <w:tcW w:w="68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line="176" w:lineRule="exact"/>
              <w:rPr>
                <w:sz w:val="20"/>
                <w:szCs w:val="20"/>
                <w:color w:val="auto"/>
              </w:rPr>
            </w:pPr>
            <w:r>
              <w:rPr>
                <w:rFonts w:ascii="Arial" w:cs="Arial" w:eastAsia="Arial" w:hAnsi="Arial"/>
                <w:sz w:val="18"/>
                <w:szCs w:val="18"/>
                <w:color w:val="auto"/>
              </w:rPr>
              <w:t>Exercise of share options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ind w:left="24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(119)</w:t>
            </w:r>
          </w:p>
        </w:tc>
        <w:tc>
          <w:tcPr>
            <w:tcW w:w="1240" w:type="dxa"/>
            <w:vAlign w:val="bottom"/>
            <w:gridSpan w:val="2"/>
          </w:tcPr>
          <w:p>
            <w:pPr>
              <w:ind w:left="680"/>
              <w:spacing w:after="0" w:line="176" w:lineRule="exact"/>
              <w:rPr>
                <w:sz w:val="20"/>
                <w:szCs w:val="20"/>
                <w:color w:val="auto"/>
              </w:rPr>
            </w:pPr>
            <w:r>
              <w:rPr>
                <w:rFonts w:ascii="Arial" w:cs="Arial" w:eastAsia="Arial" w:hAnsi="Arial"/>
                <w:sz w:val="18"/>
                <w:szCs w:val="18"/>
                <w:color w:val="auto"/>
              </w:rPr>
              <w:t>165</w:t>
            </w:r>
          </w:p>
        </w:tc>
        <w:tc>
          <w:tcPr>
            <w:tcW w:w="9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line="17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Conversion of loan notes</w:t>
            </w:r>
          </w:p>
        </w:tc>
        <w:tc>
          <w:tcPr>
            <w:tcW w:w="6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5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86"/>
              </w:rPr>
              <w:t>137</w:t>
            </w:r>
          </w:p>
        </w:tc>
        <w:tc>
          <w:tcPr>
            <w:tcW w:w="20" w:type="dxa"/>
            <w:vAlign w:val="bottom"/>
            <w:vMerge w:val="restart"/>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280" w:type="dxa"/>
            <w:vAlign w:val="bottom"/>
            <w:vMerge w:val="restart"/>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(1,722)</w:t>
            </w:r>
          </w:p>
        </w:tc>
        <w:tc>
          <w:tcPr>
            <w:tcW w:w="124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2,400</w:t>
            </w:r>
          </w:p>
        </w:tc>
        <w:tc>
          <w:tcPr>
            <w:tcW w:w="13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warrants</w:t>
            </w:r>
          </w:p>
        </w:tc>
        <w:tc>
          <w:tcPr>
            <w:tcW w:w="68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6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1,755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247,460</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129,835</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(1,140)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7,401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(296,968)</w:t>
            </w:r>
          </w:p>
        </w:tc>
        <w:tc>
          <w:tcPr>
            <w:tcW w:w="1180" w:type="dxa"/>
            <w:vAlign w:val="bottom"/>
            <w:gridSpan w:val="2"/>
          </w:tcPr>
          <w:p>
            <w:pPr>
              <w:ind w:left="560"/>
              <w:spacing w:after="0"/>
              <w:rPr>
                <w:sz w:val="20"/>
                <w:szCs w:val="20"/>
                <w:color w:val="auto"/>
              </w:rPr>
            </w:pPr>
            <w:r>
              <w:rPr>
                <w:rFonts w:ascii="Arial" w:cs="Arial" w:eastAsia="Arial" w:hAnsi="Arial"/>
                <w:sz w:val="18"/>
                <w:szCs w:val="18"/>
                <w:b w:val="1"/>
                <w:bCs w:val="1"/>
                <w:color w:val="auto"/>
              </w:rPr>
              <w:t>(341)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88,002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The accompanying notes form an integral part of these consolidated financial statements.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F-7</w:t>
      </w:r>
    </w:p>
    <w:p>
      <w:pPr>
        <w:sectPr>
          <w:pgSz w:w="11900" w:h="16838" w:orient="portrait"/>
          <w:cols w:equalWidth="0" w:num="1">
            <w:col w:w="11140"/>
          </w:cols>
          <w:pgMar w:left="320" w:top="486"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MEREO BIOPHARMA GROUP PLC</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NOTES TO THE CONSOLIDATED FINANCIAL STATEMENTS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1. Corporate information</w:t>
      </w:r>
    </w:p>
    <w:p>
      <w:pPr>
        <w:spacing w:after="0" w:line="114" w:lineRule="exact"/>
        <w:rPr>
          <w:sz w:val="20"/>
          <w:szCs w:val="20"/>
          <w:color w:val="auto"/>
        </w:rPr>
      </w:pPr>
    </w:p>
    <w:p>
      <w:pPr>
        <w:ind w:left="120" w:right="240" w:firstLine="551"/>
        <w:spacing w:after="0" w:line="260" w:lineRule="auto"/>
        <w:rPr>
          <w:sz w:val="20"/>
          <w:szCs w:val="20"/>
          <w:color w:val="auto"/>
        </w:rPr>
      </w:pPr>
      <w:r>
        <w:rPr>
          <w:rFonts w:ascii="Arial" w:cs="Arial" w:eastAsia="Arial" w:hAnsi="Arial"/>
          <w:sz w:val="20"/>
          <w:szCs w:val="20"/>
          <w:color w:val="auto"/>
        </w:rPr>
        <w:t>Mereo BioPharma Group plc (the “Company” or “Mereo”) is a clinical-stage, United Kingdom (“UK”) based biopharmaceutical company focused on oncology and rare diseases.</w:t>
      </w:r>
    </w:p>
    <w:p>
      <w:pPr>
        <w:spacing w:after="0" w:line="177"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20"/>
          <w:szCs w:val="20"/>
          <w:color w:val="auto"/>
        </w:rPr>
        <w:t>The Company is a public limited company incorporated and domiciled in the UK, and registered in England, with shares publicly traded on the Nasdaq Global Market via American Depositary Shares (“ADSs”) under the ticker symbol “MREO”. The Company’s ordinary shares were previously admitted to trading on the AIM market of London Stock Exchange plc with admission cancelled with effect on December 18, 2020. The Company’s registered office is located at Fourth Floor, 1 Cavendish Place, London, W1G 0QF, United Kingdom.</w:t>
      </w:r>
    </w:p>
    <w:p>
      <w:pPr>
        <w:spacing w:after="0" w:line="194" w:lineRule="exact"/>
        <w:rPr>
          <w:sz w:val="20"/>
          <w:szCs w:val="20"/>
          <w:color w:val="auto"/>
        </w:rPr>
      </w:pPr>
    </w:p>
    <w:p>
      <w:pPr>
        <w:ind w:left="120" w:right="80" w:firstLine="551"/>
        <w:spacing w:after="0" w:line="269" w:lineRule="auto"/>
        <w:rPr>
          <w:sz w:val="20"/>
          <w:szCs w:val="20"/>
          <w:color w:val="auto"/>
        </w:rPr>
      </w:pPr>
      <w:r>
        <w:rPr>
          <w:rFonts w:ascii="Arial" w:cs="Arial" w:eastAsia="Arial" w:hAnsi="Arial"/>
          <w:sz w:val="19"/>
          <w:szCs w:val="19"/>
          <w:color w:val="auto"/>
        </w:rPr>
        <w:t>The consolidated financial statements of Mereo BioPharma Group plc and its subsidiaries for the year ended December 31, 2021 were authorized for issue in accordance with a resolution of the Directors on March 31, 2022. The principal activities of the Company are the development and commercialization of innovative therapeutic pharmaceutical products.</w:t>
      </w:r>
    </w:p>
    <w:p>
      <w:pPr>
        <w:spacing w:after="0" w:line="272" w:lineRule="exact"/>
        <w:rPr>
          <w:sz w:val="20"/>
          <w:szCs w:val="20"/>
          <w:color w:val="auto"/>
        </w:rPr>
      </w:pPr>
    </w:p>
    <w:p>
      <w:pPr>
        <w:ind w:left="120" w:right="8220" w:hanging="4"/>
        <w:spacing w:after="0" w:line="355" w:lineRule="auto"/>
        <w:tabs>
          <w:tab w:leader="none" w:pos="318"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Significant accounting policies </w:t>
      </w:r>
      <w:r>
        <w:rPr>
          <w:rFonts w:ascii="Arial" w:cs="Arial" w:eastAsia="Arial" w:hAnsi="Arial"/>
          <w:sz w:val="20"/>
          <w:szCs w:val="20"/>
          <w:b w:val="1"/>
          <w:bCs w:val="1"/>
          <w:i w:val="1"/>
          <w:iCs w:val="1"/>
          <w:color w:val="auto"/>
        </w:rPr>
        <w:t>Basis of preparation</w:t>
      </w:r>
    </w:p>
    <w:p>
      <w:pPr>
        <w:spacing w:after="0" w:line="1" w:lineRule="exact"/>
        <w:rPr>
          <w:sz w:val="20"/>
          <w:szCs w:val="20"/>
          <w:color w:val="auto"/>
        </w:rPr>
      </w:pPr>
    </w:p>
    <w:p>
      <w:pPr>
        <w:ind w:left="120" w:right="680" w:firstLine="551"/>
        <w:spacing w:after="0" w:line="260" w:lineRule="auto"/>
        <w:rPr>
          <w:sz w:val="20"/>
          <w:szCs w:val="20"/>
          <w:color w:val="auto"/>
        </w:rPr>
      </w:pPr>
      <w:r>
        <w:rPr>
          <w:rFonts w:ascii="Arial" w:cs="Arial" w:eastAsia="Arial" w:hAnsi="Arial"/>
          <w:sz w:val="20"/>
          <w:szCs w:val="20"/>
          <w:color w:val="auto"/>
        </w:rPr>
        <w:t>The Company’s consolidated financial statements have been prepared in accordance with International Financial Reporting Standards (IFRS) as issued by the International Accounting Standards Board (IASB).</w:t>
      </w:r>
    </w:p>
    <w:p>
      <w:pPr>
        <w:spacing w:after="0" w:line="177" w:lineRule="exact"/>
        <w:rPr>
          <w:sz w:val="20"/>
          <w:szCs w:val="20"/>
          <w:color w:val="auto"/>
        </w:rPr>
      </w:pPr>
    </w:p>
    <w:p>
      <w:pPr>
        <w:ind w:left="120" w:right="160" w:firstLine="551"/>
        <w:spacing w:after="0" w:line="260" w:lineRule="auto"/>
        <w:rPr>
          <w:sz w:val="20"/>
          <w:szCs w:val="20"/>
          <w:color w:val="auto"/>
        </w:rPr>
      </w:pPr>
      <w:r>
        <w:rPr>
          <w:rFonts w:ascii="Arial" w:cs="Arial" w:eastAsia="Arial" w:hAnsi="Arial"/>
          <w:sz w:val="19"/>
          <w:szCs w:val="19"/>
          <w:color w:val="auto"/>
        </w:rPr>
        <w:t>The consolidated financial statements are presented in pound sterling (“£”), which is the presentational currency of the Company. The functional currencies of consolidated subsidiaries are pound sterling and US dollars (“$”). All amounts disclosed in the consolidated financial statements and notes have been rounded to the nearest thousand, unless otherwise stated. The financial statements have been prepared on the historical cost basis, except for the revaluation of certain financial instruments that are measured at fair values at the end of each reporting period, as explained in the accounting policies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Basis of consolidation</w:t>
      </w:r>
    </w:p>
    <w:p>
      <w:pPr>
        <w:spacing w:after="0" w:line="108" w:lineRule="exact"/>
        <w:rPr>
          <w:sz w:val="20"/>
          <w:szCs w:val="20"/>
          <w:color w:val="auto"/>
        </w:rPr>
      </w:pPr>
    </w:p>
    <w:p>
      <w:pPr>
        <w:ind w:left="120" w:firstLine="551"/>
        <w:spacing w:after="0" w:line="246" w:lineRule="auto"/>
        <w:rPr>
          <w:sz w:val="20"/>
          <w:szCs w:val="20"/>
          <w:color w:val="auto"/>
        </w:rPr>
      </w:pPr>
      <w:r>
        <w:rPr>
          <w:rFonts w:ascii="Arial" w:cs="Arial" w:eastAsia="Arial" w:hAnsi="Arial"/>
          <w:sz w:val="20"/>
          <w:szCs w:val="20"/>
          <w:color w:val="auto"/>
        </w:rPr>
        <w:t>The consolidated financial information comprises the financial statements of Mereo BioPharma Group plc and its subsidiaries as at December 31, 2021. Subsidiaries are all entities over which the Company has control. The Company controls an entity when the Company is exposed to, or has rights to, variable returns from its involvement with the entity and has the ability to affect those returns through its power over the entity.</w:t>
      </w:r>
    </w:p>
    <w:p>
      <w:pPr>
        <w:spacing w:after="0" w:line="191"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20"/>
          <w:szCs w:val="20"/>
          <w:color w:val="auto"/>
        </w:rPr>
        <w:t>Subsidiaries are fully consolidated from the date on which control is transferred to the Company. They are deconsolidated from the date that control ceases. Intercompany transactions, balances and unrealized gains on transactions between subsidiaries are eliminated in preparing the consolidated financial statements. Accounting policies of subsidiaries are consistent with the policies adopted by the Company.</w:t>
      </w:r>
    </w:p>
    <w:p>
      <w:pPr>
        <w:spacing w:after="0" w:line="191" w:lineRule="exact"/>
        <w:rPr>
          <w:sz w:val="20"/>
          <w:szCs w:val="20"/>
          <w:color w:val="auto"/>
        </w:rPr>
      </w:pPr>
    </w:p>
    <w:p>
      <w:pPr>
        <w:ind w:left="120" w:firstLine="551"/>
        <w:spacing w:after="0" w:line="246" w:lineRule="auto"/>
        <w:rPr>
          <w:sz w:val="20"/>
          <w:szCs w:val="20"/>
          <w:color w:val="auto"/>
        </w:rPr>
      </w:pPr>
      <w:r>
        <w:rPr>
          <w:rFonts w:ascii="Arial" w:cs="Arial" w:eastAsia="Arial" w:hAnsi="Arial"/>
          <w:sz w:val="20"/>
          <w:szCs w:val="20"/>
          <w:color w:val="auto"/>
        </w:rPr>
        <w:t>The Company has an employee share trust to facilitate share transactions pursuant to employee share schemes. Although the trust is a separate legal entity from the Company, it is consolidated into the Company’s results in accordance with the IFRS 10 rules on special purpose vehicles. The Company is deemed to control the trust principally because the trust cannot operate without the funding the Company provides.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Segmental information</w:t>
      </w:r>
    </w:p>
    <w:p>
      <w:pPr>
        <w:spacing w:after="0" w:line="108"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20"/>
          <w:szCs w:val="20"/>
          <w:color w:val="auto"/>
        </w:rPr>
        <w:t>The Company has one operating segment. The Chief Operating Decision Maker (“CODM”) is the Chief Executive Officer. The Company has a single portfolio of product candidates, with only direct research and development expenses monitored at a product candidate level. The CODM makes decisions over resource allocation at an overall portfolio level and the Company’s financing is managed and monitored on a consolidated basis.</w:t>
      </w:r>
    </w:p>
    <w:p>
      <w:pPr>
        <w:spacing w:after="0" w:line="191" w:lineRule="exact"/>
        <w:rPr>
          <w:sz w:val="20"/>
          <w:szCs w:val="20"/>
          <w:color w:val="auto"/>
        </w:rPr>
      </w:pPr>
    </w:p>
    <w:p>
      <w:pPr>
        <w:ind w:left="120" w:right="200" w:firstLine="551"/>
        <w:spacing w:after="0" w:line="250" w:lineRule="auto"/>
        <w:rPr>
          <w:sz w:val="20"/>
          <w:szCs w:val="20"/>
          <w:color w:val="auto"/>
        </w:rPr>
      </w:pPr>
      <w:r>
        <w:rPr>
          <w:rFonts w:ascii="Arial" w:cs="Arial" w:eastAsia="Arial" w:hAnsi="Arial"/>
          <w:sz w:val="20"/>
          <w:szCs w:val="20"/>
          <w:color w:val="auto"/>
        </w:rPr>
        <w:t>Following the acquisition of Mereo BioPharma 5, Inc. (formerly OncoMed Pharmaceuticals, Inc. or “OncoMed”) in 2019, non-current assets held by the Company are located in the United Kingdom and United States. As at December 31, 2021, approximately £0.1 million (2020: £0.5 million) of non-current assets are located in the United States.</w:t>
      </w:r>
    </w:p>
    <w:p>
      <w:pPr>
        <w:sectPr>
          <w:pgSz w:w="11900" w:h="16838" w:orient="portrait"/>
          <w:cols w:equalWidth="0" w:num="1">
            <w:col w:w="11100"/>
          </w:cols>
          <w:pgMar w:left="320" w:top="486" w:right="479" w:bottom="1440" w:gutter="0" w:footer="0" w:header="0"/>
        </w:sectPr>
      </w:pP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F-8</w:t>
      </w:r>
    </w:p>
    <w:p>
      <w:pPr>
        <w:sectPr>
          <w:pgSz w:w="11900" w:h="16838" w:orient="portrait"/>
          <w:cols w:equalWidth="0" w:num="1">
            <w:col w:w="11100"/>
          </w:cols>
          <w:pgMar w:left="320" w:top="486" w:right="47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Going concern</w:t>
      </w:r>
    </w:p>
    <w:p>
      <w:pPr>
        <w:spacing w:after="0" w:line="233" w:lineRule="exact"/>
        <w:rPr>
          <w:sz w:val="20"/>
          <w:szCs w:val="20"/>
          <w:color w:val="auto"/>
        </w:rPr>
      </w:pPr>
    </w:p>
    <w:p>
      <w:pPr>
        <w:ind w:left="120" w:right="600" w:firstLine="551"/>
        <w:spacing w:after="0"/>
        <w:rPr>
          <w:sz w:val="20"/>
          <w:szCs w:val="20"/>
          <w:color w:val="auto"/>
        </w:rPr>
      </w:pPr>
      <w:r>
        <w:rPr>
          <w:rFonts w:ascii="Arial" w:cs="Arial" w:eastAsia="Arial" w:hAnsi="Arial"/>
          <w:sz w:val="22"/>
          <w:szCs w:val="22"/>
          <w:color w:val="auto"/>
        </w:rPr>
        <w:t>The going concern basis has been applied in these consolidated financial statements as the Company has adequate resources to meet its liabilities as they fall due for the foreseeable future and at least 12 months from the date of these consolidated financial statements.</w:t>
      </w:r>
    </w:p>
    <w:p>
      <w:pPr>
        <w:spacing w:after="0" w:line="200" w:lineRule="exact"/>
        <w:rPr>
          <w:sz w:val="20"/>
          <w:szCs w:val="20"/>
          <w:color w:val="auto"/>
        </w:rPr>
      </w:pPr>
    </w:p>
    <w:p>
      <w:pPr>
        <w:ind w:left="120" w:right="260" w:firstLine="551"/>
        <w:spacing w:after="0"/>
        <w:rPr>
          <w:sz w:val="20"/>
          <w:szCs w:val="20"/>
          <w:color w:val="auto"/>
        </w:rPr>
      </w:pPr>
      <w:r>
        <w:rPr>
          <w:rFonts w:ascii="Arial" w:cs="Arial" w:eastAsia="Arial" w:hAnsi="Arial"/>
          <w:sz w:val="22"/>
          <w:szCs w:val="22"/>
          <w:color w:val="auto"/>
        </w:rPr>
        <w:t>The Company expects to incur significant operating losses for the foreseeable future as it continues its research and development efforts, seeks to obtain regulatory approval of its product candidates and pursues any future product candidates the Company may develop.</w:t>
      </w:r>
    </w:p>
    <w:p>
      <w:pPr>
        <w:spacing w:after="0" w:line="200" w:lineRule="exact"/>
        <w:rPr>
          <w:sz w:val="20"/>
          <w:szCs w:val="20"/>
          <w:color w:val="auto"/>
        </w:rPr>
      </w:pPr>
    </w:p>
    <w:p>
      <w:pPr>
        <w:jc w:val="both"/>
        <w:ind w:left="120" w:right="240" w:firstLine="551"/>
        <w:spacing w:after="0" w:line="297" w:lineRule="auto"/>
        <w:rPr>
          <w:sz w:val="20"/>
          <w:szCs w:val="20"/>
          <w:color w:val="auto"/>
        </w:rPr>
      </w:pPr>
      <w:r>
        <w:rPr>
          <w:rFonts w:ascii="Arial" w:cs="Arial" w:eastAsia="Arial" w:hAnsi="Arial"/>
          <w:sz w:val="19"/>
          <w:szCs w:val="19"/>
          <w:color w:val="auto"/>
        </w:rPr>
        <w:t>Until such time as the Company can generate significant revenue from product sales, or other commercial revenues, if ever, or through licensing and/or collaboration agreements for its oncology or rare disease product candidates, the Company will seek to finance its operations through a combination of public or private equity or debt financings or other sources.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Summary of significant accounting policies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a) Revenue</w:t>
      </w:r>
    </w:p>
    <w:p>
      <w:pPr>
        <w:spacing w:after="0" w:line="220" w:lineRule="exact"/>
        <w:rPr>
          <w:sz w:val="20"/>
          <w:szCs w:val="20"/>
          <w:color w:val="auto"/>
        </w:rPr>
      </w:pPr>
    </w:p>
    <w:p>
      <w:pPr>
        <w:ind w:left="120" w:right="340" w:firstLine="534"/>
        <w:spacing w:after="0" w:line="271" w:lineRule="auto"/>
        <w:rPr>
          <w:sz w:val="20"/>
          <w:szCs w:val="20"/>
          <w:color w:val="auto"/>
        </w:rPr>
      </w:pPr>
      <w:r>
        <w:rPr>
          <w:rFonts w:ascii="Arial" w:cs="Arial" w:eastAsia="Arial" w:hAnsi="Arial"/>
          <w:sz w:val="19"/>
          <w:szCs w:val="19"/>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w:t>
      </w:r>
    </w:p>
    <w:p>
      <w:pPr>
        <w:spacing w:after="0" w:line="3" w:lineRule="exact"/>
        <w:rPr>
          <w:sz w:val="20"/>
          <w:szCs w:val="20"/>
          <w:color w:val="auto"/>
        </w:rPr>
      </w:pPr>
    </w:p>
    <w:p>
      <w:pPr>
        <w:ind w:left="120" w:right="420" w:hanging="4"/>
        <w:spacing w:after="0" w:line="277" w:lineRule="auto"/>
        <w:tabs>
          <w:tab w:leader="none" w:pos="438" w:val="left"/>
        </w:tabs>
        <w:numPr>
          <w:ilvl w:val="0"/>
          <w:numId w:val="84"/>
        </w:numPr>
        <w:rPr>
          <w:rFonts w:ascii="Arial" w:cs="Arial" w:eastAsia="Arial" w:hAnsi="Arial"/>
          <w:sz w:val="19"/>
          <w:szCs w:val="19"/>
          <w:color w:val="auto"/>
        </w:rPr>
      </w:pPr>
      <w:r>
        <w:rPr>
          <w:rFonts w:ascii="Arial" w:cs="Arial" w:eastAsia="Arial" w:hAnsi="Arial"/>
          <w:sz w:val="19"/>
          <w:szCs w:val="19"/>
          <w:color w:val="auto"/>
        </w:rPr>
        <w:t>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w:t>
      </w:r>
    </w:p>
    <w:p>
      <w:pPr>
        <w:spacing w:after="0" w:line="179" w:lineRule="exact"/>
        <w:rPr>
          <w:sz w:val="20"/>
          <w:szCs w:val="20"/>
          <w:color w:val="auto"/>
        </w:rPr>
      </w:pPr>
    </w:p>
    <w:p>
      <w:pPr>
        <w:ind w:left="120" w:right="60" w:firstLine="551"/>
        <w:spacing w:after="0" w:line="279" w:lineRule="auto"/>
        <w:rPr>
          <w:sz w:val="20"/>
          <w:szCs w:val="20"/>
          <w:color w:val="auto"/>
        </w:rPr>
      </w:pPr>
      <w:r>
        <w:rPr>
          <w:rFonts w:ascii="Arial" w:cs="Arial" w:eastAsia="Arial" w:hAnsi="Arial"/>
          <w:sz w:val="19"/>
          <w:szCs w:val="19"/>
          <w:color w:val="auto"/>
        </w:rPr>
        <w:t>Revenue includes income from licensing and collaboration agreements. Consideration received up front is recognized at the point in time in which the right to use an intangible asset is transferred and further payments received are recognized upon the achievement of specified development, regulatory, commercial or other similar milestones. For agreements with a right to access an intangible asset, revenue is recognized over time, typically on a straight-line basis over the life of the license or collaboration agreement. When there are other performance obligations in such agreements, the consideration is allocated using the residual approach and recognized when the performance obligations are satisfied.</w:t>
      </w:r>
    </w:p>
    <w:p>
      <w:pPr>
        <w:spacing w:after="0" w:line="164"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22"/>
          <w:szCs w:val="22"/>
          <w:color w:val="auto"/>
        </w:rPr>
        <w:t>Income from development, regulatory, commercial or similar milestones is recognized when considered highly probable that a significant reversal will not occur. Timing of the recognition of such milestones are considered to be a key judgment, as they are often dependent on third parties. In general, for milestones which are subject to the decisions of third parties (e.g. the acceptance or approval of a filing by a regulatory authority), the Company recognizes milestone income when the decision occurs.</w:t>
      </w:r>
    </w:p>
    <w:p>
      <w:pPr>
        <w:spacing w:after="0" w:line="201" w:lineRule="exact"/>
        <w:rPr>
          <w:sz w:val="20"/>
          <w:szCs w:val="20"/>
          <w:color w:val="auto"/>
        </w:rPr>
      </w:pPr>
    </w:p>
    <w:p>
      <w:pPr>
        <w:ind w:left="120" w:right="240" w:firstLine="551"/>
        <w:spacing w:after="0" w:line="250" w:lineRule="auto"/>
        <w:rPr>
          <w:sz w:val="20"/>
          <w:szCs w:val="20"/>
          <w:color w:val="auto"/>
        </w:rPr>
      </w:pPr>
      <w:r>
        <w:rPr>
          <w:rFonts w:ascii="Arial" w:cs="Arial" w:eastAsia="Arial" w:hAnsi="Arial"/>
          <w:sz w:val="22"/>
          <w:szCs w:val="22"/>
          <w:color w:val="auto"/>
        </w:rPr>
        <w:t>We do not currently have any approved product candidates. Accordingly, we have not generated any commercial sales revenue during the year.</w:t>
      </w:r>
    </w:p>
    <w:p>
      <w:pPr>
        <w:spacing w:after="0" w:line="202" w:lineRule="exact"/>
        <w:rPr>
          <w:sz w:val="20"/>
          <w:szCs w:val="20"/>
          <w:color w:val="auto"/>
        </w:rPr>
      </w:pPr>
    </w:p>
    <w:p>
      <w:pPr>
        <w:jc w:val="both"/>
        <w:ind w:left="120" w:right="260" w:firstLine="551"/>
        <w:spacing w:after="0" w:line="287" w:lineRule="auto"/>
        <w:rPr>
          <w:sz w:val="20"/>
          <w:szCs w:val="20"/>
          <w:color w:val="auto"/>
        </w:rPr>
      </w:pPr>
      <w:r>
        <w:rPr>
          <w:rFonts w:ascii="Arial" w:cs="Arial" w:eastAsia="Arial" w:hAnsi="Arial"/>
          <w:sz w:val="19"/>
          <w:szCs w:val="19"/>
          <w:color w:val="auto"/>
        </w:rPr>
        <w:t>Intangible assets out-licensed under a license or collaboration agreement are recorded within “Cost of revenue” in the Company’s consolidated statement of comprehensive income/(loss) based on an allocation of cost or value of the rights that have been out-licensed. Payments to third parties arising as a direct consequence of the income recognized are also recorded within “Cost of revenue” in the Company’s consolidated statement of comprehensive income/(loss).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b) Research and development (R&amp;D) expenses</w:t>
      </w:r>
    </w:p>
    <w:p>
      <w:pPr>
        <w:spacing w:after="0" w:line="220" w:lineRule="exact"/>
        <w:rPr>
          <w:sz w:val="20"/>
          <w:szCs w:val="20"/>
          <w:color w:val="auto"/>
        </w:rPr>
      </w:pPr>
    </w:p>
    <w:p>
      <w:pPr>
        <w:ind w:left="120" w:right="140" w:firstLine="551"/>
        <w:spacing w:after="0" w:line="282" w:lineRule="auto"/>
        <w:rPr>
          <w:sz w:val="20"/>
          <w:szCs w:val="20"/>
          <w:color w:val="auto"/>
        </w:rPr>
      </w:pPr>
      <w:r>
        <w:rPr>
          <w:rFonts w:ascii="Arial" w:cs="Arial" w:eastAsia="Arial" w:hAnsi="Arial"/>
          <w:sz w:val="19"/>
          <w:szCs w:val="19"/>
          <w:color w:val="auto"/>
        </w:rPr>
        <w:t>Expenditure on product development is capitalized as an intangible asset and amortized over the expected useful economic life of the product candidate concerned. Capitalization commences from the point at which technical feasibility and commercial viability of the product candidate can be demonstrated and the Company is satisfied that it is probable that future economic benefits will result from the product candidate once completed. Capitalization ceases when the product candidate receives regulatory approval for launch. No such costs have been capitalized to date.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Expenditure on R&amp;D activities that do not meet the criteria for capitalization, including ongoing costs associated with acquired intellectual property rights and intellectual property rights generated internally by the Company, is recognized in the consolidated statement of comprehensive income as incurred. Intellectual property and in-process R&amp;D from asset acquisitions are recognized as intangible assets at cost.</w:t>
      </w:r>
    </w:p>
    <w:p>
      <w:pPr>
        <w:sectPr>
          <w:pgSz w:w="11900" w:h="16838" w:orient="portrait"/>
          <w:cols w:equalWidth="0" w:num="1">
            <w:col w:w="11120"/>
          </w:cols>
          <w:pgMar w:left="320" w:top="486" w:right="459" w:bottom="0" w:gutter="0" w:footer="0" w:header="0"/>
        </w:sectPr>
      </w:pPr>
    </w:p>
    <w:bookmarkStart w:id="169" w:name="page170"/>
    <w:bookmarkEnd w:id="169"/>
    <w:p>
      <w:pPr>
        <w:spacing w:after="0"/>
        <w:rPr>
          <w:sz w:val="20"/>
          <w:szCs w:val="20"/>
          <w:color w:val="auto"/>
        </w:rPr>
      </w:pPr>
      <w:r>
        <w:rPr>
          <w:rFonts w:ascii="Arial" w:cs="Arial" w:eastAsia="Arial" w:hAnsi="Arial"/>
          <w:sz w:val="22"/>
          <w:szCs w:val="22"/>
          <w:i w:val="1"/>
          <w:iCs w:val="1"/>
          <w:color w:val="auto"/>
        </w:rPr>
        <w:t>c) Taxation</w:t>
      </w:r>
    </w:p>
    <w:p>
      <w:pPr>
        <w:spacing w:after="0" w:line="220" w:lineRule="exact"/>
        <w:rPr>
          <w:sz w:val="20"/>
          <w:szCs w:val="20"/>
          <w:color w:val="auto"/>
        </w:rPr>
      </w:pPr>
    </w:p>
    <w:p>
      <w:pPr>
        <w:ind w:firstLine="551"/>
        <w:spacing w:after="0" w:line="250" w:lineRule="auto"/>
        <w:rPr>
          <w:sz w:val="20"/>
          <w:szCs w:val="20"/>
          <w:color w:val="auto"/>
        </w:rPr>
      </w:pPr>
      <w:r>
        <w:rPr>
          <w:rFonts w:ascii="Arial" w:cs="Arial" w:eastAsia="Arial" w:hAnsi="Arial"/>
          <w:sz w:val="22"/>
          <w:szCs w:val="22"/>
          <w:color w:val="auto"/>
        </w:rPr>
        <w:t>Tax expense recognized in the consolidated statement of comprehensive income/(loss) comprises the sum of deferred tax and current tax not recognized in other comprehensive income or directly in equity.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ectPr>
          <w:pgSz w:w="11900" w:h="16838" w:orient="portrait"/>
          <w:cols w:equalWidth="0" w:num="1">
            <w:col w:w="11000"/>
          </w:cols>
          <w:pgMar w:left="440" w:top="118"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Current income tax</w:t>
      </w:r>
    </w:p>
    <w:p>
      <w:pPr>
        <w:spacing w:after="0" w:line="233" w:lineRule="exact"/>
        <w:rPr>
          <w:sz w:val="20"/>
          <w:szCs w:val="20"/>
          <w:color w:val="auto"/>
        </w:rPr>
      </w:pPr>
    </w:p>
    <w:p>
      <w:pPr>
        <w:ind w:left="120" w:right="220" w:firstLine="551"/>
        <w:spacing w:after="0" w:line="287" w:lineRule="auto"/>
        <w:rPr>
          <w:sz w:val="20"/>
          <w:szCs w:val="20"/>
          <w:color w:val="auto"/>
        </w:rPr>
      </w:pPr>
      <w:r>
        <w:rPr>
          <w:rFonts w:ascii="Arial" w:cs="Arial" w:eastAsia="Arial" w:hAnsi="Arial"/>
          <w:sz w:val="19"/>
          <w:szCs w:val="19"/>
          <w:color w:val="auto"/>
        </w:rPr>
        <w:t>Current income tax assets and liabilities are measured at the amount expected to be recovered from or paid to the taxation authorities that are unpaid at the reporting date. Current tax is payable on taxable profit, which differs from profit or loss in the consolidated financial statements. Calculation of current tax is based on tax rates and tax laws that have been enacted, or substantively enacted, by the end of the reporting period in the jurisdictions in which the Company operates.</w:t>
      </w:r>
    </w:p>
    <w:p>
      <w:pPr>
        <w:spacing w:after="0" w:line="156" w:lineRule="exact"/>
        <w:rPr>
          <w:sz w:val="20"/>
          <w:szCs w:val="20"/>
          <w:color w:val="auto"/>
        </w:rPr>
      </w:pPr>
    </w:p>
    <w:p>
      <w:pPr>
        <w:ind w:left="120" w:right="140" w:firstLine="551"/>
        <w:spacing w:after="0"/>
        <w:rPr>
          <w:sz w:val="20"/>
          <w:szCs w:val="20"/>
          <w:color w:val="auto"/>
        </w:rPr>
      </w:pPr>
      <w:r>
        <w:rPr>
          <w:rFonts w:ascii="Arial" w:cs="Arial" w:eastAsia="Arial" w:hAnsi="Arial"/>
          <w:sz w:val="22"/>
          <w:szCs w:val="22"/>
          <w:color w:val="auto"/>
        </w:rPr>
        <w:t>Amounts receivable in respect of research and development tax credits are recognized in the consolidated financial statements provided there is sufficient evidence that the amounts are recoverable. These credits are recognized within income tax in the consolidated statement of comprehensive income/(loss).</w:t>
      </w:r>
    </w:p>
    <w:p>
      <w:pPr>
        <w:spacing w:after="0" w:line="200" w:lineRule="exact"/>
        <w:rPr>
          <w:sz w:val="20"/>
          <w:szCs w:val="20"/>
          <w:color w:val="auto"/>
        </w:rPr>
      </w:pPr>
    </w:p>
    <w:p>
      <w:pPr>
        <w:jc w:val="both"/>
        <w:ind w:left="120" w:right="60" w:firstLine="551"/>
        <w:spacing w:after="0"/>
        <w:rPr>
          <w:sz w:val="20"/>
          <w:szCs w:val="20"/>
          <w:color w:val="auto"/>
        </w:rPr>
      </w:pPr>
      <w:r>
        <w:rPr>
          <w:rFonts w:ascii="Arial" w:cs="Arial" w:eastAsia="Arial" w:hAnsi="Arial"/>
          <w:sz w:val="22"/>
          <w:szCs w:val="22"/>
          <w:color w:val="auto"/>
        </w:rPr>
        <w:t>A provision is recognized for matters in which the tax determination is uncertain but it is considered probable that there will be a future outflow of funds to a tax authority. The provisions are measured at the best estimate of the amount expected to become payable.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Deferred tax</w:t>
      </w:r>
    </w:p>
    <w:p>
      <w:pPr>
        <w:spacing w:after="0" w:line="220" w:lineRule="exact"/>
        <w:rPr>
          <w:sz w:val="20"/>
          <w:szCs w:val="20"/>
          <w:color w:val="auto"/>
        </w:rPr>
      </w:pPr>
    </w:p>
    <w:p>
      <w:pPr>
        <w:ind w:left="120" w:right="740" w:firstLine="551"/>
        <w:spacing w:after="0" w:line="250" w:lineRule="auto"/>
        <w:rPr>
          <w:sz w:val="20"/>
          <w:szCs w:val="20"/>
          <w:color w:val="auto"/>
        </w:rPr>
      </w:pPr>
      <w:r>
        <w:rPr>
          <w:rFonts w:ascii="Arial" w:cs="Arial" w:eastAsia="Arial" w:hAnsi="Arial"/>
          <w:sz w:val="22"/>
          <w:szCs w:val="22"/>
          <w:color w:val="auto"/>
        </w:rPr>
        <w:t>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9"/>
          <w:szCs w:val="19"/>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assets to be recovered.</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22"/>
          <w:szCs w:val="22"/>
          <w:color w:val="auto"/>
        </w:rPr>
        <w:t>Deferred tax assets and liabilities are measured on an undiscounted basis at the tax rates that are expected to apply in the year when the asset or liability is realized, based on tax rates (and tax laws) enacted or substantively enacted at the end of the reporting period.</w:t>
      </w:r>
    </w:p>
    <w:p>
      <w:pPr>
        <w:spacing w:after="0" w:line="200" w:lineRule="exact"/>
        <w:rPr>
          <w:sz w:val="20"/>
          <w:szCs w:val="20"/>
          <w:color w:val="auto"/>
        </w:rPr>
      </w:pPr>
    </w:p>
    <w:p>
      <w:pPr>
        <w:jc w:val="both"/>
        <w:ind w:left="120" w:right="160" w:firstLine="551"/>
        <w:spacing w:after="0"/>
        <w:rPr>
          <w:sz w:val="20"/>
          <w:szCs w:val="20"/>
          <w:color w:val="auto"/>
        </w:rPr>
      </w:pPr>
      <w:r>
        <w:rPr>
          <w:rFonts w:ascii="Arial" w:cs="Arial" w:eastAsia="Arial" w:hAnsi="Arial"/>
          <w:sz w:val="22"/>
          <w:szCs w:val="22"/>
          <w:color w:val="auto"/>
        </w:rPr>
        <w:t>Deferred tax assets and liabilities are offset when there is a legally enforceable right to set off current tax assets against current tax liabilities and when they relate to income taxes levied by the same taxation authority and the Company intends to settle its current tax assets and liabilities on a net basis.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d) Foreign currencies</w:t>
      </w:r>
    </w:p>
    <w:p>
      <w:pPr>
        <w:spacing w:after="0" w:line="233"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22"/>
          <w:szCs w:val="22"/>
          <w:color w:val="auto"/>
        </w:rPr>
        <w:t>Items included in the consolidated financial statements are measured using the currency of the primary economic environment in which the entity operates (“the functional currency”). The consolidated financial statements are presented in pound sterling (“£”), which is the presentational currency of the Company. The functional currencies of consolidated subsidiaries are pound sterling and US dollars (“$”).</w:t>
      </w:r>
    </w:p>
    <w:p>
      <w:pPr>
        <w:spacing w:after="0" w:line="1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Transactions in foreign currencies are initially recorded by the Company at the rate prevailing on the date the transaction first qualifies for recognition. Differences arising on settlement or translation of monetary items as well as gains or losses on the retranslation of foreign currency balances at the period-end are recognized in the consolidated statement of comprehensive income/(loss).</w:t>
      </w:r>
    </w:p>
    <w:p>
      <w:pPr>
        <w:spacing w:after="0" w:line="198" w:lineRule="exact"/>
        <w:rPr>
          <w:sz w:val="20"/>
          <w:szCs w:val="20"/>
          <w:color w:val="auto"/>
        </w:rPr>
      </w:pPr>
    </w:p>
    <w:p>
      <w:pPr>
        <w:ind w:left="120" w:right="100" w:firstLine="551"/>
        <w:spacing w:after="0" w:line="279" w:lineRule="auto"/>
        <w:rPr>
          <w:sz w:val="20"/>
          <w:szCs w:val="20"/>
          <w:color w:val="auto"/>
        </w:rPr>
      </w:pPr>
      <w:r>
        <w:rPr>
          <w:rFonts w:ascii="Arial" w:cs="Arial" w:eastAsia="Arial" w:hAnsi="Arial"/>
          <w:sz w:val="19"/>
          <w:szCs w:val="19"/>
          <w:color w:val="auto"/>
        </w:rPr>
        <w:t>The results and financial position of subsidiaries that have a functional currency different from the presentational currency of the Company are translated into the presentational currency (pound sterling). The assets and liabilities of such entities are translated into pound sterling at the rate of exchange prevailing at the balance sheet date. Income and expenses are translated at the average rate for the period. Fair value adjustments arising on acquisition of such entities are treated as assets and liabilities of the relevant entity and translated into pound sterling at the closing rate. The exchange differences arising on translation for consolidation are recognized in other comprehensive income/(loss).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e) Property, plant and equipment</w:t>
      </w:r>
    </w:p>
    <w:p>
      <w:pPr>
        <w:spacing w:after="0" w:line="220" w:lineRule="exact"/>
        <w:rPr>
          <w:sz w:val="20"/>
          <w:szCs w:val="20"/>
          <w:color w:val="auto"/>
        </w:rPr>
      </w:pPr>
    </w:p>
    <w:p>
      <w:pPr>
        <w:ind w:left="120" w:right="60" w:firstLine="551"/>
        <w:spacing w:after="0"/>
        <w:rPr>
          <w:sz w:val="20"/>
          <w:szCs w:val="20"/>
          <w:color w:val="auto"/>
        </w:rPr>
      </w:pPr>
      <w:r>
        <w:rPr>
          <w:rFonts w:ascii="Arial" w:cs="Arial" w:eastAsia="Arial" w:hAnsi="Arial"/>
          <w:sz w:val="22"/>
          <w:szCs w:val="22"/>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ectPr>
          <w:pgSz w:w="11900" w:h="16838" w:orient="portrait"/>
          <w:cols w:equalWidth="0" w:num="1">
            <w:col w:w="11100"/>
          </w:cols>
          <w:pgMar w:left="320" w:top="486" w:right="479" w:bottom="155" w:gutter="0" w:footer="0" w:header="0"/>
        </w:sectPr>
      </w:pPr>
    </w:p>
    <w:bookmarkStart w:id="171" w:name="page172"/>
    <w:bookmarkEnd w:id="171"/>
    <w:p>
      <w:pPr>
        <w:ind w:firstLine="551"/>
        <w:spacing w:after="0" w:line="251" w:lineRule="auto"/>
        <w:rPr>
          <w:sz w:val="20"/>
          <w:szCs w:val="20"/>
          <w:color w:val="auto"/>
        </w:rPr>
      </w:pPr>
      <w:r>
        <w:rPr>
          <w:rFonts w:ascii="Arial" w:cs="Arial" w:eastAsia="Arial" w:hAnsi="Arial"/>
          <w:sz w:val="22"/>
          <w:szCs w:val="22"/>
          <w:color w:val="auto"/>
        </w:rPr>
        <w:t>Depreciation is computed using the straight-line method over the estimated useful lives of the related assets. Useful lives of various property, plant and equipment are as follows:</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274"/>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2680" w:type="dxa"/>
            <w:vAlign w:val="bottom"/>
          </w:tcPr>
          <w:p>
            <w:pPr>
              <w:ind w:left="120"/>
              <w:spacing w:after="0"/>
              <w:rPr>
                <w:sz w:val="20"/>
                <w:szCs w:val="20"/>
                <w:color w:val="auto"/>
              </w:rPr>
            </w:pPr>
            <w:r>
              <w:rPr>
                <w:rFonts w:ascii="Arial" w:cs="Arial" w:eastAsia="Arial" w:hAnsi="Arial"/>
                <w:sz w:val="22"/>
                <w:szCs w:val="22"/>
                <w:color w:val="auto"/>
              </w:rPr>
              <w:t>Leasehold improvements</w:t>
            </w:r>
          </w:p>
        </w:tc>
        <w:tc>
          <w:tcPr>
            <w:tcW w:w="3200" w:type="dxa"/>
            <w:vAlign w:val="bottom"/>
          </w:tcPr>
          <w:p>
            <w:pPr>
              <w:ind w:left="380"/>
              <w:spacing w:after="0"/>
              <w:rPr>
                <w:sz w:val="20"/>
                <w:szCs w:val="20"/>
                <w:color w:val="auto"/>
              </w:rPr>
            </w:pPr>
            <w:r>
              <w:rPr>
                <w:rFonts w:ascii="Arial" w:cs="Arial" w:eastAsia="Arial" w:hAnsi="Arial"/>
                <w:sz w:val="22"/>
                <w:szCs w:val="22"/>
                <w:color w:val="auto"/>
                <w:w w:val="86"/>
              </w:rPr>
              <w:t>shorter of lease term or ten years</w:t>
            </w:r>
          </w:p>
        </w:tc>
      </w:tr>
      <w:tr>
        <w:trPr>
          <w:trHeight w:val="351"/>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2680" w:type="dxa"/>
            <w:vAlign w:val="bottom"/>
          </w:tcPr>
          <w:p>
            <w:pPr>
              <w:ind w:left="120"/>
              <w:spacing w:after="0"/>
              <w:rPr>
                <w:sz w:val="20"/>
                <w:szCs w:val="20"/>
                <w:color w:val="auto"/>
              </w:rPr>
            </w:pPr>
            <w:r>
              <w:rPr>
                <w:rFonts w:ascii="Arial" w:cs="Arial" w:eastAsia="Arial" w:hAnsi="Arial"/>
                <w:sz w:val="22"/>
                <w:szCs w:val="22"/>
                <w:color w:val="auto"/>
              </w:rPr>
              <w:t>Office equipment</w:t>
            </w:r>
          </w:p>
        </w:tc>
        <w:tc>
          <w:tcPr>
            <w:tcW w:w="3200" w:type="dxa"/>
            <w:vAlign w:val="bottom"/>
          </w:tcPr>
          <w:p>
            <w:pPr>
              <w:ind w:left="380"/>
              <w:spacing w:after="0"/>
              <w:rPr>
                <w:sz w:val="20"/>
                <w:szCs w:val="20"/>
                <w:color w:val="auto"/>
              </w:rPr>
            </w:pPr>
            <w:r>
              <w:rPr>
                <w:rFonts w:ascii="Arial" w:cs="Arial" w:eastAsia="Arial" w:hAnsi="Arial"/>
                <w:sz w:val="22"/>
                <w:szCs w:val="22"/>
                <w:color w:val="auto"/>
              </w:rPr>
              <w:t>five years</w:t>
            </w:r>
          </w:p>
        </w:tc>
      </w:tr>
      <w:tr>
        <w:trPr>
          <w:trHeight w:val="351"/>
        </w:trPr>
        <w:tc>
          <w:tcPr>
            <w:tcW w:w="200" w:type="dxa"/>
            <w:vAlign w:val="bottom"/>
          </w:tcPr>
          <w:p>
            <w:pPr>
              <w:spacing w:after="0"/>
              <w:rPr>
                <w:sz w:val="20"/>
                <w:szCs w:val="20"/>
                <w:color w:val="auto"/>
              </w:rPr>
            </w:pPr>
            <w:r>
              <w:rPr>
                <w:rFonts w:ascii="Arial" w:cs="Arial" w:eastAsia="Arial" w:hAnsi="Arial"/>
                <w:sz w:val="22"/>
                <w:szCs w:val="22"/>
                <w:color w:val="auto"/>
              </w:rPr>
              <w:t>•</w:t>
            </w:r>
          </w:p>
        </w:tc>
        <w:tc>
          <w:tcPr>
            <w:tcW w:w="2680" w:type="dxa"/>
            <w:vAlign w:val="bottom"/>
          </w:tcPr>
          <w:p>
            <w:pPr>
              <w:ind w:left="120"/>
              <w:spacing w:after="0"/>
              <w:rPr>
                <w:sz w:val="20"/>
                <w:szCs w:val="20"/>
                <w:color w:val="auto"/>
              </w:rPr>
            </w:pPr>
            <w:r>
              <w:rPr>
                <w:rFonts w:ascii="Arial" w:cs="Arial" w:eastAsia="Arial" w:hAnsi="Arial"/>
                <w:sz w:val="22"/>
                <w:szCs w:val="22"/>
                <w:color w:val="auto"/>
              </w:rPr>
              <w:t>IT equipment</w:t>
            </w:r>
          </w:p>
        </w:tc>
        <w:tc>
          <w:tcPr>
            <w:tcW w:w="3200" w:type="dxa"/>
            <w:vAlign w:val="bottom"/>
          </w:tcPr>
          <w:p>
            <w:pPr>
              <w:ind w:left="380"/>
              <w:spacing w:after="0"/>
              <w:rPr>
                <w:sz w:val="20"/>
                <w:szCs w:val="20"/>
                <w:color w:val="auto"/>
              </w:rPr>
            </w:pPr>
            <w:r>
              <w:rPr>
                <w:rFonts w:ascii="Arial" w:cs="Arial" w:eastAsia="Arial" w:hAnsi="Arial"/>
                <w:sz w:val="22"/>
                <w:szCs w:val="22"/>
                <w:color w:val="auto"/>
              </w:rPr>
              <w:t>three years</w:t>
            </w:r>
          </w:p>
        </w:tc>
      </w:tr>
      <w:tr>
        <w:trPr>
          <w:trHeight w:val="392"/>
        </w:trPr>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00" w:type="dxa"/>
            <w:vAlign w:val="bottom"/>
          </w:tcPr>
          <w:p>
            <w:pPr>
              <w:ind w:left="1980"/>
              <w:spacing w:after="0"/>
              <w:rPr>
                <w:sz w:val="20"/>
                <w:szCs w:val="20"/>
                <w:color w:val="auto"/>
              </w:rPr>
            </w:pPr>
            <w:r>
              <w:rPr>
                <w:rFonts w:ascii="Arial" w:cs="Arial" w:eastAsia="Arial" w:hAnsi="Arial"/>
                <w:sz w:val="22"/>
                <w:szCs w:val="22"/>
                <w:color w:val="auto"/>
              </w:rPr>
              <w:t>F-10</w:t>
            </w:r>
          </w:p>
        </w:tc>
      </w:tr>
    </w:tbl>
    <w:p>
      <w:pPr>
        <w:sectPr>
          <w:pgSz w:w="11900" w:h="16838" w:orient="portrait"/>
          <w:cols w:equalWidth="0" w:num="1">
            <w:col w:w="10980"/>
          </w:cols>
          <w:pgMar w:left="440" w:top="118"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22"/>
          <w:szCs w:val="22"/>
          <w:color w:val="auto"/>
        </w:rPr>
        <w:t>Property, plant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comprehensive income/(loss) when the asset is derecognized.</w:t>
      </w:r>
    </w:p>
    <w:p>
      <w:pPr>
        <w:spacing w:after="0" w:line="212" w:lineRule="exact"/>
        <w:rPr>
          <w:sz w:val="20"/>
          <w:szCs w:val="20"/>
          <w:color w:val="auto"/>
        </w:rPr>
      </w:pPr>
    </w:p>
    <w:p>
      <w:pPr>
        <w:ind w:left="120" w:right="300" w:firstLine="551"/>
        <w:spacing w:after="0" w:line="250" w:lineRule="auto"/>
        <w:rPr>
          <w:sz w:val="20"/>
          <w:szCs w:val="20"/>
          <w:color w:val="auto"/>
        </w:rPr>
      </w:pPr>
      <w:r>
        <w:rPr>
          <w:rFonts w:ascii="Arial" w:cs="Arial" w:eastAsia="Arial" w:hAnsi="Arial"/>
          <w:sz w:val="22"/>
          <w:szCs w:val="22"/>
          <w:color w:val="auto"/>
        </w:rPr>
        <w:t>The residual values, useful lives and methods of depreciation of property, plant and equipment are reviewed annually and adjusted prospectively, if appropriate.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f) Business combinations</w:t>
      </w:r>
    </w:p>
    <w:p>
      <w:pPr>
        <w:spacing w:after="0" w:line="220" w:lineRule="exact"/>
        <w:rPr>
          <w:sz w:val="20"/>
          <w:szCs w:val="20"/>
          <w:color w:val="auto"/>
        </w:rPr>
      </w:pPr>
    </w:p>
    <w:p>
      <w:pPr>
        <w:ind w:left="120" w:right="140" w:firstLine="551"/>
        <w:spacing w:after="0"/>
        <w:rPr>
          <w:sz w:val="20"/>
          <w:szCs w:val="20"/>
          <w:color w:val="auto"/>
        </w:rPr>
      </w:pPr>
      <w:r>
        <w:rPr>
          <w:rFonts w:ascii="Arial" w:cs="Arial" w:eastAsia="Arial" w:hAnsi="Arial"/>
          <w:sz w:val="22"/>
          <w:szCs w:val="22"/>
          <w:color w:val="auto"/>
        </w:rPr>
        <w:t>Business combinations are accounted for using the acquisition method of accounting. At the date of acquisition, the Company initially recognizes the fair value of the identifiable assets acquired, the liabilities assumed and any non-controlling interest in the acquired business.</w:t>
      </w:r>
    </w:p>
    <w:p>
      <w:pPr>
        <w:spacing w:after="0" w:line="213" w:lineRule="exact"/>
        <w:rPr>
          <w:sz w:val="20"/>
          <w:szCs w:val="20"/>
          <w:color w:val="auto"/>
        </w:rPr>
      </w:pPr>
    </w:p>
    <w:p>
      <w:pPr>
        <w:ind w:left="120" w:right="140" w:firstLine="551"/>
        <w:spacing w:after="0" w:line="235" w:lineRule="auto"/>
        <w:rPr>
          <w:sz w:val="20"/>
          <w:szCs w:val="20"/>
          <w:color w:val="auto"/>
        </w:rPr>
      </w:pPr>
      <w:r>
        <w:rPr>
          <w:rFonts w:ascii="Arial" w:cs="Arial" w:eastAsia="Arial" w:hAnsi="Arial"/>
          <w:sz w:val="22"/>
          <w:szCs w:val="22"/>
          <w:color w:val="auto"/>
        </w:rPr>
        <w:t>The consideration transferred is measured at fair value at the date of acquisition. The excess of the consideration transferred over the fair value of net identifiable assets of the business acquired is recorded as goodwill, unless the amount of consideration transferred is less than the fair value of net identifiable assets of the business acquired in which case the difference is recognized directly in the consolidated statement of comprehensive income/(loss) as a bargain purchase. A valuation is performed of assets and liabilities assumed on each acquisition accounted for as a business combination based on our best estimate of fair value.</w:t>
      </w:r>
    </w:p>
    <w:p>
      <w:pPr>
        <w:spacing w:after="0" w:line="201"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Where the settlement of any part of cash consideration is deferred, the amounts payable in the future are discounted to their present value. Contingent consideration is classified either as equity or a financial liability and is recognized at fair value on the acquisition date. Amounts classified as a financial liability are subsequently remeasured to fair value in accordance with IFRS 9 (Financial Instruments), with changes in fair value recognized in the consolidated statement of comprehensive income/(loss) as an administrative expense.</w:t>
      </w:r>
    </w:p>
    <w:p>
      <w:pPr>
        <w:spacing w:after="0" w:line="201" w:lineRule="exact"/>
        <w:rPr>
          <w:sz w:val="20"/>
          <w:szCs w:val="20"/>
          <w:color w:val="auto"/>
        </w:rPr>
      </w:pPr>
    </w:p>
    <w:p>
      <w:pPr>
        <w:ind w:left="120" w:right="1180" w:firstLine="551"/>
        <w:spacing w:after="0" w:line="250" w:lineRule="auto"/>
        <w:rPr>
          <w:sz w:val="20"/>
          <w:szCs w:val="20"/>
          <w:color w:val="auto"/>
        </w:rPr>
      </w:pPr>
      <w:r>
        <w:rPr>
          <w:rFonts w:ascii="Arial" w:cs="Arial" w:eastAsia="Arial" w:hAnsi="Arial"/>
          <w:sz w:val="22"/>
          <w:szCs w:val="22"/>
          <w:color w:val="auto"/>
        </w:rPr>
        <w:t>Directly attributable acquisition-related costs are expensed as incurred within the consolidated statement of comprehensive income/(loss).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g) Leases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Effective January 1, 2019, the Company adopted IFRS 16 (Leases) using the modified retrospective approach.</w:t>
      </w:r>
    </w:p>
    <w:p>
      <w:pPr>
        <w:spacing w:after="0" w:line="231" w:lineRule="exact"/>
        <w:rPr>
          <w:sz w:val="20"/>
          <w:szCs w:val="20"/>
          <w:color w:val="auto"/>
        </w:rPr>
      </w:pPr>
    </w:p>
    <w:p>
      <w:pPr>
        <w:jc w:val="both"/>
        <w:ind w:left="120" w:firstLine="551"/>
        <w:spacing w:after="0" w:line="328" w:lineRule="auto"/>
        <w:rPr>
          <w:sz w:val="20"/>
          <w:szCs w:val="20"/>
          <w:color w:val="auto"/>
        </w:rPr>
      </w:pPr>
      <w:r>
        <w:rPr>
          <w:rFonts w:ascii="Arial" w:cs="Arial" w:eastAsia="Arial" w:hAnsi="Arial"/>
          <w:sz w:val="19"/>
          <w:szCs w:val="19"/>
          <w:color w:val="auto"/>
        </w:rPr>
        <w:t>The Company assesses whether a contract is, or contains, a lease at inception of the contract. The Company recognizes a right-of-use asset and a corresponding liability with respect to all lease arrangements in which it is a lessee.</w:t>
      </w:r>
    </w:p>
    <w:p>
      <w:pPr>
        <w:spacing w:after="0" w:line="132" w:lineRule="exact"/>
        <w:rPr>
          <w:sz w:val="20"/>
          <w:szCs w:val="20"/>
          <w:color w:val="auto"/>
        </w:rPr>
      </w:pPr>
    </w:p>
    <w:p>
      <w:pPr>
        <w:jc w:val="both"/>
        <w:ind w:left="120" w:right="20" w:firstLine="551"/>
        <w:spacing w:after="0"/>
        <w:rPr>
          <w:sz w:val="20"/>
          <w:szCs w:val="20"/>
          <w:color w:val="auto"/>
        </w:rPr>
      </w:pPr>
      <w:r>
        <w:rPr>
          <w:rFonts w:ascii="Arial" w:cs="Arial" w:eastAsia="Arial" w:hAnsi="Arial"/>
          <w:sz w:val="22"/>
          <w:szCs w:val="22"/>
          <w:color w:val="auto"/>
        </w:rPr>
        <w:t>The lease liability is initially measured at the present value of the lease payments that are not paid at the commencement date, discounted using the rate implicit in the lease. If this rate cannot be readily determined, the Company uses its incremental borrowing rate.</w:t>
      </w:r>
    </w:p>
    <w:p>
      <w:pPr>
        <w:spacing w:after="0" w:line="200" w:lineRule="exact"/>
        <w:rPr>
          <w:sz w:val="20"/>
          <w:szCs w:val="20"/>
          <w:color w:val="auto"/>
        </w:rPr>
      </w:pPr>
    </w:p>
    <w:p>
      <w:pPr>
        <w:ind w:left="120" w:right="520" w:firstLine="551"/>
        <w:spacing w:after="0" w:line="250" w:lineRule="auto"/>
        <w:rPr>
          <w:sz w:val="20"/>
          <w:szCs w:val="20"/>
          <w:color w:val="auto"/>
        </w:rPr>
      </w:pPr>
      <w:r>
        <w:rPr>
          <w:rFonts w:ascii="Arial" w:cs="Arial" w:eastAsia="Arial" w:hAnsi="Arial"/>
          <w:sz w:val="22"/>
          <w:szCs w:val="22"/>
          <w:color w:val="auto"/>
        </w:rPr>
        <w:t>Lease payments included in the measurement of the lease liability comprise of fixed lease payments, less any lease incentives receivable.</w:t>
      </w:r>
    </w:p>
    <w:p>
      <w:pPr>
        <w:spacing w:after="0" w:line="18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22"/>
          <w:szCs w:val="22"/>
          <w:color w:val="auto"/>
        </w:rPr>
        <w:t>The lease liability is subsequently measured by increasing the carrying amount to reflect interest on the lease liability (using the effective interest method) and by reducing the carrying amount to reflect the lease payments made. The Company remeasures the lease liability (and makes a corresponding adjustment to the related right-of-use asset) whenever there is a significant change in lease term, lease payments or if the lease contract is modified and the lease modification is not accounted for as a separate lease.</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22"/>
          <w:szCs w:val="22"/>
          <w:color w:val="auto"/>
        </w:rPr>
        <w:t>The right-of-use assets comprise the initial measurement of the corresponding lease liability and lease payments made at or before the commencement date, less any lease incentives received and any initial direct costs. They are subsequently measured at cost less accumulated depreciation and impairment losses.</w:t>
      </w:r>
    </w:p>
    <w:p>
      <w:pPr>
        <w:spacing w:after="0" w:line="200" w:lineRule="exact"/>
        <w:rPr>
          <w:sz w:val="20"/>
          <w:szCs w:val="20"/>
          <w:color w:val="auto"/>
        </w:rPr>
      </w:pPr>
    </w:p>
    <w:p>
      <w:pPr>
        <w:ind w:left="120" w:right="140" w:firstLine="551"/>
        <w:spacing w:after="0" w:line="250" w:lineRule="auto"/>
        <w:rPr>
          <w:sz w:val="20"/>
          <w:szCs w:val="20"/>
          <w:color w:val="auto"/>
        </w:rPr>
      </w:pPr>
      <w:r>
        <w:rPr>
          <w:rFonts w:ascii="Arial" w:cs="Arial" w:eastAsia="Arial" w:hAnsi="Arial"/>
          <w:sz w:val="22"/>
          <w:szCs w:val="22"/>
          <w:color w:val="auto"/>
        </w:rPr>
        <w:t>The right-of-use assets are presented within property, plant and equipment. Right-of-use assets are depreciated over the shorter period of lease term and useful life of the underlying asset:</w:t>
      </w:r>
    </w:p>
    <w:p>
      <w:pPr>
        <w:sectPr>
          <w:pgSz w:w="11900" w:h="16838" w:orient="portrait"/>
          <w:cols w:equalWidth="0" w:num="1">
            <w:col w:w="11100"/>
          </w:cols>
          <w:pgMar w:left="320" w:top="486" w:right="479" w:bottom="283" w:gutter="0" w:footer="0" w:header="0"/>
        </w:sectPr>
      </w:pPr>
    </w:p>
    <w:p>
      <w:pPr>
        <w:spacing w:after="0" w:line="229" w:lineRule="exact"/>
        <w:rPr>
          <w:sz w:val="20"/>
          <w:szCs w:val="20"/>
          <w:color w:val="auto"/>
        </w:rPr>
      </w:pPr>
    </w:p>
    <w:p>
      <w:pPr>
        <w:ind w:left="5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Right-of-use asset (building)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six to nine years</w:t>
      </w:r>
    </w:p>
    <w:p>
      <w:pPr>
        <w:spacing w:after="0" w:line="132" w:lineRule="exact"/>
        <w:rPr>
          <w:sz w:val="20"/>
          <w:szCs w:val="20"/>
          <w:color w:val="auto"/>
        </w:rPr>
      </w:pPr>
    </w:p>
    <w:p>
      <w:pPr>
        <w:sectPr>
          <w:pgSz w:w="11900" w:h="16838" w:orient="portrait"/>
          <w:cols w:equalWidth="0" w:num="3">
            <w:col w:w="640" w:space="240"/>
            <w:col w:w="2480" w:space="460"/>
            <w:col w:w="7280"/>
          </w:cols>
          <w:pgMar w:left="320" w:top="486" w:right="479" w:bottom="283" w:gutter="0" w:footer="0" w:header="0"/>
          <w:type w:val="continuous"/>
        </w:sectPr>
      </w:pPr>
    </w:p>
    <w:p>
      <w:pPr>
        <w:ind w:left="5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Right-of-use asset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one to two years</w:t>
      </w:r>
    </w:p>
    <w:p>
      <w:pPr>
        <w:sectPr>
          <w:pgSz w:w="11900" w:h="16838" w:orient="portrait"/>
          <w:cols w:equalWidth="0" w:num="3">
            <w:col w:w="640" w:space="240"/>
            <w:col w:w="2680" w:space="260"/>
            <w:col w:w="7280"/>
          </w:cols>
          <w:pgMar w:left="320" w:top="486" w:right="479" w:bottom="283" w:gutter="0" w:footer="0" w:header="0"/>
          <w:type w:val="continuous"/>
        </w:sectPr>
      </w:pPr>
    </w:p>
    <w:bookmarkStart w:id="173" w:name="page174"/>
    <w:bookmarkEnd w:id="173"/>
    <w:p>
      <w:pPr>
        <w:ind w:left="540"/>
        <w:spacing w:after="0"/>
        <w:rPr>
          <w:sz w:val="20"/>
          <w:szCs w:val="20"/>
          <w:color w:val="auto"/>
        </w:rPr>
      </w:pPr>
      <w:r>
        <w:rPr>
          <w:rFonts w:ascii="Arial" w:cs="Arial" w:eastAsia="Arial" w:hAnsi="Arial"/>
          <w:sz w:val="19"/>
          <w:szCs w:val="19"/>
          <w:color w:val="auto"/>
        </w:rPr>
        <w:t>When the Company is an intermediate lessor, it accounts for the head lease and the sub-lease as two separate contracts.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sub-lease is classified as a finance or operating lease by reference to the right-of-use asset arising from the head lease.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Rental income from operating leases is recognized on a straight-line basis over the term of the relevant lease.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F-11</w:t>
      </w:r>
    </w:p>
    <w:p>
      <w:pPr>
        <w:sectPr>
          <w:pgSz w:w="11900" w:h="16838" w:orient="portrait"/>
          <w:cols w:equalWidth="0" w:num="1">
            <w:col w:w="10820"/>
          </w:cols>
          <w:pgMar w:left="440" w:top="118" w:right="639" w:bottom="1440" w:gutter="0" w:footer="0" w:header="0"/>
        </w:sectPr>
      </w:pPr>
    </w:p>
    <w:bookmarkStart w:id="174" w:name="page175"/>
    <w:bookmarkEnd w:id="174"/>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h) Intangible assets</w:t>
      </w:r>
    </w:p>
    <w:p>
      <w:pPr>
        <w:spacing w:after="0" w:line="23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22"/>
          <w:szCs w:val="22"/>
          <w:color w:val="auto"/>
        </w:rPr>
        <w:t>Intangible assets are initially recorded at cost which has been determined as the fair value of the consideration paid and payable. Assets that have been acquired through a business combination are initially recorded at fair value. The fair value of consideration is regularly reviewed based on the probability of achieving contractual milestones. Refer to policy on provision for deferred cash consideration below.</w:t>
      </w:r>
    </w:p>
    <w:p>
      <w:pPr>
        <w:spacing w:after="0" w:line="198" w:lineRule="exact"/>
        <w:rPr>
          <w:sz w:val="20"/>
          <w:szCs w:val="20"/>
          <w:color w:val="auto"/>
        </w:rPr>
      </w:pPr>
    </w:p>
    <w:p>
      <w:pPr>
        <w:ind w:left="120" w:right="500" w:firstLine="551"/>
        <w:spacing w:after="0" w:line="250" w:lineRule="auto"/>
        <w:rPr>
          <w:sz w:val="20"/>
          <w:szCs w:val="20"/>
          <w:color w:val="auto"/>
        </w:rPr>
      </w:pPr>
      <w:r>
        <w:rPr>
          <w:rFonts w:ascii="Arial" w:cs="Arial" w:eastAsia="Arial" w:hAnsi="Arial"/>
          <w:sz w:val="22"/>
          <w:szCs w:val="22"/>
          <w:color w:val="auto"/>
        </w:rPr>
        <w:t>Where the consideration paid or payable is in shares, the cost is measured in accordance with IFRS 2 (Share Based Payments).</w:t>
      </w:r>
    </w:p>
    <w:p>
      <w:pPr>
        <w:spacing w:after="0" w:line="188" w:lineRule="exact"/>
        <w:rPr>
          <w:sz w:val="20"/>
          <w:szCs w:val="20"/>
          <w:color w:val="auto"/>
        </w:rPr>
      </w:pPr>
    </w:p>
    <w:p>
      <w:pPr>
        <w:ind w:left="120" w:right="220" w:firstLine="551"/>
        <w:spacing w:after="0" w:line="297" w:lineRule="auto"/>
        <w:rPr>
          <w:sz w:val="20"/>
          <w:szCs w:val="20"/>
          <w:color w:val="auto"/>
        </w:rPr>
      </w:pPr>
      <w:r>
        <w:rPr>
          <w:rFonts w:ascii="Arial" w:cs="Arial" w:eastAsia="Arial" w:hAnsi="Arial"/>
          <w:sz w:val="19"/>
          <w:szCs w:val="19"/>
          <w:color w:val="auto"/>
        </w:rPr>
        <w:t>Intangible assets that are not yet available for use are reviewed for impairment at each reporting date by allocating the assets to the cash-generating units to which they relate. The estimated useful life is the lower of the legal duration and economic useful life. The estimated useful lives of intangible assets are reviewed at least annually.</w:t>
      </w:r>
    </w:p>
    <w:p>
      <w:pPr>
        <w:spacing w:after="0" w:line="161" w:lineRule="exact"/>
        <w:rPr>
          <w:sz w:val="20"/>
          <w:szCs w:val="20"/>
          <w:color w:val="auto"/>
        </w:rPr>
      </w:pPr>
    </w:p>
    <w:p>
      <w:pPr>
        <w:ind w:left="120" w:right="920" w:firstLine="551"/>
        <w:spacing w:after="0" w:line="250" w:lineRule="auto"/>
        <w:rPr>
          <w:sz w:val="20"/>
          <w:szCs w:val="20"/>
          <w:color w:val="auto"/>
        </w:rPr>
      </w:pPr>
      <w:r>
        <w:rPr>
          <w:rFonts w:ascii="Arial" w:cs="Arial" w:eastAsia="Arial" w:hAnsi="Arial"/>
          <w:sz w:val="22"/>
          <w:szCs w:val="22"/>
          <w:color w:val="auto"/>
        </w:rPr>
        <w:t>Intangible assets are amortized from the date they are available for commercial use. No amortization has been recognized to date.</w:t>
      </w:r>
    </w:p>
    <w:p>
      <w:pPr>
        <w:spacing w:after="0" w:line="188" w:lineRule="exact"/>
        <w:rPr>
          <w:sz w:val="20"/>
          <w:szCs w:val="20"/>
          <w:color w:val="auto"/>
        </w:rPr>
      </w:pPr>
    </w:p>
    <w:p>
      <w:pPr>
        <w:jc w:val="both"/>
        <w:ind w:left="120" w:firstLine="551"/>
        <w:spacing w:after="0" w:line="297" w:lineRule="auto"/>
        <w:rPr>
          <w:sz w:val="20"/>
          <w:szCs w:val="20"/>
          <w:color w:val="auto"/>
        </w:rPr>
      </w:pPr>
      <w:r>
        <w:rPr>
          <w:rFonts w:ascii="Arial" w:cs="Arial" w:eastAsia="Arial" w:hAnsi="Arial"/>
          <w:sz w:val="19"/>
          <w:szCs w:val="19"/>
          <w:color w:val="auto"/>
        </w:rPr>
        <w:t>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i) Financial instruments</w:t>
      </w:r>
    </w:p>
    <w:p>
      <w:pPr>
        <w:spacing w:after="0" w:line="233" w:lineRule="exact"/>
        <w:rPr>
          <w:sz w:val="20"/>
          <w:szCs w:val="20"/>
          <w:color w:val="auto"/>
        </w:rPr>
      </w:pPr>
    </w:p>
    <w:p>
      <w:pPr>
        <w:ind w:left="120" w:right="140" w:firstLine="551"/>
        <w:spacing w:after="0" w:line="250" w:lineRule="auto"/>
        <w:rPr>
          <w:sz w:val="20"/>
          <w:szCs w:val="20"/>
          <w:color w:val="auto"/>
        </w:rPr>
      </w:pPr>
      <w:r>
        <w:rPr>
          <w:rFonts w:ascii="Arial" w:cs="Arial" w:eastAsia="Arial" w:hAnsi="Arial"/>
          <w:sz w:val="22"/>
          <w:szCs w:val="22"/>
          <w:color w:val="auto"/>
        </w:rPr>
        <w:t>Financial assets and liabilities are recognized in the consolidated balance sheet only when the Company becomes party to the contractual provisions of the instrument.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Financial assets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initial recognition, a financial asset is classified into one of three primary measurement categories:</w:t>
      </w:r>
    </w:p>
    <w:p>
      <w:pPr>
        <w:spacing w:after="0" w:line="260" w:lineRule="exact"/>
        <w:rPr>
          <w:sz w:val="20"/>
          <w:szCs w:val="20"/>
          <w:color w:val="auto"/>
        </w:rPr>
      </w:pPr>
    </w:p>
    <w:p>
      <w:pPr>
        <w:ind w:left="1420" w:hanging="535"/>
        <w:spacing w:after="0"/>
        <w:tabs>
          <w:tab w:leader="none" w:pos="14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Amortized cost;</w:t>
      </w:r>
    </w:p>
    <w:p>
      <w:pPr>
        <w:spacing w:after="0" w:line="260" w:lineRule="exact"/>
        <w:rPr>
          <w:rFonts w:ascii="Arial" w:cs="Arial" w:eastAsia="Arial" w:hAnsi="Arial"/>
          <w:sz w:val="22"/>
          <w:szCs w:val="22"/>
          <w:color w:val="auto"/>
        </w:rPr>
      </w:pPr>
    </w:p>
    <w:p>
      <w:pPr>
        <w:ind w:left="1420" w:hanging="535"/>
        <w:spacing w:after="0"/>
        <w:tabs>
          <w:tab w:leader="none" w:pos="14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Fair value through other comprehensive income (“FVOCI”); or</w:t>
      </w:r>
    </w:p>
    <w:p>
      <w:pPr>
        <w:spacing w:after="0" w:line="260" w:lineRule="exact"/>
        <w:rPr>
          <w:rFonts w:ascii="Arial" w:cs="Arial" w:eastAsia="Arial" w:hAnsi="Arial"/>
          <w:sz w:val="22"/>
          <w:szCs w:val="22"/>
          <w:color w:val="auto"/>
        </w:rPr>
      </w:pPr>
    </w:p>
    <w:p>
      <w:pPr>
        <w:ind w:left="1420" w:hanging="535"/>
        <w:spacing w:after="0"/>
        <w:tabs>
          <w:tab w:leader="none" w:pos="14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Fair value through profit or loss (“FVTPL”).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initial classification into a primary measurement category depends on the nature and purpose of the financial asset.</w:t>
      </w:r>
    </w:p>
    <w:p>
      <w:pPr>
        <w:spacing w:after="0" w:line="25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For short-term investments, interest income and impairment gains or losses are recognized directly in the consolidated statement of comprehensive income. The difference between cumulative fair value gains or losses and the cumulative amounts recognized in the consolidated statement of comprehensive income/(loss) is recognized in other comprehensive income until derecognition, when the amounts in other comprehensive income are reclassified to the consolidated statement of comprehensive income/(loss).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Classification as debt or equity</w:t>
      </w:r>
    </w:p>
    <w:p>
      <w:pPr>
        <w:spacing w:after="0" w:line="233" w:lineRule="exact"/>
        <w:rPr>
          <w:sz w:val="20"/>
          <w:szCs w:val="20"/>
          <w:color w:val="auto"/>
        </w:rPr>
      </w:pPr>
    </w:p>
    <w:p>
      <w:pPr>
        <w:ind w:left="120" w:right="140" w:firstLine="551"/>
        <w:spacing w:after="0" w:line="250" w:lineRule="auto"/>
        <w:rPr>
          <w:sz w:val="20"/>
          <w:szCs w:val="20"/>
          <w:color w:val="auto"/>
        </w:rPr>
      </w:pPr>
      <w:r>
        <w:rPr>
          <w:rFonts w:ascii="Arial" w:cs="Arial" w:eastAsia="Arial" w:hAnsi="Arial"/>
          <w:sz w:val="22"/>
          <w:szCs w:val="22"/>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Embedded derivatives</w:t>
      </w:r>
    </w:p>
    <w:p>
      <w:pPr>
        <w:spacing w:after="0" w:line="220" w:lineRule="exact"/>
        <w:rPr>
          <w:sz w:val="20"/>
          <w:szCs w:val="20"/>
          <w:color w:val="auto"/>
        </w:rPr>
      </w:pPr>
    </w:p>
    <w:p>
      <w:pPr>
        <w:ind w:left="120" w:right="20" w:firstLine="551"/>
        <w:spacing w:after="0" w:line="282" w:lineRule="auto"/>
        <w:rPr>
          <w:sz w:val="20"/>
          <w:szCs w:val="20"/>
          <w:color w:val="auto"/>
        </w:rPr>
      </w:pPr>
      <w:r>
        <w:rPr>
          <w:rFonts w:ascii="Arial" w:cs="Arial" w:eastAsia="Arial" w:hAnsi="Arial"/>
          <w:sz w:val="19"/>
          <w:szCs w:val="19"/>
          <w:color w:val="auto"/>
        </w:rPr>
        <w:t>An embedded derivative is a component of a hybrid contract that also includes a non-derivative host with the effect that some of the cash flows of the combined instrument vary in a way similar to a stand-alone derivative. Derivatives embedded in hybrid contracts with hosts that are not financial assets within the scope of IFRS 9 (e.g. financial liabilities) are treated as separate derivatives when they meet the definition of a derivative, their risks and characteristics are not closely related to those of the host contracts and the host contracts are not measured at FVTPL.</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Convertible loan notes</w:t>
      </w:r>
    </w:p>
    <w:p>
      <w:pPr>
        <w:spacing w:after="0" w:line="220" w:lineRule="exact"/>
        <w:rPr>
          <w:sz w:val="20"/>
          <w:szCs w:val="20"/>
          <w:color w:val="auto"/>
        </w:rPr>
      </w:pPr>
    </w:p>
    <w:p>
      <w:pPr>
        <w:jc w:val="center"/>
        <w:ind w:right="140"/>
        <w:spacing w:after="0" w:line="297" w:lineRule="auto"/>
        <w:rPr>
          <w:sz w:val="20"/>
          <w:szCs w:val="20"/>
          <w:color w:val="auto"/>
        </w:rPr>
      </w:pPr>
      <w:r>
        <w:rPr>
          <w:rFonts w:ascii="Arial" w:cs="Arial" w:eastAsia="Arial" w:hAnsi="Arial"/>
          <w:sz w:val="19"/>
          <w:szCs w:val="19"/>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This amount is recorded as a liability on an amortized cost basis using the effective</w:t>
      </w:r>
    </w:p>
    <w:p>
      <w:pPr>
        <w:sectPr>
          <w:pgSz w:w="11900" w:h="16911" w:orient="portrait"/>
          <w:cols w:equalWidth="0" w:num="1">
            <w:col w:w="11080"/>
          </w:cols>
          <w:pgMar w:left="320" w:top="486" w:right="499" w:bottom="0" w:gutter="0" w:footer="0" w:header="0"/>
        </w:sectPr>
      </w:pPr>
    </w:p>
    <w:bookmarkStart w:id="175" w:name="page176"/>
    <w:bookmarkEnd w:id="175"/>
    <w:p>
      <w:pPr>
        <w:jc w:val="both"/>
        <w:spacing w:after="0" w:line="238" w:lineRule="auto"/>
        <w:rPr>
          <w:sz w:val="20"/>
          <w:szCs w:val="20"/>
          <w:color w:val="auto"/>
        </w:rPr>
      </w:pPr>
      <w:r>
        <w:rPr>
          <w:rFonts w:ascii="Arial" w:cs="Arial" w:eastAsia="Arial" w:hAnsi="Arial"/>
          <w:sz w:val="22"/>
          <w:szCs w:val="22"/>
          <w:color w:val="auto"/>
        </w:rPr>
        <w:t>interest method until extinguished upon conversion or at the instrument’s maturity date. The difference between the proceeds from the issue of the convertible loan note and the fair value assigned to the liability component is included in equity and not subsequently remeasured. Upon conversion, the amount initially recognized in “Other capital reserves” will be transferred to “Share premium”.</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F-12</w:t>
      </w:r>
    </w:p>
    <w:p>
      <w:pPr>
        <w:sectPr>
          <w:pgSz w:w="11900" w:h="16838" w:orient="portrait"/>
          <w:cols w:equalWidth="0" w:num="1">
            <w:col w:w="10800"/>
          </w:cols>
          <w:pgMar w:left="440" w:top="118" w:right="6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Financial liabilities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financial liabilities are measured subsequently at amortized cost using the effective interest method or at FVTPL.</w:t>
      </w:r>
    </w:p>
    <w:p>
      <w:pPr>
        <w:spacing w:after="0" w:line="25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22"/>
          <w:szCs w:val="22"/>
          <w:color w:val="auto"/>
        </w:rPr>
        <w:t>Borrowings (including interest-bearing loans)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 Under the effective interest method, amortization is included as a finance cost in the consolidated statement of comprehensive income/(loss).</w:t>
      </w:r>
    </w:p>
    <w:p>
      <w:pPr>
        <w:spacing w:after="0" w:line="201" w:lineRule="exact"/>
        <w:rPr>
          <w:sz w:val="20"/>
          <w:szCs w:val="20"/>
          <w:color w:val="auto"/>
        </w:rPr>
      </w:pPr>
    </w:p>
    <w:p>
      <w:pPr>
        <w:ind w:left="120" w:right="80" w:firstLine="551"/>
        <w:spacing w:after="0" w:line="287" w:lineRule="auto"/>
        <w:rPr>
          <w:sz w:val="20"/>
          <w:szCs w:val="20"/>
          <w:color w:val="auto"/>
        </w:rPr>
      </w:pPr>
      <w:r>
        <w:rPr>
          <w:rFonts w:ascii="Arial" w:cs="Arial" w:eastAsia="Arial" w:hAnsi="Arial"/>
          <w:sz w:val="19"/>
          <w:szCs w:val="19"/>
          <w:color w:val="auto"/>
        </w:rPr>
        <w:t>Non-substantial modifications to financial liabilities are measured at amortized cost with the associated gain or loss recognized in the consolidated statement of comprehensive income/(loss). The gain or loss is computed as the difference between the original contractual cash flows and the modified cash flows, discounted at the original effective interest rate. For substantial modifications, the existing financial liability is derecognized and a new financial liability is established.</w:t>
      </w:r>
    </w:p>
    <w:p>
      <w:pPr>
        <w:spacing w:after="0" w:line="170" w:lineRule="exact"/>
        <w:rPr>
          <w:sz w:val="20"/>
          <w:szCs w:val="20"/>
          <w:color w:val="auto"/>
        </w:rPr>
      </w:pPr>
    </w:p>
    <w:p>
      <w:pPr>
        <w:ind w:left="120" w:right="680" w:firstLine="551"/>
        <w:spacing w:after="0" w:line="250" w:lineRule="auto"/>
        <w:rPr>
          <w:sz w:val="20"/>
          <w:szCs w:val="20"/>
          <w:color w:val="auto"/>
        </w:rPr>
      </w:pPr>
      <w:r>
        <w:rPr>
          <w:rFonts w:ascii="Arial" w:cs="Arial" w:eastAsia="Arial" w:hAnsi="Arial"/>
          <w:sz w:val="22"/>
          <w:szCs w:val="22"/>
          <w:color w:val="auto"/>
        </w:rPr>
        <w:t>Borrowings are derecognized from the balance sheet when the obligation specified in the contract is discharged, cancelled or expired.</w:t>
      </w:r>
    </w:p>
    <w:p>
      <w:pPr>
        <w:spacing w:after="0" w:line="188" w:lineRule="exact"/>
        <w:rPr>
          <w:sz w:val="20"/>
          <w:szCs w:val="20"/>
          <w:color w:val="auto"/>
        </w:rPr>
      </w:pPr>
    </w:p>
    <w:p>
      <w:pPr>
        <w:ind w:left="120" w:right="680" w:firstLine="551"/>
        <w:spacing w:after="0" w:line="328" w:lineRule="auto"/>
        <w:rPr>
          <w:sz w:val="20"/>
          <w:szCs w:val="20"/>
          <w:color w:val="auto"/>
        </w:rPr>
      </w:pPr>
      <w:r>
        <w:rPr>
          <w:rFonts w:ascii="Arial" w:cs="Arial" w:eastAsia="Arial" w:hAnsi="Arial"/>
          <w:sz w:val="19"/>
          <w:szCs w:val="19"/>
          <w:color w:val="auto"/>
        </w:rPr>
        <w:t>The warrant instruments are recorded at fair value, with changes in the fair value recognized in the consolidated statement of comprehensive income/(loss), where the terms of the warrant instruments allow for cashless exercise.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j) Fair value measurement</w:t>
      </w:r>
    </w:p>
    <w:p>
      <w:pPr>
        <w:spacing w:after="0" w:line="233" w:lineRule="exact"/>
        <w:rPr>
          <w:sz w:val="20"/>
          <w:szCs w:val="20"/>
          <w:color w:val="auto"/>
        </w:rPr>
      </w:pPr>
    </w:p>
    <w:p>
      <w:pPr>
        <w:jc w:val="both"/>
        <w:ind w:left="120" w:right="520" w:firstLine="551"/>
        <w:spacing w:after="0"/>
        <w:rPr>
          <w:sz w:val="20"/>
          <w:szCs w:val="20"/>
          <w:color w:val="auto"/>
        </w:rPr>
      </w:pPr>
      <w:r>
        <w:rPr>
          <w:rFonts w:ascii="Arial" w:cs="Arial" w:eastAsia="Arial" w:hAnsi="Arial"/>
          <w:sz w:val="22"/>
          <w:szCs w:val="22"/>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240" w:lineRule="exact"/>
        <w:rPr>
          <w:sz w:val="20"/>
          <w:szCs w:val="20"/>
          <w:color w:val="auto"/>
        </w:rPr>
      </w:pPr>
    </w:p>
    <w:p>
      <w:pPr>
        <w:ind w:left="1420" w:hanging="535"/>
        <w:spacing w:after="0"/>
        <w:tabs>
          <w:tab w:leader="none" w:pos="14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principal market for the asset or liability; or</w:t>
      </w:r>
    </w:p>
    <w:p>
      <w:pPr>
        <w:spacing w:after="0" w:line="260" w:lineRule="exact"/>
        <w:rPr>
          <w:rFonts w:ascii="Arial" w:cs="Arial" w:eastAsia="Arial" w:hAnsi="Arial"/>
          <w:sz w:val="22"/>
          <w:szCs w:val="22"/>
          <w:color w:val="auto"/>
        </w:rPr>
      </w:pPr>
    </w:p>
    <w:p>
      <w:pPr>
        <w:ind w:left="660" w:right="1460" w:firstLine="225"/>
        <w:spacing w:after="0" w:line="469" w:lineRule="auto"/>
        <w:tabs>
          <w:tab w:leader="none" w:pos="1419"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 the absence of a principal market, in the most advantageous market for the asset or liability. The principal or the most advantageous market must be accessible by the Company.</w:t>
      </w:r>
    </w:p>
    <w:p>
      <w:pPr>
        <w:spacing w:after="0" w:line="1" w:lineRule="exact"/>
        <w:rPr>
          <w:sz w:val="20"/>
          <w:szCs w:val="20"/>
          <w:color w:val="auto"/>
        </w:rPr>
      </w:pPr>
    </w:p>
    <w:p>
      <w:pPr>
        <w:ind w:left="120" w:right="480" w:firstLine="551"/>
        <w:spacing w:after="0" w:line="274" w:lineRule="auto"/>
        <w:rPr>
          <w:sz w:val="20"/>
          <w:szCs w:val="20"/>
          <w:color w:val="auto"/>
        </w:rPr>
      </w:pPr>
      <w:r>
        <w:rPr>
          <w:rFonts w:ascii="Arial" w:cs="Arial" w:eastAsia="Arial" w:hAnsi="Arial"/>
          <w:sz w:val="21"/>
          <w:szCs w:val="21"/>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78" w:lineRule="exact"/>
        <w:rPr>
          <w:sz w:val="20"/>
          <w:szCs w:val="20"/>
          <w:color w:val="auto"/>
        </w:rPr>
      </w:pPr>
    </w:p>
    <w:p>
      <w:pPr>
        <w:jc w:val="both"/>
        <w:ind w:left="120" w:right="380" w:firstLine="551"/>
        <w:spacing w:after="0"/>
        <w:rPr>
          <w:sz w:val="20"/>
          <w:szCs w:val="20"/>
          <w:color w:val="auto"/>
        </w:rPr>
      </w:pPr>
      <w:r>
        <w:rPr>
          <w:rFonts w:ascii="Arial" w:cs="Arial" w:eastAsia="Arial" w:hAnsi="Arial"/>
          <w:sz w:val="22"/>
          <w:szCs w:val="22"/>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200" w:lineRule="exact"/>
        <w:rPr>
          <w:sz w:val="20"/>
          <w:szCs w:val="20"/>
          <w:color w:val="auto"/>
        </w:rPr>
      </w:pPr>
    </w:p>
    <w:p>
      <w:pPr>
        <w:ind w:left="120" w:right="160" w:firstLine="551"/>
        <w:spacing w:after="0"/>
        <w:rPr>
          <w:sz w:val="20"/>
          <w:szCs w:val="20"/>
          <w:color w:val="auto"/>
        </w:rPr>
      </w:pPr>
      <w:r>
        <w:rPr>
          <w:rFonts w:ascii="Arial" w:cs="Arial" w:eastAsia="Arial" w:hAnsi="Arial"/>
          <w:sz w:val="22"/>
          <w:szCs w:val="22"/>
          <w:color w:val="auto"/>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240" w:lineRule="exact"/>
        <w:rPr>
          <w:sz w:val="20"/>
          <w:szCs w:val="20"/>
          <w:color w:val="auto"/>
        </w:rPr>
      </w:pPr>
    </w:p>
    <w:p>
      <w:pPr>
        <w:ind w:left="1420" w:hanging="535"/>
        <w:spacing w:after="0"/>
        <w:tabs>
          <w:tab w:leader="none" w:pos="14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Level 1 — quoted (unadjusted) market prices in active markets for identical assets or liabilities.</w:t>
      </w:r>
    </w:p>
    <w:p>
      <w:pPr>
        <w:spacing w:after="0" w:line="260" w:lineRule="exact"/>
        <w:rPr>
          <w:rFonts w:ascii="Arial" w:cs="Arial" w:eastAsia="Arial" w:hAnsi="Arial"/>
          <w:sz w:val="22"/>
          <w:szCs w:val="22"/>
          <w:color w:val="auto"/>
        </w:rPr>
      </w:pPr>
    </w:p>
    <w:p>
      <w:pPr>
        <w:ind w:left="1420" w:right="1080" w:hanging="535"/>
        <w:spacing w:after="0" w:line="250" w:lineRule="auto"/>
        <w:tabs>
          <w:tab w:leader="none" w:pos="14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Level 2 — valuation techniques for which the lowest level input that is significant to the fair value measurement is directly or indirectly observable.</w:t>
      </w:r>
    </w:p>
    <w:p>
      <w:pPr>
        <w:spacing w:after="0" w:line="228" w:lineRule="exact"/>
        <w:rPr>
          <w:rFonts w:ascii="Arial" w:cs="Arial" w:eastAsia="Arial" w:hAnsi="Arial"/>
          <w:sz w:val="22"/>
          <w:szCs w:val="22"/>
          <w:color w:val="auto"/>
        </w:rPr>
      </w:pPr>
    </w:p>
    <w:p>
      <w:pPr>
        <w:ind w:left="1420" w:right="1080" w:hanging="535"/>
        <w:spacing w:after="0" w:line="250" w:lineRule="auto"/>
        <w:tabs>
          <w:tab w:leader="none" w:pos="14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Level 3 — valuation techniques for which the lowest level input that is significant to the fair value measurement is unobservable.</w:t>
      </w:r>
    </w:p>
    <w:p>
      <w:pPr>
        <w:spacing w:after="0" w:line="188" w:lineRule="exact"/>
        <w:rPr>
          <w:sz w:val="20"/>
          <w:szCs w:val="20"/>
          <w:color w:val="auto"/>
        </w:rPr>
      </w:pPr>
    </w:p>
    <w:p>
      <w:pPr>
        <w:jc w:val="both"/>
        <w:ind w:left="120" w:firstLine="551"/>
        <w:spacing w:after="0" w:line="297" w:lineRule="auto"/>
        <w:rPr>
          <w:sz w:val="20"/>
          <w:szCs w:val="20"/>
          <w:color w:val="auto"/>
        </w:rPr>
      </w:pPr>
      <w:r>
        <w:rPr>
          <w:rFonts w:ascii="Arial" w:cs="Arial" w:eastAsia="Arial" w:hAnsi="Arial"/>
          <w:sz w:val="19"/>
          <w:szCs w:val="19"/>
          <w:color w:val="auto"/>
        </w:rPr>
        <w:t>For assets and liabilities that are recognized in the consolidated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k) Impairment of non-financial assets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Further disclosures relating to impairment of non-financial assets are also provided in the following notes:</w:t>
      </w:r>
    </w:p>
    <w:p>
      <w:pPr>
        <w:spacing w:after="0" w:line="260" w:lineRule="exact"/>
        <w:rPr>
          <w:sz w:val="20"/>
          <w:szCs w:val="20"/>
          <w:color w:val="auto"/>
        </w:rPr>
      </w:pPr>
    </w:p>
    <w:p>
      <w:pPr>
        <w:ind w:left="560"/>
        <w:spacing w:after="0"/>
        <w:tabs>
          <w:tab w:leader="none" w:pos="860" w:val="left"/>
          <w:tab w:leader="none" w:pos="5060" w:val="left"/>
        </w:tabs>
        <w:rPr>
          <w:sz w:val="20"/>
          <w:szCs w:val="20"/>
          <w:color w:val="auto"/>
        </w:rPr>
      </w:pPr>
      <w:r>
        <w:rPr>
          <w:rFonts w:ascii="Arial" w:cs="Arial" w:eastAsia="Arial" w:hAnsi="Arial"/>
          <w:sz w:val="22"/>
          <w:szCs w:val="22"/>
          <w:color w:val="auto"/>
        </w:rPr>
        <w:t>•</w:t>
        <w:tab/>
        <w:t>Disclosures for significant assumptions</w:t>
      </w:r>
      <w:r>
        <w:rPr>
          <w:sz w:val="20"/>
          <w:szCs w:val="20"/>
          <w:color w:val="auto"/>
        </w:rPr>
        <w:tab/>
      </w:r>
      <w:r>
        <w:rPr>
          <w:rFonts w:ascii="Arial" w:cs="Arial" w:eastAsia="Arial" w:hAnsi="Arial"/>
          <w:sz w:val="19"/>
          <w:szCs w:val="19"/>
          <w:color w:val="auto"/>
        </w:rPr>
        <w:t>Note 3</w:t>
      </w:r>
    </w:p>
    <w:p>
      <w:pPr>
        <w:sectPr>
          <w:pgSz w:w="11900" w:h="16838" w:orient="portrait"/>
          <w:cols w:equalWidth="0" w:num="1">
            <w:col w:w="11020"/>
          </w:cols>
          <w:pgMar w:left="320" w:top="486" w:right="559" w:bottom="0" w:gutter="0" w:footer="0" w:header="0"/>
        </w:sectPr>
      </w:pPr>
    </w:p>
    <w:bookmarkStart w:id="177" w:name="page178"/>
    <w:bookmarkEnd w:id="177"/>
    <w:p>
      <w:pPr>
        <w:spacing w:after="0"/>
        <w:tabs>
          <w:tab w:leader="none" w:pos="300" w:val="left"/>
        </w:tabs>
        <w:rPr>
          <w:sz w:val="20"/>
          <w:szCs w:val="20"/>
          <w:color w:val="auto"/>
        </w:rPr>
      </w:pPr>
      <w:r>
        <w:rPr>
          <w:rFonts w:ascii="Arial" w:cs="Arial" w:eastAsia="Arial" w:hAnsi="Arial"/>
          <w:sz w:val="22"/>
          <w:szCs w:val="22"/>
          <w:color w:val="auto"/>
        </w:rPr>
        <w:t>•</w:t>
        <w:tab/>
        <w:t>Property, plant and equipment</w:t>
      </w:r>
    </w:p>
    <w:p>
      <w:pPr>
        <w:spacing w:after="0" w:line="98"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color w:val="auto"/>
        </w:rPr>
        <w:t>•</w:t>
        <w:tab/>
        <w:t>Intangible assets not yet available for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Note 12</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Notes 13 and 14</w:t>
      </w:r>
    </w:p>
    <w:p>
      <w:pPr>
        <w:spacing w:after="0" w:line="173" w:lineRule="exact"/>
        <w:rPr>
          <w:sz w:val="20"/>
          <w:szCs w:val="20"/>
          <w:color w:val="auto"/>
        </w:rPr>
      </w:pPr>
    </w:p>
    <w:p>
      <w:pPr>
        <w:sectPr>
          <w:pgSz w:w="11900" w:h="16838" w:orient="portrait"/>
          <w:cols w:equalWidth="0" w:num="2">
            <w:col w:w="3880" w:space="640"/>
            <w:col w:w="5059"/>
          </w:cols>
          <w:pgMar w:left="880" w:top="132" w:right="1440" w:bottom="1440" w:gutter="0" w:footer="0" w:header="0"/>
        </w:sectPr>
      </w:pPr>
    </w:p>
    <w:p>
      <w:pPr>
        <w:ind w:left="4860"/>
        <w:spacing w:after="0"/>
        <w:rPr>
          <w:sz w:val="20"/>
          <w:szCs w:val="20"/>
          <w:color w:val="auto"/>
        </w:rPr>
      </w:pPr>
      <w:r>
        <w:rPr>
          <w:rFonts w:ascii="Arial" w:cs="Arial" w:eastAsia="Arial" w:hAnsi="Arial"/>
          <w:sz w:val="19"/>
          <w:szCs w:val="19"/>
          <w:color w:val="auto"/>
        </w:rPr>
        <w:t>F-13</w:t>
      </w:r>
    </w:p>
    <w:p>
      <w:pPr>
        <w:sectPr>
          <w:pgSz w:w="11900" w:h="16838" w:orient="portrait"/>
          <w:cols w:equalWidth="0" w:num="1">
            <w:col w:w="9579"/>
          </w:cols>
          <w:pgMar w:left="880" w:top="132" w:right="1440"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firstLine="551"/>
        <w:spacing w:after="0" w:line="279" w:lineRule="auto"/>
        <w:rPr>
          <w:sz w:val="20"/>
          <w:szCs w:val="20"/>
          <w:color w:val="auto"/>
        </w:rPr>
      </w:pPr>
      <w:r>
        <w:rPr>
          <w:rFonts w:ascii="Arial" w:cs="Arial" w:eastAsia="Arial" w:hAnsi="Arial"/>
          <w:sz w:val="19"/>
          <w:szCs w:val="19"/>
          <w:color w:val="auto"/>
        </w:rPr>
        <w:t>At each reporting date, the Company assesses whether there is any indication that an asset may be impaired. If any such indication exists, or when annual impairment testing for an asset is required, the Company estimates the asset’s recoverable amount. An asset’s recoverable amount is the higher of an asset’s or cash-generating unit’s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cash-generating unit exceeds its recoverable amount, the asset is considered impaired and is written down to its recoverable amount.</w:t>
      </w:r>
    </w:p>
    <w:p>
      <w:pPr>
        <w:spacing w:after="0" w:line="177" w:lineRule="exact"/>
        <w:rPr>
          <w:sz w:val="20"/>
          <w:szCs w:val="20"/>
          <w:color w:val="auto"/>
        </w:rPr>
      </w:pPr>
    </w:p>
    <w:p>
      <w:pPr>
        <w:ind w:left="120" w:right="160" w:firstLine="551"/>
        <w:spacing w:after="0" w:line="249" w:lineRule="auto"/>
        <w:rPr>
          <w:sz w:val="20"/>
          <w:szCs w:val="20"/>
          <w:color w:val="auto"/>
        </w:rPr>
      </w:pPr>
      <w:r>
        <w:rPr>
          <w:rFonts w:ascii="Arial" w:cs="Arial" w:eastAsia="Arial" w:hAnsi="Arial"/>
          <w:sz w:val="21"/>
          <w:szCs w:val="21"/>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92" w:lineRule="exact"/>
        <w:rPr>
          <w:sz w:val="20"/>
          <w:szCs w:val="20"/>
          <w:color w:val="auto"/>
        </w:rPr>
      </w:pPr>
    </w:p>
    <w:p>
      <w:pPr>
        <w:ind w:left="120" w:right="240" w:firstLine="551"/>
        <w:spacing w:after="0" w:line="250" w:lineRule="auto"/>
        <w:rPr>
          <w:sz w:val="20"/>
          <w:szCs w:val="20"/>
          <w:color w:val="auto"/>
        </w:rPr>
      </w:pPr>
      <w:r>
        <w:rPr>
          <w:rFonts w:ascii="Arial" w:cs="Arial" w:eastAsia="Arial" w:hAnsi="Arial"/>
          <w:sz w:val="22"/>
          <w:szCs w:val="22"/>
          <w:color w:val="auto"/>
        </w:rPr>
        <w:t>Impairment losses are recognized in the consolidated statement of comprehensive income/(loss) in expense categories consistent with the function of the impaired asset.</w:t>
      </w:r>
    </w:p>
    <w:p>
      <w:pPr>
        <w:spacing w:after="0" w:line="188"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9"/>
          <w:szCs w:val="19"/>
          <w:color w:val="auto"/>
        </w:rPr>
        <w:t>An assessment is made at each reporting date to determine whether there is an indication that previously recognized impairment losses no longer exist or have decreased. If such indication exists, the Company estimates the asset’s or cash-generating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 of comprehensive income/(loss) unless the asset is carried at a revalued amount, in which case the reversal is treated as a revaluation increase.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l) Cash and short-term deposits</w:t>
      </w:r>
    </w:p>
    <w:p>
      <w:pPr>
        <w:spacing w:after="0" w:line="220" w:lineRule="exact"/>
        <w:rPr>
          <w:sz w:val="20"/>
          <w:szCs w:val="20"/>
          <w:color w:val="auto"/>
        </w:rPr>
      </w:pPr>
    </w:p>
    <w:p>
      <w:pPr>
        <w:ind w:left="120" w:right="320" w:firstLine="551"/>
        <w:spacing w:after="0" w:line="274" w:lineRule="auto"/>
        <w:rPr>
          <w:sz w:val="20"/>
          <w:szCs w:val="20"/>
          <w:color w:val="auto"/>
        </w:rPr>
      </w:pPr>
      <w:r>
        <w:rPr>
          <w:rFonts w:ascii="Arial" w:cs="Arial" w:eastAsia="Arial" w:hAnsi="Arial"/>
          <w:sz w:val="21"/>
          <w:szCs w:val="21"/>
          <w:color w:val="auto"/>
        </w:rPr>
        <w:t>Cash and short-term deposits in the balance sheet comprise cash at banks and on hand along with short-term deposits with a maturity of three months or less, which are subject to an insignificant risk of changes in value.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m) Provisions</w:t>
      </w:r>
    </w:p>
    <w:p>
      <w:pPr>
        <w:spacing w:after="0" w:line="233"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22"/>
          <w:szCs w:val="22"/>
          <w:color w:val="auto"/>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 When the Company expects some or all of a provision to be reimbursed, for example, under an insurance contract, the reimbursement is recognized as a separate asset, but only when the reimbursement is virtually certain. The expense relating to a provision is presented in the consolidated statement of comprehensive income/(loss) net of any reimbursement.</w:t>
      </w:r>
    </w:p>
    <w:p>
      <w:pPr>
        <w:spacing w:after="0" w:line="201" w:lineRule="exact"/>
        <w:rPr>
          <w:sz w:val="20"/>
          <w:szCs w:val="20"/>
          <w:color w:val="auto"/>
        </w:rPr>
      </w:pPr>
    </w:p>
    <w:p>
      <w:pPr>
        <w:jc w:val="both"/>
        <w:ind w:left="120" w:right="160" w:firstLine="551"/>
        <w:spacing w:after="0"/>
        <w:rPr>
          <w:sz w:val="20"/>
          <w:szCs w:val="20"/>
          <w:color w:val="auto"/>
        </w:rPr>
      </w:pPr>
      <w:r>
        <w:rPr>
          <w:rFonts w:ascii="Arial" w:cs="Arial" w:eastAsia="Arial" w:hAnsi="Arial"/>
          <w:sz w:val="22"/>
          <w:szCs w:val="22"/>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00" w:lineRule="exact"/>
        <w:rPr>
          <w:sz w:val="20"/>
          <w:szCs w:val="20"/>
          <w:color w:val="auto"/>
        </w:rPr>
      </w:pPr>
    </w:p>
    <w:p>
      <w:pPr>
        <w:ind w:left="120" w:right="160" w:firstLine="551"/>
        <w:spacing w:after="0" w:line="257" w:lineRule="auto"/>
        <w:rPr>
          <w:sz w:val="20"/>
          <w:szCs w:val="20"/>
          <w:color w:val="auto"/>
        </w:rPr>
      </w:pPr>
      <w:r>
        <w:rPr>
          <w:rFonts w:ascii="Arial" w:cs="Arial" w:eastAsia="Arial" w:hAnsi="Arial"/>
          <w:sz w:val="21"/>
          <w:szCs w:val="21"/>
          <w:color w:val="auto"/>
        </w:rPr>
        <w:t>Where contingent payments relate to future use of the in-licensed IP, no liability or provision is recognized for variable amounts to be paid to the vendors based on future events unless such arrangements are onerous. The liability (and corresponding expense in the income statement) to the vendors is recognized as an obligation arises.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n) Provision for deferred cash consideration</w:t>
      </w:r>
    </w:p>
    <w:p>
      <w:pPr>
        <w:spacing w:after="0" w:line="220" w:lineRule="exact"/>
        <w:rPr>
          <w:sz w:val="20"/>
          <w:szCs w:val="20"/>
          <w:color w:val="auto"/>
        </w:rPr>
      </w:pPr>
    </w:p>
    <w:p>
      <w:pPr>
        <w:ind w:left="120" w:right="280" w:firstLine="551"/>
        <w:spacing w:after="0" w:line="287" w:lineRule="auto"/>
        <w:rPr>
          <w:sz w:val="20"/>
          <w:szCs w:val="20"/>
          <w:color w:val="auto"/>
        </w:rPr>
      </w:pPr>
      <w:r>
        <w:rPr>
          <w:rFonts w:ascii="Arial" w:cs="Arial" w:eastAsia="Arial" w:hAnsi="Arial"/>
          <w:sz w:val="19"/>
          <w:szCs w:val="19"/>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156" w:lineRule="exact"/>
        <w:rPr>
          <w:sz w:val="20"/>
          <w:szCs w:val="20"/>
          <w:color w:val="auto"/>
        </w:rPr>
      </w:pPr>
    </w:p>
    <w:p>
      <w:pPr>
        <w:ind w:left="120" w:right="460" w:firstLine="551"/>
        <w:spacing w:after="0" w:line="238" w:lineRule="auto"/>
        <w:rPr>
          <w:sz w:val="20"/>
          <w:szCs w:val="20"/>
          <w:color w:val="auto"/>
        </w:rPr>
      </w:pPr>
      <w:r>
        <w:rPr>
          <w:rFonts w:ascii="Arial" w:cs="Arial" w:eastAsia="Arial" w:hAnsi="Arial"/>
          <w:sz w:val="22"/>
          <w:szCs w:val="22"/>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ectPr>
          <w:pgSz w:w="11900" w:h="16838" w:orient="portrait"/>
          <w:cols w:equalWidth="0" w:num="1">
            <w:col w:w="11100"/>
          </w:cols>
          <w:pgMar w:left="320" w:top="486" w:right="479" w:bottom="207" w:gutter="0" w:footer="0" w:header="0"/>
        </w:sect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 Share-based payments</w:t>
      </w:r>
    </w:p>
    <w:p>
      <w:pPr>
        <w:sectPr>
          <w:pgSz w:w="11900" w:h="16838" w:orient="portrait"/>
          <w:cols w:equalWidth="0" w:num="1">
            <w:col w:w="11100"/>
          </w:cols>
          <w:pgMar w:left="320" w:top="486" w:right="479" w:bottom="207" w:gutter="0" w:footer="0" w:header="0"/>
          <w:type w:val="continuous"/>
        </w:sectPr>
      </w:pPr>
    </w:p>
    <w:bookmarkStart w:id="179" w:name="page180"/>
    <w:bookmarkEnd w:id="179"/>
    <w:p>
      <w:pPr>
        <w:ind w:firstLine="551"/>
        <w:spacing w:after="0" w:line="241" w:lineRule="auto"/>
        <w:rPr>
          <w:sz w:val="20"/>
          <w:szCs w:val="20"/>
          <w:color w:val="auto"/>
        </w:rPr>
      </w:pPr>
      <w:r>
        <w:rPr>
          <w:rFonts w:ascii="Arial" w:cs="Arial" w:eastAsia="Arial" w:hAnsi="Arial"/>
          <w:sz w:val="22"/>
          <w:szCs w:val="22"/>
          <w:color w:val="auto"/>
        </w:rPr>
        <w:t>Employees (including executives) and non-executive directors of the Company receive remuneration in the form of share-based payments, whereby employees and non-executive directors render services as consideration for equity instruments (equity settled transactions).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F-14</w:t>
      </w:r>
    </w:p>
    <w:p>
      <w:pPr>
        <w:sectPr>
          <w:pgSz w:w="11900" w:h="16838" w:orient="portrait"/>
          <w:cols w:equalWidth="0" w:num="1">
            <w:col w:w="10940"/>
          </w:cols>
          <w:pgMar w:left="440" w:top="118"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jc w:val="both"/>
        <w:ind w:left="120" w:right="240" w:firstLine="551"/>
        <w:spacing w:after="0"/>
        <w:rPr>
          <w:sz w:val="20"/>
          <w:szCs w:val="20"/>
          <w:color w:val="auto"/>
        </w:rPr>
      </w:pPr>
      <w:r>
        <w:rPr>
          <w:rFonts w:ascii="Arial" w:cs="Arial" w:eastAsia="Arial" w:hAnsi="Arial"/>
          <w:sz w:val="22"/>
          <w:szCs w:val="22"/>
          <w:color w:val="auto"/>
        </w:rPr>
        <w:t>Incentives in the form of shares are provided to employees and non-executive directors under various plans (Note 26). Executive officers also have outstanding shares under a deferred bonus share plan (“DBSP Plan”) and a long-term incentive plan (“LTIP Plan”).</w:t>
      </w:r>
    </w:p>
    <w:p>
      <w:pPr>
        <w:spacing w:after="0" w:line="213"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22"/>
          <w:szCs w:val="22"/>
          <w:color w:val="auto"/>
        </w:rPr>
        <w:t>In accordance with IFRS 2 Share-based Payments (“IFRS 2”), charges for these incentives are expensed through the consolidated statement of comprehensive income/(loss) on a straight-line basis over their vesting period, based on the Company’s estimate of shares that will eventually vest. The total amount to be expensed is determined by reference to the fair value of the options or awards at the date they were granted. For LTIP shares, the fair value on grant date excludes the impact of any non-market vesting conditions, which are taken into account by adjusting the number of equity instruments included in the measurement of the share-based payment transaction and are adjusted each period until such time as the equity instruments vest.</w:t>
      </w:r>
    </w:p>
    <w:p>
      <w:pPr>
        <w:spacing w:after="0" w:line="204"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22"/>
          <w:szCs w:val="22"/>
          <w:color w:val="auto"/>
        </w:rPr>
        <w:t>Equity-settled share-based payment transactions with parties other than employees are measured at the fair value of the goods or services received, except where that fair value cannot be estimated reliably, in which case they are measured at the fair value of the equity instruments granted, measured at the date the entity obtains the goods or the counterparty renders the service.</w:t>
      </w:r>
    </w:p>
    <w:p>
      <w:pPr>
        <w:spacing w:after="0" w:line="198" w:lineRule="exact"/>
        <w:rPr>
          <w:sz w:val="20"/>
          <w:szCs w:val="20"/>
          <w:color w:val="auto"/>
        </w:rPr>
      </w:pPr>
    </w:p>
    <w:p>
      <w:pPr>
        <w:ind w:left="120" w:firstLine="551"/>
        <w:spacing w:after="0" w:line="257" w:lineRule="auto"/>
        <w:rPr>
          <w:sz w:val="20"/>
          <w:szCs w:val="20"/>
          <w:color w:val="auto"/>
        </w:rPr>
      </w:pPr>
      <w:r>
        <w:rPr>
          <w:rFonts w:ascii="Arial" w:cs="Arial" w:eastAsia="Arial" w:hAnsi="Arial"/>
          <w:sz w:val="21"/>
          <w:szCs w:val="21"/>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p) Costs of issuing capital</w:t>
      </w:r>
    </w:p>
    <w:p>
      <w:pPr>
        <w:spacing w:after="0" w:line="220" w:lineRule="exact"/>
        <w:rPr>
          <w:sz w:val="20"/>
          <w:szCs w:val="20"/>
          <w:color w:val="auto"/>
        </w:rPr>
      </w:pPr>
    </w:p>
    <w:p>
      <w:pPr>
        <w:ind w:left="120" w:right="140" w:firstLine="551"/>
        <w:spacing w:after="0" w:line="287" w:lineRule="auto"/>
        <w:rPr>
          <w:sz w:val="20"/>
          <w:szCs w:val="20"/>
          <w:color w:val="auto"/>
        </w:rPr>
      </w:pPr>
      <w:r>
        <w:rPr>
          <w:rFonts w:ascii="Arial" w:cs="Arial" w:eastAsia="Arial" w:hAnsi="Arial"/>
          <w:sz w:val="19"/>
          <w:szCs w:val="19"/>
          <w:color w:val="auto"/>
        </w:rPr>
        <w:t>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q) Employee Benefit Trust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operates an Employee Benefit Trust (“EBT”), the Mereo BioPharma Group plc Employee Benefit Trust.</w:t>
      </w:r>
    </w:p>
    <w:p>
      <w:pPr>
        <w:spacing w:after="0" w:line="254"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21"/>
          <w:szCs w:val="21"/>
          <w:color w:val="auto"/>
        </w:rPr>
        <w:t>The EBT holds ADS’s to satisfy the exercise of options under the Company’s share-based incentive schemes (Note 26). The EBT is a Jersey-based trust which was initially funded by a loan from the Company, which it utilized to purchase shares in sufficient quantity to fulfill the envisaged awards. The Company will issue ordinary shares to a custodian for conversion by a depositary bank to ADS’s and delivery to the EBT. These ordinary shares will be deducted from the shareholders’ funds on the consolidated balance sheet at their nominal value.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Shares held by the EBT are included in the consolidated balance sheet as a reduction in equity.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r) Pension contribution costs</w:t>
      </w:r>
    </w:p>
    <w:p>
      <w:pPr>
        <w:spacing w:after="0" w:line="220" w:lineRule="exact"/>
        <w:rPr>
          <w:sz w:val="20"/>
          <w:szCs w:val="20"/>
          <w:color w:val="auto"/>
        </w:rPr>
      </w:pPr>
    </w:p>
    <w:p>
      <w:pPr>
        <w:ind w:left="120" w:right="140" w:firstLine="551"/>
        <w:spacing w:after="0" w:line="250" w:lineRule="auto"/>
        <w:rPr>
          <w:sz w:val="20"/>
          <w:szCs w:val="20"/>
          <w:color w:val="auto"/>
        </w:rPr>
      </w:pPr>
      <w:r>
        <w:rPr>
          <w:rFonts w:ascii="Arial" w:cs="Arial" w:eastAsia="Arial" w:hAnsi="Arial"/>
          <w:sz w:val="22"/>
          <w:szCs w:val="22"/>
          <w:color w:val="auto"/>
        </w:rPr>
        <w:t>Payments to defined contribution retirement benefit plans are recognized as an expense when employees have rendered service entitling them to the contributions.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Significant judgments, estimates and assumptions</w:t>
      </w:r>
    </w:p>
    <w:p>
      <w:pPr>
        <w:spacing w:after="0" w:line="239"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21"/>
          <w:szCs w:val="21"/>
          <w:color w:val="auto"/>
        </w:rPr>
        <w:t>The preparation of these consolidated financial statements requires the management of the Company to make estimates and judgments that affect the reported amounts of assets, liabilities, revenues and expenses. The Company bases its estimates and judgments on historical experience and on various other assumptions that it considers to be reasonable. Actual results may differ from these estimates under different assumptions or conditions.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Judgments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Revenue</w:t>
      </w:r>
    </w:p>
    <w:p>
      <w:pPr>
        <w:spacing w:after="0" w:line="231"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21"/>
          <w:szCs w:val="21"/>
          <w:color w:val="auto"/>
        </w:rPr>
        <w:t>Judgment is required to determine the appropriate accounting policy for the license and collaboration agreement with Ultragenyx Pharmaceutical, Inc. (“Ultragenyx”). Management has determined that the upfront proceeds from the license and collaboration agreement represent proceeds from the Company’s ordinary business activities and, therefore, represent revenue within the scope of IFRS 15, Revenue from Contracts with Customers. Judgment is also required to determine the portion of the carrying amount of the intangible asset to derecognize, relative to the value retained, as a result of the license and collaboration agreement with Ultragenyx.</w:t>
      </w:r>
    </w:p>
    <w:p>
      <w:pPr>
        <w:sectPr>
          <w:pgSz w:w="11900" w:h="16838" w:orient="portrait"/>
          <w:cols w:equalWidth="0" w:num="1">
            <w:col w:w="11120"/>
          </w:cols>
          <w:pgMar w:left="320" w:top="486" w:right="459" w:bottom="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9"/>
          <w:szCs w:val="19"/>
          <w:color w:val="auto"/>
        </w:rPr>
        <w:t>F-15</w:t>
      </w:r>
    </w:p>
    <w:p>
      <w:pPr>
        <w:sectPr>
          <w:pgSz w:w="11900" w:h="16838" w:orient="portrait"/>
          <w:cols w:equalWidth="0" w:num="1">
            <w:col w:w="9019"/>
          </w:cols>
          <w:pgMar w:left="1440" w:top="118" w:right="1440"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b) Impairment of intangible assets and property, plant and equipment</w:t>
      </w:r>
    </w:p>
    <w:p>
      <w:pPr>
        <w:spacing w:after="0" w:line="233" w:lineRule="exact"/>
        <w:rPr>
          <w:sz w:val="20"/>
          <w:szCs w:val="20"/>
          <w:color w:val="auto"/>
        </w:rPr>
      </w:pPr>
    </w:p>
    <w:p>
      <w:pPr>
        <w:ind w:left="120" w:right="80" w:firstLine="551"/>
        <w:spacing w:after="0" w:line="328" w:lineRule="auto"/>
        <w:rPr>
          <w:sz w:val="20"/>
          <w:szCs w:val="20"/>
          <w:color w:val="auto"/>
        </w:rPr>
      </w:pPr>
      <w:r>
        <w:rPr>
          <w:rFonts w:ascii="Arial" w:cs="Arial" w:eastAsia="Arial" w:hAnsi="Arial"/>
          <w:sz w:val="19"/>
          <w:szCs w:val="19"/>
          <w:color w:val="auto"/>
        </w:rPr>
        <w:t>An assessment was made in respect of indicators of impairment in the carrying value of the Company’s intangible assets (see Note 14), right-of-use assets, leasehold improvements, office equipment and IT equipment as at December 31, 2021.</w:t>
      </w:r>
    </w:p>
    <w:p>
      <w:pPr>
        <w:spacing w:after="0" w:line="118" w:lineRule="exact"/>
        <w:rPr>
          <w:sz w:val="20"/>
          <w:szCs w:val="20"/>
          <w:color w:val="auto"/>
        </w:rPr>
      </w:pPr>
    </w:p>
    <w:p>
      <w:pPr>
        <w:ind w:left="120" w:firstLine="551"/>
        <w:spacing w:after="0" w:line="248" w:lineRule="auto"/>
        <w:rPr>
          <w:sz w:val="20"/>
          <w:szCs w:val="20"/>
          <w:color w:val="auto"/>
        </w:rPr>
      </w:pPr>
      <w:r>
        <w:rPr>
          <w:rFonts w:ascii="Arial" w:cs="Arial" w:eastAsia="Arial" w:hAnsi="Arial"/>
          <w:sz w:val="21"/>
          <w:szCs w:val="21"/>
          <w:color w:val="auto"/>
        </w:rPr>
        <w:t>If such an indication exists, the recoverable amount of the asset, being the higher of the asset’s fair value less costs to sell and value in use, is compared to the asset’s carrying value. Any excess of the asset’s carrying value over its recoverable amount is recognized as an impairment in the consolidated statement of comprehensive income/(loss). The assessment of intangible assets involves a number of significant judgments regarding the likelihood of successful product approval, the costs of attaining approval, the estimated useful life of intangible assets following commercialization and the subsequent commercial profitability of the product once approved.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c) Incremental borrowing rate and lease modification</w:t>
      </w:r>
    </w:p>
    <w:p>
      <w:pPr>
        <w:spacing w:after="0" w:line="233" w:lineRule="exact"/>
        <w:rPr>
          <w:sz w:val="20"/>
          <w:szCs w:val="20"/>
          <w:color w:val="auto"/>
        </w:rPr>
      </w:pPr>
    </w:p>
    <w:p>
      <w:pPr>
        <w:ind w:left="120" w:right="260" w:firstLine="551"/>
        <w:spacing w:after="0" w:line="252" w:lineRule="auto"/>
        <w:rPr>
          <w:sz w:val="20"/>
          <w:szCs w:val="20"/>
          <w:color w:val="auto"/>
        </w:rPr>
      </w:pPr>
      <w:r>
        <w:rPr>
          <w:rFonts w:ascii="Arial" w:cs="Arial" w:eastAsia="Arial" w:hAnsi="Arial"/>
          <w:sz w:val="21"/>
          <w:szCs w:val="21"/>
          <w:color w:val="auto"/>
        </w:rPr>
        <w:t>Future lease payments are discounted using the interest rate implicit in the lease, or, if that rate cannot be readily determined, the incremental borrowing rate. IFRS 16 (Leases) defines the incremental borrowing rate as the rate of interest a lessee would have to pay to borrow over a similar term, and with a similar security, the funds necessary to obtain an asset of similar value to the right-of-use assets in a similar economic environment.</w:t>
      </w:r>
    </w:p>
    <w:p>
      <w:pPr>
        <w:spacing w:after="0" w:line="187" w:lineRule="exact"/>
        <w:rPr>
          <w:sz w:val="20"/>
          <w:szCs w:val="20"/>
          <w:color w:val="auto"/>
        </w:rPr>
      </w:pPr>
    </w:p>
    <w:p>
      <w:pPr>
        <w:jc w:val="both"/>
        <w:ind w:left="120" w:right="200" w:firstLine="551"/>
        <w:spacing w:after="0" w:line="297" w:lineRule="auto"/>
        <w:rPr>
          <w:sz w:val="20"/>
          <w:szCs w:val="20"/>
          <w:color w:val="auto"/>
        </w:rPr>
      </w:pPr>
      <w:r>
        <w:rPr>
          <w:rFonts w:ascii="Arial" w:cs="Arial" w:eastAsia="Arial" w:hAnsi="Arial"/>
          <w:sz w:val="19"/>
          <w:szCs w:val="19"/>
          <w:color w:val="auto"/>
        </w:rPr>
        <w:t>For the year ended December 31, 2020, the determination of an appropriate discount rate has a significant effect on the lease liabilities recognized. For the current lease portfolio, the incremental borrowing rate was determined based on relevant and available information as the interest rate implicit in the lease arrangements cannot be readily determined.</w:t>
      </w:r>
    </w:p>
    <w:p>
      <w:pPr>
        <w:spacing w:after="0" w:line="147"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22"/>
          <w:szCs w:val="22"/>
          <w:color w:val="auto"/>
        </w:rPr>
        <w:t>In addition to the determination of an appropriate discount rate, the Company was also required to assess the lease term for qualifying leases. The determination of the lease term is judgmental as for certain qualifying leases held by the Company, the contract includes an extension option beyond the non-cancellable period for which the Company has the right to use the underlying asset. In applying this judgment, the Company considered the period over which it was reasonably certain to make use of the extension option.</w:t>
      </w:r>
    </w:p>
    <w:p>
      <w:pPr>
        <w:spacing w:after="0" w:line="214" w:lineRule="exact"/>
        <w:rPr>
          <w:sz w:val="20"/>
          <w:szCs w:val="20"/>
          <w:color w:val="auto"/>
        </w:rPr>
      </w:pPr>
    </w:p>
    <w:p>
      <w:pPr>
        <w:ind w:left="120" w:right="100" w:firstLine="551"/>
        <w:spacing w:after="0"/>
        <w:rPr>
          <w:sz w:val="20"/>
          <w:szCs w:val="20"/>
          <w:color w:val="auto"/>
        </w:rPr>
      </w:pPr>
      <w:r>
        <w:rPr>
          <w:rFonts w:ascii="Arial" w:cs="Arial" w:eastAsia="Arial" w:hAnsi="Arial"/>
          <w:sz w:val="22"/>
          <w:szCs w:val="22"/>
          <w:color w:val="auto"/>
        </w:rPr>
        <w:t>In August 2020, a lease for office space was modified to reduce the size of the office space leased. At the time of this lease modification, judgment was applied in determining the new lease term and remeasuring the lease liability by discounting the revised lease payments using a revised incremental borrowing rate.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d) Identification and classification of financial instruments</w:t>
      </w:r>
    </w:p>
    <w:p>
      <w:pPr>
        <w:spacing w:after="0" w:line="220" w:lineRule="exact"/>
        <w:rPr>
          <w:sz w:val="20"/>
          <w:szCs w:val="20"/>
          <w:color w:val="auto"/>
        </w:rPr>
      </w:pPr>
    </w:p>
    <w:p>
      <w:pPr>
        <w:ind w:left="120" w:right="80" w:firstLine="551"/>
        <w:spacing w:after="0" w:line="272" w:lineRule="auto"/>
        <w:rPr>
          <w:sz w:val="20"/>
          <w:szCs w:val="20"/>
          <w:color w:val="auto"/>
        </w:rPr>
      </w:pPr>
      <w:r>
        <w:rPr>
          <w:rFonts w:ascii="Arial" w:cs="Arial" w:eastAsia="Arial" w:hAnsi="Arial"/>
          <w:sz w:val="19"/>
          <w:szCs w:val="19"/>
          <w:color w:val="auto"/>
        </w:rPr>
        <w:t>On June 3, 2020, the Company completed a private placement transaction (Note 19) which comprised the issue of ordinary shares, Loan Notes and Warrants. Judgment is applied under IAS 32 (Financial instruments: Presentation) in determining the features of the identified financial instruments on both the transaction date and the date of the general meeting at which Resolutions relating to the private placement were voted on by the Shareholders, to determine the appropriate recognition in accordance with IAS 32. In applying this judgment, management considered the probability of passing the Resolutions at the general meeting and the likelihood of a change of control prior to the passing of the Resolutions, which impact the settlement terms of the financial instruments, and the classification of the financial instruments as liabilities or equity. Management concluded that a change of control event was uncertain and outside of the Company’s control, and therefore the conversion feature on the Loan Notes at the transaction date represented a financial liability with an embedded derivative for the conversion option. On the passing of the Resolutions, judgment was applied to determine that the effective terms of the Loans Notes changed and the embedded derivative financial liability representing the conversion option was reclassified to equity at its fair value, with no associated gain or loss recognized in profit or loss.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e) Business combination</w:t>
      </w:r>
    </w:p>
    <w:p>
      <w:pPr>
        <w:spacing w:after="0" w:line="220"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22"/>
          <w:szCs w:val="22"/>
          <w:color w:val="auto"/>
        </w:rPr>
        <w:t>On April 23, 2019, the Company obtained a 100% controlling interest in Mereo BioPharma 5, Inc. (formerly OncoMed), a company based in the United States (“US”). The value of the net identifiable assets acquired was £44.6 million. Total consideration paid, being the fair value of 24.8 million ordinary shares of the Company, was £40.9 million. As the Company acquired Mereo BioPharma 5, Inc. for an amount less than the fair market value of the net assets acquired, a gain on bargain purchase of £3.7 million was recognized.</w:t>
      </w:r>
    </w:p>
    <w:p>
      <w:pPr>
        <w:spacing w:after="0" w:line="201"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22"/>
          <w:szCs w:val="22"/>
          <w:color w:val="auto"/>
        </w:rPr>
        <w:t>Judgment was applied under IFRS 3 (Business Combinations) in determining whether a transaction meets the definition of a business combination, and so accounted for in accordance with its requirements. In applying this judgement, management has considered the underlying economic substance of the transaction in addition to the contractual terms. Our assessment is that Mereo BioPharma 5, Inc. meets the definition of a ‘business’ and the transaction has therefore been accounted for as a business combination.</w:t>
      </w:r>
    </w:p>
    <w:p>
      <w:pPr>
        <w:sectPr>
          <w:pgSz w:w="11900" w:h="16838" w:orient="portrait"/>
          <w:cols w:equalWidth="0" w:num="1">
            <w:col w:w="11140"/>
          </w:cols>
          <w:pgMar w:left="320" w:top="486" w:right="439" w:bottom="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9"/>
          <w:szCs w:val="19"/>
          <w:color w:val="auto"/>
        </w:rPr>
        <w:t>F-16</w:t>
      </w:r>
    </w:p>
    <w:p>
      <w:pPr>
        <w:sectPr>
          <w:pgSz w:w="11900" w:h="16838" w:orient="portrait"/>
          <w:cols w:equalWidth="0" w:num="1">
            <w:col w:w="9019"/>
          </w:cols>
          <w:pgMar w:left="1440" w:top="118" w:right="1440" w:bottom="1440" w:gutter="0" w:footer="0" w:header="0"/>
        </w:sectPr>
      </w:pPr>
    </w:p>
    <w:bookmarkStart w:id="184" w:name="page185"/>
    <w:bookmarkEnd w:id="184"/>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Estimates and assumptions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a) Deferred consideration</w:t>
      </w:r>
    </w:p>
    <w:p>
      <w:pPr>
        <w:spacing w:after="0" w:line="220" w:lineRule="exact"/>
        <w:rPr>
          <w:sz w:val="20"/>
          <w:szCs w:val="20"/>
          <w:color w:val="auto"/>
        </w:rPr>
      </w:pPr>
    </w:p>
    <w:p>
      <w:pPr>
        <w:jc w:val="both"/>
        <w:ind w:left="120" w:right="220" w:firstLine="551"/>
        <w:spacing w:after="0" w:line="297" w:lineRule="auto"/>
        <w:rPr>
          <w:sz w:val="20"/>
          <w:szCs w:val="20"/>
          <w:color w:val="auto"/>
        </w:rPr>
      </w:pPr>
      <w:r>
        <w:rPr>
          <w:rFonts w:ascii="Arial" w:cs="Arial" w:eastAsia="Arial" w:hAnsi="Arial"/>
          <w:sz w:val="19"/>
          <w:szCs w:val="19"/>
          <w:color w:val="auto"/>
        </w:rPr>
        <w:t>Deferred consideration represents contingent cash consideration and is recognized as a provision at each balance sheet date, to the extent its amount is quantifiable at the inception of the arrangement (see Note 18). The amount provided is based on estimates regarding the timing and progress of the related research and development activities (see Note 24).</w:t>
      </w:r>
    </w:p>
    <w:p>
      <w:pPr>
        <w:spacing w:after="0" w:line="147" w:lineRule="exact"/>
        <w:rPr>
          <w:sz w:val="20"/>
          <w:szCs w:val="20"/>
          <w:color w:val="auto"/>
        </w:rPr>
      </w:pPr>
    </w:p>
    <w:p>
      <w:pPr>
        <w:ind w:left="120" w:right="100" w:firstLine="551"/>
        <w:spacing w:after="0" w:line="250" w:lineRule="auto"/>
        <w:rPr>
          <w:sz w:val="20"/>
          <w:szCs w:val="20"/>
          <w:color w:val="auto"/>
        </w:rPr>
      </w:pPr>
      <w:r>
        <w:rPr>
          <w:rFonts w:ascii="Arial" w:cs="Arial" w:eastAsia="Arial" w:hAnsi="Arial"/>
          <w:sz w:val="22"/>
          <w:szCs w:val="22"/>
          <w:color w:val="auto"/>
        </w:rPr>
        <w:t>Deferred consideration in the form of shares is recognized as a share-based payment when it is probable that shares will be transferred.</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b) Fair value of financial instruments</w:t>
      </w:r>
    </w:p>
    <w:p>
      <w:pPr>
        <w:spacing w:after="0" w:line="220" w:lineRule="exact"/>
        <w:rPr>
          <w:sz w:val="20"/>
          <w:szCs w:val="20"/>
          <w:color w:val="auto"/>
        </w:rPr>
      </w:pPr>
    </w:p>
    <w:p>
      <w:pPr>
        <w:ind w:left="120" w:right="400" w:firstLine="551"/>
        <w:spacing w:after="0" w:line="236" w:lineRule="auto"/>
        <w:rPr>
          <w:sz w:val="20"/>
          <w:szCs w:val="20"/>
          <w:color w:val="auto"/>
        </w:rPr>
      </w:pPr>
      <w:r>
        <w:rPr>
          <w:rFonts w:ascii="Arial" w:cs="Arial" w:eastAsia="Arial" w:hAnsi="Arial"/>
          <w:sz w:val="22"/>
          <w:szCs w:val="22"/>
          <w:color w:val="auto"/>
        </w:rPr>
        <w:t>As part of the private placement transaction (Note 19), the Company performed a valuation of the fair value of the identified financial instruments including the embedded derivative and the warrants on the transaction date and the general meeting date. For qualifying financial instruments, the fair value is reassessed at each balance sheet date. Specific consideration was applied to the estimation of implied share price on the transaction date, the volatility, credit spread and discount rate (see Note 24).</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c) Contingent consideration</w:t>
      </w:r>
    </w:p>
    <w:p>
      <w:pPr>
        <w:spacing w:after="0" w:line="233" w:lineRule="exact"/>
        <w:rPr>
          <w:sz w:val="20"/>
          <w:szCs w:val="20"/>
          <w:color w:val="auto"/>
        </w:rPr>
      </w:pPr>
    </w:p>
    <w:p>
      <w:pPr>
        <w:ind w:left="120" w:right="300" w:firstLine="551"/>
        <w:spacing w:after="0"/>
        <w:rPr>
          <w:sz w:val="20"/>
          <w:szCs w:val="20"/>
          <w:color w:val="auto"/>
        </w:rPr>
      </w:pPr>
      <w:r>
        <w:rPr>
          <w:rFonts w:ascii="Arial" w:cs="Arial" w:eastAsia="Arial" w:hAnsi="Arial"/>
          <w:sz w:val="22"/>
          <w:szCs w:val="22"/>
          <w:color w:val="auto"/>
        </w:rPr>
        <w:t>The Company makes a provision for the estimated fair value of amounts payable to the former shareholders of Mereo BioPharma 5, Inc. under the Contingent Value Rights Agreement (“CVR”), which is accounted for as a contingent consideration liability.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December 31, 2021, the Company estimates the fair value of the contingent consideration liability to be £nil (2020:</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nil). Total potential payments under the CVR on a gross, undiscounted basis, are approximately £58.6 million ($80.0 million).</w:t>
      </w:r>
    </w:p>
    <w:p>
      <w:pPr>
        <w:spacing w:after="0" w:line="23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22"/>
          <w:szCs w:val="22"/>
          <w:color w:val="auto"/>
        </w:rPr>
        <w:t>The estimated contingent consideration payable is based on a risk-adjusted, probability-based scenario. Under this approach the likelihood of future payments being made to the former shareholders of Mereo BioPharma 5, Inc. under the CVR is considered. The estimate could materially change over time in line with the development plan and potential subsequent commercialization of the product.</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Changes in accounting policies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a) New standards, interpretations and amendments adopted from January 1, 2021</w:t>
      </w:r>
    </w:p>
    <w:p>
      <w:pPr>
        <w:spacing w:after="0" w:line="220"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In the current year, the Company has applied the below amendments to IFRS issued by the IASB that are effective for an annual period that begins on or after January 1, 2021. Their adoption has not had any material impact on the disclosures or on the amounts reported in these consolidated financial statements:</w:t>
      </w:r>
    </w:p>
    <w:p>
      <w:pPr>
        <w:spacing w:after="0" w:line="240" w:lineRule="exact"/>
        <w:rPr>
          <w:sz w:val="20"/>
          <w:szCs w:val="20"/>
          <w:color w:val="auto"/>
        </w:rPr>
      </w:pPr>
    </w:p>
    <w:p>
      <w:pPr>
        <w:ind w:left="1420" w:hanging="535"/>
        <w:spacing w:after="0"/>
        <w:tabs>
          <w:tab w:leader="none" w:pos="14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Amendments to IFRS 4 Insurance Contracts</w:t>
      </w:r>
    </w:p>
    <w:p>
      <w:pPr>
        <w:spacing w:after="0" w:line="8" w:lineRule="exact"/>
        <w:rPr>
          <w:rFonts w:ascii="Arial" w:cs="Arial" w:eastAsia="Arial" w:hAnsi="Arial"/>
          <w:sz w:val="22"/>
          <w:szCs w:val="22"/>
          <w:color w:val="auto"/>
        </w:rPr>
      </w:pPr>
    </w:p>
    <w:p>
      <w:pPr>
        <w:ind w:left="1420" w:hanging="535"/>
        <w:spacing w:after="0" w:line="230" w:lineRule="auto"/>
        <w:tabs>
          <w:tab w:leader="none" w:pos="14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Amendments to IFRS 9, IAS 39 and IFRS 7 – Interest Rate Benchmark Reform – Phase 2</w:t>
      </w:r>
    </w:p>
    <w:p>
      <w:pPr>
        <w:ind w:left="1420" w:hanging="535"/>
        <w:spacing w:after="0"/>
        <w:tabs>
          <w:tab w:leader="none" w:pos="14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Amendments to IFRS 16 Covid-19 related rent concessions</w:t>
      </w:r>
    </w:p>
    <w:p>
      <w:pPr>
        <w:spacing w:after="0" w:line="215" w:lineRule="exact"/>
        <w:rPr>
          <w:rFonts w:ascii="Arial" w:cs="Arial" w:eastAsia="Arial" w:hAnsi="Arial"/>
          <w:sz w:val="22"/>
          <w:szCs w:val="22"/>
          <w:color w:val="auto"/>
        </w:rPr>
      </w:pPr>
    </w:p>
    <w:p>
      <w:pPr>
        <w:ind w:left="360" w:hanging="244"/>
        <w:spacing w:after="0"/>
        <w:tabs>
          <w:tab w:leader="none" w:pos="360" w:val="left"/>
        </w:tabs>
        <w:numPr>
          <w:ilvl w:val="0"/>
          <w:numId w:val="88"/>
        </w:numPr>
        <w:rPr>
          <w:rFonts w:ascii="Arial" w:cs="Arial" w:eastAsia="Arial" w:hAnsi="Arial"/>
          <w:sz w:val="22"/>
          <w:szCs w:val="22"/>
          <w:i w:val="1"/>
          <w:iCs w:val="1"/>
          <w:color w:val="auto"/>
        </w:rPr>
      </w:pPr>
      <w:r>
        <w:rPr>
          <w:rFonts w:ascii="Arial" w:cs="Arial" w:eastAsia="Arial" w:hAnsi="Arial"/>
          <w:sz w:val="22"/>
          <w:szCs w:val="22"/>
          <w:i w:val="1"/>
          <w:iCs w:val="1"/>
          <w:color w:val="auto"/>
        </w:rPr>
        <w:t>New standards, interpretations and amendments not yet effective</w:t>
      </w:r>
    </w:p>
    <w:p>
      <w:pPr>
        <w:spacing w:after="0" w:line="220" w:lineRule="exact"/>
        <w:rPr>
          <w:sz w:val="20"/>
          <w:szCs w:val="20"/>
          <w:color w:val="auto"/>
        </w:rPr>
      </w:pPr>
    </w:p>
    <w:p>
      <w:pPr>
        <w:ind w:left="120" w:right="180" w:firstLine="551"/>
        <w:spacing w:after="0" w:line="250" w:lineRule="auto"/>
        <w:rPr>
          <w:sz w:val="20"/>
          <w:szCs w:val="20"/>
          <w:color w:val="auto"/>
        </w:rPr>
      </w:pPr>
      <w:r>
        <w:rPr>
          <w:rFonts w:ascii="Arial" w:cs="Arial" w:eastAsia="Arial" w:hAnsi="Arial"/>
          <w:sz w:val="22"/>
          <w:szCs w:val="22"/>
          <w:color w:val="auto"/>
        </w:rPr>
        <w:t>At the date of authorization of these consolidated financial statements, the Company has not applied the following new and revised IFRS that have been issued but are not yet effective: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January 1, 2022</w:t>
      </w:r>
    </w:p>
    <w:p>
      <w:pPr>
        <w:spacing w:after="0" w:line="260" w:lineRule="exact"/>
        <w:rPr>
          <w:sz w:val="20"/>
          <w:szCs w:val="20"/>
          <w:color w:val="auto"/>
        </w:rPr>
      </w:pPr>
    </w:p>
    <w:p>
      <w:pPr>
        <w:ind w:left="1420" w:hanging="535"/>
        <w:spacing w:after="0"/>
        <w:tabs>
          <w:tab w:leader="none" w:pos="14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Annual Improvements to IFRS Standards 2018-2020 (Amendments to IFRS 1, IFRS 9, IFRS 16 and IAS 41)</w:t>
      </w:r>
    </w:p>
    <w:p>
      <w:pPr>
        <w:spacing w:after="0" w:line="42" w:lineRule="exact"/>
        <w:rPr>
          <w:rFonts w:ascii="Arial" w:cs="Arial" w:eastAsia="Arial" w:hAnsi="Arial"/>
          <w:sz w:val="19"/>
          <w:szCs w:val="19"/>
          <w:color w:val="auto"/>
        </w:rPr>
      </w:pPr>
    </w:p>
    <w:p>
      <w:pPr>
        <w:ind w:left="1420" w:hanging="535"/>
        <w:spacing w:after="0" w:line="230" w:lineRule="auto"/>
        <w:tabs>
          <w:tab w:leader="none" w:pos="14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Amendments to IAS 16 – Proceeds before Intended Use</w:t>
      </w:r>
    </w:p>
    <w:p>
      <w:pPr>
        <w:ind w:left="1420" w:hanging="535"/>
        <w:spacing w:after="0" w:line="230" w:lineRule="auto"/>
        <w:tabs>
          <w:tab w:leader="none" w:pos="14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Amendments to IAS 37 – Onerous Contracts – Cost of Fulfilling a Contract</w:t>
      </w:r>
    </w:p>
    <w:p>
      <w:pPr>
        <w:ind w:left="1420" w:hanging="535"/>
        <w:spacing w:after="0"/>
        <w:tabs>
          <w:tab w:leader="none" w:pos="14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Amendments to IFRS 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January 1, 2023</w:t>
      </w:r>
    </w:p>
    <w:p>
      <w:pPr>
        <w:spacing w:after="0" w:line="260" w:lineRule="exact"/>
        <w:rPr>
          <w:sz w:val="20"/>
          <w:szCs w:val="20"/>
          <w:color w:val="auto"/>
        </w:rPr>
      </w:pPr>
    </w:p>
    <w:p>
      <w:pPr>
        <w:ind w:left="1420" w:hanging="535"/>
        <w:spacing w:after="0"/>
        <w:tabs>
          <w:tab w:leader="none" w:pos="14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Amendments to IAS 1 – Classification of Liabilities as Current or Non-current</w:t>
      </w:r>
    </w:p>
    <w:p>
      <w:pPr>
        <w:spacing w:after="0" w:line="8" w:lineRule="exact"/>
        <w:rPr>
          <w:rFonts w:ascii="Arial" w:cs="Arial" w:eastAsia="Arial" w:hAnsi="Arial"/>
          <w:sz w:val="22"/>
          <w:szCs w:val="22"/>
          <w:color w:val="auto"/>
        </w:rPr>
      </w:pPr>
    </w:p>
    <w:p>
      <w:pPr>
        <w:ind w:left="1420" w:hanging="535"/>
        <w:spacing w:after="0" w:line="230" w:lineRule="auto"/>
        <w:tabs>
          <w:tab w:leader="none" w:pos="14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Amendments to IFRS 17 – Insurance Contracts</w:t>
      </w:r>
    </w:p>
    <w:p>
      <w:pPr>
        <w:ind w:left="1420" w:hanging="535"/>
        <w:spacing w:after="0"/>
        <w:tabs>
          <w:tab w:leader="none" w:pos="1420" w:val="left"/>
        </w:tabs>
        <w:numPr>
          <w:ilvl w:val="0"/>
          <w:numId w:val="90"/>
        </w:numPr>
        <w:rPr>
          <w:rFonts w:ascii="Arial" w:cs="Arial" w:eastAsia="Arial" w:hAnsi="Arial"/>
          <w:sz w:val="21"/>
          <w:szCs w:val="21"/>
          <w:color w:val="auto"/>
        </w:rPr>
      </w:pPr>
      <w:r>
        <w:rPr>
          <w:rFonts w:ascii="Arial" w:cs="Arial" w:eastAsia="Arial" w:hAnsi="Arial"/>
          <w:sz w:val="21"/>
          <w:szCs w:val="21"/>
          <w:color w:val="auto"/>
        </w:rPr>
        <w:t>Amendments to IAS 12 – Deferred tax related to assets and liabilities arising from a single transaction</w:t>
      </w:r>
    </w:p>
    <w:p>
      <w:pPr>
        <w:sectPr>
          <w:pgSz w:w="11900" w:h="16859" w:orient="portrait"/>
          <w:cols w:equalWidth="0" w:num="1">
            <w:col w:w="11120"/>
          </w:cols>
          <w:pgMar w:left="320" w:top="486" w:right="459" w:bottom="0" w:gutter="0" w:footer="0" w:header="0"/>
        </w:sectPr>
      </w:pPr>
    </w:p>
    <w:bookmarkStart w:id="185" w:name="page186"/>
    <w:bookmarkEnd w:id="185"/>
    <w:p>
      <w:pPr>
        <w:ind w:left="1300" w:hanging="535"/>
        <w:spacing w:after="0"/>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Amendments to IAS 8 – Definition of accounting estimates</w:t>
      </w:r>
    </w:p>
    <w:p>
      <w:pPr>
        <w:spacing w:after="0" w:line="8" w:lineRule="exact"/>
        <w:rPr>
          <w:rFonts w:ascii="Arial" w:cs="Arial" w:eastAsia="Arial" w:hAnsi="Arial"/>
          <w:sz w:val="22"/>
          <w:szCs w:val="22"/>
          <w:color w:val="auto"/>
        </w:rPr>
      </w:pPr>
    </w:p>
    <w:p>
      <w:pPr>
        <w:ind w:left="1300" w:hanging="535"/>
        <w:spacing w:after="0"/>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Amendments to IAS 1 and IFRS Practice Statement 2 – Disclosure of accounting policies</w:t>
      </w:r>
    </w:p>
    <w:p>
      <w:pPr>
        <w:spacing w:after="0" w:line="202" w:lineRule="exact"/>
        <w:rPr>
          <w:sz w:val="20"/>
          <w:szCs w:val="20"/>
          <w:color w:val="auto"/>
        </w:rPr>
      </w:pPr>
    </w:p>
    <w:p>
      <w:pPr>
        <w:ind w:firstLine="551"/>
        <w:spacing w:after="0" w:line="250" w:lineRule="auto"/>
        <w:rPr>
          <w:sz w:val="20"/>
          <w:szCs w:val="20"/>
          <w:color w:val="auto"/>
        </w:rPr>
      </w:pPr>
      <w:r>
        <w:rPr>
          <w:rFonts w:ascii="Arial" w:cs="Arial" w:eastAsia="Arial" w:hAnsi="Arial"/>
          <w:sz w:val="22"/>
          <w:szCs w:val="22"/>
          <w:color w:val="auto"/>
        </w:rPr>
        <w:t>The Company does not expect the adoption of these IFRS amendments will have a material impact on the Company in the current or future reporting periods and on foreseeable future transactions.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F-17</w:t>
      </w:r>
    </w:p>
    <w:p>
      <w:pPr>
        <w:sectPr>
          <w:pgSz w:w="11900" w:h="16838" w:orient="portrait"/>
          <w:cols w:equalWidth="0" w:num="1">
            <w:col w:w="10800"/>
          </w:cols>
          <w:pgMar w:left="440" w:top="132" w:right="659" w:bottom="1440" w:gutter="0" w:footer="0" w:header="0"/>
        </w:sectPr>
      </w:pPr>
    </w:p>
    <w:bookmarkStart w:id="186" w:name="page187"/>
    <w:bookmarkEnd w:id="186"/>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NOTES TO THE CONSOLIDATED FINANCIAL STATEMENTS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Group information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Information about subsidiaries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consolidated financial statements of the Company include:</w:t>
      </w:r>
    </w:p>
    <w:p>
      <w:pPr>
        <w:spacing w:after="0" w:line="26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93"/>
              </w:rPr>
              <w:t>% Equity</w:t>
            </w:r>
          </w:p>
        </w:tc>
        <w:tc>
          <w:tcPr>
            <w:tcW w:w="1160" w:type="dxa"/>
            <w:vAlign w:val="bottom"/>
            <w:gridSpan w:val="2"/>
          </w:tcPr>
          <w:p>
            <w:pPr>
              <w:jc w:val="center"/>
              <w:ind w:right="60"/>
              <w:spacing w:after="0"/>
              <w:rPr>
                <w:sz w:val="20"/>
                <w:szCs w:val="20"/>
                <w:color w:val="auto"/>
              </w:rPr>
            </w:pPr>
            <w:r>
              <w:rPr>
                <w:rFonts w:ascii="Arial" w:cs="Arial" w:eastAsia="Arial" w:hAnsi="Arial"/>
                <w:sz w:val="20"/>
                <w:szCs w:val="20"/>
                <w:color w:val="auto"/>
                <w:w w:val="93"/>
              </w:rPr>
              <w:t>% Equity</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88"/>
              </w:rPr>
              <w:t>interest</w:t>
            </w:r>
          </w:p>
        </w:tc>
        <w:tc>
          <w:tcPr>
            <w:tcW w:w="116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interest</w:t>
            </w:r>
          </w:p>
        </w:tc>
        <w:tc>
          <w:tcPr>
            <w:tcW w:w="0" w:type="dxa"/>
            <w:vAlign w:val="bottom"/>
          </w:tcPr>
          <w:p>
            <w:pPr>
              <w:spacing w:after="0"/>
              <w:rPr>
                <w:sz w:val="1"/>
                <w:szCs w:val="1"/>
                <w:color w:val="auto"/>
              </w:rPr>
            </w:pPr>
          </w:p>
        </w:tc>
      </w:tr>
      <w:tr>
        <w:trPr>
          <w:trHeight w:val="230"/>
        </w:trPr>
        <w:tc>
          <w:tcPr>
            <w:tcW w:w="480" w:type="dxa"/>
            <w:vAlign w:val="bottom"/>
            <w:vMerge w:val="restart"/>
          </w:tcPr>
          <w:p>
            <w:pPr>
              <w:spacing w:after="0"/>
              <w:rPr>
                <w:sz w:val="20"/>
                <w:szCs w:val="20"/>
                <w:color w:val="auto"/>
              </w:rPr>
            </w:pPr>
            <w:r>
              <w:rPr>
                <w:rFonts w:ascii="Arial" w:cs="Arial" w:eastAsia="Arial" w:hAnsi="Arial"/>
                <w:sz w:val="20"/>
                <w:szCs w:val="20"/>
                <w:color w:val="auto"/>
                <w:w w:val="86"/>
              </w:rPr>
              <w:t>Name</w:t>
            </w:r>
          </w:p>
        </w:tc>
        <w:tc>
          <w:tcPr>
            <w:tcW w:w="2640" w:type="dxa"/>
            <w:vAlign w:val="bottom"/>
            <w:vMerge w:val="restart"/>
          </w:tcPr>
          <w:p>
            <w:pPr>
              <w:spacing w:after="0"/>
              <w:rPr>
                <w:sz w:val="19"/>
                <w:szCs w:val="19"/>
                <w:color w:val="auto"/>
              </w:rPr>
            </w:pPr>
          </w:p>
        </w:tc>
        <w:tc>
          <w:tcPr>
            <w:tcW w:w="1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20"/>
                <w:szCs w:val="20"/>
                <w:color w:val="auto"/>
              </w:rPr>
              <w:t>Country of</w:t>
            </w:r>
          </w:p>
        </w:tc>
        <w:tc>
          <w:tcPr>
            <w:tcW w:w="1720" w:type="dxa"/>
            <w:vAlign w:val="bottom"/>
            <w:gridSpan w:val="2"/>
          </w:tcPr>
          <w:p>
            <w:pPr>
              <w:jc w:val="center"/>
              <w:ind w:right="600"/>
              <w:spacing w:after="0"/>
              <w:rPr>
                <w:sz w:val="20"/>
                <w:szCs w:val="20"/>
                <w:color w:val="auto"/>
              </w:rPr>
            </w:pPr>
            <w:r>
              <w:rPr>
                <w:rFonts w:ascii="Arial" w:cs="Arial" w:eastAsia="Arial" w:hAnsi="Arial"/>
                <w:sz w:val="20"/>
                <w:szCs w:val="20"/>
                <w:color w:val="auto"/>
                <w:w w:val="89"/>
              </w:rPr>
              <w:t>December 31,</w:t>
            </w:r>
          </w:p>
        </w:tc>
        <w:tc>
          <w:tcPr>
            <w:tcW w:w="1160" w:type="dxa"/>
            <w:vAlign w:val="bottom"/>
            <w:gridSpan w:val="2"/>
          </w:tcPr>
          <w:p>
            <w:pPr>
              <w:jc w:val="center"/>
              <w:ind w:right="60"/>
              <w:spacing w:after="0"/>
              <w:rPr>
                <w:sz w:val="20"/>
                <w:szCs w:val="20"/>
                <w:color w:val="auto"/>
              </w:rPr>
            </w:pPr>
            <w:r>
              <w:rPr>
                <w:rFonts w:ascii="Arial" w:cs="Arial" w:eastAsia="Arial" w:hAnsi="Arial"/>
                <w:sz w:val="20"/>
                <w:szCs w:val="20"/>
                <w:color w:val="auto"/>
                <w:w w:val="87"/>
              </w:rPr>
              <w:t>December 31,</w:t>
            </w:r>
          </w:p>
        </w:tc>
        <w:tc>
          <w:tcPr>
            <w:tcW w:w="0" w:type="dxa"/>
            <w:vAlign w:val="bottom"/>
          </w:tcPr>
          <w:p>
            <w:pPr>
              <w:spacing w:after="0"/>
              <w:rPr>
                <w:sz w:val="1"/>
                <w:szCs w:val="1"/>
                <w:color w:val="auto"/>
              </w:rPr>
            </w:pPr>
          </w:p>
        </w:tc>
      </w:tr>
      <w:tr>
        <w:trPr>
          <w:trHeight w:val="253"/>
        </w:trPr>
        <w:tc>
          <w:tcPr>
            <w:tcW w:w="480" w:type="dxa"/>
            <w:vAlign w:val="bottom"/>
            <w:tcBorders>
              <w:bottom w:val="single" w:sz="8" w:color="auto"/>
            </w:tcBorders>
            <w:vMerge w:val="continue"/>
          </w:tcPr>
          <w:p>
            <w:pPr>
              <w:spacing w:after="0"/>
              <w:rPr>
                <w:sz w:val="21"/>
                <w:szCs w:val="21"/>
                <w:color w:val="auto"/>
              </w:rPr>
            </w:pPr>
          </w:p>
        </w:tc>
        <w:tc>
          <w:tcPr>
            <w:tcW w:w="2640" w:type="dxa"/>
            <w:vAlign w:val="bottom"/>
            <w:vMerge w:val="continue"/>
          </w:tcPr>
          <w:p>
            <w:pPr>
              <w:spacing w:after="0"/>
              <w:rPr>
                <w:sz w:val="21"/>
                <w:szCs w:val="21"/>
                <w:color w:val="auto"/>
              </w:rPr>
            </w:pPr>
          </w:p>
        </w:tc>
        <w:tc>
          <w:tcPr>
            <w:tcW w:w="2460" w:type="dxa"/>
            <w:vAlign w:val="bottom"/>
            <w:gridSpan w:val="2"/>
          </w:tcPr>
          <w:p>
            <w:pPr>
              <w:ind w:left="220"/>
              <w:spacing w:after="0"/>
              <w:rPr>
                <w:sz w:val="20"/>
                <w:szCs w:val="20"/>
                <w:color w:val="auto"/>
              </w:rPr>
            </w:pPr>
            <w:r>
              <w:rPr>
                <w:rFonts w:ascii="Arial" w:cs="Arial" w:eastAsia="Arial" w:hAnsi="Arial"/>
                <w:sz w:val="20"/>
                <w:szCs w:val="20"/>
                <w:color w:val="auto"/>
              </w:rPr>
              <w:t>Principal activities</w:t>
            </w:r>
          </w:p>
        </w:tc>
        <w:tc>
          <w:tcPr>
            <w:tcW w:w="1660" w:type="dxa"/>
            <w:vAlign w:val="bottom"/>
            <w:gridSpan w:val="2"/>
          </w:tcPr>
          <w:p>
            <w:pPr>
              <w:jc w:val="right"/>
              <w:ind w:right="600"/>
              <w:spacing w:after="0"/>
              <w:rPr>
                <w:sz w:val="20"/>
                <w:szCs w:val="20"/>
                <w:color w:val="auto"/>
              </w:rPr>
            </w:pPr>
            <w:r>
              <w:rPr>
                <w:rFonts w:ascii="Arial" w:cs="Arial" w:eastAsia="Arial" w:hAnsi="Arial"/>
                <w:sz w:val="20"/>
                <w:szCs w:val="20"/>
                <w:color w:val="auto"/>
                <w:w w:val="89"/>
              </w:rPr>
              <w:t>incorporation</w:t>
            </w:r>
          </w:p>
        </w:tc>
        <w:tc>
          <w:tcPr>
            <w:tcW w:w="1120" w:type="dxa"/>
            <w:vAlign w:val="bottom"/>
          </w:tcPr>
          <w:p>
            <w:pPr>
              <w:jc w:val="center"/>
              <w:spacing w:after="0"/>
              <w:rPr>
                <w:sz w:val="20"/>
                <w:szCs w:val="20"/>
                <w:color w:val="auto"/>
              </w:rPr>
            </w:pPr>
            <w:r>
              <w:rPr>
                <w:rFonts w:ascii="Arial" w:cs="Arial" w:eastAsia="Arial" w:hAnsi="Arial"/>
                <w:sz w:val="20"/>
                <w:szCs w:val="20"/>
                <w:color w:val="auto"/>
                <w:w w:val="89"/>
              </w:rPr>
              <w:t>2021</w:t>
            </w:r>
          </w:p>
        </w:tc>
        <w:tc>
          <w:tcPr>
            <w:tcW w:w="6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20"/>
                <w:szCs w:val="20"/>
                <w:color w:val="auto"/>
                <w:w w:val="89"/>
              </w:rPr>
              <w:t>2020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120" w:type="dxa"/>
            <w:vAlign w:val="bottom"/>
            <w:tcBorders>
              <w:top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Mereo BioPharma 1 Limited</w:t>
            </w:r>
          </w:p>
        </w:tc>
        <w:tc>
          <w:tcPr>
            <w:tcW w:w="192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Pharmaceutical R&amp;D</w:t>
            </w:r>
          </w:p>
        </w:tc>
        <w:tc>
          <w:tcPr>
            <w:tcW w:w="5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UK</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721"/>
              <w:spacing w:after="0" w:line="216" w:lineRule="exact"/>
              <w:rPr>
                <w:sz w:val="20"/>
                <w:szCs w:val="20"/>
                <w:color w:val="auto"/>
              </w:rPr>
            </w:pPr>
            <w:r>
              <w:rPr>
                <w:rFonts w:ascii="Arial" w:cs="Arial" w:eastAsia="Arial" w:hAnsi="Arial"/>
                <w:sz w:val="20"/>
                <w:szCs w:val="20"/>
                <w:color w:val="auto"/>
                <w:w w:val="89"/>
              </w:rPr>
              <w:t>100</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721"/>
              <w:spacing w:after="0" w:line="216" w:lineRule="exact"/>
              <w:rPr>
                <w:sz w:val="20"/>
                <w:szCs w:val="20"/>
                <w:color w:val="auto"/>
              </w:rPr>
            </w:pPr>
            <w:r>
              <w:rPr>
                <w:rFonts w:ascii="Arial" w:cs="Arial" w:eastAsia="Arial" w:hAnsi="Arial"/>
                <w:sz w:val="20"/>
                <w:szCs w:val="20"/>
                <w:color w:val="auto"/>
                <w:w w:val="89"/>
              </w:rPr>
              <w:t>100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20"/>
                <w:szCs w:val="20"/>
                <w:color w:val="auto"/>
              </w:rPr>
              <w:t>Mereo BioPharma 2 Limited</w:t>
            </w:r>
          </w:p>
        </w:tc>
        <w:tc>
          <w:tcPr>
            <w:tcW w:w="2460" w:type="dxa"/>
            <w:vAlign w:val="bottom"/>
            <w:gridSpan w:val="2"/>
          </w:tcPr>
          <w:p>
            <w:pPr>
              <w:spacing w:after="0"/>
              <w:rPr>
                <w:sz w:val="20"/>
                <w:szCs w:val="20"/>
                <w:color w:val="auto"/>
              </w:rPr>
            </w:pPr>
            <w:r>
              <w:rPr>
                <w:rFonts w:ascii="Arial" w:cs="Arial" w:eastAsia="Arial" w:hAnsi="Arial"/>
                <w:sz w:val="20"/>
                <w:szCs w:val="20"/>
                <w:color w:val="auto"/>
              </w:rPr>
              <w:t>Pharmaceutical R&amp;D</w:t>
            </w:r>
          </w:p>
        </w:tc>
        <w:tc>
          <w:tcPr>
            <w:tcW w:w="1660" w:type="dxa"/>
            <w:vAlign w:val="bottom"/>
            <w:gridSpan w:val="2"/>
          </w:tcPr>
          <w:p>
            <w:pPr>
              <w:jc w:val="right"/>
              <w:ind w:right="600"/>
              <w:spacing w:after="0"/>
              <w:rPr>
                <w:sz w:val="20"/>
                <w:szCs w:val="20"/>
                <w:color w:val="auto"/>
              </w:rPr>
            </w:pPr>
            <w:r>
              <w:rPr>
                <w:rFonts w:ascii="Arial" w:cs="Arial" w:eastAsia="Arial" w:hAnsi="Arial"/>
                <w:sz w:val="20"/>
                <w:szCs w:val="20"/>
                <w:color w:val="auto"/>
              </w:rPr>
              <w:t>UK</w:t>
            </w:r>
          </w:p>
        </w:tc>
        <w:tc>
          <w:tcPr>
            <w:tcW w:w="1720" w:type="dxa"/>
            <w:vAlign w:val="bottom"/>
            <w:gridSpan w:val="2"/>
          </w:tcPr>
          <w:p>
            <w:pPr>
              <w:jc w:val="center"/>
              <w:ind w:left="121"/>
              <w:spacing w:after="0"/>
              <w:rPr>
                <w:sz w:val="20"/>
                <w:szCs w:val="20"/>
                <w:color w:val="auto"/>
              </w:rPr>
            </w:pPr>
            <w:r>
              <w:rPr>
                <w:rFonts w:ascii="Arial" w:cs="Arial" w:eastAsia="Arial" w:hAnsi="Arial"/>
                <w:sz w:val="20"/>
                <w:szCs w:val="20"/>
                <w:color w:val="auto"/>
                <w:w w:val="89"/>
              </w:rPr>
              <w:t>100</w:t>
            </w:r>
          </w:p>
        </w:tc>
        <w:tc>
          <w:tcPr>
            <w:tcW w:w="1160" w:type="dxa"/>
            <w:vAlign w:val="bottom"/>
            <w:gridSpan w:val="2"/>
          </w:tcPr>
          <w:p>
            <w:pPr>
              <w:jc w:val="center"/>
              <w:ind w:left="681"/>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Mereo BioPharma 3 Limited</w:t>
            </w:r>
          </w:p>
        </w:tc>
        <w:tc>
          <w:tcPr>
            <w:tcW w:w="2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Pharmaceutical R&amp;D</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UK</w:t>
            </w:r>
          </w:p>
        </w:tc>
        <w:tc>
          <w:tcPr>
            <w:tcW w:w="1720" w:type="dxa"/>
            <w:vAlign w:val="bottom"/>
            <w:gridSpan w:val="2"/>
            <w:shd w:val="clear" w:color="auto" w:fill="CCEEFF"/>
          </w:tcPr>
          <w:p>
            <w:pPr>
              <w:jc w:val="center"/>
              <w:ind w:left="121"/>
              <w:spacing w:after="0"/>
              <w:rPr>
                <w:sz w:val="20"/>
                <w:szCs w:val="20"/>
                <w:color w:val="auto"/>
              </w:rPr>
            </w:pPr>
            <w:r>
              <w:rPr>
                <w:rFonts w:ascii="Arial" w:cs="Arial" w:eastAsia="Arial" w:hAnsi="Arial"/>
                <w:sz w:val="20"/>
                <w:szCs w:val="20"/>
                <w:color w:val="auto"/>
                <w:w w:val="89"/>
              </w:rPr>
              <w:t>100</w:t>
            </w:r>
          </w:p>
        </w:tc>
        <w:tc>
          <w:tcPr>
            <w:tcW w:w="1160" w:type="dxa"/>
            <w:vAlign w:val="bottom"/>
            <w:gridSpan w:val="2"/>
            <w:shd w:val="clear" w:color="auto" w:fill="CCEEFF"/>
          </w:tcPr>
          <w:p>
            <w:pPr>
              <w:jc w:val="center"/>
              <w:ind w:left="681"/>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20"/>
                <w:szCs w:val="20"/>
                <w:color w:val="auto"/>
              </w:rPr>
              <w:t>Mereo BioPharma 4 Limited</w:t>
            </w:r>
          </w:p>
        </w:tc>
        <w:tc>
          <w:tcPr>
            <w:tcW w:w="2460" w:type="dxa"/>
            <w:vAlign w:val="bottom"/>
            <w:gridSpan w:val="2"/>
          </w:tcPr>
          <w:p>
            <w:pPr>
              <w:spacing w:after="0"/>
              <w:rPr>
                <w:sz w:val="20"/>
                <w:szCs w:val="20"/>
                <w:color w:val="auto"/>
              </w:rPr>
            </w:pPr>
            <w:r>
              <w:rPr>
                <w:rFonts w:ascii="Arial" w:cs="Arial" w:eastAsia="Arial" w:hAnsi="Arial"/>
                <w:sz w:val="20"/>
                <w:szCs w:val="20"/>
                <w:color w:val="auto"/>
              </w:rPr>
              <w:t>Pharmaceutical R&amp;D</w:t>
            </w:r>
          </w:p>
        </w:tc>
        <w:tc>
          <w:tcPr>
            <w:tcW w:w="1660" w:type="dxa"/>
            <w:vAlign w:val="bottom"/>
            <w:gridSpan w:val="2"/>
          </w:tcPr>
          <w:p>
            <w:pPr>
              <w:jc w:val="right"/>
              <w:ind w:right="600"/>
              <w:spacing w:after="0"/>
              <w:rPr>
                <w:sz w:val="20"/>
                <w:szCs w:val="20"/>
                <w:color w:val="auto"/>
              </w:rPr>
            </w:pPr>
            <w:r>
              <w:rPr>
                <w:rFonts w:ascii="Arial" w:cs="Arial" w:eastAsia="Arial" w:hAnsi="Arial"/>
                <w:sz w:val="20"/>
                <w:szCs w:val="20"/>
                <w:color w:val="auto"/>
              </w:rPr>
              <w:t>UK</w:t>
            </w:r>
          </w:p>
        </w:tc>
        <w:tc>
          <w:tcPr>
            <w:tcW w:w="1720" w:type="dxa"/>
            <w:vAlign w:val="bottom"/>
            <w:gridSpan w:val="2"/>
          </w:tcPr>
          <w:p>
            <w:pPr>
              <w:jc w:val="center"/>
              <w:ind w:left="121"/>
              <w:spacing w:after="0"/>
              <w:rPr>
                <w:sz w:val="20"/>
                <w:szCs w:val="20"/>
                <w:color w:val="auto"/>
              </w:rPr>
            </w:pPr>
            <w:r>
              <w:rPr>
                <w:rFonts w:ascii="Arial" w:cs="Arial" w:eastAsia="Arial" w:hAnsi="Arial"/>
                <w:sz w:val="20"/>
                <w:szCs w:val="20"/>
                <w:color w:val="auto"/>
                <w:w w:val="89"/>
              </w:rPr>
              <w:t>100</w:t>
            </w:r>
          </w:p>
        </w:tc>
        <w:tc>
          <w:tcPr>
            <w:tcW w:w="1160" w:type="dxa"/>
            <w:vAlign w:val="bottom"/>
            <w:gridSpan w:val="2"/>
          </w:tcPr>
          <w:p>
            <w:pPr>
              <w:jc w:val="center"/>
              <w:ind w:left="681"/>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13"/>
        </w:trPr>
        <w:tc>
          <w:tcPr>
            <w:tcW w:w="3120" w:type="dxa"/>
            <w:vAlign w:val="bottom"/>
            <w:gridSpan w:val="2"/>
            <w:shd w:val="clear" w:color="auto" w:fill="CCEEFF"/>
          </w:tcPr>
          <w:p>
            <w:pPr>
              <w:spacing w:after="0" w:line="212" w:lineRule="exact"/>
              <w:rPr>
                <w:sz w:val="20"/>
                <w:szCs w:val="20"/>
                <w:color w:val="auto"/>
              </w:rPr>
            </w:pPr>
            <w:r>
              <w:rPr>
                <w:rFonts w:ascii="Arial" w:cs="Arial" w:eastAsia="Arial" w:hAnsi="Arial"/>
                <w:sz w:val="20"/>
                <w:szCs w:val="20"/>
                <w:color w:val="auto"/>
              </w:rPr>
              <w:t>Mereo BioPharma Ireland</w:t>
            </w:r>
          </w:p>
        </w:tc>
        <w:tc>
          <w:tcPr>
            <w:tcW w:w="1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Limited</w:t>
            </w:r>
          </w:p>
        </w:tc>
        <w:tc>
          <w:tcPr>
            <w:tcW w:w="2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Pharmaceutical R&amp;D</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Ireland</w:t>
            </w:r>
          </w:p>
        </w:tc>
        <w:tc>
          <w:tcPr>
            <w:tcW w:w="1720" w:type="dxa"/>
            <w:vAlign w:val="bottom"/>
            <w:gridSpan w:val="2"/>
            <w:shd w:val="clear" w:color="auto" w:fill="CCEEFF"/>
          </w:tcPr>
          <w:p>
            <w:pPr>
              <w:jc w:val="center"/>
              <w:ind w:left="121"/>
              <w:spacing w:after="0"/>
              <w:rPr>
                <w:sz w:val="20"/>
                <w:szCs w:val="20"/>
                <w:color w:val="auto"/>
              </w:rPr>
            </w:pPr>
            <w:r>
              <w:rPr>
                <w:rFonts w:ascii="Arial" w:cs="Arial" w:eastAsia="Arial" w:hAnsi="Arial"/>
                <w:sz w:val="20"/>
                <w:szCs w:val="20"/>
                <w:color w:val="auto"/>
                <w:w w:val="89"/>
              </w:rPr>
              <w:t>100</w:t>
            </w:r>
          </w:p>
        </w:tc>
        <w:tc>
          <w:tcPr>
            <w:tcW w:w="1160" w:type="dxa"/>
            <w:vAlign w:val="bottom"/>
            <w:gridSpan w:val="2"/>
            <w:shd w:val="clear" w:color="auto" w:fill="CCEEFF"/>
          </w:tcPr>
          <w:p>
            <w:pPr>
              <w:jc w:val="center"/>
              <w:ind w:left="681"/>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20"/>
                <w:szCs w:val="20"/>
                <w:color w:val="auto"/>
              </w:rPr>
              <w:t>Mereo BioPharma 5, Inc.</w:t>
            </w:r>
          </w:p>
        </w:tc>
        <w:tc>
          <w:tcPr>
            <w:tcW w:w="2460" w:type="dxa"/>
            <w:vAlign w:val="bottom"/>
            <w:gridSpan w:val="2"/>
          </w:tcPr>
          <w:p>
            <w:pPr>
              <w:spacing w:after="0"/>
              <w:rPr>
                <w:sz w:val="20"/>
                <w:szCs w:val="20"/>
                <w:color w:val="auto"/>
              </w:rPr>
            </w:pPr>
            <w:r>
              <w:rPr>
                <w:rFonts w:ascii="Arial" w:cs="Arial" w:eastAsia="Arial" w:hAnsi="Arial"/>
                <w:sz w:val="20"/>
                <w:szCs w:val="20"/>
                <w:color w:val="auto"/>
              </w:rPr>
              <w:t>Pharmaceutical R&amp;D</w:t>
            </w:r>
          </w:p>
        </w:tc>
        <w:tc>
          <w:tcPr>
            <w:tcW w:w="1660" w:type="dxa"/>
            <w:vAlign w:val="bottom"/>
            <w:gridSpan w:val="2"/>
          </w:tcPr>
          <w:p>
            <w:pPr>
              <w:jc w:val="right"/>
              <w:ind w:right="600"/>
              <w:spacing w:after="0"/>
              <w:rPr>
                <w:sz w:val="20"/>
                <w:szCs w:val="20"/>
                <w:color w:val="auto"/>
              </w:rPr>
            </w:pPr>
            <w:r>
              <w:rPr>
                <w:rFonts w:ascii="Arial" w:cs="Arial" w:eastAsia="Arial" w:hAnsi="Arial"/>
                <w:sz w:val="20"/>
                <w:szCs w:val="20"/>
                <w:color w:val="auto"/>
              </w:rPr>
              <w:t>U.S.</w:t>
            </w:r>
          </w:p>
        </w:tc>
        <w:tc>
          <w:tcPr>
            <w:tcW w:w="1720" w:type="dxa"/>
            <w:vAlign w:val="bottom"/>
            <w:gridSpan w:val="2"/>
          </w:tcPr>
          <w:p>
            <w:pPr>
              <w:jc w:val="center"/>
              <w:ind w:left="121"/>
              <w:spacing w:after="0"/>
              <w:rPr>
                <w:sz w:val="20"/>
                <w:szCs w:val="20"/>
                <w:color w:val="auto"/>
              </w:rPr>
            </w:pPr>
            <w:r>
              <w:rPr>
                <w:rFonts w:ascii="Arial" w:cs="Arial" w:eastAsia="Arial" w:hAnsi="Arial"/>
                <w:sz w:val="20"/>
                <w:szCs w:val="20"/>
                <w:color w:val="auto"/>
                <w:w w:val="89"/>
              </w:rPr>
              <w:t>100</w:t>
            </w:r>
          </w:p>
        </w:tc>
        <w:tc>
          <w:tcPr>
            <w:tcW w:w="1160" w:type="dxa"/>
            <w:vAlign w:val="bottom"/>
            <w:gridSpan w:val="2"/>
          </w:tcPr>
          <w:p>
            <w:pPr>
              <w:jc w:val="center"/>
              <w:ind w:left="681"/>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Navi Subsidiary, Inc.</w:t>
            </w:r>
          </w:p>
        </w:tc>
        <w:tc>
          <w:tcPr>
            <w:tcW w:w="2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Pharmaceutical R&amp;D</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U.S.</w:t>
            </w:r>
          </w:p>
        </w:tc>
        <w:tc>
          <w:tcPr>
            <w:tcW w:w="1720" w:type="dxa"/>
            <w:vAlign w:val="bottom"/>
            <w:gridSpan w:val="2"/>
            <w:shd w:val="clear" w:color="auto" w:fill="CCEEFF"/>
          </w:tcPr>
          <w:p>
            <w:pPr>
              <w:jc w:val="center"/>
              <w:ind w:left="121"/>
              <w:spacing w:after="0"/>
              <w:rPr>
                <w:sz w:val="20"/>
                <w:szCs w:val="20"/>
                <w:color w:val="auto"/>
              </w:rPr>
            </w:pPr>
            <w:r>
              <w:rPr>
                <w:rFonts w:ascii="Arial" w:cs="Arial" w:eastAsia="Arial" w:hAnsi="Arial"/>
                <w:sz w:val="20"/>
                <w:szCs w:val="20"/>
                <w:color w:val="auto"/>
                <w:w w:val="89"/>
              </w:rPr>
              <w:t>100</w:t>
            </w:r>
          </w:p>
        </w:tc>
        <w:tc>
          <w:tcPr>
            <w:tcW w:w="1160" w:type="dxa"/>
            <w:vAlign w:val="bottom"/>
            <w:gridSpan w:val="2"/>
            <w:shd w:val="clear" w:color="auto" w:fill="CCEEFF"/>
          </w:tcPr>
          <w:p>
            <w:pPr>
              <w:jc w:val="center"/>
              <w:ind w:left="681"/>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20"/>
                <w:szCs w:val="20"/>
                <w:color w:val="auto"/>
              </w:rPr>
              <w:t>Mereo US Holdings, Inc.</w:t>
            </w:r>
          </w:p>
        </w:tc>
        <w:tc>
          <w:tcPr>
            <w:tcW w:w="2460" w:type="dxa"/>
            <w:vAlign w:val="bottom"/>
            <w:gridSpan w:val="2"/>
          </w:tcPr>
          <w:p>
            <w:pPr>
              <w:spacing w:after="0"/>
              <w:rPr>
                <w:sz w:val="20"/>
                <w:szCs w:val="20"/>
                <w:color w:val="auto"/>
              </w:rPr>
            </w:pPr>
            <w:r>
              <w:rPr>
                <w:rFonts w:ascii="Arial" w:cs="Arial" w:eastAsia="Arial" w:hAnsi="Arial"/>
                <w:sz w:val="20"/>
                <w:szCs w:val="20"/>
                <w:color w:val="auto"/>
              </w:rPr>
              <w:t>Holding company</w:t>
            </w:r>
          </w:p>
        </w:tc>
        <w:tc>
          <w:tcPr>
            <w:tcW w:w="1660" w:type="dxa"/>
            <w:vAlign w:val="bottom"/>
            <w:gridSpan w:val="2"/>
          </w:tcPr>
          <w:p>
            <w:pPr>
              <w:jc w:val="right"/>
              <w:ind w:right="600"/>
              <w:spacing w:after="0"/>
              <w:rPr>
                <w:sz w:val="20"/>
                <w:szCs w:val="20"/>
                <w:color w:val="auto"/>
              </w:rPr>
            </w:pPr>
            <w:r>
              <w:rPr>
                <w:rFonts w:ascii="Arial" w:cs="Arial" w:eastAsia="Arial" w:hAnsi="Arial"/>
                <w:sz w:val="20"/>
                <w:szCs w:val="20"/>
                <w:color w:val="auto"/>
              </w:rPr>
              <w:t>U.S.</w:t>
            </w:r>
          </w:p>
        </w:tc>
        <w:tc>
          <w:tcPr>
            <w:tcW w:w="1720" w:type="dxa"/>
            <w:vAlign w:val="bottom"/>
            <w:gridSpan w:val="2"/>
          </w:tcPr>
          <w:p>
            <w:pPr>
              <w:jc w:val="center"/>
              <w:ind w:left="121"/>
              <w:spacing w:after="0"/>
              <w:rPr>
                <w:sz w:val="20"/>
                <w:szCs w:val="20"/>
                <w:color w:val="auto"/>
              </w:rPr>
            </w:pPr>
            <w:r>
              <w:rPr>
                <w:rFonts w:ascii="Arial" w:cs="Arial" w:eastAsia="Arial" w:hAnsi="Arial"/>
                <w:sz w:val="20"/>
                <w:szCs w:val="20"/>
                <w:color w:val="auto"/>
                <w:w w:val="89"/>
              </w:rPr>
              <w:t>100</w:t>
            </w:r>
          </w:p>
        </w:tc>
        <w:tc>
          <w:tcPr>
            <w:tcW w:w="1160" w:type="dxa"/>
            <w:vAlign w:val="bottom"/>
            <w:gridSpan w:val="2"/>
          </w:tcPr>
          <w:p>
            <w:pPr>
              <w:jc w:val="center"/>
              <w:ind w:left="681"/>
              <w:spacing w:after="0"/>
              <w:rPr>
                <w:sz w:val="20"/>
                <w:szCs w:val="20"/>
                <w:color w:val="auto"/>
              </w:rPr>
            </w:pPr>
            <w:r>
              <w:rPr>
                <w:rFonts w:ascii="Arial" w:cs="Arial" w:eastAsia="Arial" w:hAnsi="Arial"/>
                <w:sz w:val="20"/>
                <w:szCs w:val="20"/>
                <w:color w:val="auto"/>
                <w:w w:val="89"/>
              </w:rPr>
              <w:t>100</w:t>
            </w:r>
          </w:p>
        </w:tc>
        <w:tc>
          <w:tcPr>
            <w:tcW w:w="0" w:type="dxa"/>
            <w:vAlign w:val="bottom"/>
          </w:tcPr>
          <w:p>
            <w:pPr>
              <w:spacing w:after="0"/>
              <w:rPr>
                <w:sz w:val="1"/>
                <w:szCs w:val="1"/>
                <w:color w:val="auto"/>
              </w:rPr>
            </w:pPr>
          </w:p>
        </w:tc>
      </w:tr>
      <w:tr>
        <w:trPr>
          <w:trHeight w:val="213"/>
        </w:trPr>
        <w:tc>
          <w:tcPr>
            <w:tcW w:w="3120" w:type="dxa"/>
            <w:vAlign w:val="bottom"/>
            <w:gridSpan w:val="2"/>
            <w:shd w:val="clear" w:color="auto" w:fill="CCEEFF"/>
          </w:tcPr>
          <w:p>
            <w:pPr>
              <w:spacing w:after="0" w:line="212" w:lineRule="exact"/>
              <w:rPr>
                <w:sz w:val="20"/>
                <w:szCs w:val="20"/>
                <w:color w:val="auto"/>
              </w:rPr>
            </w:pPr>
            <w:r>
              <w:rPr>
                <w:rFonts w:ascii="Arial" w:cs="Arial" w:eastAsia="Arial" w:hAnsi="Arial"/>
                <w:sz w:val="20"/>
                <w:szCs w:val="20"/>
                <w:color w:val="auto"/>
              </w:rPr>
              <w:t>Mereo BioPharma Group plc</w:t>
            </w:r>
          </w:p>
        </w:tc>
        <w:tc>
          <w:tcPr>
            <w:tcW w:w="1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Employee Benefit Trust</w:t>
            </w:r>
          </w:p>
        </w:tc>
        <w:tc>
          <w:tcPr>
            <w:tcW w:w="2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Employee share scheme</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Jersey</w:t>
            </w:r>
          </w:p>
        </w:tc>
        <w:tc>
          <w:tcPr>
            <w:tcW w:w="1720" w:type="dxa"/>
            <w:vAlign w:val="bottom"/>
            <w:gridSpan w:val="2"/>
            <w:shd w:val="clear" w:color="auto" w:fill="CCEEFF"/>
          </w:tcPr>
          <w:p>
            <w:pPr>
              <w:jc w:val="center"/>
              <w:ind w:left="121"/>
              <w:spacing w:after="0"/>
              <w:rPr>
                <w:sz w:val="20"/>
                <w:szCs w:val="20"/>
                <w:color w:val="auto"/>
              </w:rPr>
            </w:pPr>
            <w:r>
              <w:rPr>
                <w:rFonts w:ascii="Arial" w:cs="Arial" w:eastAsia="Arial" w:hAnsi="Arial"/>
                <w:sz w:val="20"/>
                <w:szCs w:val="20"/>
                <w:color w:val="auto"/>
                <w:w w:val="89"/>
              </w:rPr>
              <w:t>–</w:t>
            </w:r>
          </w:p>
        </w:tc>
        <w:tc>
          <w:tcPr>
            <w:tcW w:w="1160" w:type="dxa"/>
            <w:vAlign w:val="bottom"/>
            <w:gridSpan w:val="2"/>
            <w:shd w:val="clear" w:color="auto" w:fill="CCEEFF"/>
          </w:tcPr>
          <w:p>
            <w:pPr>
              <w:jc w:val="center"/>
              <w:ind w:left="681"/>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22"/>
          <w:szCs w:val="22"/>
          <w:color w:val="auto"/>
        </w:rPr>
        <w:t>The registered office of Mereo BioPharma 1 Limited, Mereo BioPharma 2 Limited, Mereo BioPharma 3 Limited and Mereo BioPharma 4 Limited is located at Fourth Floor, 1 Cavendish Place, London W1G 0QF. The registered office of Mereo BioPharma Ireland Limited is Rocktwist House, Block 1, Western Business Park, Shannon, County Clare, V14 FW97, Republic of Ireland.</w:t>
      </w:r>
    </w:p>
    <w:p>
      <w:pPr>
        <w:spacing w:after="0" w:line="212" w:lineRule="exact"/>
        <w:rPr>
          <w:sz w:val="20"/>
          <w:szCs w:val="20"/>
          <w:color w:val="auto"/>
        </w:rPr>
      </w:pPr>
    </w:p>
    <w:p>
      <w:pPr>
        <w:ind w:left="120" w:right="380" w:firstLine="551"/>
        <w:spacing w:after="0" w:line="252" w:lineRule="auto"/>
        <w:rPr>
          <w:sz w:val="20"/>
          <w:szCs w:val="20"/>
          <w:color w:val="auto"/>
        </w:rPr>
      </w:pPr>
      <w:r>
        <w:rPr>
          <w:rFonts w:ascii="Arial" w:cs="Arial" w:eastAsia="Arial" w:hAnsi="Arial"/>
          <w:sz w:val="21"/>
          <w:szCs w:val="21"/>
          <w:color w:val="auto"/>
        </w:rPr>
        <w:t>Mereo US Holdings Inc. was incorporated on December 3, 2018 for the sole purpose of effecting the business combination with Mereo BioPharma 5, Inc. (formerly OncoMed Pharmaceuticals, Inc.) on April 23, 2019. The registered office of Mereo US Holdings Inc., Mereo BioPharma 5, Inc. and its wholly owned subsidiary, Navi Subsidiary, Inc., is 251 Little Falls Drive, City of Wilmington, County of New Castle, Delaware 19808, US.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6. Revenue</w:t>
      </w:r>
    </w:p>
    <w:p>
      <w:pPr>
        <w:spacing w:after="0" w:line="230" w:lineRule="exact"/>
        <w:rPr>
          <w:sz w:val="20"/>
          <w:szCs w:val="20"/>
          <w:color w:val="auto"/>
        </w:rPr>
      </w:pPr>
    </w:p>
    <w:p>
      <w:pPr>
        <w:ind w:left="120" w:right="180" w:firstLine="551"/>
        <w:spacing w:after="0" w:line="287" w:lineRule="auto"/>
        <w:rPr>
          <w:sz w:val="20"/>
          <w:szCs w:val="20"/>
          <w:color w:val="auto"/>
        </w:rPr>
      </w:pPr>
      <w:r>
        <w:rPr>
          <w:rFonts w:ascii="Arial" w:cs="Arial" w:eastAsia="Arial" w:hAnsi="Arial"/>
          <w:sz w:val="19"/>
          <w:szCs w:val="19"/>
          <w:color w:val="auto"/>
        </w:rPr>
        <w:t>The Company recognized upfront proceeds of £36.5 million ($50.0 million) from the license and collaboration agreement with Ultragenyx for setrusumab as revenue in the year ended December 31, 2021. The variable consideration relating to future milestones and sales royalties will be recognized in the statement of comprehensive income/(loss) when the milestones are achieved or the underlying commercial sales are made, in the event regulatory approval is achieved.</w:t>
      </w:r>
    </w:p>
    <w:p>
      <w:pPr>
        <w:spacing w:after="0" w:line="170"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As a consequence of the license and collaboration agreement with Ultragenyx and in accordance with terms of the 2015 asset purchase with Novartis, the Company made a payment to Novartis of £7.2 million ($10.0 million). The payment included a deduction for costs of £2.4 million which was deferred and will be recognized in the statement of comprehensive income/(loss) when the associated costs are incurred. In the year ended December 31, 2021, £1.1 million of these deductions were recognized within “Cost of revenue” in the consolidated statement of comprehensive income/(loss). As of December 31, 2021 the remaining balance to be recognized of £1.3 million is included within “Other liabilities” in the consolidated balance sheet. See Note 13 for additional details.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Profit/(loss) before tax</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Profit/(loss) before tax is stated after charging:</w:t>
      </w:r>
    </w:p>
    <w:p>
      <w:pPr>
        <w:spacing w:after="0" w:line="265" w:lineRule="exact"/>
        <w:rPr>
          <w:sz w:val="20"/>
          <w:szCs w:val="20"/>
          <w:color w:val="auto"/>
        </w:rPr>
      </w:pPr>
    </w:p>
    <w:tbl>
      <w:tblPr>
        <w:tblLayout w:type="fixed"/>
        <w:tblInd w:w="1000" w:type="dxa"/>
        <w:tblCellMar>
          <w:top w:w="0" w:type="dxa"/>
          <w:left w:w="0" w:type="dxa"/>
          <w:bottom w:w="0" w:type="dxa"/>
          <w:right w:w="0" w:type="dxa"/>
        </w:tblCellMar>
      </w:tblPr>
      <w:tr>
        <w:trPr>
          <w:trHeight w:val="246"/>
        </w:trPr>
        <w:tc>
          <w:tcPr>
            <w:tcW w:w="6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7"/>
          </w:tcPr>
          <w:p>
            <w:pPr>
              <w:jc w:val="right"/>
              <w:ind w:right="260"/>
              <w:spacing w:after="0"/>
              <w:rPr>
                <w:sz w:val="20"/>
                <w:szCs w:val="20"/>
                <w:color w:val="auto"/>
              </w:rPr>
            </w:pPr>
            <w:r>
              <w:rPr>
                <w:rFonts w:ascii="Arial" w:cs="Arial" w:eastAsia="Arial" w:hAnsi="Arial"/>
                <w:sz w:val="20"/>
                <w:szCs w:val="20"/>
                <w:color w:val="auto"/>
                <w:w w:val="90"/>
              </w:rPr>
              <w:t>Year ended December 31,</w:t>
            </w:r>
          </w:p>
        </w:tc>
      </w:tr>
      <w:tr>
        <w:trPr>
          <w:trHeight w:val="206"/>
        </w:trPr>
        <w:tc>
          <w:tcPr>
            <w:tcW w:w="6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98"/>
              </w:rPr>
              <w:t>2021</w:t>
            </w:r>
          </w:p>
        </w:tc>
        <w:tc>
          <w:tcPr>
            <w:tcW w:w="860" w:type="dxa"/>
            <w:vAlign w:val="bottom"/>
            <w:tcBorders>
              <w:top w:val="single" w:sz="8" w:color="auto"/>
            </w:tcBorders>
            <w:gridSpan w:val="2"/>
          </w:tcPr>
          <w:p>
            <w:pPr>
              <w:jc w:val="right"/>
              <w:ind w:right="60"/>
              <w:spacing w:after="0" w:line="207" w:lineRule="exact"/>
              <w:rPr>
                <w:sz w:val="20"/>
                <w:szCs w:val="20"/>
                <w:color w:val="auto"/>
              </w:rPr>
            </w:pPr>
            <w:r>
              <w:rPr>
                <w:rFonts w:ascii="Arial" w:cs="Arial" w:eastAsia="Arial" w:hAnsi="Arial"/>
                <w:sz w:val="20"/>
                <w:szCs w:val="20"/>
                <w:color w:val="auto"/>
              </w:rPr>
              <w:t>2020</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2019</w:t>
            </w:r>
          </w:p>
        </w:tc>
        <w:tc>
          <w:tcPr>
            <w:tcW w:w="140" w:type="dxa"/>
            <w:vAlign w:val="bottom"/>
          </w:tcPr>
          <w:p>
            <w:pPr>
              <w:spacing w:after="0"/>
              <w:rPr>
                <w:sz w:val="17"/>
                <w:szCs w:val="17"/>
                <w:color w:val="auto"/>
              </w:rPr>
            </w:pPr>
          </w:p>
        </w:tc>
      </w:tr>
      <w:tr>
        <w:trPr>
          <w:trHeight w:val="246"/>
        </w:trPr>
        <w:tc>
          <w:tcPr>
            <w:tcW w:w="65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’000s</w:t>
            </w:r>
          </w:p>
        </w:tc>
        <w:tc>
          <w:tcPr>
            <w:tcW w:w="1060" w:type="dxa"/>
            <w:vAlign w:val="bottom"/>
            <w:gridSpan w:val="3"/>
          </w:tcPr>
          <w:p>
            <w:pPr>
              <w:jc w:val="right"/>
              <w:ind w:right="20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’000s</w:t>
            </w:r>
          </w:p>
        </w:tc>
        <w:tc>
          <w:tcPr>
            <w:tcW w:w="800" w:type="dxa"/>
            <w:vAlign w:val="bottom"/>
            <w:gridSpan w:val="3"/>
          </w:tcPr>
          <w:p>
            <w:pPr>
              <w:jc w:val="right"/>
              <w:ind w:right="14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’000s</w:t>
            </w:r>
          </w:p>
        </w:tc>
      </w:tr>
      <w:tr>
        <w:trPr>
          <w:trHeight w:val="202"/>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22"/>
                <w:szCs w:val="22"/>
                <w:color w:val="auto"/>
                <w:w w:val="93"/>
              </w:rPr>
              <w:t>Fees payable to the Company’s Auditor for the audit of the consolidated</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64"/>
        </w:trPr>
        <w:tc>
          <w:tcPr>
            <w:tcW w:w="6540" w:type="dxa"/>
            <w:vAlign w:val="bottom"/>
            <w:shd w:val="clear" w:color="auto" w:fill="CCEEFF"/>
          </w:tcPr>
          <w:p>
            <w:pPr>
              <w:ind w:left="220"/>
              <w:spacing w:after="0"/>
              <w:rPr>
                <w:sz w:val="20"/>
                <w:szCs w:val="20"/>
                <w:color w:val="auto"/>
              </w:rPr>
            </w:pPr>
            <w:r>
              <w:rPr>
                <w:rFonts w:ascii="Arial" w:cs="Arial" w:eastAsia="Arial" w:hAnsi="Arial"/>
                <w:sz w:val="22"/>
                <w:szCs w:val="22"/>
                <w:color w:val="auto"/>
              </w:rPr>
              <w:t>accounts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358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449</w:t>
            </w: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514</w:t>
            </w:r>
          </w:p>
        </w:tc>
        <w:tc>
          <w:tcPr>
            <w:tcW w:w="140" w:type="dxa"/>
            <w:vAlign w:val="bottom"/>
            <w:shd w:val="clear" w:color="auto" w:fill="CCEEFF"/>
          </w:tcPr>
          <w:p>
            <w:pPr>
              <w:spacing w:after="0"/>
              <w:rPr>
                <w:sz w:val="22"/>
                <w:szCs w:val="22"/>
                <w:color w:val="auto"/>
              </w:rPr>
            </w:pPr>
          </w:p>
        </w:tc>
      </w:tr>
      <w:tr>
        <w:trPr>
          <w:trHeight w:val="243"/>
        </w:trPr>
        <w:tc>
          <w:tcPr>
            <w:tcW w:w="6540" w:type="dxa"/>
            <w:vAlign w:val="bottom"/>
          </w:tcPr>
          <w:p>
            <w:pPr>
              <w:spacing w:after="0" w:line="243" w:lineRule="exact"/>
              <w:rPr>
                <w:sz w:val="20"/>
                <w:szCs w:val="20"/>
                <w:color w:val="auto"/>
              </w:rPr>
            </w:pPr>
            <w:r>
              <w:rPr>
                <w:rFonts w:ascii="Arial" w:cs="Arial" w:eastAsia="Arial" w:hAnsi="Arial"/>
                <w:sz w:val="22"/>
                <w:szCs w:val="22"/>
                <w:color w:val="auto"/>
              </w:rPr>
              <w:t>Fees payable to the Company’s Auditor for other services:</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ind w:left="440"/>
              <w:spacing w:after="0" w:line="243" w:lineRule="exact"/>
              <w:rPr>
                <w:sz w:val="20"/>
                <w:szCs w:val="20"/>
                <w:color w:val="auto"/>
              </w:rPr>
            </w:pPr>
            <w:r>
              <w:rPr>
                <w:rFonts w:ascii="Arial" w:cs="Arial" w:eastAsia="Arial" w:hAnsi="Arial"/>
                <w:sz w:val="22"/>
                <w:szCs w:val="22"/>
                <w:color w:val="auto"/>
              </w:rPr>
              <w:t>Audit of subsidiary accounts</w:t>
            </w:r>
          </w:p>
        </w:tc>
        <w:tc>
          <w:tcPr>
            <w:tcW w:w="8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46</w:t>
            </w:r>
          </w:p>
        </w:tc>
        <w:tc>
          <w:tcPr>
            <w:tcW w:w="8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49</w:t>
            </w: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45</w:t>
            </w:r>
          </w:p>
        </w:tc>
        <w:tc>
          <w:tcPr>
            <w:tcW w:w="140" w:type="dxa"/>
            <w:vAlign w:val="bottom"/>
            <w:shd w:val="clear" w:color="auto" w:fill="CCEEFF"/>
          </w:tcPr>
          <w:p>
            <w:pPr>
              <w:spacing w:after="0"/>
              <w:rPr>
                <w:sz w:val="21"/>
                <w:szCs w:val="21"/>
                <w:color w:val="auto"/>
              </w:rPr>
            </w:pPr>
          </w:p>
        </w:tc>
      </w:tr>
      <w:tr>
        <w:trPr>
          <w:trHeight w:val="243"/>
        </w:trPr>
        <w:tc>
          <w:tcPr>
            <w:tcW w:w="6540" w:type="dxa"/>
            <w:vAlign w:val="bottom"/>
          </w:tcPr>
          <w:p>
            <w:pPr>
              <w:ind w:left="440"/>
              <w:spacing w:after="0" w:line="243" w:lineRule="exact"/>
              <w:rPr>
                <w:sz w:val="20"/>
                <w:szCs w:val="20"/>
                <w:color w:val="auto"/>
              </w:rPr>
            </w:pPr>
            <w:r>
              <w:rPr>
                <w:rFonts w:ascii="Arial" w:cs="Arial" w:eastAsia="Arial" w:hAnsi="Arial"/>
                <w:sz w:val="22"/>
                <w:szCs w:val="22"/>
                <w:color w:val="auto"/>
              </w:rPr>
              <w:t>Audit-related assurance services</w:t>
            </w:r>
          </w:p>
        </w:tc>
        <w:tc>
          <w:tcPr>
            <w:tcW w:w="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57</w:t>
            </w:r>
          </w:p>
        </w:tc>
        <w:tc>
          <w:tcPr>
            <w:tcW w:w="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318</w:t>
            </w:r>
          </w:p>
        </w:tc>
        <w:tc>
          <w:tcPr>
            <w:tcW w:w="20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311</w:t>
            </w:r>
          </w:p>
        </w:tc>
        <w:tc>
          <w:tcPr>
            <w:tcW w:w="140" w:type="dxa"/>
            <w:vAlign w:val="bottom"/>
          </w:tcPr>
          <w:p>
            <w:pPr>
              <w:spacing w:after="0"/>
              <w:rPr>
                <w:sz w:val="21"/>
                <w:szCs w:val="21"/>
                <w:color w:val="auto"/>
              </w:rPr>
            </w:pPr>
          </w:p>
        </w:tc>
      </w:tr>
      <w:tr>
        <w:trPr>
          <w:trHeight w:val="243"/>
        </w:trPr>
        <w:tc>
          <w:tcPr>
            <w:tcW w:w="6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on modification of lease</w:t>
            </w: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(957)</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w:t>
            </w:r>
          </w:p>
        </w:tc>
      </w:tr>
      <w:tr>
        <w:trPr>
          <w:trHeight w:val="243"/>
        </w:trPr>
        <w:tc>
          <w:tcPr>
            <w:tcW w:w="6540" w:type="dxa"/>
            <w:vAlign w:val="bottom"/>
          </w:tcPr>
          <w:p>
            <w:pPr>
              <w:spacing w:after="0" w:line="243" w:lineRule="exact"/>
              <w:rPr>
                <w:sz w:val="20"/>
                <w:szCs w:val="20"/>
                <w:color w:val="auto"/>
              </w:rPr>
            </w:pPr>
            <w:r>
              <w:rPr>
                <w:rFonts w:ascii="Arial" w:cs="Arial" w:eastAsia="Arial" w:hAnsi="Arial"/>
                <w:sz w:val="22"/>
                <w:szCs w:val="22"/>
                <w:color w:val="auto"/>
              </w:rPr>
              <w:t>Income from sub-lease</w:t>
            </w:r>
          </w:p>
        </w:tc>
        <w:tc>
          <w:tcPr>
            <w:tcW w:w="320" w:type="dxa"/>
            <w:vAlign w:val="bottom"/>
          </w:tcPr>
          <w:p>
            <w:pPr>
              <w:spacing w:after="0"/>
              <w:rPr>
                <w:sz w:val="21"/>
                <w:szCs w:val="21"/>
                <w:color w:val="auto"/>
              </w:rPr>
            </w:pP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(646)</w:t>
            </w:r>
          </w:p>
        </w:tc>
        <w:tc>
          <w:tcPr>
            <w:tcW w:w="8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(855)</w:t>
            </w:r>
          </w:p>
        </w:tc>
      </w:tr>
      <w:tr>
        <w:trPr>
          <w:trHeight w:val="243"/>
        </w:trPr>
        <w:tc>
          <w:tcPr>
            <w:tcW w:w="65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of right-of-use assets</w:t>
            </w:r>
          </w:p>
        </w:tc>
        <w:tc>
          <w:tcPr>
            <w:tcW w:w="8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570</w:t>
            </w:r>
          </w:p>
        </w:tc>
        <w:tc>
          <w:tcPr>
            <w:tcW w:w="8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1,531</w:t>
            </w: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1,505</w:t>
            </w:r>
          </w:p>
        </w:tc>
        <w:tc>
          <w:tcPr>
            <w:tcW w:w="140" w:type="dxa"/>
            <w:vAlign w:val="bottom"/>
            <w:shd w:val="clear" w:color="auto" w:fill="CCEEFF"/>
          </w:tcPr>
          <w:p>
            <w:pPr>
              <w:spacing w:after="0"/>
              <w:rPr>
                <w:sz w:val="21"/>
                <w:szCs w:val="21"/>
                <w:color w:val="auto"/>
              </w:rPr>
            </w:pPr>
          </w:p>
        </w:tc>
      </w:tr>
      <w:tr>
        <w:trPr>
          <w:trHeight w:val="274"/>
        </w:trPr>
        <w:tc>
          <w:tcPr>
            <w:tcW w:w="6540" w:type="dxa"/>
            <w:vAlign w:val="bottom"/>
          </w:tcPr>
          <w:p>
            <w:pPr>
              <w:spacing w:after="0"/>
              <w:rPr>
                <w:sz w:val="20"/>
                <w:szCs w:val="20"/>
                <w:color w:val="auto"/>
              </w:rPr>
            </w:pPr>
            <w:r>
              <w:rPr>
                <w:rFonts w:ascii="Arial" w:cs="Arial" w:eastAsia="Arial" w:hAnsi="Arial"/>
                <w:sz w:val="22"/>
                <w:szCs w:val="22"/>
                <w:color w:val="auto"/>
              </w:rPr>
              <w:t>Depreciation (excluding right-of-use assets)</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72</w:t>
            </w:r>
          </w:p>
        </w:tc>
        <w:tc>
          <w:tcPr>
            <w:tcW w:w="860" w:type="dxa"/>
            <w:vAlign w:val="bottom"/>
            <w:gridSpan w:val="2"/>
          </w:tcPr>
          <w:p>
            <w:pPr>
              <w:jc w:val="right"/>
              <w:spacing w:after="0"/>
              <w:rPr>
                <w:sz w:val="20"/>
                <w:szCs w:val="20"/>
                <w:color w:val="auto"/>
              </w:rPr>
            </w:pPr>
            <w:r>
              <w:rPr>
                <w:rFonts w:ascii="Arial" w:cs="Arial" w:eastAsia="Arial" w:hAnsi="Arial"/>
                <w:sz w:val="22"/>
                <w:szCs w:val="22"/>
                <w:color w:val="auto"/>
              </w:rPr>
              <w:t>68</w:t>
            </w:r>
          </w:p>
        </w:tc>
        <w:tc>
          <w:tcPr>
            <w:tcW w:w="2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140" w:type="dxa"/>
            <w:vAlign w:val="bottom"/>
          </w:tcPr>
          <w:p>
            <w:pPr>
              <w:spacing w:after="0"/>
              <w:rPr>
                <w:sz w:val="23"/>
                <w:szCs w:val="23"/>
                <w:color w:val="auto"/>
              </w:rPr>
            </w:pPr>
          </w:p>
        </w:tc>
      </w:tr>
    </w:tbl>
    <w:p>
      <w:pPr>
        <w:sectPr>
          <w:pgSz w:w="11900" w:h="16936" w:orient="portrait"/>
          <w:cols w:equalWidth="0" w:num="1">
            <w:col w:w="11100"/>
          </w:cols>
          <w:pgMar w:left="320" w:top="486" w:right="479" w:bottom="0" w:gutter="0" w:footer="0" w:header="0"/>
        </w:sectPr>
      </w:pPr>
    </w:p>
    <w:bookmarkStart w:id="187" w:name="page188"/>
    <w:bookmarkEnd w:id="187"/>
    <w:p>
      <w:pPr>
        <w:ind w:firstLine="551"/>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5197475</wp:posOffset>
            </wp:positionH>
            <wp:positionV relativeFrom="page">
              <wp:posOffset>88900</wp:posOffset>
            </wp:positionV>
            <wp:extent cx="14312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1431290" cy="17145"/>
                    </a:xfrm>
                    <a:prstGeom prst="rect">
                      <a:avLst/>
                    </a:prstGeom>
                    <a:noFill/>
                  </pic:spPr>
                </pic:pic>
              </a:graphicData>
            </a:graphic>
          </wp:anchor>
        </w:drawing>
        <w:t>Gain on modification of lease, sub-lease income and transaction costs associated with lease modification are included within administrative expenses within the consolidated statement of comprehensive income/(loss).</w:t>
      </w:r>
    </w:p>
    <w:p>
      <w:pPr>
        <w:spacing w:after="0" w:line="8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F-18</w:t>
      </w:r>
    </w:p>
    <w:p>
      <w:pPr>
        <w:sectPr>
          <w:pgSz w:w="11900" w:h="16838" w:orient="portrait"/>
          <w:cols w:equalWidth="0" w:num="1">
            <w:col w:w="10700"/>
          </w:cols>
          <w:pgMar w:left="440" w:top="402" w:right="7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57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579"/>
        <w:spacing w:after="0"/>
        <w:rPr>
          <w:sz w:val="20"/>
          <w:szCs w:val="20"/>
          <w:color w:val="auto"/>
        </w:rPr>
      </w:pPr>
      <w:r>
        <w:rPr>
          <w:rFonts w:ascii="Arial" w:cs="Arial" w:eastAsia="Arial" w:hAnsi="Arial"/>
          <w:sz w:val="22"/>
          <w:szCs w:val="22"/>
          <w:color w:val="auto"/>
        </w:rPr>
        <w:t>NOTES TO THE CONSOLIDATED FINANCIAL STATEMENTS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8. Employees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average monthly number of persons employed by the Company during the year was:</w:t>
      </w:r>
    </w:p>
    <w:p>
      <w:pPr>
        <w:spacing w:after="0" w:line="265" w:lineRule="exact"/>
        <w:rPr>
          <w:sz w:val="20"/>
          <w:szCs w:val="20"/>
          <w:color w:val="auto"/>
        </w:rPr>
      </w:pPr>
    </w:p>
    <w:tbl>
      <w:tblPr>
        <w:tblLayout w:type="fixed"/>
        <w:tblInd w:w="1000" w:type="dxa"/>
        <w:tblCellMar>
          <w:top w:w="0" w:type="dxa"/>
          <w:left w:w="0" w:type="dxa"/>
          <w:bottom w:w="0" w:type="dxa"/>
          <w:right w:w="0" w:type="dxa"/>
        </w:tblCellMar>
      </w:tblPr>
      <w:tr>
        <w:trPr>
          <w:trHeight w:val="246"/>
        </w:trPr>
        <w:tc>
          <w:tcPr>
            <w:tcW w:w="6580" w:type="dxa"/>
            <w:vAlign w:val="bottom"/>
          </w:tcPr>
          <w:p>
            <w:pPr>
              <w:spacing w:after="0"/>
              <w:rPr>
                <w:sz w:val="21"/>
                <w:szCs w:val="21"/>
                <w:color w:val="auto"/>
              </w:rPr>
            </w:pPr>
          </w:p>
        </w:tc>
        <w:tc>
          <w:tcPr>
            <w:tcW w:w="2680" w:type="dxa"/>
            <w:vAlign w:val="bottom"/>
            <w:gridSpan w:val="6"/>
          </w:tcPr>
          <w:p>
            <w:pPr>
              <w:ind w:left="280"/>
              <w:spacing w:after="0"/>
              <w:rPr>
                <w:sz w:val="20"/>
                <w:szCs w:val="20"/>
                <w:color w:val="auto"/>
              </w:rPr>
            </w:pPr>
            <w:r>
              <w:rPr>
                <w:rFonts w:ascii="Arial" w:cs="Arial" w:eastAsia="Arial" w:hAnsi="Arial"/>
                <w:sz w:val="20"/>
                <w:szCs w:val="20"/>
                <w:color w:val="auto"/>
              </w:rPr>
              <w:t>Year ended December 31,</w:t>
            </w:r>
          </w:p>
        </w:tc>
      </w:tr>
      <w:tr>
        <w:trPr>
          <w:trHeight w:val="223"/>
        </w:trPr>
        <w:tc>
          <w:tcPr>
            <w:tcW w:w="6580" w:type="dxa"/>
            <w:vAlign w:val="bottom"/>
          </w:tcPr>
          <w:p>
            <w:pPr>
              <w:spacing w:after="0"/>
              <w:rPr>
                <w:sz w:val="19"/>
                <w:szCs w:val="19"/>
                <w:color w:val="auto"/>
              </w:rPr>
            </w:pPr>
          </w:p>
        </w:tc>
        <w:tc>
          <w:tcPr>
            <w:tcW w:w="5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w w:val="98"/>
              </w:rPr>
              <w:t>2021</w:t>
            </w:r>
          </w:p>
        </w:tc>
        <w:tc>
          <w:tcPr>
            <w:tcW w:w="1020" w:type="dxa"/>
            <w:vAlign w:val="bottom"/>
            <w:tcBorders>
              <w:top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2020</w:t>
            </w:r>
          </w:p>
        </w:tc>
        <w:tc>
          <w:tcPr>
            <w:tcW w:w="1060" w:type="dxa"/>
            <w:vAlign w:val="bottom"/>
            <w:tcBorders>
              <w:top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2019</w:t>
            </w:r>
          </w:p>
        </w:tc>
        <w:tc>
          <w:tcPr>
            <w:tcW w:w="60" w:type="dxa"/>
            <w:vAlign w:val="bottom"/>
          </w:tcPr>
          <w:p>
            <w:pPr>
              <w:spacing w:after="0"/>
              <w:rPr>
                <w:sz w:val="19"/>
                <w:szCs w:val="19"/>
                <w:color w:val="auto"/>
              </w:rPr>
            </w:pPr>
          </w:p>
        </w:tc>
      </w:tr>
      <w:tr>
        <w:trPr>
          <w:trHeight w:val="223"/>
        </w:trPr>
        <w:tc>
          <w:tcPr>
            <w:tcW w:w="6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By activity:</w:t>
            </w:r>
          </w:p>
        </w:tc>
        <w:tc>
          <w:tcPr>
            <w:tcW w:w="5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43"/>
        </w:trPr>
        <w:tc>
          <w:tcPr>
            <w:tcW w:w="658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w:t>
            </w:r>
          </w:p>
        </w:tc>
        <w:tc>
          <w:tcPr>
            <w:tcW w:w="10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w:t>
            </w:r>
          </w:p>
        </w:tc>
        <w:tc>
          <w:tcPr>
            <w:tcW w:w="60" w:type="dxa"/>
            <w:vAlign w:val="bottom"/>
          </w:tcPr>
          <w:p>
            <w:pPr>
              <w:spacing w:after="0"/>
              <w:rPr>
                <w:sz w:val="21"/>
                <w:szCs w:val="21"/>
                <w:color w:val="auto"/>
              </w:rPr>
            </w:pPr>
          </w:p>
        </w:tc>
      </w:tr>
      <w:tr>
        <w:trPr>
          <w:trHeight w:val="243"/>
        </w:trPr>
        <w:tc>
          <w:tcPr>
            <w:tcW w:w="65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5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10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17</w:t>
            </w:r>
          </w:p>
        </w:tc>
        <w:tc>
          <w:tcPr>
            <w:tcW w:w="10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60" w:type="dxa"/>
            <w:vAlign w:val="bottom"/>
            <w:shd w:val="clear" w:color="auto" w:fill="CCEEFF"/>
          </w:tcPr>
          <w:p>
            <w:pPr>
              <w:spacing w:after="0"/>
              <w:rPr>
                <w:sz w:val="21"/>
                <w:szCs w:val="21"/>
                <w:color w:val="auto"/>
              </w:rPr>
            </w:pPr>
          </w:p>
        </w:tc>
      </w:tr>
      <w:tr>
        <w:trPr>
          <w:trHeight w:val="250"/>
        </w:trPr>
        <w:tc>
          <w:tcPr>
            <w:tcW w:w="6580" w:type="dxa"/>
            <w:vAlign w:val="bottom"/>
          </w:tcPr>
          <w:p>
            <w:pPr>
              <w:spacing w:after="0" w:line="250" w:lineRule="exact"/>
              <w:rPr>
                <w:sz w:val="20"/>
                <w:szCs w:val="20"/>
                <w:color w:val="auto"/>
              </w:rPr>
            </w:pPr>
            <w:r>
              <w:rPr>
                <w:rFonts w:ascii="Arial" w:cs="Arial" w:eastAsia="Arial" w:hAnsi="Arial"/>
                <w:sz w:val="22"/>
                <w:szCs w:val="22"/>
                <w:b w:val="1"/>
                <w:bCs w:val="1"/>
                <w:color w:val="auto"/>
              </w:rPr>
              <w:t>Total</w:t>
            </w:r>
          </w:p>
        </w:tc>
        <w:tc>
          <w:tcPr>
            <w:tcW w:w="5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45</w:t>
            </w:r>
          </w:p>
        </w:tc>
        <w:tc>
          <w:tcPr>
            <w:tcW w:w="48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39</w:t>
            </w:r>
          </w:p>
        </w:tc>
        <w:tc>
          <w:tcPr>
            <w:tcW w:w="5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46</w:t>
            </w:r>
          </w:p>
        </w:tc>
        <w:tc>
          <w:tcPr>
            <w:tcW w:w="60" w:type="dxa"/>
            <w:vAlign w:val="bottom"/>
          </w:tcPr>
          <w:p>
            <w:pPr>
              <w:spacing w:after="0"/>
              <w:rPr>
                <w:sz w:val="21"/>
                <w:szCs w:val="21"/>
                <w:color w:val="auto"/>
              </w:rPr>
            </w:pPr>
          </w:p>
        </w:tc>
      </w:tr>
      <w:tr>
        <w:trPr>
          <w:trHeight w:val="20"/>
        </w:trPr>
        <w:tc>
          <w:tcPr>
            <w:tcW w:w="6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Total compensation costs for persons employed by the Company (including Directors) during the year was:</w:t>
      </w:r>
    </w:p>
    <w:p>
      <w:pPr>
        <w:spacing w:after="0" w:line="259" w:lineRule="exact"/>
        <w:rPr>
          <w:sz w:val="20"/>
          <w:szCs w:val="20"/>
          <w:color w:val="auto"/>
        </w:rPr>
      </w:pPr>
    </w:p>
    <w:p>
      <w:pPr>
        <w:ind w:left="79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13970</wp:posOffset>
            </wp:positionV>
            <wp:extent cx="1457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6" w:lineRule="exact"/>
        <w:rPr>
          <w:sz w:val="20"/>
          <w:szCs w:val="20"/>
          <w:color w:val="auto"/>
        </w:rPr>
      </w:pPr>
    </w:p>
    <w:p>
      <w:pPr>
        <w:jc w:val="center"/>
        <w:ind w:left="6720"/>
        <w:spacing w:after="0"/>
        <w:tabs>
          <w:tab w:leader="none" w:pos="460" w:val="left"/>
          <w:tab w:leader="none" w:pos="400" w:val="left"/>
        </w:tabs>
        <w:rPr>
          <w:sz w:val="20"/>
          <w:szCs w:val="20"/>
          <w:color w:val="auto"/>
        </w:rPr>
      </w:pPr>
      <w:r>
        <w:rPr>
          <w:rFonts w:ascii="Arial" w:cs="Arial" w:eastAsia="Arial" w:hAnsi="Arial"/>
          <w:sz w:val="20"/>
          <w:szCs w:val="20"/>
          <w:b w:val="1"/>
          <w:bCs w:val="1"/>
          <w:color w:val="auto"/>
        </w:rPr>
        <w:t>2021</w:t>
      </w:r>
      <w:r>
        <w:rPr>
          <w:sz w:val="20"/>
          <w:szCs w:val="20"/>
          <w:color w:val="auto"/>
        </w:rPr>
        <w:tab/>
      </w:r>
      <w:r>
        <w:rPr>
          <w:rFonts w:ascii="Arial" w:cs="Arial" w:eastAsia="Arial" w:hAnsi="Arial"/>
          <w:sz w:val="20"/>
          <w:szCs w:val="20"/>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8" w:lineRule="exact"/>
        <w:rPr>
          <w:sz w:val="20"/>
          <w:szCs w:val="20"/>
          <w:color w:val="auto"/>
        </w:rPr>
      </w:pPr>
    </w:p>
    <w:p>
      <w:pPr>
        <w:jc w:val="center"/>
        <w:ind w:left="6740"/>
        <w:spacing w:after="0"/>
        <w:tabs>
          <w:tab w:leader="none" w:pos="300" w:val="left"/>
          <w:tab w:leader="none" w:pos="280" w:val="left"/>
        </w:tabs>
        <w:rPr>
          <w:sz w:val="20"/>
          <w:szCs w:val="20"/>
          <w:color w:val="auto"/>
        </w:rPr>
      </w:pPr>
      <w:r>
        <w:rPr>
          <w:rFonts w:ascii="Arial" w:cs="Arial" w:eastAsia="Arial" w:hAnsi="Arial"/>
          <w:sz w:val="20"/>
          <w:szCs w:val="20"/>
          <w:b w:val="1"/>
          <w:bCs w:val="1"/>
          <w:u w:val="single" w:color="auto"/>
          <w:color w:val="auto"/>
        </w:rPr>
        <w:t>£’000s</w:t>
      </w:r>
      <w:r>
        <w:rPr>
          <w:sz w:val="20"/>
          <w:szCs w:val="20"/>
          <w:color w:val="auto"/>
        </w:rPr>
        <w:tab/>
      </w:r>
      <w:r>
        <w:rPr>
          <w:rFonts w:ascii="Arial" w:cs="Arial" w:eastAsia="Arial" w:hAnsi="Arial"/>
          <w:sz w:val="20"/>
          <w:szCs w:val="20"/>
          <w:b w:val="1"/>
          <w:bCs w:val="1"/>
          <w:u w:val="single" w:color="auto"/>
          <w:color w:val="auto"/>
        </w:rPr>
        <w:t>£’000s</w:t>
      </w:r>
      <w:r>
        <w:rPr>
          <w:sz w:val="20"/>
          <w:szCs w:val="20"/>
          <w:color w:val="auto"/>
        </w:rPr>
        <w:tab/>
      </w:r>
      <w:r>
        <w:rPr>
          <w:rFonts w:ascii="Arial" w:cs="Arial" w:eastAsia="Arial" w:hAnsi="Arial"/>
          <w:sz w:val="16"/>
          <w:szCs w:val="16"/>
          <w:b w:val="1"/>
          <w:bCs w:val="1"/>
          <w:u w:val="single" w:color="auto"/>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5871845" cy="15430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i w:val="1"/>
          <w:iCs w:val="1"/>
          <w:color w:val="auto"/>
        </w:rPr>
        <w:t>Included in research and development expenses:</w:t>
      </w:r>
    </w:p>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7060" w:type="dxa"/>
            <w:vAlign w:val="bottom"/>
            <w:gridSpan w:val="2"/>
          </w:tcPr>
          <w:p>
            <w:pPr>
              <w:ind w:left="340"/>
              <w:spacing w:after="0"/>
              <w:rPr>
                <w:sz w:val="20"/>
                <w:szCs w:val="20"/>
                <w:color w:val="auto"/>
              </w:rPr>
            </w:pPr>
            <w:r>
              <w:rPr>
                <w:rFonts w:ascii="Arial" w:cs="Arial" w:eastAsia="Arial" w:hAnsi="Arial"/>
                <w:sz w:val="22"/>
                <w:szCs w:val="22"/>
                <w:color w:val="auto"/>
              </w:rPr>
              <w:t>Salaries</w:t>
            </w:r>
          </w:p>
        </w:tc>
        <w:tc>
          <w:tcPr>
            <w:tcW w:w="760" w:type="dxa"/>
            <w:vAlign w:val="bottom"/>
            <w:gridSpan w:val="3"/>
          </w:tcPr>
          <w:p>
            <w:pPr>
              <w:jc w:val="right"/>
              <w:ind w:right="20"/>
              <w:spacing w:after="0"/>
              <w:rPr>
                <w:sz w:val="20"/>
                <w:szCs w:val="20"/>
                <w:color w:val="auto"/>
              </w:rPr>
            </w:pPr>
            <w:r>
              <w:rPr>
                <w:rFonts w:ascii="Arial" w:cs="Arial" w:eastAsia="Arial" w:hAnsi="Arial"/>
                <w:sz w:val="22"/>
                <w:szCs w:val="22"/>
                <w:color w:val="auto"/>
              </w:rPr>
              <w:t>4,126</w:t>
            </w:r>
          </w:p>
        </w:tc>
        <w:tc>
          <w:tcPr>
            <w:tcW w:w="860" w:type="dxa"/>
            <w:vAlign w:val="bottom"/>
            <w:gridSpan w:val="4"/>
          </w:tcPr>
          <w:p>
            <w:pPr>
              <w:jc w:val="right"/>
              <w:spacing w:after="0"/>
              <w:rPr>
                <w:sz w:val="20"/>
                <w:szCs w:val="20"/>
                <w:color w:val="auto"/>
              </w:rPr>
            </w:pPr>
            <w:r>
              <w:rPr>
                <w:rFonts w:ascii="Arial" w:cs="Arial" w:eastAsia="Arial" w:hAnsi="Arial"/>
                <w:sz w:val="22"/>
                <w:szCs w:val="22"/>
                <w:color w:val="auto"/>
              </w:rPr>
              <w:t>3,046</w:t>
            </w:r>
          </w:p>
        </w:tc>
        <w:tc>
          <w:tcPr>
            <w:tcW w:w="780" w:type="dxa"/>
            <w:vAlign w:val="bottom"/>
            <w:gridSpan w:val="3"/>
          </w:tcPr>
          <w:p>
            <w:pPr>
              <w:jc w:val="right"/>
              <w:spacing w:after="0"/>
              <w:rPr>
                <w:sz w:val="20"/>
                <w:szCs w:val="20"/>
                <w:color w:val="auto"/>
              </w:rPr>
            </w:pPr>
            <w:r>
              <w:rPr>
                <w:rFonts w:ascii="Arial" w:cs="Arial" w:eastAsia="Arial" w:hAnsi="Arial"/>
                <w:sz w:val="22"/>
                <w:szCs w:val="22"/>
                <w:color w:val="auto"/>
              </w:rPr>
              <w:t>2,824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Social security costs</w:t>
            </w:r>
          </w:p>
        </w:tc>
        <w:tc>
          <w:tcPr>
            <w:tcW w:w="76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402</w:t>
            </w:r>
          </w:p>
        </w:tc>
        <w:tc>
          <w:tcPr>
            <w:tcW w:w="8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397</w:t>
            </w:r>
          </w:p>
        </w:tc>
        <w:tc>
          <w:tcPr>
            <w:tcW w:w="78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110</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tcPr>
          <w:p>
            <w:pPr>
              <w:spacing w:after="0" w:line="243" w:lineRule="exact"/>
              <w:rPr>
                <w:sz w:val="20"/>
                <w:szCs w:val="20"/>
                <w:color w:val="auto"/>
              </w:rPr>
            </w:pPr>
            <w:r>
              <w:rPr>
                <w:rFonts w:ascii="Arial" w:cs="Arial" w:eastAsia="Arial" w:hAnsi="Arial"/>
                <w:sz w:val="22"/>
                <w:szCs w:val="22"/>
                <w:color w:val="auto"/>
              </w:rPr>
              <w:t>Pension contributions</w:t>
            </w:r>
          </w:p>
        </w:tc>
        <w:tc>
          <w:tcPr>
            <w:tcW w:w="7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73</w:t>
            </w:r>
          </w:p>
        </w:tc>
        <w:tc>
          <w:tcPr>
            <w:tcW w:w="8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66</w:t>
            </w:r>
          </w:p>
        </w:tc>
        <w:tc>
          <w:tcPr>
            <w:tcW w:w="7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Share-based payment expenses</w:t>
            </w:r>
          </w:p>
        </w:tc>
        <w:tc>
          <w:tcPr>
            <w:tcW w:w="76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1,210</w:t>
            </w:r>
          </w:p>
        </w:tc>
        <w:tc>
          <w:tcPr>
            <w:tcW w:w="8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446</w:t>
            </w:r>
          </w:p>
        </w:tc>
        <w:tc>
          <w:tcPr>
            <w:tcW w:w="78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152</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i w:val="1"/>
                <w:iCs w:val="1"/>
                <w:color w:val="auto"/>
              </w:rPr>
              <w:t>Included in administrative expenses: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22"/>
                <w:szCs w:val="22"/>
                <w:color w:val="auto"/>
              </w:rPr>
              <w:t>Salaries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22"/>
                <w:szCs w:val="22"/>
                <w:color w:val="auto"/>
              </w:rPr>
              <w:t>3,763</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22"/>
                <w:szCs w:val="22"/>
                <w:color w:val="auto"/>
              </w:rPr>
              <w:t>4,832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22"/>
                <w:szCs w:val="22"/>
                <w:color w:val="auto"/>
              </w:rPr>
              <w:t>3,384</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tcPr>
          <w:p>
            <w:pPr>
              <w:spacing w:after="0" w:line="243" w:lineRule="exact"/>
              <w:rPr>
                <w:sz w:val="20"/>
                <w:szCs w:val="20"/>
                <w:color w:val="auto"/>
              </w:rPr>
            </w:pPr>
            <w:r>
              <w:rPr>
                <w:rFonts w:ascii="Arial" w:cs="Arial" w:eastAsia="Arial" w:hAnsi="Arial"/>
                <w:sz w:val="22"/>
                <w:szCs w:val="22"/>
                <w:color w:val="auto"/>
              </w:rPr>
              <w:t>Social security costs</w:t>
            </w:r>
          </w:p>
        </w:tc>
        <w:tc>
          <w:tcPr>
            <w:tcW w:w="76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418</w:t>
            </w:r>
          </w:p>
        </w:tc>
        <w:tc>
          <w:tcPr>
            <w:tcW w:w="8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681</w:t>
            </w:r>
          </w:p>
        </w:tc>
        <w:tc>
          <w:tcPr>
            <w:tcW w:w="8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Pension contributions</w:t>
            </w:r>
          </w:p>
        </w:tc>
        <w:tc>
          <w:tcPr>
            <w:tcW w:w="76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99</w:t>
            </w:r>
          </w:p>
        </w:tc>
        <w:tc>
          <w:tcPr>
            <w:tcW w:w="8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89</w:t>
            </w:r>
          </w:p>
        </w:tc>
        <w:tc>
          <w:tcPr>
            <w:tcW w:w="78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114</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720" w:type="dxa"/>
            <w:vAlign w:val="bottom"/>
          </w:tcPr>
          <w:p>
            <w:pPr>
              <w:spacing w:after="0" w:line="243" w:lineRule="exact"/>
              <w:rPr>
                <w:sz w:val="20"/>
                <w:szCs w:val="20"/>
                <w:color w:val="auto"/>
              </w:rPr>
            </w:pPr>
            <w:r>
              <w:rPr>
                <w:rFonts w:ascii="Arial" w:cs="Arial" w:eastAsia="Arial" w:hAnsi="Arial"/>
                <w:sz w:val="22"/>
                <w:szCs w:val="22"/>
                <w:color w:val="auto"/>
              </w:rPr>
              <w:t>Share-based payment expenses</w:t>
            </w:r>
          </w:p>
        </w:tc>
        <w:tc>
          <w:tcPr>
            <w:tcW w:w="100" w:type="dxa"/>
            <w:vAlign w:val="bottom"/>
          </w:tcPr>
          <w:p>
            <w:pPr>
              <w:spacing w:after="0"/>
              <w:rPr>
                <w:sz w:val="21"/>
                <w:szCs w:val="21"/>
                <w:color w:val="auto"/>
              </w:rPr>
            </w:pPr>
          </w:p>
        </w:tc>
        <w:tc>
          <w:tcPr>
            <w:tcW w:w="660" w:type="dxa"/>
            <w:vAlign w:val="bottom"/>
            <w:tcBorders>
              <w:bottom w:val="single" w:sz="8" w:color="auto"/>
            </w:tcBorders>
            <w:gridSpan w:val="2"/>
          </w:tcPr>
          <w:p>
            <w:pPr>
              <w:jc w:val="right"/>
              <w:ind w:right="20"/>
              <w:spacing w:after="0" w:line="243" w:lineRule="exact"/>
              <w:rPr>
                <w:sz w:val="20"/>
                <w:szCs w:val="20"/>
                <w:color w:val="auto"/>
              </w:rPr>
            </w:pPr>
            <w:r>
              <w:rPr>
                <w:rFonts w:ascii="Arial" w:cs="Arial" w:eastAsia="Arial" w:hAnsi="Arial"/>
                <w:sz w:val="22"/>
                <w:szCs w:val="22"/>
                <w:color w:val="auto"/>
              </w:rPr>
              <w:t>2,092</w:t>
            </w:r>
          </w:p>
        </w:tc>
        <w:tc>
          <w:tcPr>
            <w:tcW w:w="220" w:type="dxa"/>
            <w:vAlign w:val="bottom"/>
            <w:gridSpan w:val="2"/>
          </w:tcPr>
          <w:p>
            <w:pPr>
              <w:spacing w:after="0"/>
              <w:rPr>
                <w:sz w:val="21"/>
                <w:szCs w:val="21"/>
                <w:color w:val="auto"/>
              </w:rPr>
            </w:pPr>
          </w:p>
        </w:tc>
        <w:tc>
          <w:tcPr>
            <w:tcW w:w="64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1,112</w:t>
            </w:r>
          </w:p>
        </w:tc>
        <w:tc>
          <w:tcPr>
            <w:tcW w:w="240" w:type="dxa"/>
            <w:vAlign w:val="bottom"/>
            <w:gridSpan w:val="2"/>
          </w:tcPr>
          <w:p>
            <w:pPr>
              <w:spacing w:after="0"/>
              <w:rPr>
                <w:sz w:val="21"/>
                <w:szCs w:val="21"/>
                <w:color w:val="auto"/>
              </w:rPr>
            </w:pPr>
          </w:p>
        </w:tc>
        <w:tc>
          <w:tcPr>
            <w:tcW w:w="5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w w:val="94"/>
              </w:rPr>
              <w:t>1,485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w:t>
            </w:r>
          </w:p>
        </w:tc>
        <w:tc>
          <w:tcPr>
            <w:tcW w:w="76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b w:val="1"/>
                <w:bCs w:val="1"/>
                <w:color w:val="auto"/>
              </w:rPr>
              <w:t>12,183</w:t>
            </w:r>
          </w:p>
        </w:tc>
        <w:tc>
          <w:tcPr>
            <w:tcW w:w="8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10,669</w:t>
            </w:r>
          </w:p>
        </w:tc>
        <w:tc>
          <w:tcPr>
            <w:tcW w:w="78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8,007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22"/>
                <w:szCs w:val="22"/>
                <w:color w:val="auto"/>
              </w:rPr>
              <w:t>Total compensation costs for Directors during the year was:</w:t>
            </w: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7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3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11"/>
          </w:tcPr>
          <w:p>
            <w:pPr>
              <w:ind w:left="60"/>
              <w:spacing w:after="0"/>
              <w:rPr>
                <w:sz w:val="20"/>
                <w:szCs w:val="20"/>
                <w:color w:val="auto"/>
              </w:rPr>
            </w:pPr>
            <w:r>
              <w:rPr>
                <w:rFonts w:ascii="Arial" w:cs="Arial" w:eastAsia="Arial" w:hAnsi="Arial"/>
                <w:sz w:val="20"/>
                <w:szCs w:val="20"/>
                <w:b w:val="1"/>
                <w:bCs w:val="1"/>
                <w:color w:val="auto"/>
                <w:w w:val="96"/>
              </w:rPr>
              <w:t>Year ended December 31,</w:t>
            </w: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60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20"/>
                <w:szCs w:val="20"/>
                <w:b w:val="1"/>
                <w:bCs w:val="1"/>
                <w:color w:val="auto"/>
              </w:rPr>
              <w:t>2021</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3"/>
          </w:tcPr>
          <w:p>
            <w:pPr>
              <w:jc w:val="right"/>
              <w:spacing w:after="0" w:line="200" w:lineRule="exact"/>
              <w:rPr>
                <w:sz w:val="20"/>
                <w:szCs w:val="20"/>
                <w:color w:val="auto"/>
              </w:rPr>
            </w:pPr>
            <w:r>
              <w:rPr>
                <w:rFonts w:ascii="Arial" w:cs="Arial" w:eastAsia="Arial" w:hAnsi="Arial"/>
                <w:sz w:val="20"/>
                <w:szCs w:val="20"/>
                <w:b w:val="1"/>
                <w:bCs w:val="1"/>
                <w:color w:val="auto"/>
              </w:rPr>
              <w:t>2020</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3"/>
          </w:tcPr>
          <w:p>
            <w:pPr>
              <w:jc w:val="right"/>
              <w:spacing w:after="0" w:line="200" w:lineRule="exact"/>
              <w:rPr>
                <w:sz w:val="20"/>
                <w:szCs w:val="20"/>
                <w:color w:val="auto"/>
              </w:rPr>
            </w:pPr>
            <w:r>
              <w:rPr>
                <w:rFonts w:ascii="Arial" w:cs="Arial" w:eastAsia="Arial" w:hAnsi="Arial"/>
                <w:sz w:val="20"/>
                <w:szCs w:val="20"/>
                <w:b w:val="1"/>
                <w:bCs w:val="1"/>
                <w:color w:val="auto"/>
              </w:rPr>
              <w:t>2019</w:t>
            </w:r>
          </w:p>
        </w:tc>
        <w:tc>
          <w:tcPr>
            <w:tcW w:w="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4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20"/>
                <w:szCs w:val="20"/>
                <w:b w:val="1"/>
                <w:bCs w:val="1"/>
                <w:u w:val="single" w:color="auto"/>
                <w:color w:val="auto"/>
                <w:w w:val="84"/>
              </w:rPr>
              <w:t>£</w:t>
            </w:r>
            <w:r>
              <w:rPr>
                <w:rFonts w:ascii="Arial" w:cs="Arial" w:eastAsia="Arial" w:hAnsi="Arial"/>
                <w:sz w:val="20"/>
                <w:szCs w:val="20"/>
                <w:b w:val="1"/>
                <w:bCs w:val="1"/>
                <w:color w:val="auto"/>
                <w:w w:val="84"/>
              </w:rPr>
              <w:t>’000s</w:t>
            </w:r>
          </w:p>
        </w:tc>
        <w:tc>
          <w:tcPr>
            <w:tcW w:w="160" w:type="dxa"/>
            <w:vAlign w:val="bottom"/>
          </w:tcPr>
          <w:p>
            <w:pPr>
              <w:spacing w:after="0"/>
              <w:rPr>
                <w:sz w:val="21"/>
                <w:szCs w:val="21"/>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’000s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’000s</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67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Salaries and fees</w:t>
            </w:r>
          </w:p>
        </w:tc>
        <w:tc>
          <w:tcPr>
            <w:tcW w:w="600" w:type="dxa"/>
            <w:vAlign w:val="bottom"/>
            <w:tcBorders>
              <w:top w:val="single" w:sz="8" w:color="auto"/>
            </w:tcBorders>
            <w:gridSpan w:val="2"/>
            <w:shd w:val="clear" w:color="auto" w:fill="CCEEFF"/>
          </w:tcPr>
          <w:p>
            <w:pPr>
              <w:jc w:val="right"/>
              <w:spacing w:after="0" w:line="237" w:lineRule="exact"/>
              <w:rPr>
                <w:sz w:val="20"/>
                <w:szCs w:val="20"/>
                <w:color w:val="auto"/>
              </w:rPr>
            </w:pPr>
            <w:r>
              <w:rPr>
                <w:rFonts w:ascii="Arial" w:cs="Arial" w:eastAsia="Arial" w:hAnsi="Arial"/>
                <w:sz w:val="22"/>
                <w:szCs w:val="22"/>
                <w:color w:val="auto"/>
              </w:rPr>
              <w:t>810</w:t>
            </w: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gridSpan w:val="2"/>
            <w:shd w:val="clear" w:color="auto" w:fill="CCEEFF"/>
          </w:tcPr>
          <w:p>
            <w:pPr>
              <w:jc w:val="right"/>
              <w:spacing w:after="0" w:line="237" w:lineRule="exact"/>
              <w:rPr>
                <w:sz w:val="20"/>
                <w:szCs w:val="20"/>
                <w:color w:val="auto"/>
              </w:rPr>
            </w:pPr>
            <w:r>
              <w:rPr>
                <w:rFonts w:ascii="Arial" w:cs="Arial" w:eastAsia="Arial" w:hAnsi="Arial"/>
                <w:sz w:val="22"/>
                <w:szCs w:val="22"/>
                <w:color w:val="auto"/>
              </w:rPr>
              <w:t>1,114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gridSpan w:val="3"/>
            <w:shd w:val="clear" w:color="auto" w:fill="CCEEFF"/>
          </w:tcPr>
          <w:p>
            <w:pPr>
              <w:jc w:val="right"/>
              <w:spacing w:after="0" w:line="237" w:lineRule="exact"/>
              <w:rPr>
                <w:sz w:val="20"/>
                <w:szCs w:val="20"/>
                <w:color w:val="auto"/>
              </w:rPr>
            </w:pPr>
            <w:r>
              <w:rPr>
                <w:rFonts w:ascii="Arial" w:cs="Arial" w:eastAsia="Arial" w:hAnsi="Arial"/>
                <w:sz w:val="22"/>
                <w:szCs w:val="22"/>
                <w:color w:val="auto"/>
              </w:rPr>
              <w:t>1,106</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tcPr>
          <w:p>
            <w:pPr>
              <w:spacing w:after="0" w:line="243" w:lineRule="exact"/>
              <w:rPr>
                <w:sz w:val="20"/>
                <w:szCs w:val="20"/>
                <w:color w:val="auto"/>
              </w:rPr>
            </w:pPr>
            <w:r>
              <w:rPr>
                <w:rFonts w:ascii="Arial" w:cs="Arial" w:eastAsia="Arial" w:hAnsi="Arial"/>
                <w:sz w:val="22"/>
                <w:szCs w:val="22"/>
                <w:color w:val="auto"/>
              </w:rPr>
              <w:t>Benefits in kind</w:t>
            </w: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w:t>
            </w:r>
          </w:p>
        </w:tc>
        <w:tc>
          <w:tcPr>
            <w:tcW w:w="160" w:type="dxa"/>
            <w:vAlign w:val="bottom"/>
          </w:tcPr>
          <w:p>
            <w:pPr>
              <w:spacing w:after="0"/>
              <w:rPr>
                <w:sz w:val="21"/>
                <w:szCs w:val="21"/>
                <w:color w:val="auto"/>
              </w:rPr>
            </w:pPr>
          </w:p>
        </w:tc>
        <w:tc>
          <w:tcPr>
            <w:tcW w:w="7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14</w:t>
            </w:r>
          </w:p>
        </w:tc>
        <w:tc>
          <w:tcPr>
            <w:tcW w:w="100" w:type="dxa"/>
            <w:vAlign w:val="bottom"/>
          </w:tcPr>
          <w:p>
            <w:pPr>
              <w:spacing w:after="0"/>
              <w:rPr>
                <w:sz w:val="21"/>
                <w:szCs w:val="21"/>
                <w:color w:val="auto"/>
              </w:rPr>
            </w:pPr>
          </w:p>
        </w:tc>
        <w:tc>
          <w:tcPr>
            <w:tcW w:w="8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Pension contributions</w:t>
            </w:r>
          </w:p>
        </w:tc>
        <w:tc>
          <w:tcPr>
            <w:tcW w:w="6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58</w:t>
            </w:r>
          </w:p>
        </w:tc>
        <w:tc>
          <w:tcPr>
            <w:tcW w:w="1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61</w:t>
            </w:r>
          </w:p>
        </w:tc>
        <w:tc>
          <w:tcPr>
            <w:tcW w:w="10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720" w:type="dxa"/>
            <w:vAlign w:val="bottom"/>
          </w:tcPr>
          <w:p>
            <w:pPr>
              <w:spacing w:after="0" w:line="243" w:lineRule="exact"/>
              <w:rPr>
                <w:sz w:val="20"/>
                <w:szCs w:val="20"/>
                <w:color w:val="auto"/>
              </w:rPr>
            </w:pPr>
            <w:r>
              <w:rPr>
                <w:rFonts w:ascii="Arial" w:cs="Arial" w:eastAsia="Arial" w:hAnsi="Arial"/>
                <w:sz w:val="22"/>
                <w:szCs w:val="22"/>
                <w:color w:val="auto"/>
              </w:rPr>
              <w:t>Bonus</w:t>
            </w:r>
          </w:p>
        </w:tc>
        <w:tc>
          <w:tcPr>
            <w:tcW w:w="60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239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Borders>
              <w:bottom w:val="single" w:sz="8" w:color="auto"/>
            </w:tcBorders>
            <w:gridSpan w:val="3"/>
          </w:tcPr>
          <w:p>
            <w:pPr>
              <w:jc w:val="right"/>
              <w:spacing w:after="0" w:line="243" w:lineRule="exact"/>
              <w:rPr>
                <w:sz w:val="20"/>
                <w:szCs w:val="20"/>
                <w:color w:val="auto"/>
              </w:rPr>
            </w:pPr>
            <w:r>
              <w:rPr>
                <w:rFonts w:ascii="Arial" w:cs="Arial" w:eastAsia="Arial" w:hAnsi="Arial"/>
                <w:sz w:val="22"/>
                <w:szCs w:val="22"/>
                <w:color w:val="auto"/>
              </w:rPr>
              <w:t>294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1,116</w:t>
            </w:r>
          </w:p>
        </w:tc>
        <w:tc>
          <w:tcPr>
            <w:tcW w:w="1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20"/>
                <w:szCs w:val="20"/>
                <w:b w:val="1"/>
                <w:bCs w:val="1"/>
                <w:color w:val="auto"/>
              </w:rPr>
              <w:t>1,727</w:t>
            </w:r>
          </w:p>
        </w:tc>
        <w:tc>
          <w:tcPr>
            <w:tcW w:w="10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20"/>
                <w:szCs w:val="20"/>
                <w:b w:val="1"/>
                <w:bCs w:val="1"/>
                <w:color w:val="auto"/>
              </w:rPr>
              <w:t>1,442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120" w:firstLine="551"/>
        <w:spacing w:after="0" w:line="250" w:lineRule="auto"/>
        <w:rPr>
          <w:sz w:val="20"/>
          <w:szCs w:val="20"/>
          <w:color w:val="auto"/>
        </w:rPr>
      </w:pPr>
      <w:r>
        <w:rPr>
          <w:rFonts w:ascii="Arial" w:cs="Arial" w:eastAsia="Arial" w:hAnsi="Arial"/>
          <w:sz w:val="22"/>
          <w:szCs w:val="22"/>
          <w:color w:val="auto"/>
        </w:rPr>
        <w:t>During 2021, one Director was a member of a defined contribution pension scheme (2020: one, 2019: two). Further details concerning the remuneration of key management personnel can be found in Note 27.</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7000" w:type="dxa"/>
            <w:vAlign w:val="bottom"/>
            <w:gridSpan w:val="2"/>
          </w:tcPr>
          <w:p>
            <w:pPr>
              <w:spacing w:after="0"/>
              <w:rPr>
                <w:sz w:val="20"/>
                <w:szCs w:val="20"/>
                <w:color w:val="auto"/>
              </w:rPr>
            </w:pPr>
            <w:r>
              <w:rPr>
                <w:rFonts w:ascii="Arial" w:cs="Arial" w:eastAsia="Arial" w:hAnsi="Arial"/>
                <w:sz w:val="22"/>
                <w:szCs w:val="22"/>
                <w:b w:val="1"/>
                <w:bCs w:val="1"/>
                <w:color w:val="auto"/>
              </w:rPr>
              <w:t>9. Other income/expenses and adjustments</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3"/>
        </w:trPr>
        <w:tc>
          <w:tcPr>
            <w:tcW w:w="700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Finance income</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3"/>
        </w:trPr>
        <w:tc>
          <w:tcPr>
            <w:tcW w:w="8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140" w:type="dxa"/>
            <w:vAlign w:val="bottom"/>
            <w:gridSpan w:val="6"/>
          </w:tcPr>
          <w:p>
            <w:pPr>
              <w:ind w:left="360"/>
              <w:spacing w:after="0"/>
              <w:rPr>
                <w:sz w:val="20"/>
                <w:szCs w:val="20"/>
                <w:color w:val="auto"/>
              </w:rPr>
            </w:pPr>
            <w:r>
              <w:rPr>
                <w:rFonts w:ascii="Arial" w:cs="Arial" w:eastAsia="Arial" w:hAnsi="Arial"/>
                <w:sz w:val="22"/>
                <w:szCs w:val="22"/>
                <w:b w:val="1"/>
                <w:bCs w:val="1"/>
                <w:color w:val="auto"/>
              </w:rPr>
              <w:t>Year ended December 31,</w:t>
            </w:r>
          </w:p>
        </w:tc>
      </w:tr>
      <w:tr>
        <w:trPr>
          <w:trHeight w:val="209"/>
        </w:trPr>
        <w:tc>
          <w:tcPr>
            <w:tcW w:w="8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660" w:type="dxa"/>
            <w:vAlign w:val="bottom"/>
            <w:tcBorders>
              <w:top w:val="single" w:sz="8" w:color="auto"/>
            </w:tcBorders>
          </w:tcPr>
          <w:p>
            <w:pPr>
              <w:jc w:val="right"/>
              <w:ind w:right="12"/>
              <w:spacing w:after="0" w:line="209" w:lineRule="exact"/>
              <w:rPr>
                <w:sz w:val="20"/>
                <w:szCs w:val="20"/>
                <w:color w:val="auto"/>
              </w:rPr>
            </w:pPr>
            <w:r>
              <w:rPr>
                <w:rFonts w:ascii="Arial" w:cs="Arial" w:eastAsia="Arial" w:hAnsi="Arial"/>
                <w:sz w:val="22"/>
                <w:szCs w:val="22"/>
                <w:b w:val="1"/>
                <w:bCs w:val="1"/>
                <w:color w:val="auto"/>
              </w:rPr>
              <w:t>2021</w:t>
            </w:r>
          </w:p>
        </w:tc>
        <w:tc>
          <w:tcPr>
            <w:tcW w:w="1200" w:type="dxa"/>
            <w:vAlign w:val="bottom"/>
            <w:tcBorders>
              <w:top w:val="single" w:sz="8" w:color="auto"/>
            </w:tcBorders>
            <w:gridSpan w:val="2"/>
          </w:tcPr>
          <w:p>
            <w:pPr>
              <w:jc w:val="right"/>
              <w:ind w:right="12"/>
              <w:spacing w:after="0" w:line="209" w:lineRule="exact"/>
              <w:rPr>
                <w:sz w:val="20"/>
                <w:szCs w:val="20"/>
                <w:color w:val="auto"/>
              </w:rPr>
            </w:pPr>
            <w:r>
              <w:rPr>
                <w:rFonts w:ascii="Arial" w:cs="Arial" w:eastAsia="Arial" w:hAnsi="Arial"/>
                <w:sz w:val="22"/>
                <w:szCs w:val="22"/>
                <w:b w:val="1"/>
                <w:bCs w:val="1"/>
                <w:color w:val="auto"/>
              </w:rPr>
              <w:t>2020</w:t>
            </w:r>
          </w:p>
        </w:tc>
        <w:tc>
          <w:tcPr>
            <w:tcW w:w="1220" w:type="dxa"/>
            <w:vAlign w:val="bottom"/>
            <w:tcBorders>
              <w:top w:val="single" w:sz="8" w:color="auto"/>
            </w:tcBorders>
            <w:gridSpan w:val="2"/>
          </w:tcPr>
          <w:p>
            <w:pPr>
              <w:jc w:val="right"/>
              <w:ind w:right="32"/>
              <w:spacing w:after="0" w:line="209" w:lineRule="exact"/>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18"/>
                <w:szCs w:val="18"/>
                <w:color w:val="auto"/>
              </w:rPr>
            </w:pPr>
          </w:p>
        </w:tc>
      </w:tr>
      <w:tr>
        <w:trPr>
          <w:trHeight w:val="270"/>
        </w:trPr>
        <w:tc>
          <w:tcPr>
            <w:tcW w:w="88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2"/>
                <w:szCs w:val="22"/>
                <w:b w:val="1"/>
                <w:bCs w:val="1"/>
                <w:u w:val="single" w:color="auto"/>
                <w:color w:val="auto"/>
                <w:w w:val="89"/>
              </w:rPr>
              <w:t>£</w:t>
            </w:r>
            <w:r>
              <w:rPr>
                <w:rFonts w:ascii="Arial" w:cs="Arial" w:eastAsia="Arial" w:hAnsi="Arial"/>
                <w:sz w:val="22"/>
                <w:szCs w:val="22"/>
                <w:b w:val="1"/>
                <w:bCs w:val="1"/>
                <w:color w:val="auto"/>
                <w:w w:val="89"/>
              </w:rPr>
              <w:t>’000s</w:t>
            </w:r>
          </w:p>
        </w:tc>
        <w:tc>
          <w:tcPr>
            <w:tcW w:w="5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22"/>
                <w:szCs w:val="22"/>
                <w:b w:val="1"/>
                <w:bCs w:val="1"/>
                <w:u w:val="single" w:color="auto"/>
                <w:color w:val="auto"/>
                <w:w w:val="86"/>
              </w:rPr>
              <w:t>£</w:t>
            </w:r>
            <w:r>
              <w:rPr>
                <w:rFonts w:ascii="Arial" w:cs="Arial" w:eastAsia="Arial" w:hAnsi="Arial"/>
                <w:sz w:val="22"/>
                <w:szCs w:val="22"/>
                <w:b w:val="1"/>
                <w:bCs w:val="1"/>
                <w:color w:val="auto"/>
                <w:w w:val="86"/>
              </w:rPr>
              <w:t>’000s</w:t>
            </w:r>
          </w:p>
        </w:tc>
        <w:tc>
          <w:tcPr>
            <w:tcW w:w="540" w:type="dxa"/>
            <w:vAlign w:val="bottom"/>
          </w:tcPr>
          <w:p>
            <w:pPr>
              <w:spacing w:after="0"/>
              <w:rPr>
                <w:sz w:val="23"/>
                <w:szCs w:val="2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22"/>
                <w:szCs w:val="22"/>
                <w:b w:val="1"/>
                <w:bCs w:val="1"/>
                <w:u w:val="single" w:color="auto"/>
                <w:color w:val="auto"/>
                <w:w w:val="86"/>
              </w:rPr>
              <w:t>£</w:t>
            </w:r>
            <w:r>
              <w:rPr>
                <w:rFonts w:ascii="Arial" w:cs="Arial" w:eastAsia="Arial" w:hAnsi="Arial"/>
                <w:sz w:val="22"/>
                <w:szCs w:val="22"/>
                <w:b w:val="1"/>
                <w:bCs w:val="1"/>
                <w:color w:val="auto"/>
                <w:w w:val="86"/>
              </w:rPr>
              <w:t>’000s</w:t>
            </w:r>
          </w:p>
        </w:tc>
      </w:tr>
      <w:tr>
        <w:trPr>
          <w:trHeight w:val="237"/>
        </w:trPr>
        <w:tc>
          <w:tcPr>
            <w:tcW w:w="880" w:type="dxa"/>
            <w:vAlign w:val="bottom"/>
          </w:tcPr>
          <w:p>
            <w:pPr>
              <w:spacing w:after="0"/>
              <w:rPr>
                <w:sz w:val="20"/>
                <w:szCs w:val="20"/>
                <w:color w:val="auto"/>
              </w:rPr>
            </w:pPr>
          </w:p>
        </w:tc>
        <w:tc>
          <w:tcPr>
            <w:tcW w:w="61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Bank interest earned</w:t>
            </w:r>
          </w:p>
        </w:tc>
        <w:tc>
          <w:tcPr>
            <w:tcW w:w="6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w:t>
            </w:r>
          </w:p>
        </w:tc>
        <w:tc>
          <w:tcPr>
            <w:tcW w:w="54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w:t>
            </w:r>
          </w:p>
        </w:tc>
        <w:tc>
          <w:tcPr>
            <w:tcW w:w="5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42</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120" w:type="dxa"/>
            <w:vAlign w:val="bottom"/>
          </w:tcPr>
          <w:p>
            <w:pPr>
              <w:spacing w:after="0" w:line="243" w:lineRule="exact"/>
              <w:rPr>
                <w:sz w:val="20"/>
                <w:szCs w:val="20"/>
                <w:color w:val="auto"/>
              </w:rPr>
            </w:pPr>
            <w:r>
              <w:rPr>
                <w:rFonts w:ascii="Arial" w:cs="Arial" w:eastAsia="Arial" w:hAnsi="Arial"/>
                <w:sz w:val="22"/>
                <w:szCs w:val="22"/>
                <w:color w:val="auto"/>
              </w:rPr>
              <w:t>Interest earned on short-term investments</w:t>
            </w:r>
          </w:p>
        </w:tc>
        <w:tc>
          <w:tcPr>
            <w:tcW w:w="6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1"/>
                <w:szCs w:val="21"/>
                <w:color w:val="auto"/>
              </w:rPr>
            </w:pPr>
          </w:p>
        </w:tc>
        <w:tc>
          <w:tcPr>
            <w:tcW w:w="6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141</w:t>
            </w:r>
          </w:p>
        </w:tc>
        <w:tc>
          <w:tcPr>
            <w:tcW w:w="6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6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on short-term investments</w:t>
            </w:r>
          </w:p>
        </w:tc>
        <w:tc>
          <w:tcPr>
            <w:tcW w:w="66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39</w:t>
            </w:r>
          </w:p>
        </w:tc>
        <w:tc>
          <w:tcPr>
            <w:tcW w:w="12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194</w:t>
            </w:r>
          </w:p>
        </w:tc>
        <w:tc>
          <w:tcPr>
            <w:tcW w:w="60" w:type="dxa"/>
            <w:vAlign w:val="bottom"/>
            <w:shd w:val="clear" w:color="auto" w:fill="CCEEFF"/>
          </w:tcPr>
          <w:p>
            <w:pPr>
              <w:spacing w:after="0"/>
              <w:rPr>
                <w:sz w:val="21"/>
                <w:szCs w:val="21"/>
                <w:color w:val="auto"/>
              </w:rPr>
            </w:pPr>
          </w:p>
        </w:tc>
      </w:tr>
      <w:tr>
        <w:trPr>
          <w:trHeight w:val="250"/>
        </w:trPr>
        <w:tc>
          <w:tcPr>
            <w:tcW w:w="880" w:type="dxa"/>
            <w:vAlign w:val="bottom"/>
          </w:tcPr>
          <w:p>
            <w:pPr>
              <w:spacing w:after="0"/>
              <w:rPr>
                <w:sz w:val="21"/>
                <w:szCs w:val="21"/>
                <w:color w:val="auto"/>
              </w:rPr>
            </w:pPr>
          </w:p>
        </w:tc>
        <w:tc>
          <w:tcPr>
            <w:tcW w:w="6120" w:type="dxa"/>
            <w:vAlign w:val="bottom"/>
          </w:tcPr>
          <w:p>
            <w:pPr>
              <w:spacing w:after="0" w:line="250" w:lineRule="exact"/>
              <w:rPr>
                <w:sz w:val="20"/>
                <w:szCs w:val="20"/>
                <w:color w:val="auto"/>
              </w:rPr>
            </w:pPr>
            <w:r>
              <w:rPr>
                <w:rFonts w:ascii="Arial" w:cs="Arial" w:eastAsia="Arial" w:hAnsi="Arial"/>
                <w:sz w:val="22"/>
                <w:szCs w:val="22"/>
                <w:b w:val="1"/>
                <w:bCs w:val="1"/>
                <w:color w:val="auto"/>
              </w:rPr>
              <w:t>Total</w:t>
            </w:r>
          </w:p>
        </w:tc>
        <w:tc>
          <w:tcPr>
            <w:tcW w:w="6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w:t>
            </w:r>
          </w:p>
        </w:tc>
        <w:tc>
          <w:tcPr>
            <w:tcW w:w="5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44</w:t>
            </w:r>
          </w:p>
        </w:tc>
        <w:tc>
          <w:tcPr>
            <w:tcW w:w="5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377</w:t>
            </w:r>
          </w:p>
        </w:tc>
        <w:tc>
          <w:tcPr>
            <w:tcW w:w="6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0660"/>
          </w:cols>
          <w:pgMar w:left="320" w:top="486" w:right="91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52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Finance costs</w:t>
            </w: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503"/>
        </w:trPr>
        <w:tc>
          <w:tcPr>
            <w:tcW w:w="8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620" w:type="dxa"/>
            <w:vAlign w:val="bottom"/>
            <w:gridSpan w:val="6"/>
          </w:tcPr>
          <w:p>
            <w:pPr>
              <w:jc w:val="right"/>
              <w:ind w:right="139"/>
              <w:spacing w:after="0"/>
              <w:rPr>
                <w:sz w:val="20"/>
                <w:szCs w:val="20"/>
                <w:color w:val="auto"/>
              </w:rPr>
            </w:pPr>
            <w:r>
              <w:rPr>
                <w:rFonts w:ascii="Arial" w:cs="Arial" w:eastAsia="Arial" w:hAnsi="Arial"/>
                <w:sz w:val="22"/>
                <w:szCs w:val="22"/>
                <w:b w:val="1"/>
                <w:bCs w:val="1"/>
                <w:color w:val="auto"/>
                <w:w w:val="88"/>
              </w:rPr>
              <w:t>Year ended December 31,</w:t>
            </w:r>
          </w:p>
        </w:tc>
      </w:tr>
      <w:tr>
        <w:trPr>
          <w:trHeight w:val="209"/>
        </w:trPr>
        <w:tc>
          <w:tcPr>
            <w:tcW w:w="8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2"/>
                <w:szCs w:val="22"/>
                <w:b w:val="1"/>
                <w:bCs w:val="1"/>
                <w:color w:val="auto"/>
              </w:rPr>
              <w:t>2021</w:t>
            </w: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2"/>
                <w:szCs w:val="22"/>
                <w:b w:val="1"/>
                <w:bCs w:val="1"/>
                <w:color w:val="auto"/>
              </w:rPr>
              <w:t>2020</w:t>
            </w: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18"/>
                <w:szCs w:val="18"/>
                <w:color w:val="auto"/>
              </w:rPr>
            </w:pPr>
          </w:p>
        </w:tc>
      </w:tr>
      <w:tr>
        <w:trPr>
          <w:trHeight w:val="270"/>
        </w:trPr>
        <w:tc>
          <w:tcPr>
            <w:tcW w:w="88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920" w:type="dxa"/>
            <w:vAlign w:val="bottom"/>
            <w:gridSpan w:val="2"/>
          </w:tcPr>
          <w:p>
            <w:pPr>
              <w:jc w:val="center"/>
              <w:ind w:right="239"/>
              <w:spacing w:after="0"/>
              <w:rPr>
                <w:sz w:val="20"/>
                <w:szCs w:val="20"/>
                <w:color w:val="auto"/>
              </w:rPr>
            </w:pPr>
            <w:r>
              <w:rPr>
                <w:rFonts w:ascii="Arial" w:cs="Arial" w:eastAsia="Arial" w:hAnsi="Arial"/>
                <w:sz w:val="22"/>
                <w:szCs w:val="22"/>
                <w:b w:val="1"/>
                <w:bCs w:val="1"/>
                <w:u w:val="single" w:color="auto"/>
                <w:color w:val="auto"/>
                <w:w w:val="89"/>
              </w:rPr>
              <w:t>£</w:t>
            </w:r>
            <w:r>
              <w:rPr>
                <w:rFonts w:ascii="Arial" w:cs="Arial" w:eastAsia="Arial" w:hAnsi="Arial"/>
                <w:sz w:val="22"/>
                <w:szCs w:val="22"/>
                <w:b w:val="1"/>
                <w:bCs w:val="1"/>
                <w:color w:val="auto"/>
                <w:w w:val="89"/>
              </w:rPr>
              <w:t>’000s</w:t>
            </w:r>
          </w:p>
        </w:tc>
        <w:tc>
          <w:tcPr>
            <w:tcW w:w="940" w:type="dxa"/>
            <w:vAlign w:val="bottom"/>
            <w:gridSpan w:val="2"/>
          </w:tcPr>
          <w:p>
            <w:pPr>
              <w:jc w:val="center"/>
              <w:ind w:right="212"/>
              <w:spacing w:after="0"/>
              <w:rPr>
                <w:sz w:val="20"/>
                <w:szCs w:val="20"/>
                <w:color w:val="auto"/>
              </w:rPr>
            </w:pPr>
            <w:r>
              <w:rPr>
                <w:rFonts w:ascii="Arial" w:cs="Arial" w:eastAsia="Arial" w:hAnsi="Arial"/>
                <w:sz w:val="22"/>
                <w:szCs w:val="22"/>
                <w:b w:val="1"/>
                <w:bCs w:val="1"/>
                <w:u w:val="single" w:color="auto"/>
                <w:color w:val="auto"/>
                <w:w w:val="86"/>
              </w:rPr>
              <w:t>£</w:t>
            </w:r>
            <w:r>
              <w:rPr>
                <w:rFonts w:ascii="Arial" w:cs="Arial" w:eastAsia="Arial" w:hAnsi="Arial"/>
                <w:sz w:val="22"/>
                <w:szCs w:val="22"/>
                <w:b w:val="1"/>
                <w:bCs w:val="1"/>
                <w:color w:val="auto"/>
                <w:w w:val="86"/>
              </w:rPr>
              <w:t>’000s</w:t>
            </w:r>
          </w:p>
        </w:tc>
        <w:tc>
          <w:tcPr>
            <w:tcW w:w="760" w:type="dxa"/>
            <w:vAlign w:val="bottom"/>
            <w:gridSpan w:val="2"/>
          </w:tcPr>
          <w:p>
            <w:pPr>
              <w:jc w:val="center"/>
              <w:ind w:right="79"/>
              <w:spacing w:after="0"/>
              <w:rPr>
                <w:sz w:val="20"/>
                <w:szCs w:val="20"/>
                <w:color w:val="auto"/>
              </w:rPr>
            </w:pPr>
            <w:r>
              <w:rPr>
                <w:rFonts w:ascii="Arial" w:cs="Arial" w:eastAsia="Arial" w:hAnsi="Arial"/>
                <w:sz w:val="22"/>
                <w:szCs w:val="22"/>
                <w:b w:val="1"/>
                <w:bCs w:val="1"/>
                <w:u w:val="single" w:color="auto"/>
                <w:color w:val="auto"/>
                <w:w w:val="89"/>
              </w:rPr>
              <w:t>£</w:t>
            </w:r>
            <w:r>
              <w:rPr>
                <w:rFonts w:ascii="Arial" w:cs="Arial" w:eastAsia="Arial" w:hAnsi="Arial"/>
                <w:sz w:val="22"/>
                <w:szCs w:val="22"/>
                <w:b w:val="1"/>
                <w:bCs w:val="1"/>
                <w:color w:val="auto"/>
                <w:w w:val="89"/>
              </w:rPr>
              <w:t>’000s</w:t>
            </w:r>
          </w:p>
        </w:tc>
      </w:tr>
      <w:tr>
        <w:trPr>
          <w:trHeight w:val="236"/>
        </w:trPr>
        <w:tc>
          <w:tcPr>
            <w:tcW w:w="880" w:type="dxa"/>
            <w:vAlign w:val="bottom"/>
          </w:tcPr>
          <w:p>
            <w:pPr>
              <w:spacing w:after="0"/>
              <w:rPr>
                <w:sz w:val="20"/>
                <w:szCs w:val="20"/>
                <w:color w:val="auto"/>
              </w:rPr>
            </w:pPr>
          </w:p>
        </w:tc>
        <w:tc>
          <w:tcPr>
            <w:tcW w:w="664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Interest on convertible loan notes</w:t>
            </w:r>
          </w:p>
        </w:tc>
        <w:tc>
          <w:tcPr>
            <w:tcW w:w="6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6"/>
              </w:rPr>
              <w:t>(3,549)</w:t>
            </w:r>
          </w:p>
        </w:tc>
        <w:tc>
          <w:tcPr>
            <w:tcW w:w="3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6"/>
              </w:rPr>
              <w:t>(2,241)</w:t>
            </w:r>
          </w:p>
        </w:tc>
        <w:tc>
          <w:tcPr>
            <w:tcW w:w="3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(20)</w:t>
            </w:r>
          </w:p>
        </w:tc>
        <w:tc>
          <w:tcPr>
            <w:tcW w:w="140" w:type="dxa"/>
            <w:vAlign w:val="bottom"/>
            <w:tcBorders>
              <w:top w:val="single" w:sz="8" w:color="CCEEFF"/>
            </w:tcBorders>
            <w:shd w:val="clear" w:color="auto" w:fill="CCEEFF"/>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640" w:type="dxa"/>
            <w:vAlign w:val="bottom"/>
          </w:tcPr>
          <w:p>
            <w:pPr>
              <w:spacing w:after="0" w:line="243" w:lineRule="exact"/>
              <w:rPr>
                <w:sz w:val="20"/>
                <w:szCs w:val="20"/>
                <w:color w:val="auto"/>
              </w:rPr>
            </w:pPr>
            <w:r>
              <w:rPr>
                <w:rFonts w:ascii="Arial" w:cs="Arial" w:eastAsia="Arial" w:hAnsi="Arial"/>
                <w:sz w:val="22"/>
                <w:szCs w:val="22"/>
                <w:color w:val="auto"/>
              </w:rPr>
              <w:t>Interest on bank loan</w:t>
            </w:r>
          </w:p>
        </w:tc>
        <w:tc>
          <w:tcPr>
            <w:tcW w:w="920" w:type="dxa"/>
            <w:vAlign w:val="bottom"/>
            <w:gridSpan w:val="2"/>
          </w:tcPr>
          <w:p>
            <w:pPr>
              <w:jc w:val="right"/>
              <w:ind w:right="339"/>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w w:val="97"/>
              </w:rPr>
              <w:t>(2,900)</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4"/>
              </w:rPr>
              <w:t>(1,739)</w:t>
            </w:r>
          </w:p>
        </w:tc>
      </w:tr>
      <w:tr>
        <w:trPr>
          <w:trHeight w:val="243"/>
        </w:trPr>
        <w:tc>
          <w:tcPr>
            <w:tcW w:w="880" w:type="dxa"/>
            <w:vAlign w:val="bottom"/>
          </w:tcPr>
          <w:p>
            <w:pPr>
              <w:spacing w:after="0"/>
              <w:rPr>
                <w:sz w:val="21"/>
                <w:szCs w:val="21"/>
                <w:color w:val="auto"/>
              </w:rPr>
            </w:pPr>
          </w:p>
        </w:tc>
        <w:tc>
          <w:tcPr>
            <w:tcW w:w="6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on lease liabilities</w:t>
            </w:r>
          </w:p>
        </w:tc>
        <w:tc>
          <w:tcPr>
            <w:tcW w:w="920" w:type="dxa"/>
            <w:vAlign w:val="bottom"/>
            <w:gridSpan w:val="2"/>
            <w:shd w:val="clear" w:color="auto" w:fill="CCEEFF"/>
          </w:tcPr>
          <w:p>
            <w:pPr>
              <w:jc w:val="right"/>
              <w:ind w:right="159"/>
              <w:spacing w:after="0" w:line="243" w:lineRule="exact"/>
              <w:rPr>
                <w:sz w:val="20"/>
                <w:szCs w:val="20"/>
                <w:color w:val="auto"/>
              </w:rPr>
            </w:pPr>
            <w:r>
              <w:rPr>
                <w:rFonts w:ascii="Arial" w:cs="Arial" w:eastAsia="Arial" w:hAnsi="Arial"/>
                <w:sz w:val="22"/>
                <w:szCs w:val="22"/>
                <w:color w:val="auto"/>
              </w:rPr>
              <w:t>(227)</w:t>
            </w:r>
          </w:p>
        </w:tc>
        <w:tc>
          <w:tcPr>
            <w:tcW w:w="940" w:type="dxa"/>
            <w:vAlign w:val="bottom"/>
            <w:gridSpan w:val="2"/>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w w:val="97"/>
              </w:rPr>
              <w:t>(1,085)</w:t>
            </w:r>
          </w:p>
        </w:tc>
        <w:tc>
          <w:tcPr>
            <w:tcW w:w="7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w w:val="94"/>
              </w:rPr>
              <w:t>(1,314)</w:t>
            </w:r>
          </w:p>
        </w:tc>
      </w:tr>
      <w:tr>
        <w:trPr>
          <w:trHeight w:val="243"/>
        </w:trPr>
        <w:tc>
          <w:tcPr>
            <w:tcW w:w="880" w:type="dxa"/>
            <w:vAlign w:val="bottom"/>
          </w:tcPr>
          <w:p>
            <w:pPr>
              <w:spacing w:after="0"/>
              <w:rPr>
                <w:sz w:val="21"/>
                <w:szCs w:val="21"/>
                <w:color w:val="auto"/>
              </w:rPr>
            </w:pPr>
          </w:p>
        </w:tc>
        <w:tc>
          <w:tcPr>
            <w:tcW w:w="6640" w:type="dxa"/>
            <w:vAlign w:val="bottom"/>
          </w:tcPr>
          <w:p>
            <w:pPr>
              <w:spacing w:after="0" w:line="243" w:lineRule="exact"/>
              <w:rPr>
                <w:sz w:val="20"/>
                <w:szCs w:val="20"/>
                <w:color w:val="auto"/>
              </w:rPr>
            </w:pPr>
            <w:r>
              <w:rPr>
                <w:rFonts w:ascii="Arial" w:cs="Arial" w:eastAsia="Arial" w:hAnsi="Arial"/>
                <w:sz w:val="22"/>
                <w:szCs w:val="22"/>
                <w:color w:val="auto"/>
              </w:rPr>
              <w:t>Accreted interest on bank loan</w:t>
            </w:r>
          </w:p>
        </w:tc>
        <w:tc>
          <w:tcPr>
            <w:tcW w:w="920" w:type="dxa"/>
            <w:vAlign w:val="bottom"/>
            <w:gridSpan w:val="2"/>
          </w:tcPr>
          <w:p>
            <w:pPr>
              <w:jc w:val="right"/>
              <w:ind w:right="339"/>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4"/>
              </w:rPr>
              <w:t>(1,523)</w:t>
            </w:r>
          </w:p>
        </w:tc>
      </w:tr>
      <w:tr>
        <w:trPr>
          <w:trHeight w:val="243"/>
        </w:trPr>
        <w:tc>
          <w:tcPr>
            <w:tcW w:w="880" w:type="dxa"/>
            <w:vAlign w:val="bottom"/>
          </w:tcPr>
          <w:p>
            <w:pPr>
              <w:spacing w:after="0"/>
              <w:rPr>
                <w:sz w:val="21"/>
                <w:szCs w:val="21"/>
                <w:color w:val="auto"/>
              </w:rPr>
            </w:pPr>
          </w:p>
        </w:tc>
        <w:tc>
          <w:tcPr>
            <w:tcW w:w="6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Modification gain on bank loan</w:t>
            </w:r>
          </w:p>
        </w:tc>
        <w:tc>
          <w:tcPr>
            <w:tcW w:w="920" w:type="dxa"/>
            <w:vAlign w:val="bottom"/>
            <w:gridSpan w:val="2"/>
            <w:shd w:val="clear" w:color="auto" w:fill="CCEEFF"/>
          </w:tcPr>
          <w:p>
            <w:pPr>
              <w:jc w:val="right"/>
              <w:ind w:right="339"/>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jc w:val="right"/>
              <w:ind w:right="312"/>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456</w:t>
            </w:r>
          </w:p>
        </w:tc>
        <w:tc>
          <w:tcPr>
            <w:tcW w:w="140" w:type="dxa"/>
            <w:vAlign w:val="bottom"/>
            <w:shd w:val="clear" w:color="auto" w:fill="CCEEFF"/>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6640" w:type="dxa"/>
            <w:vAlign w:val="bottom"/>
          </w:tcPr>
          <w:p>
            <w:pPr>
              <w:spacing w:after="0" w:line="243" w:lineRule="exact"/>
              <w:rPr>
                <w:sz w:val="20"/>
                <w:szCs w:val="20"/>
                <w:color w:val="auto"/>
              </w:rPr>
            </w:pPr>
            <w:r>
              <w:rPr>
                <w:rFonts w:ascii="Arial" w:cs="Arial" w:eastAsia="Arial" w:hAnsi="Arial"/>
                <w:sz w:val="22"/>
                <w:szCs w:val="22"/>
                <w:color w:val="auto"/>
              </w:rPr>
              <w:t>Discounting of provision for deferred cash consideration</w:t>
            </w:r>
          </w:p>
        </w:tc>
        <w:tc>
          <w:tcPr>
            <w:tcW w:w="920" w:type="dxa"/>
            <w:vAlign w:val="bottom"/>
            <w:gridSpan w:val="2"/>
          </w:tcPr>
          <w:p>
            <w:pPr>
              <w:jc w:val="right"/>
              <w:ind w:right="159"/>
              <w:spacing w:after="0" w:line="243" w:lineRule="exact"/>
              <w:rPr>
                <w:sz w:val="20"/>
                <w:szCs w:val="20"/>
                <w:color w:val="auto"/>
              </w:rPr>
            </w:pPr>
            <w:r>
              <w:rPr>
                <w:rFonts w:ascii="Arial" w:cs="Arial" w:eastAsia="Arial" w:hAnsi="Arial"/>
                <w:sz w:val="22"/>
                <w:szCs w:val="22"/>
                <w:color w:val="auto"/>
              </w:rPr>
              <w:t>(225)</w:t>
            </w:r>
          </w:p>
        </w:tc>
        <w:tc>
          <w:tcPr>
            <w:tcW w:w="9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(157)</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(221)</w:t>
            </w:r>
          </w:p>
        </w:tc>
      </w:tr>
      <w:tr>
        <w:trPr>
          <w:trHeight w:val="243"/>
        </w:trPr>
        <w:tc>
          <w:tcPr>
            <w:tcW w:w="880" w:type="dxa"/>
            <w:vAlign w:val="bottom"/>
          </w:tcPr>
          <w:p>
            <w:pPr>
              <w:spacing w:after="0"/>
              <w:rPr>
                <w:sz w:val="21"/>
                <w:szCs w:val="21"/>
                <w:color w:val="auto"/>
              </w:rPr>
            </w:pPr>
          </w:p>
        </w:tc>
        <w:tc>
          <w:tcPr>
            <w:tcW w:w="6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w:t>
            </w:r>
          </w:p>
        </w:tc>
        <w:tc>
          <w:tcPr>
            <w:tcW w:w="920" w:type="dxa"/>
            <w:vAlign w:val="bottom"/>
            <w:gridSpan w:val="2"/>
            <w:shd w:val="clear" w:color="auto" w:fill="CCEEFF"/>
          </w:tcPr>
          <w:p>
            <w:pPr>
              <w:jc w:val="right"/>
              <w:ind w:right="159"/>
              <w:spacing w:after="0" w:line="243" w:lineRule="exact"/>
              <w:rPr>
                <w:sz w:val="20"/>
                <w:szCs w:val="20"/>
                <w:color w:val="auto"/>
              </w:rPr>
            </w:pPr>
            <w:r>
              <w:rPr>
                <w:rFonts w:ascii="Arial" w:cs="Arial" w:eastAsia="Arial" w:hAnsi="Arial"/>
                <w:sz w:val="22"/>
                <w:szCs w:val="22"/>
                <w:color w:val="auto"/>
              </w:rPr>
              <w:t>(21)</w:t>
            </w:r>
          </w:p>
        </w:tc>
        <w:tc>
          <w:tcPr>
            <w:tcW w:w="940" w:type="dxa"/>
            <w:vAlign w:val="bottom"/>
            <w:gridSpan w:val="2"/>
            <w:shd w:val="clear" w:color="auto" w:fill="CCEEFF"/>
          </w:tcPr>
          <w:p>
            <w:pPr>
              <w:jc w:val="right"/>
              <w:ind w:right="312"/>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50"/>
        </w:trPr>
        <w:tc>
          <w:tcPr>
            <w:tcW w:w="880" w:type="dxa"/>
            <w:vAlign w:val="bottom"/>
          </w:tcPr>
          <w:p>
            <w:pPr>
              <w:spacing w:after="0"/>
              <w:rPr>
                <w:sz w:val="21"/>
                <w:szCs w:val="21"/>
                <w:color w:val="auto"/>
              </w:rPr>
            </w:pPr>
          </w:p>
        </w:tc>
        <w:tc>
          <w:tcPr>
            <w:tcW w:w="6640" w:type="dxa"/>
            <w:vAlign w:val="bottom"/>
          </w:tcPr>
          <w:p>
            <w:pPr>
              <w:spacing w:after="0" w:line="250" w:lineRule="exact"/>
              <w:rPr>
                <w:sz w:val="20"/>
                <w:szCs w:val="20"/>
                <w:color w:val="auto"/>
              </w:rPr>
            </w:pPr>
            <w:r>
              <w:rPr>
                <w:rFonts w:ascii="Arial" w:cs="Arial" w:eastAsia="Arial" w:hAnsi="Arial"/>
                <w:sz w:val="22"/>
                <w:szCs w:val="22"/>
                <w:b w:val="1"/>
                <w:bCs w:val="1"/>
                <w:color w:val="auto"/>
              </w:rPr>
              <w:t>Total</w:t>
            </w:r>
          </w:p>
        </w:tc>
        <w:tc>
          <w:tcPr>
            <w:tcW w:w="6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2"/>
              </w:rPr>
              <w:t>(4,022</w:t>
            </w:r>
          </w:p>
        </w:tc>
        <w:tc>
          <w:tcPr>
            <w:tcW w:w="300" w:type="dxa"/>
            <w:vAlign w:val="bottom"/>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6"/>
              </w:rPr>
              <w:t>(6,383</w:t>
            </w:r>
          </w:p>
        </w:tc>
        <w:tc>
          <w:tcPr>
            <w:tcW w:w="320" w:type="dxa"/>
            <w:vAlign w:val="bottom"/>
          </w:tcPr>
          <w:p>
            <w:pPr>
              <w:jc w:val="right"/>
              <w:ind w:right="132"/>
              <w:spacing w:after="0" w:line="250" w:lineRule="exact"/>
              <w:rPr>
                <w:sz w:val="20"/>
                <w:szCs w:val="20"/>
                <w:color w:val="auto"/>
              </w:rPr>
            </w:pPr>
            <w:r>
              <w:rPr>
                <w:rFonts w:ascii="Arial" w:cs="Arial" w:eastAsia="Arial" w:hAnsi="Arial"/>
                <w:sz w:val="22"/>
                <w:szCs w:val="22"/>
                <w:b w:val="1"/>
                <w:bCs w:val="1"/>
                <w:color w:val="auto"/>
                <w:w w:val="81"/>
              </w:rPr>
              <w:t>)</w:t>
            </w:r>
          </w:p>
        </w:tc>
        <w:tc>
          <w:tcPr>
            <w:tcW w:w="6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6"/>
              </w:rPr>
              <w:t>(4,371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408"/>
        </w:trPr>
        <w:tc>
          <w:tcPr>
            <w:tcW w:w="880" w:type="dxa"/>
            <w:vAlign w:val="bottom"/>
          </w:tcPr>
          <w:p>
            <w:pPr>
              <w:spacing w:after="0"/>
              <w:rPr>
                <w:sz w:val="24"/>
                <w:szCs w:val="24"/>
                <w:color w:val="auto"/>
              </w:rPr>
            </w:pPr>
          </w:p>
        </w:tc>
        <w:tc>
          <w:tcPr>
            <w:tcW w:w="6640" w:type="dxa"/>
            <w:vAlign w:val="bottom"/>
          </w:tcPr>
          <w:p>
            <w:pPr>
              <w:ind w:left="4420"/>
              <w:spacing w:after="0"/>
              <w:rPr>
                <w:sz w:val="20"/>
                <w:szCs w:val="20"/>
                <w:color w:val="auto"/>
              </w:rPr>
            </w:pPr>
            <w:r>
              <w:rPr>
                <w:rFonts w:ascii="Arial" w:cs="Arial" w:eastAsia="Arial" w:hAnsi="Arial"/>
                <w:sz w:val="22"/>
                <w:szCs w:val="22"/>
                <w:color w:val="auto"/>
              </w:rPr>
              <w:t>F-19</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140"/>
          </w:cols>
          <w:pgMar w:left="440" w:top="118" w:right="1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Changes in the fair value of financial instruments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88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40" w:type="dxa"/>
            <w:vAlign w:val="bottom"/>
            <w:gridSpan w:val="10"/>
          </w:tcPr>
          <w:p>
            <w:pPr>
              <w:ind w:left="40"/>
              <w:spacing w:after="0"/>
              <w:rPr>
                <w:sz w:val="20"/>
                <w:szCs w:val="20"/>
                <w:color w:val="auto"/>
              </w:rPr>
            </w:pPr>
            <w:r>
              <w:rPr>
                <w:rFonts w:ascii="Arial" w:cs="Arial" w:eastAsia="Arial" w:hAnsi="Arial"/>
                <w:sz w:val="22"/>
                <w:szCs w:val="22"/>
                <w:b w:val="1"/>
                <w:bCs w:val="1"/>
                <w:color w:val="auto"/>
                <w:w w:val="96"/>
              </w:rPr>
              <w:t>Year ended December 31,</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60" w:type="dxa"/>
            <w:vAlign w:val="bottom"/>
            <w:tcBorders>
              <w:top w:val="single" w:sz="8" w:color="auto"/>
            </w:tcBorders>
            <w:gridSpan w:val="2"/>
          </w:tcPr>
          <w:p>
            <w:pPr>
              <w:jc w:val="right"/>
              <w:ind w:right="12"/>
              <w:spacing w:after="0" w:line="209" w:lineRule="exact"/>
              <w:rPr>
                <w:sz w:val="20"/>
                <w:szCs w:val="20"/>
                <w:color w:val="auto"/>
              </w:rPr>
            </w:pPr>
            <w:r>
              <w:rPr>
                <w:rFonts w:ascii="Arial" w:cs="Arial" w:eastAsia="Arial" w:hAnsi="Arial"/>
                <w:sz w:val="22"/>
                <w:szCs w:val="22"/>
                <w:b w:val="1"/>
                <w:bCs w:val="1"/>
                <w:color w:val="auto"/>
              </w:rPr>
              <w:t>2021</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32"/>
              <w:spacing w:after="0" w:line="209" w:lineRule="exact"/>
              <w:rPr>
                <w:sz w:val="20"/>
                <w:szCs w:val="20"/>
                <w:color w:val="auto"/>
              </w:rPr>
            </w:pPr>
            <w:r>
              <w:rPr>
                <w:rFonts w:ascii="Arial" w:cs="Arial" w:eastAsia="Arial" w:hAnsi="Arial"/>
                <w:sz w:val="22"/>
                <w:szCs w:val="22"/>
                <w:b w:val="1"/>
                <w:bCs w:val="1"/>
                <w:color w:val="auto"/>
              </w:rPr>
              <w:t>2020</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980" w:type="dxa"/>
            <w:vAlign w:val="bottom"/>
            <w:gridSpan w:val="4"/>
          </w:tcPr>
          <w:p>
            <w:pPr>
              <w:jc w:val="right"/>
              <w:ind w:right="252"/>
              <w:spacing w:after="0"/>
              <w:rPr>
                <w:sz w:val="20"/>
                <w:szCs w:val="20"/>
                <w:color w:val="auto"/>
              </w:rPr>
            </w:pPr>
            <w:r>
              <w:rPr>
                <w:rFonts w:ascii="Arial" w:cs="Arial" w:eastAsia="Arial" w:hAnsi="Arial"/>
                <w:sz w:val="22"/>
                <w:szCs w:val="22"/>
                <w:b w:val="1"/>
                <w:bCs w:val="1"/>
                <w:u w:val="single" w:color="auto"/>
                <w:color w:val="auto"/>
                <w:w w:val="89"/>
              </w:rPr>
              <w:t>£</w:t>
            </w:r>
            <w:r>
              <w:rPr>
                <w:rFonts w:ascii="Arial" w:cs="Arial" w:eastAsia="Arial" w:hAnsi="Arial"/>
                <w:sz w:val="22"/>
                <w:szCs w:val="22"/>
                <w:b w:val="1"/>
                <w:bCs w:val="1"/>
                <w:color w:val="auto"/>
                <w:w w:val="89"/>
              </w:rPr>
              <w:t>’000s</w:t>
            </w:r>
          </w:p>
        </w:tc>
        <w:tc>
          <w:tcPr>
            <w:tcW w:w="1080" w:type="dxa"/>
            <w:vAlign w:val="bottom"/>
            <w:gridSpan w:val="4"/>
          </w:tcPr>
          <w:p>
            <w:pPr>
              <w:jc w:val="center"/>
              <w:ind w:right="179"/>
              <w:spacing w:after="0"/>
              <w:rPr>
                <w:sz w:val="20"/>
                <w:szCs w:val="20"/>
                <w:color w:val="auto"/>
              </w:rPr>
            </w:pPr>
            <w:r>
              <w:rPr>
                <w:rFonts w:ascii="Arial" w:cs="Arial" w:eastAsia="Arial" w:hAnsi="Arial"/>
                <w:sz w:val="22"/>
                <w:szCs w:val="22"/>
                <w:b w:val="1"/>
                <w:bCs w:val="1"/>
                <w:color w:val="auto"/>
                <w:w w:val="86"/>
              </w:rPr>
              <w:t>£’000s</w:t>
            </w:r>
          </w:p>
        </w:tc>
        <w:tc>
          <w:tcPr>
            <w:tcW w:w="720" w:type="dxa"/>
            <w:vAlign w:val="bottom"/>
            <w:gridSpan w:val="3"/>
          </w:tcPr>
          <w:p>
            <w:pPr>
              <w:jc w:val="right"/>
              <w:ind w:right="60"/>
              <w:spacing w:after="0"/>
              <w:rPr>
                <w:sz w:val="20"/>
                <w:szCs w:val="20"/>
                <w:color w:val="auto"/>
              </w:rPr>
            </w:pPr>
            <w:r>
              <w:rPr>
                <w:rFonts w:ascii="Arial" w:cs="Arial" w:eastAsia="Arial" w:hAnsi="Arial"/>
                <w:sz w:val="22"/>
                <w:szCs w:val="22"/>
                <w:b w:val="1"/>
                <w:bCs w:val="1"/>
                <w:u w:val="single" w:color="auto"/>
                <w:color w:val="auto"/>
                <w:w w:val="95"/>
              </w:rPr>
              <w:t>£</w:t>
            </w:r>
            <w:r>
              <w:rPr>
                <w:rFonts w:ascii="Arial" w:cs="Arial" w:eastAsia="Arial" w:hAnsi="Arial"/>
                <w:sz w:val="22"/>
                <w:szCs w:val="22"/>
                <w:b w:val="1"/>
                <w:bCs w:val="1"/>
                <w:color w:val="auto"/>
                <w:w w:val="95"/>
              </w:rPr>
              <w:t>’000s</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48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Changes in the fair value of warrants – private placement</w:t>
            </w:r>
          </w:p>
        </w:tc>
        <w:tc>
          <w:tcPr>
            <w:tcW w:w="660" w:type="dxa"/>
            <w:vAlign w:val="bottom"/>
            <w:tcBorders>
              <w:top w:val="single" w:sz="8" w:color="auto"/>
            </w:tcBorders>
            <w:gridSpan w:val="2"/>
            <w:shd w:val="clear" w:color="auto" w:fill="CCEEFF"/>
          </w:tcPr>
          <w:p>
            <w:pPr>
              <w:jc w:val="right"/>
              <w:spacing w:after="0" w:line="237" w:lineRule="exact"/>
              <w:rPr>
                <w:sz w:val="20"/>
                <w:szCs w:val="20"/>
                <w:color w:val="auto"/>
              </w:rPr>
            </w:pPr>
            <w:r>
              <w:rPr>
                <w:rFonts w:ascii="Arial" w:cs="Arial" w:eastAsia="Arial" w:hAnsi="Arial"/>
                <w:sz w:val="22"/>
                <w:szCs w:val="22"/>
                <w:color w:val="auto"/>
                <w:w w:val="92"/>
              </w:rPr>
              <w:t>39,535</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gridSpan w:val="3"/>
            <w:shd w:val="clear" w:color="auto" w:fill="CCEEFF"/>
          </w:tcPr>
          <w:p>
            <w:pPr>
              <w:jc w:val="right"/>
              <w:spacing w:after="0" w:line="237" w:lineRule="exact"/>
              <w:rPr>
                <w:sz w:val="20"/>
                <w:szCs w:val="20"/>
                <w:color w:val="auto"/>
              </w:rPr>
            </w:pPr>
            <w:r>
              <w:rPr>
                <w:rFonts w:ascii="Arial" w:cs="Arial" w:eastAsia="Arial" w:hAnsi="Arial"/>
                <w:sz w:val="22"/>
                <w:szCs w:val="22"/>
                <w:color w:val="auto"/>
              </w:rPr>
              <w:t>(45,977)</w:t>
            </w:r>
          </w:p>
        </w:tc>
        <w:tc>
          <w:tcPr>
            <w:tcW w:w="2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6480" w:type="dxa"/>
            <w:vAlign w:val="bottom"/>
          </w:tcPr>
          <w:p>
            <w:pPr>
              <w:spacing w:after="0" w:line="243" w:lineRule="exact"/>
              <w:rPr>
                <w:sz w:val="20"/>
                <w:szCs w:val="20"/>
                <w:color w:val="auto"/>
              </w:rPr>
            </w:pPr>
            <w:r>
              <w:rPr>
                <w:rFonts w:ascii="Arial" w:cs="Arial" w:eastAsia="Arial" w:hAnsi="Arial"/>
                <w:sz w:val="22"/>
                <w:szCs w:val="22"/>
                <w:color w:val="auto"/>
              </w:rPr>
              <w:t>Changes in the fair value of warrants – bank loan</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99"/>
              <w:spacing w:after="0" w:line="243" w:lineRule="exact"/>
              <w:rPr>
                <w:sz w:val="20"/>
                <w:szCs w:val="20"/>
                <w:color w:val="auto"/>
              </w:rPr>
            </w:pPr>
            <w:r>
              <w:rPr>
                <w:rFonts w:ascii="Arial" w:cs="Arial" w:eastAsia="Arial" w:hAnsi="Arial"/>
                <w:sz w:val="22"/>
                <w:szCs w:val="22"/>
                <w:color w:val="auto"/>
              </w:rPr>
              <w:t>(714)</w:t>
            </w: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6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Changes in the fair value of embedded derivative</w:t>
            </w:r>
          </w:p>
        </w:tc>
        <w:tc>
          <w:tcPr>
            <w:tcW w:w="1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332"/>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4"/>
            <w:shd w:val="clear" w:color="auto" w:fill="CCEEFF"/>
          </w:tcPr>
          <w:p>
            <w:pPr>
              <w:jc w:val="right"/>
              <w:ind w:right="99"/>
              <w:spacing w:after="0" w:line="243" w:lineRule="exact"/>
              <w:rPr>
                <w:sz w:val="20"/>
                <w:szCs w:val="20"/>
                <w:color w:val="auto"/>
              </w:rPr>
            </w:pPr>
            <w:r>
              <w:rPr>
                <w:rFonts w:ascii="Arial" w:cs="Arial" w:eastAsia="Arial" w:hAnsi="Arial"/>
                <w:sz w:val="22"/>
                <w:szCs w:val="22"/>
                <w:color w:val="auto"/>
              </w:rPr>
              <w:t>(63,158)</w:t>
            </w:r>
          </w:p>
        </w:tc>
        <w:tc>
          <w:tcPr>
            <w:tcW w:w="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6480" w:type="dxa"/>
            <w:vAlign w:val="bottom"/>
          </w:tcPr>
          <w:p>
            <w:pPr>
              <w:spacing w:after="0" w:line="250" w:lineRule="exact"/>
              <w:rPr>
                <w:sz w:val="20"/>
                <w:szCs w:val="20"/>
                <w:color w:val="auto"/>
              </w:rPr>
            </w:pPr>
            <w:r>
              <w:rPr>
                <w:rFonts w:ascii="Arial" w:cs="Arial" w:eastAsia="Arial" w:hAnsi="Arial"/>
                <w:sz w:val="22"/>
                <w:szCs w:val="22"/>
                <w:b w:val="1"/>
                <w:bCs w:val="1"/>
                <w:color w:val="auto"/>
              </w:rPr>
              <w:t>Total</w:t>
            </w:r>
          </w:p>
        </w:tc>
        <w:tc>
          <w:tcPr>
            <w:tcW w:w="6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b w:val="1"/>
                <w:bCs w:val="1"/>
                <w:color w:val="auto"/>
                <w:w w:val="92"/>
              </w:rPr>
              <w:t>40,039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top w:val="single" w:sz="8" w:color="auto"/>
              <w:bottom w:val="single" w:sz="8" w:color="auto"/>
            </w:tcBorders>
            <w:gridSpan w:val="3"/>
          </w:tcPr>
          <w:p>
            <w:pPr>
              <w:jc w:val="right"/>
              <w:ind w:right="20"/>
              <w:spacing w:after="0" w:line="250" w:lineRule="exact"/>
              <w:rPr>
                <w:sz w:val="20"/>
                <w:szCs w:val="20"/>
                <w:color w:val="auto"/>
              </w:rPr>
            </w:pPr>
            <w:r>
              <w:rPr>
                <w:rFonts w:ascii="Arial" w:cs="Arial" w:eastAsia="Arial" w:hAnsi="Arial"/>
                <w:sz w:val="22"/>
                <w:szCs w:val="22"/>
                <w:b w:val="1"/>
                <w:bCs w:val="1"/>
                <w:color w:val="auto"/>
                <w:w w:val="92"/>
              </w:rPr>
              <w:t>(109,849</w:t>
            </w:r>
          </w:p>
        </w:tc>
        <w:tc>
          <w:tcPr>
            <w:tcW w:w="240" w:type="dxa"/>
            <w:vAlign w:val="bottom"/>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875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10. Taxation</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7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8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10"/>
          </w:tcPr>
          <w:p>
            <w:pPr>
              <w:ind w:left="120"/>
              <w:spacing w:after="0"/>
              <w:rPr>
                <w:sz w:val="20"/>
                <w:szCs w:val="20"/>
                <w:color w:val="auto"/>
              </w:rPr>
            </w:pPr>
            <w:r>
              <w:rPr>
                <w:rFonts w:ascii="Arial" w:cs="Arial" w:eastAsia="Arial" w:hAnsi="Arial"/>
                <w:sz w:val="22"/>
                <w:szCs w:val="22"/>
                <w:b w:val="1"/>
                <w:bCs w:val="1"/>
                <w:color w:val="auto"/>
                <w:w w:val="93"/>
              </w:rPr>
              <w:t>Year ended December 31,</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100"/>
              <w:spacing w:after="0" w:line="209" w:lineRule="exact"/>
              <w:rPr>
                <w:sz w:val="20"/>
                <w:szCs w:val="20"/>
                <w:color w:val="auto"/>
              </w:rPr>
            </w:pPr>
            <w:r>
              <w:rPr>
                <w:rFonts w:ascii="Arial" w:cs="Arial" w:eastAsia="Arial" w:hAnsi="Arial"/>
                <w:sz w:val="22"/>
                <w:szCs w:val="22"/>
                <w:b w:val="1"/>
                <w:bCs w:val="1"/>
                <w:color w:val="auto"/>
              </w:rPr>
              <w:t>2021</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12"/>
              <w:spacing w:after="0" w:line="209" w:lineRule="exact"/>
              <w:rPr>
                <w:sz w:val="20"/>
                <w:szCs w:val="20"/>
                <w:color w:val="auto"/>
              </w:rPr>
            </w:pPr>
            <w:r>
              <w:rPr>
                <w:rFonts w:ascii="Arial" w:cs="Arial" w:eastAsia="Arial" w:hAnsi="Arial"/>
                <w:sz w:val="22"/>
                <w:szCs w:val="22"/>
                <w:b w:val="1"/>
                <w:bCs w:val="1"/>
                <w:color w:val="auto"/>
              </w:rPr>
              <w:t>2020</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12"/>
              <w:spacing w:after="0" w:line="209" w:lineRule="exact"/>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3"/>
          </w:tcPr>
          <w:p>
            <w:pPr>
              <w:jc w:val="right"/>
              <w:ind w:right="112"/>
              <w:spacing w:after="0"/>
              <w:rPr>
                <w:sz w:val="20"/>
                <w:szCs w:val="20"/>
                <w:color w:val="auto"/>
              </w:rPr>
            </w:pPr>
            <w:r>
              <w:rPr>
                <w:rFonts w:ascii="Arial" w:cs="Arial" w:eastAsia="Arial" w:hAnsi="Arial"/>
                <w:sz w:val="22"/>
                <w:szCs w:val="22"/>
                <w:b w:val="1"/>
                <w:bCs w:val="1"/>
                <w:u w:val="single" w:color="auto"/>
                <w:color w:val="auto"/>
                <w:w w:val="89"/>
              </w:rPr>
              <w:t>£</w:t>
            </w:r>
            <w:r>
              <w:rPr>
                <w:rFonts w:ascii="Arial" w:cs="Arial" w:eastAsia="Arial" w:hAnsi="Arial"/>
                <w:sz w:val="22"/>
                <w:szCs w:val="22"/>
                <w:b w:val="1"/>
                <w:bCs w:val="1"/>
                <w:color w:val="auto"/>
                <w:w w:val="89"/>
              </w:rPr>
              <w:t>’000s</w:t>
            </w:r>
          </w:p>
        </w:tc>
        <w:tc>
          <w:tcPr>
            <w:tcW w:w="120" w:type="dxa"/>
            <w:vAlign w:val="bottom"/>
          </w:tcPr>
          <w:p>
            <w:pPr>
              <w:spacing w:after="0"/>
              <w:rPr>
                <w:sz w:val="23"/>
                <w:szCs w:val="23"/>
                <w:color w:val="auto"/>
              </w:rPr>
            </w:pPr>
          </w:p>
        </w:tc>
        <w:tc>
          <w:tcPr>
            <w:tcW w:w="960" w:type="dxa"/>
            <w:vAlign w:val="bottom"/>
            <w:gridSpan w:val="3"/>
          </w:tcPr>
          <w:p>
            <w:pPr>
              <w:jc w:val="right"/>
              <w:ind w:right="279"/>
              <w:spacing w:after="0"/>
              <w:rPr>
                <w:sz w:val="20"/>
                <w:szCs w:val="20"/>
                <w:color w:val="auto"/>
              </w:rPr>
            </w:pPr>
            <w:r>
              <w:rPr>
                <w:rFonts w:ascii="Arial" w:cs="Arial" w:eastAsia="Arial" w:hAnsi="Arial"/>
                <w:sz w:val="22"/>
                <w:szCs w:val="22"/>
                <w:b w:val="1"/>
                <w:bCs w:val="1"/>
                <w:u w:val="single" w:color="auto"/>
                <w:color w:val="auto"/>
                <w:w w:val="86"/>
              </w:rPr>
              <w:t>£</w:t>
            </w:r>
            <w:r>
              <w:rPr>
                <w:rFonts w:ascii="Arial" w:cs="Arial" w:eastAsia="Arial" w:hAnsi="Arial"/>
                <w:sz w:val="22"/>
                <w:szCs w:val="22"/>
                <w:b w:val="1"/>
                <w:bCs w:val="1"/>
                <w:color w:val="auto"/>
                <w:w w:val="86"/>
              </w:rPr>
              <w:t>’000s</w:t>
            </w:r>
          </w:p>
        </w:tc>
        <w:tc>
          <w:tcPr>
            <w:tcW w:w="720" w:type="dxa"/>
            <w:vAlign w:val="bottom"/>
            <w:gridSpan w:val="3"/>
          </w:tcPr>
          <w:p>
            <w:pPr>
              <w:ind w:left="20"/>
              <w:spacing w:after="0"/>
              <w:rPr>
                <w:sz w:val="20"/>
                <w:szCs w:val="20"/>
                <w:color w:val="auto"/>
              </w:rPr>
            </w:pPr>
            <w:r>
              <w:rPr>
                <w:rFonts w:ascii="Arial" w:cs="Arial" w:eastAsia="Arial" w:hAnsi="Arial"/>
                <w:sz w:val="22"/>
                <w:szCs w:val="22"/>
                <w:b w:val="1"/>
                <w:bCs w:val="1"/>
                <w:u w:val="single" w:color="auto"/>
                <w:color w:val="auto"/>
              </w:rPr>
              <w:t>£</w:t>
            </w:r>
            <w:r>
              <w:rPr>
                <w:rFonts w:ascii="Arial" w:cs="Arial" w:eastAsia="Arial" w:hAnsi="Arial"/>
                <w:sz w:val="22"/>
                <w:szCs w:val="22"/>
                <w:b w:val="1"/>
                <w:bCs w:val="1"/>
                <w:color w:val="auto"/>
              </w:rPr>
              <w:t>’000s</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48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Tax charge</w:t>
            </w:r>
          </w:p>
        </w:tc>
        <w:tc>
          <w:tcPr>
            <w:tcW w:w="1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spacing w:after="0" w:line="237" w:lineRule="exact"/>
              <w:rPr>
                <w:sz w:val="20"/>
                <w:szCs w:val="20"/>
                <w:color w:val="auto"/>
              </w:rPr>
            </w:pPr>
            <w:r>
              <w:rPr>
                <w:rFonts w:ascii="Arial" w:cs="Arial" w:eastAsia="Arial" w:hAnsi="Arial"/>
                <w:sz w:val="22"/>
                <w:szCs w:val="22"/>
                <w:color w:val="auto"/>
                <w:w w:val="88"/>
              </w:rPr>
              <w:t>(1,516)</w:t>
            </w: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320" w:type="dxa"/>
            <w:vAlign w:val="bottom"/>
            <w:tcBorders>
              <w:top w:val="single" w:sz="8" w:color="CCEEFF"/>
            </w:tcBorders>
            <w:gridSpan w:val="2"/>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6480" w:type="dxa"/>
            <w:vAlign w:val="bottom"/>
          </w:tcPr>
          <w:p>
            <w:pPr>
              <w:spacing w:after="0" w:line="243" w:lineRule="exact"/>
              <w:rPr>
                <w:sz w:val="20"/>
                <w:szCs w:val="20"/>
                <w:color w:val="auto"/>
              </w:rPr>
            </w:pPr>
            <w:r>
              <w:rPr>
                <w:rFonts w:ascii="Arial" w:cs="Arial" w:eastAsia="Arial" w:hAnsi="Arial"/>
                <w:sz w:val="22"/>
                <w:szCs w:val="22"/>
                <w:color w:val="auto"/>
              </w:rPr>
              <w:t>UK corporation tax R&amp;D credit</w:t>
            </w:r>
          </w:p>
        </w:tc>
        <w:tc>
          <w:tcPr>
            <w:tcW w:w="140" w:type="dxa"/>
            <w:vAlign w:val="bottom"/>
          </w:tcPr>
          <w:p>
            <w:pPr>
              <w:spacing w:after="0"/>
              <w:rPr>
                <w:sz w:val="21"/>
                <w:szCs w:val="21"/>
                <w:color w:val="auto"/>
              </w:rPr>
            </w:pPr>
          </w:p>
        </w:tc>
        <w:tc>
          <w:tcPr>
            <w:tcW w:w="840" w:type="dxa"/>
            <w:vAlign w:val="bottom"/>
            <w:gridSpan w:val="3"/>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5,149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6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tax income</w:t>
            </w:r>
          </w:p>
        </w:tc>
        <w:tc>
          <w:tcPr>
            <w:tcW w:w="1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92"/>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359"/>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1,125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6480" w:type="dxa"/>
            <w:vAlign w:val="bottom"/>
          </w:tcPr>
          <w:p>
            <w:pPr>
              <w:spacing w:after="0" w:line="250" w:lineRule="exact"/>
              <w:rPr>
                <w:sz w:val="20"/>
                <w:szCs w:val="20"/>
                <w:color w:val="auto"/>
              </w:rPr>
            </w:pPr>
            <w:r>
              <w:rPr>
                <w:rFonts w:ascii="Arial" w:cs="Arial" w:eastAsia="Arial" w:hAnsi="Arial"/>
                <w:sz w:val="22"/>
                <w:szCs w:val="22"/>
                <w:b w:val="1"/>
                <w:bCs w:val="1"/>
                <w:color w:val="auto"/>
              </w:rPr>
              <w:t>Total</w:t>
            </w:r>
          </w:p>
        </w:tc>
        <w:tc>
          <w:tcPr>
            <w:tcW w:w="140" w:type="dxa"/>
            <w:vAlign w:val="bottom"/>
          </w:tcPr>
          <w:p>
            <w:pPr>
              <w:spacing w:after="0"/>
              <w:rPr>
                <w:sz w:val="21"/>
                <w:szCs w:val="21"/>
                <w:color w:val="auto"/>
              </w:rPr>
            </w:pPr>
          </w:p>
        </w:tc>
        <w:tc>
          <w:tcPr>
            <w:tcW w:w="64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b w:val="1"/>
                <w:bCs w:val="1"/>
                <w:color w:val="auto"/>
                <w:w w:val="99"/>
              </w:rPr>
              <w:t>(1,516</w:t>
            </w:r>
          </w:p>
        </w:tc>
        <w:tc>
          <w:tcPr>
            <w:tcW w:w="200" w:type="dxa"/>
            <w:vAlign w:val="bottom"/>
          </w:tcPr>
          <w:p>
            <w:pPr>
              <w:jc w:val="right"/>
              <w:ind w:right="12"/>
              <w:spacing w:after="0" w:line="250" w:lineRule="exact"/>
              <w:rPr>
                <w:sz w:val="20"/>
                <w:szCs w:val="20"/>
                <w:color w:val="auto"/>
              </w:rPr>
            </w:pPr>
            <w:r>
              <w:rPr>
                <w:rFonts w:ascii="Arial" w:cs="Arial" w:eastAsia="Arial" w:hAnsi="Arial"/>
                <w:sz w:val="22"/>
                <w:szCs w:val="22"/>
                <w:b w:val="1"/>
                <w:bCs w:val="1"/>
                <w:color w:val="auto"/>
                <w:w w:val="81"/>
              </w:rPr>
              <w:t>)</w:t>
            </w:r>
          </w:p>
        </w:tc>
        <w:tc>
          <w:tcPr>
            <w:tcW w:w="12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2,822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b w:val="1"/>
                <w:bCs w:val="1"/>
                <w:color w:val="auto"/>
              </w:rPr>
              <w:t>6,274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U.K. income tax</w:t>
      </w:r>
    </w:p>
    <w:p>
      <w:pPr>
        <w:spacing w:after="0" w:line="2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22"/>
          <w:szCs w:val="22"/>
          <w:color w:val="auto"/>
        </w:rPr>
        <w:t>The Company is entitled to claim tax credits in the United Kingdom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claims in respect of the year ended December 31, 2020 have been received by the Company.</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U.S. income tax</w:t>
      </w:r>
    </w:p>
    <w:p>
      <w:pPr>
        <w:spacing w:after="0" w:line="226"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As at December 31, 2021, £0.8 million is receivable related to Alternative Minimum Tax (“AMT”) credits, recognized as other taxes recoverable within the consolidated balance sheet. The Company generates R&amp;D tax credits for U.S. federal and state purposes. In respect of these R&amp;D tax credits, no deferred tax assets have been recognized in any periods presented. As of December 31, 2021, the Company had an uncertain tax position of £2.6 million, representing approximately 20% of these historic R&amp;D tax losses claimed.</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718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Reconciliation of effective tax rate</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503"/>
        </w:trPr>
        <w:tc>
          <w:tcPr>
            <w:tcW w:w="8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960" w:type="dxa"/>
            <w:vAlign w:val="bottom"/>
            <w:gridSpan w:val="6"/>
          </w:tcPr>
          <w:p>
            <w:pPr>
              <w:jc w:val="right"/>
              <w:ind w:right="380"/>
              <w:spacing w:after="0"/>
              <w:rPr>
                <w:sz w:val="20"/>
                <w:szCs w:val="20"/>
                <w:color w:val="auto"/>
              </w:rPr>
            </w:pPr>
            <w:r>
              <w:rPr>
                <w:rFonts w:ascii="Arial" w:cs="Arial" w:eastAsia="Arial" w:hAnsi="Arial"/>
                <w:sz w:val="22"/>
                <w:szCs w:val="22"/>
                <w:b w:val="1"/>
                <w:bCs w:val="1"/>
                <w:color w:val="auto"/>
                <w:w w:val="95"/>
              </w:rPr>
              <w:t>Year ended December 31,</w:t>
            </w:r>
          </w:p>
        </w:tc>
      </w:tr>
      <w:tr>
        <w:trPr>
          <w:trHeight w:val="209"/>
        </w:trPr>
        <w:tc>
          <w:tcPr>
            <w:tcW w:w="8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6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2"/>
                <w:szCs w:val="22"/>
                <w:b w:val="1"/>
                <w:bCs w:val="1"/>
                <w:color w:val="auto"/>
              </w:rPr>
              <w:t>2021</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2"/>
              <w:spacing w:after="0" w:line="209" w:lineRule="exact"/>
              <w:rPr>
                <w:sz w:val="20"/>
                <w:szCs w:val="20"/>
                <w:color w:val="auto"/>
              </w:rPr>
            </w:pPr>
            <w:r>
              <w:rPr>
                <w:rFonts w:ascii="Arial" w:cs="Arial" w:eastAsia="Arial" w:hAnsi="Arial"/>
                <w:sz w:val="22"/>
                <w:szCs w:val="22"/>
                <w:b w:val="1"/>
                <w:bCs w:val="1"/>
                <w:color w:val="auto"/>
              </w:rPr>
              <w:t>2020</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2"/>
              <w:spacing w:after="0" w:line="209" w:lineRule="exact"/>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18"/>
                <w:szCs w:val="18"/>
                <w:color w:val="auto"/>
              </w:rPr>
            </w:pPr>
          </w:p>
        </w:tc>
      </w:tr>
      <w:tr>
        <w:trPr>
          <w:trHeight w:val="270"/>
        </w:trPr>
        <w:tc>
          <w:tcPr>
            <w:tcW w:w="88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22"/>
                <w:szCs w:val="22"/>
                <w:b w:val="1"/>
                <w:bCs w:val="1"/>
                <w:u w:val="single" w:color="auto"/>
                <w:color w:val="auto"/>
                <w:w w:val="86"/>
              </w:rPr>
              <w:t>£</w:t>
            </w:r>
            <w:r>
              <w:rPr>
                <w:rFonts w:ascii="Arial" w:cs="Arial" w:eastAsia="Arial" w:hAnsi="Arial"/>
                <w:sz w:val="22"/>
                <w:szCs w:val="22"/>
                <w:b w:val="1"/>
                <w:bCs w:val="1"/>
                <w:color w:val="auto"/>
                <w:w w:val="86"/>
              </w:rPr>
              <w:t>’000s</w:t>
            </w:r>
          </w:p>
        </w:tc>
        <w:tc>
          <w:tcPr>
            <w:tcW w:w="114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6"/>
              </w:rPr>
              <w:t>£’000s</w:t>
            </w:r>
          </w:p>
        </w:tc>
        <w:tc>
          <w:tcPr>
            <w:tcW w:w="860" w:type="dxa"/>
            <w:vAlign w:val="bottom"/>
            <w:gridSpan w:val="2"/>
          </w:tcPr>
          <w:p>
            <w:pPr>
              <w:jc w:val="center"/>
              <w:ind w:right="160"/>
              <w:spacing w:after="0"/>
              <w:rPr>
                <w:sz w:val="20"/>
                <w:szCs w:val="20"/>
                <w:color w:val="auto"/>
              </w:rPr>
            </w:pPr>
            <w:r>
              <w:rPr>
                <w:rFonts w:ascii="Arial" w:cs="Arial" w:eastAsia="Arial" w:hAnsi="Arial"/>
                <w:sz w:val="22"/>
                <w:szCs w:val="22"/>
                <w:b w:val="1"/>
                <w:bCs w:val="1"/>
                <w:u w:val="single" w:color="auto"/>
                <w:color w:val="auto"/>
                <w:w w:val="86"/>
              </w:rPr>
              <w:t>£</w:t>
            </w:r>
            <w:r>
              <w:rPr>
                <w:rFonts w:ascii="Arial" w:cs="Arial" w:eastAsia="Arial" w:hAnsi="Arial"/>
                <w:sz w:val="22"/>
                <w:szCs w:val="22"/>
                <w:b w:val="1"/>
                <w:bCs w:val="1"/>
                <w:color w:val="auto"/>
                <w:w w:val="86"/>
              </w:rPr>
              <w:t>’000s</w:t>
            </w:r>
          </w:p>
        </w:tc>
      </w:tr>
      <w:tr>
        <w:trPr>
          <w:trHeight w:val="236"/>
        </w:trPr>
        <w:tc>
          <w:tcPr>
            <w:tcW w:w="880" w:type="dxa"/>
            <w:vAlign w:val="bottom"/>
          </w:tcPr>
          <w:p>
            <w:pPr>
              <w:spacing w:after="0"/>
              <w:rPr>
                <w:sz w:val="20"/>
                <w:szCs w:val="20"/>
                <w:color w:val="auto"/>
              </w:rPr>
            </w:pPr>
          </w:p>
        </w:tc>
        <w:tc>
          <w:tcPr>
            <w:tcW w:w="630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Profit/(loss) on ordinary activities before income tax</w:t>
            </w:r>
          </w:p>
        </w:tc>
        <w:tc>
          <w:tcPr>
            <w:tcW w:w="6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2"/>
              </w:rPr>
              <w:t>14,241</w:t>
            </w:r>
          </w:p>
        </w:tc>
        <w:tc>
          <w:tcPr>
            <w:tcW w:w="3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7"/>
              </w:rPr>
              <w:t>(166,450)</w:t>
            </w:r>
          </w:p>
        </w:tc>
        <w:tc>
          <w:tcPr>
            <w:tcW w:w="3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85"/>
              </w:rPr>
              <w:t>(41,118)</w:t>
            </w:r>
          </w:p>
        </w:tc>
        <w:tc>
          <w:tcPr>
            <w:tcW w:w="140" w:type="dxa"/>
            <w:vAlign w:val="bottom"/>
            <w:tcBorders>
              <w:top w:val="single" w:sz="8" w:color="CCEEFF"/>
            </w:tcBorders>
            <w:shd w:val="clear" w:color="auto" w:fill="CCEEFF"/>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300" w:type="dxa"/>
            <w:vAlign w:val="bottom"/>
          </w:tcPr>
          <w:p>
            <w:pPr>
              <w:spacing w:after="0" w:line="243" w:lineRule="exact"/>
              <w:rPr>
                <w:sz w:val="20"/>
                <w:szCs w:val="20"/>
                <w:color w:val="auto"/>
              </w:rPr>
            </w:pPr>
            <w:r>
              <w:rPr>
                <w:rFonts w:ascii="Arial" w:cs="Arial" w:eastAsia="Arial" w:hAnsi="Arial"/>
                <w:sz w:val="22"/>
                <w:szCs w:val="22"/>
                <w:color w:val="auto"/>
              </w:rPr>
              <w:t>Tax on profit at standard U.K. rate of 19%</w:t>
            </w:r>
          </w:p>
        </w:tc>
        <w:tc>
          <w:tcPr>
            <w:tcW w:w="96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(2,706)</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31,626</w:t>
            </w:r>
          </w:p>
        </w:tc>
        <w:tc>
          <w:tcPr>
            <w:tcW w:w="3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7,812</w:t>
            </w:r>
          </w:p>
        </w:tc>
        <w:tc>
          <w:tcPr>
            <w:tcW w:w="140" w:type="dxa"/>
            <w:vAlign w:val="bottom"/>
          </w:tcPr>
          <w:p>
            <w:pPr>
              <w:spacing w:after="0"/>
              <w:rPr>
                <w:sz w:val="21"/>
                <w:szCs w:val="21"/>
                <w:color w:val="auto"/>
              </w:rPr>
            </w:pPr>
          </w:p>
        </w:tc>
      </w:tr>
      <w:tr>
        <w:trPr>
          <w:trHeight w:val="222"/>
        </w:trPr>
        <w:tc>
          <w:tcPr>
            <w:tcW w:w="880" w:type="dxa"/>
            <w:vAlign w:val="bottom"/>
          </w:tcPr>
          <w:p>
            <w:pPr>
              <w:spacing w:after="0"/>
              <w:rPr>
                <w:sz w:val="19"/>
                <w:szCs w:val="19"/>
                <w:color w:val="auto"/>
              </w:rPr>
            </w:pPr>
          </w:p>
        </w:tc>
        <w:tc>
          <w:tcPr>
            <w:tcW w:w="630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Expenses not deductible for income tax purposes (permanent</w:t>
            </w: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4"/>
        </w:trPr>
        <w:tc>
          <w:tcPr>
            <w:tcW w:w="880" w:type="dxa"/>
            <w:vAlign w:val="bottom"/>
          </w:tcPr>
          <w:p>
            <w:pPr>
              <w:spacing w:after="0"/>
              <w:rPr>
                <w:sz w:val="22"/>
                <w:szCs w:val="22"/>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22"/>
                <w:szCs w:val="22"/>
                <w:color w:val="auto"/>
              </w:rPr>
              <w:t>differences)</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22"/>
                <w:szCs w:val="22"/>
                <w:color w:val="auto"/>
              </w:rPr>
              <w:t>(708)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22"/>
                <w:szCs w:val="22"/>
                <w:color w:val="auto"/>
              </w:rPr>
              <w:t>(13,270)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(317)</w:t>
            </w:r>
          </w:p>
        </w:tc>
      </w:tr>
      <w:tr>
        <w:trPr>
          <w:trHeight w:val="243"/>
        </w:trPr>
        <w:tc>
          <w:tcPr>
            <w:tcW w:w="880" w:type="dxa"/>
            <w:vAlign w:val="bottom"/>
          </w:tcPr>
          <w:p>
            <w:pPr>
              <w:spacing w:after="0"/>
              <w:rPr>
                <w:sz w:val="21"/>
                <w:szCs w:val="21"/>
                <w:color w:val="auto"/>
              </w:rPr>
            </w:pPr>
          </w:p>
        </w:tc>
        <w:tc>
          <w:tcPr>
            <w:tcW w:w="6300" w:type="dxa"/>
            <w:vAlign w:val="bottom"/>
          </w:tcPr>
          <w:p>
            <w:pPr>
              <w:spacing w:after="0" w:line="243" w:lineRule="exact"/>
              <w:rPr>
                <w:sz w:val="20"/>
                <w:szCs w:val="20"/>
                <w:color w:val="auto"/>
              </w:rPr>
            </w:pPr>
            <w:r>
              <w:rPr>
                <w:rFonts w:ascii="Arial" w:cs="Arial" w:eastAsia="Arial" w:hAnsi="Arial"/>
                <w:sz w:val="22"/>
                <w:szCs w:val="22"/>
                <w:color w:val="auto"/>
              </w:rPr>
              <w:t>Income not taxable</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c>
          <w:tcPr>
            <w:tcW w:w="3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300" w:type="dxa"/>
            <w:vAlign w:val="bottom"/>
          </w:tcPr>
          <w:p>
            <w:pPr>
              <w:spacing w:after="0"/>
              <w:rPr>
                <w:sz w:val="21"/>
                <w:szCs w:val="21"/>
                <w:color w:val="auto"/>
              </w:rPr>
            </w:pPr>
          </w:p>
        </w:tc>
        <w:tc>
          <w:tcPr>
            <w:tcW w:w="8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r>
      <w:tr>
        <w:trPr>
          <w:trHeight w:val="243"/>
        </w:trPr>
        <w:tc>
          <w:tcPr>
            <w:tcW w:w="880" w:type="dxa"/>
            <w:vAlign w:val="bottom"/>
          </w:tcPr>
          <w:p>
            <w:pPr>
              <w:spacing w:after="0"/>
              <w:rPr>
                <w:sz w:val="21"/>
                <w:szCs w:val="21"/>
                <w:color w:val="auto"/>
              </w:rPr>
            </w:pPr>
          </w:p>
        </w:tc>
        <w:tc>
          <w:tcPr>
            <w:tcW w:w="63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Temporary timing differences</w:t>
            </w:r>
          </w:p>
        </w:tc>
        <w:tc>
          <w:tcPr>
            <w:tcW w:w="960" w:type="dxa"/>
            <w:vAlign w:val="bottom"/>
            <w:gridSpan w:val="2"/>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rPr>
              <w:t>(65)</w:t>
            </w:r>
          </w:p>
        </w:tc>
        <w:tc>
          <w:tcPr>
            <w:tcW w:w="114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(343)</w:t>
            </w:r>
          </w:p>
        </w:tc>
      </w:tr>
      <w:tr>
        <w:trPr>
          <w:trHeight w:val="243"/>
        </w:trPr>
        <w:tc>
          <w:tcPr>
            <w:tcW w:w="880" w:type="dxa"/>
            <w:vAlign w:val="bottom"/>
          </w:tcPr>
          <w:p>
            <w:pPr>
              <w:spacing w:after="0"/>
              <w:rPr>
                <w:sz w:val="21"/>
                <w:szCs w:val="21"/>
                <w:color w:val="auto"/>
              </w:rPr>
            </w:pPr>
          </w:p>
        </w:tc>
        <w:tc>
          <w:tcPr>
            <w:tcW w:w="6300" w:type="dxa"/>
            <w:vAlign w:val="bottom"/>
          </w:tcPr>
          <w:p>
            <w:pPr>
              <w:spacing w:after="0" w:line="243" w:lineRule="exact"/>
              <w:rPr>
                <w:sz w:val="20"/>
                <w:szCs w:val="20"/>
                <w:color w:val="auto"/>
              </w:rPr>
            </w:pPr>
            <w:r>
              <w:rPr>
                <w:rFonts w:ascii="Arial" w:cs="Arial" w:eastAsia="Arial" w:hAnsi="Arial"/>
                <w:sz w:val="22"/>
                <w:szCs w:val="22"/>
                <w:color w:val="auto"/>
              </w:rPr>
              <w:t>R&amp;D relief uplift</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1,435</w:t>
            </w:r>
          </w:p>
        </w:tc>
        <w:tc>
          <w:tcPr>
            <w:tcW w:w="3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1,214</w:t>
            </w:r>
          </w:p>
        </w:tc>
        <w:tc>
          <w:tcPr>
            <w:tcW w:w="3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2,540</w:t>
            </w:r>
          </w:p>
        </w:tc>
        <w:tc>
          <w:tcPr>
            <w:tcW w:w="14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63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Losses (unrecognized)</w:t>
            </w:r>
          </w:p>
        </w:tc>
        <w:tc>
          <w:tcPr>
            <w:tcW w:w="960" w:type="dxa"/>
            <w:vAlign w:val="bottom"/>
            <w:gridSpan w:val="2"/>
            <w:shd w:val="clear" w:color="auto" w:fill="CCEEFF"/>
          </w:tcPr>
          <w:p>
            <w:pPr>
              <w:jc w:val="right"/>
              <w:ind w:right="132"/>
              <w:spacing w:after="0" w:line="243" w:lineRule="exact"/>
              <w:rPr>
                <w:sz w:val="20"/>
                <w:szCs w:val="20"/>
                <w:color w:val="auto"/>
              </w:rPr>
            </w:pPr>
            <w:r>
              <w:rPr>
                <w:rFonts w:ascii="Arial" w:cs="Arial" w:eastAsia="Arial" w:hAnsi="Arial"/>
                <w:sz w:val="22"/>
                <w:szCs w:val="22"/>
                <w:color w:val="auto"/>
              </w:rPr>
              <w:t>(345)</w:t>
            </w:r>
          </w:p>
        </w:tc>
        <w:tc>
          <w:tcPr>
            <w:tcW w:w="114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(14,479)</w:t>
            </w:r>
          </w:p>
        </w:tc>
        <w:tc>
          <w:tcPr>
            <w:tcW w:w="8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(4,380)</w:t>
            </w:r>
          </w:p>
        </w:tc>
      </w:tr>
      <w:tr>
        <w:trPr>
          <w:trHeight w:val="243"/>
        </w:trPr>
        <w:tc>
          <w:tcPr>
            <w:tcW w:w="880" w:type="dxa"/>
            <w:vAlign w:val="bottom"/>
          </w:tcPr>
          <w:p>
            <w:pPr>
              <w:spacing w:after="0"/>
              <w:rPr>
                <w:sz w:val="21"/>
                <w:szCs w:val="21"/>
                <w:color w:val="auto"/>
              </w:rPr>
            </w:pPr>
          </w:p>
        </w:tc>
        <w:tc>
          <w:tcPr>
            <w:tcW w:w="6300" w:type="dxa"/>
            <w:vAlign w:val="bottom"/>
          </w:tcPr>
          <w:p>
            <w:pPr>
              <w:spacing w:after="0" w:line="243" w:lineRule="exact"/>
              <w:rPr>
                <w:sz w:val="20"/>
                <w:szCs w:val="20"/>
                <w:color w:val="auto"/>
              </w:rPr>
            </w:pPr>
            <w:r>
              <w:rPr>
                <w:rFonts w:ascii="Arial" w:cs="Arial" w:eastAsia="Arial" w:hAnsi="Arial"/>
                <w:sz w:val="22"/>
                <w:szCs w:val="22"/>
                <w:color w:val="auto"/>
              </w:rPr>
              <w:t>Deferred income from MBG loan guarantee costs</w:t>
            </w:r>
          </w:p>
        </w:tc>
        <w:tc>
          <w:tcPr>
            <w:tcW w:w="96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(54)</w:t>
            </w:r>
          </w:p>
        </w:tc>
      </w:tr>
      <w:tr>
        <w:trPr>
          <w:trHeight w:val="243"/>
        </w:trPr>
        <w:tc>
          <w:tcPr>
            <w:tcW w:w="880" w:type="dxa"/>
            <w:vAlign w:val="bottom"/>
          </w:tcPr>
          <w:p>
            <w:pPr>
              <w:spacing w:after="0"/>
              <w:rPr>
                <w:sz w:val="21"/>
                <w:szCs w:val="21"/>
                <w:color w:val="auto"/>
              </w:rPr>
            </w:pPr>
          </w:p>
        </w:tc>
        <w:tc>
          <w:tcPr>
            <w:tcW w:w="63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Foreign tax</w:t>
            </w:r>
          </w:p>
        </w:tc>
        <w:tc>
          <w:tcPr>
            <w:tcW w:w="6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505</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184</w:t>
            </w: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w:t>
            </w:r>
          </w:p>
        </w:tc>
      </w:tr>
      <w:tr>
        <w:trPr>
          <w:trHeight w:val="243"/>
        </w:trPr>
        <w:tc>
          <w:tcPr>
            <w:tcW w:w="880" w:type="dxa"/>
            <w:vAlign w:val="bottom"/>
          </w:tcPr>
          <w:p>
            <w:pPr>
              <w:spacing w:after="0"/>
              <w:rPr>
                <w:sz w:val="21"/>
                <w:szCs w:val="21"/>
                <w:color w:val="auto"/>
              </w:rPr>
            </w:pPr>
          </w:p>
        </w:tc>
        <w:tc>
          <w:tcPr>
            <w:tcW w:w="6300" w:type="dxa"/>
            <w:vAlign w:val="bottom"/>
          </w:tcPr>
          <w:p>
            <w:pPr>
              <w:spacing w:after="0" w:line="243" w:lineRule="exact"/>
              <w:rPr>
                <w:sz w:val="20"/>
                <w:szCs w:val="20"/>
                <w:color w:val="auto"/>
              </w:rPr>
            </w:pPr>
            <w:r>
              <w:rPr>
                <w:rFonts w:ascii="Arial" w:cs="Arial" w:eastAsia="Arial" w:hAnsi="Arial"/>
                <w:sz w:val="22"/>
                <w:szCs w:val="22"/>
                <w:color w:val="auto"/>
              </w:rPr>
              <w:t>Differences in overseas tax rates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286</w:t>
            </w:r>
          </w:p>
        </w:tc>
        <w:tc>
          <w:tcPr>
            <w:tcW w:w="3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261</w:t>
            </w:r>
          </w:p>
        </w:tc>
        <w:tc>
          <w:tcPr>
            <w:tcW w:w="3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340</w:t>
            </w:r>
          </w:p>
        </w:tc>
        <w:tc>
          <w:tcPr>
            <w:tcW w:w="14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63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Derecognition of deferred tax</w:t>
            </w:r>
          </w:p>
        </w:tc>
        <w:tc>
          <w:tcPr>
            <w:tcW w:w="960" w:type="dxa"/>
            <w:vAlign w:val="bottom"/>
            <w:gridSpan w:val="2"/>
            <w:shd w:val="clear" w:color="auto" w:fill="CCEEFF"/>
          </w:tcPr>
          <w:p>
            <w:pPr>
              <w:jc w:val="right"/>
              <w:ind w:right="312"/>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(2,686)</w:t>
            </w:r>
          </w:p>
        </w:tc>
        <w:tc>
          <w:tcPr>
            <w:tcW w:w="8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w:t>
            </w:r>
          </w:p>
        </w:tc>
      </w:tr>
      <w:tr>
        <w:trPr>
          <w:trHeight w:val="243"/>
        </w:trPr>
        <w:tc>
          <w:tcPr>
            <w:tcW w:w="880" w:type="dxa"/>
            <w:vAlign w:val="bottom"/>
          </w:tcPr>
          <w:p>
            <w:pPr>
              <w:spacing w:after="0"/>
              <w:rPr>
                <w:sz w:val="21"/>
                <w:szCs w:val="21"/>
                <w:color w:val="auto"/>
              </w:rPr>
            </w:pPr>
          </w:p>
        </w:tc>
        <w:tc>
          <w:tcPr>
            <w:tcW w:w="6300" w:type="dxa"/>
            <w:vAlign w:val="bottom"/>
          </w:tcPr>
          <w:p>
            <w:pPr>
              <w:spacing w:after="0" w:line="243" w:lineRule="exact"/>
              <w:rPr>
                <w:sz w:val="20"/>
                <w:szCs w:val="20"/>
                <w:color w:val="auto"/>
              </w:rPr>
            </w:pPr>
            <w:r>
              <w:rPr>
                <w:rFonts w:ascii="Arial" w:cs="Arial" w:eastAsia="Arial" w:hAnsi="Arial"/>
                <w:sz w:val="22"/>
                <w:szCs w:val="22"/>
                <w:color w:val="auto"/>
              </w:rPr>
              <w:t>Gain on bargain purchase</w:t>
            </w:r>
          </w:p>
        </w:tc>
        <w:tc>
          <w:tcPr>
            <w:tcW w:w="960" w:type="dxa"/>
            <w:vAlign w:val="bottom"/>
            <w:gridSpan w:val="2"/>
          </w:tcPr>
          <w:p>
            <w:pPr>
              <w:jc w:val="right"/>
              <w:ind w:right="312"/>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699</w:t>
            </w:r>
          </w:p>
        </w:tc>
        <w:tc>
          <w:tcPr>
            <w:tcW w:w="140" w:type="dxa"/>
            <w:vAlign w:val="bottom"/>
          </w:tcPr>
          <w:p>
            <w:pPr>
              <w:spacing w:after="0"/>
              <w:rPr>
                <w:sz w:val="21"/>
                <w:szCs w:val="21"/>
                <w:color w:val="auto"/>
              </w:rPr>
            </w:pPr>
          </w:p>
        </w:tc>
      </w:tr>
      <w:tr>
        <w:trPr>
          <w:trHeight w:val="243"/>
        </w:trPr>
        <w:tc>
          <w:tcPr>
            <w:tcW w:w="880" w:type="dxa"/>
            <w:vAlign w:val="bottom"/>
          </w:tcPr>
          <w:p>
            <w:pPr>
              <w:spacing w:after="0"/>
              <w:rPr>
                <w:sz w:val="21"/>
                <w:szCs w:val="21"/>
                <w:color w:val="auto"/>
              </w:rPr>
            </w:pPr>
          </w:p>
        </w:tc>
        <w:tc>
          <w:tcPr>
            <w:tcW w:w="63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w:t>
            </w:r>
          </w:p>
        </w:tc>
        <w:tc>
          <w:tcPr>
            <w:tcW w:w="6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(32)</w:t>
            </w:r>
          </w:p>
        </w:tc>
        <w:tc>
          <w:tcPr>
            <w:tcW w:w="8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(23)</w:t>
            </w:r>
          </w:p>
        </w:tc>
      </w:tr>
      <w:tr>
        <w:trPr>
          <w:trHeight w:val="250"/>
        </w:trPr>
        <w:tc>
          <w:tcPr>
            <w:tcW w:w="880" w:type="dxa"/>
            <w:vAlign w:val="bottom"/>
          </w:tcPr>
          <w:p>
            <w:pPr>
              <w:spacing w:after="0"/>
              <w:rPr>
                <w:sz w:val="21"/>
                <w:szCs w:val="21"/>
                <w:color w:val="auto"/>
              </w:rPr>
            </w:pPr>
          </w:p>
        </w:tc>
        <w:tc>
          <w:tcPr>
            <w:tcW w:w="6300" w:type="dxa"/>
            <w:vAlign w:val="bottom"/>
          </w:tcPr>
          <w:p>
            <w:pPr>
              <w:spacing w:after="0" w:line="250" w:lineRule="exact"/>
              <w:rPr>
                <w:sz w:val="20"/>
                <w:szCs w:val="20"/>
                <w:color w:val="auto"/>
              </w:rPr>
            </w:pPr>
            <w:r>
              <w:rPr>
                <w:rFonts w:ascii="Arial" w:cs="Arial" w:eastAsia="Arial" w:hAnsi="Arial"/>
                <w:sz w:val="22"/>
                <w:szCs w:val="22"/>
                <w:b w:val="1"/>
                <w:bCs w:val="1"/>
                <w:color w:val="auto"/>
              </w:rPr>
              <w:t>Tax (charge)/credit for the year</w:t>
            </w:r>
          </w:p>
        </w:tc>
        <w:tc>
          <w:tcPr>
            <w:tcW w:w="6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9"/>
              </w:rPr>
              <w:t>(1,516</w:t>
            </w:r>
          </w:p>
        </w:tc>
        <w:tc>
          <w:tcPr>
            <w:tcW w:w="320" w:type="dxa"/>
            <w:vAlign w:val="bottom"/>
          </w:tcPr>
          <w:p>
            <w:pPr>
              <w:jc w:val="right"/>
              <w:ind w:right="132"/>
              <w:spacing w:after="0" w:line="250" w:lineRule="exact"/>
              <w:rPr>
                <w:sz w:val="20"/>
                <w:szCs w:val="20"/>
                <w:color w:val="auto"/>
              </w:rPr>
            </w:pPr>
            <w:r>
              <w:rPr>
                <w:rFonts w:ascii="Arial" w:cs="Arial" w:eastAsia="Arial" w:hAnsi="Arial"/>
                <w:sz w:val="22"/>
                <w:szCs w:val="22"/>
                <w:b w:val="1"/>
                <w:bCs w:val="1"/>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2,822</w:t>
            </w:r>
          </w:p>
        </w:tc>
        <w:tc>
          <w:tcPr>
            <w:tcW w:w="3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6,274</w:t>
            </w:r>
          </w:p>
        </w:tc>
        <w:tc>
          <w:tcPr>
            <w:tcW w:w="140" w:type="dxa"/>
            <w:vAlign w:val="bottom"/>
          </w:tcPr>
          <w:p>
            <w:pPr>
              <w:spacing w:after="0"/>
              <w:rPr>
                <w:sz w:val="21"/>
                <w:szCs w:val="21"/>
                <w:color w:val="auto"/>
              </w:rPr>
            </w:pPr>
          </w:p>
        </w:tc>
      </w:tr>
      <w:tr>
        <w:trPr>
          <w:trHeight w:val="408"/>
        </w:trPr>
        <w:tc>
          <w:tcPr>
            <w:tcW w:w="880" w:type="dxa"/>
            <w:vAlign w:val="bottom"/>
          </w:tcPr>
          <w:p>
            <w:pPr>
              <w:spacing w:after="0"/>
              <w:rPr>
                <w:sz w:val="24"/>
                <w:szCs w:val="24"/>
                <w:color w:val="auto"/>
              </w:rPr>
            </w:pPr>
          </w:p>
        </w:tc>
        <w:tc>
          <w:tcPr>
            <w:tcW w:w="6300" w:type="dxa"/>
            <w:vAlign w:val="bottom"/>
          </w:tcPr>
          <w:p>
            <w:pPr>
              <w:ind w:left="4420"/>
              <w:spacing w:after="0"/>
              <w:rPr>
                <w:sz w:val="20"/>
                <w:szCs w:val="20"/>
                <w:color w:val="auto"/>
              </w:rPr>
            </w:pPr>
            <w:r>
              <w:rPr>
                <w:rFonts w:ascii="Arial" w:cs="Arial" w:eastAsia="Arial" w:hAnsi="Arial"/>
                <w:sz w:val="22"/>
                <w:szCs w:val="22"/>
                <w:color w:val="auto"/>
              </w:rPr>
              <w:t>F-20</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080"/>
          </w:cols>
          <w:pgMar w:left="320" w:top="486" w:right="499" w:bottom="288"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Deferred tax</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analysis of unrecognized deferred tax is set out below:</w:t>
      </w:r>
    </w:p>
    <w:p>
      <w:pPr>
        <w:spacing w:after="0" w:line="254"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3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54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87"/>
              </w:rPr>
              <w:t>Year ended December 31,</w:t>
            </w:r>
          </w:p>
        </w:tc>
      </w:tr>
      <w:tr>
        <w:trPr>
          <w:trHeight w:val="209"/>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Borders>
              <w:top w:val="single" w:sz="8" w:color="auto"/>
            </w:tcBorders>
          </w:tcPr>
          <w:p>
            <w:pPr>
              <w:jc w:val="right"/>
              <w:ind w:right="12"/>
              <w:spacing w:after="0" w:line="209" w:lineRule="exact"/>
              <w:rPr>
                <w:sz w:val="20"/>
                <w:szCs w:val="20"/>
                <w:color w:val="auto"/>
              </w:rPr>
            </w:pPr>
            <w:r>
              <w:rPr>
                <w:rFonts w:ascii="Arial" w:cs="Arial" w:eastAsia="Arial" w:hAnsi="Arial"/>
                <w:sz w:val="22"/>
                <w:szCs w:val="22"/>
                <w:b w:val="1"/>
                <w:bCs w:val="1"/>
                <w:color w:val="auto"/>
              </w:rPr>
              <w:t>2021</w:t>
            </w:r>
          </w:p>
        </w:tc>
        <w:tc>
          <w:tcPr>
            <w:tcW w:w="900" w:type="dxa"/>
            <w:vAlign w:val="bottom"/>
            <w:tcBorders>
              <w:top w:val="single" w:sz="8" w:color="auto"/>
            </w:tcBorders>
            <w:gridSpan w:val="2"/>
          </w:tcPr>
          <w:p>
            <w:pPr>
              <w:jc w:val="center"/>
              <w:ind w:left="112"/>
              <w:spacing w:after="0" w:line="209" w:lineRule="exact"/>
              <w:rPr>
                <w:sz w:val="20"/>
                <w:szCs w:val="20"/>
                <w:color w:val="auto"/>
              </w:rPr>
            </w:pPr>
            <w:r>
              <w:rPr>
                <w:rFonts w:ascii="Arial" w:cs="Arial" w:eastAsia="Arial" w:hAnsi="Arial"/>
                <w:sz w:val="22"/>
                <w:szCs w:val="22"/>
                <w:b w:val="1"/>
                <w:bCs w:val="1"/>
                <w:color w:val="auto"/>
                <w:w w:val="89"/>
              </w:rPr>
              <w:t>2020</w:t>
            </w:r>
          </w:p>
        </w:tc>
        <w:tc>
          <w:tcPr>
            <w:tcW w:w="920" w:type="dxa"/>
            <w:vAlign w:val="bottom"/>
            <w:tcBorders>
              <w:top w:val="single" w:sz="8" w:color="auto"/>
            </w:tcBorders>
            <w:gridSpan w:val="2"/>
          </w:tcPr>
          <w:p>
            <w:pPr>
              <w:jc w:val="right"/>
              <w:ind w:right="32"/>
              <w:spacing w:after="0" w:line="209" w:lineRule="exact"/>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18"/>
                <w:szCs w:val="18"/>
                <w:color w:val="auto"/>
              </w:rPr>
            </w:pPr>
          </w:p>
        </w:tc>
      </w:tr>
      <w:tr>
        <w:trPr>
          <w:trHeight w:val="270"/>
        </w:trPr>
        <w:tc>
          <w:tcPr>
            <w:tcW w:w="3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540" w:type="dxa"/>
            <w:vAlign w:val="bottom"/>
            <w:gridSpan w:val="6"/>
          </w:tcPr>
          <w:p>
            <w:pPr>
              <w:jc w:val="center"/>
              <w:ind w:right="100"/>
              <w:spacing w:after="0"/>
              <w:rPr>
                <w:sz w:val="20"/>
                <w:szCs w:val="20"/>
                <w:color w:val="auto"/>
              </w:rPr>
            </w:pPr>
            <w:r>
              <w:rPr>
                <w:rFonts w:ascii="Arial" w:cs="Arial" w:eastAsia="Arial" w:hAnsi="Arial"/>
                <w:sz w:val="22"/>
                <w:szCs w:val="22"/>
                <w:b w:val="1"/>
                <w:bCs w:val="1"/>
                <w:u w:val="single" w:color="auto"/>
                <w:color w:val="auto"/>
              </w:rPr>
              <w:t>£</w:t>
            </w:r>
            <w:r>
              <w:rPr>
                <w:rFonts w:ascii="Arial" w:cs="Arial" w:eastAsia="Arial" w:hAnsi="Arial"/>
                <w:sz w:val="22"/>
                <w:szCs w:val="22"/>
                <w:b w:val="1"/>
                <w:bCs w:val="1"/>
                <w:color w:val="auto"/>
              </w:rPr>
              <w:t xml:space="preserve">’000s   </w:t>
            </w:r>
            <w:r>
              <w:rPr>
                <w:rFonts w:ascii="Arial" w:cs="Arial" w:eastAsia="Arial" w:hAnsi="Arial"/>
                <w:sz w:val="22"/>
                <w:szCs w:val="22"/>
                <w:b w:val="1"/>
                <w:bCs w:val="1"/>
                <w:u w:val="single" w:color="auto"/>
                <w:color w:val="auto"/>
              </w:rPr>
              <w:t>£</w:t>
            </w:r>
            <w:r>
              <w:rPr>
                <w:rFonts w:ascii="Arial" w:cs="Arial" w:eastAsia="Arial" w:hAnsi="Arial"/>
                <w:sz w:val="22"/>
                <w:szCs w:val="22"/>
                <w:b w:val="1"/>
                <w:bCs w:val="1"/>
                <w:color w:val="auto"/>
              </w:rPr>
              <w:t xml:space="preserve">’000s   </w:t>
            </w:r>
            <w:r>
              <w:rPr>
                <w:rFonts w:ascii="Arial" w:cs="Arial" w:eastAsia="Arial" w:hAnsi="Arial"/>
                <w:sz w:val="22"/>
                <w:szCs w:val="22"/>
                <w:b w:val="1"/>
                <w:bCs w:val="1"/>
                <w:u w:val="single" w:color="auto"/>
                <w:color w:val="auto"/>
              </w:rPr>
              <w:t>£</w:t>
            </w:r>
            <w:r>
              <w:rPr>
                <w:rFonts w:ascii="Arial" w:cs="Arial" w:eastAsia="Arial" w:hAnsi="Arial"/>
                <w:sz w:val="22"/>
                <w:szCs w:val="22"/>
                <w:b w:val="1"/>
                <w:bCs w:val="1"/>
                <w:color w:val="auto"/>
              </w:rPr>
              <w:t>’000s</w:t>
            </w:r>
          </w:p>
        </w:tc>
      </w:tr>
      <w:tr>
        <w:trPr>
          <w:trHeight w:val="237"/>
        </w:trPr>
        <w:tc>
          <w:tcPr>
            <w:tcW w:w="340" w:type="dxa"/>
            <w:vAlign w:val="bottom"/>
          </w:tcPr>
          <w:p>
            <w:pPr>
              <w:spacing w:after="0"/>
              <w:rPr>
                <w:sz w:val="20"/>
                <w:szCs w:val="20"/>
                <w:color w:val="auto"/>
              </w:rPr>
            </w:pPr>
          </w:p>
        </w:tc>
        <w:tc>
          <w:tcPr>
            <w:tcW w:w="384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Losses</w:t>
            </w:r>
          </w:p>
        </w:tc>
        <w:tc>
          <w:tcPr>
            <w:tcW w:w="20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5"/>
              </w:rPr>
              <w:t>44,683</w:t>
            </w:r>
          </w:p>
        </w:tc>
        <w:tc>
          <w:tcPr>
            <w:tcW w:w="22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8"/>
              </w:rPr>
              <w:t>37,021</w:t>
            </w:r>
          </w:p>
        </w:tc>
        <w:tc>
          <w:tcPr>
            <w:tcW w:w="2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8"/>
              </w:rPr>
              <w:t>19,443</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3840" w:type="dxa"/>
            <w:vAlign w:val="bottom"/>
          </w:tcPr>
          <w:p>
            <w:pPr>
              <w:spacing w:after="0" w:line="243" w:lineRule="exact"/>
              <w:rPr>
                <w:sz w:val="20"/>
                <w:szCs w:val="20"/>
                <w:color w:val="auto"/>
              </w:rPr>
            </w:pPr>
            <w:r>
              <w:rPr>
                <w:rFonts w:ascii="Arial" w:cs="Arial" w:eastAsia="Arial" w:hAnsi="Arial"/>
                <w:sz w:val="22"/>
                <w:szCs w:val="22"/>
                <w:color w:val="auto"/>
              </w:rPr>
              <w:t>Loan relationships</w:t>
            </w:r>
          </w:p>
        </w:tc>
        <w:tc>
          <w:tcPr>
            <w:tcW w:w="2000" w:type="dxa"/>
            <w:vAlign w:val="bottom"/>
          </w:tcPr>
          <w:p>
            <w:pPr>
              <w:spacing w:after="0"/>
              <w:rPr>
                <w:sz w:val="21"/>
                <w:szCs w:val="21"/>
                <w:color w:val="auto"/>
              </w:rPr>
            </w:pP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421</w:t>
            </w:r>
          </w:p>
        </w:tc>
        <w:tc>
          <w:tcPr>
            <w:tcW w:w="240" w:type="dxa"/>
            <w:vAlign w:val="bottom"/>
          </w:tcPr>
          <w:p>
            <w:pPr>
              <w:spacing w:after="0"/>
              <w:rPr>
                <w:sz w:val="21"/>
                <w:szCs w:val="21"/>
                <w:color w:val="auto"/>
              </w:rPr>
            </w:pPr>
          </w:p>
        </w:tc>
        <w:tc>
          <w:tcPr>
            <w:tcW w:w="74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w:t>
            </w:r>
          </w:p>
        </w:tc>
      </w:tr>
      <w:tr>
        <w:trPr>
          <w:trHeight w:val="243"/>
        </w:trPr>
        <w:tc>
          <w:tcPr>
            <w:tcW w:w="340" w:type="dxa"/>
            <w:vAlign w:val="bottom"/>
          </w:tcPr>
          <w:p>
            <w:pPr>
              <w:spacing w:after="0"/>
              <w:rPr>
                <w:sz w:val="21"/>
                <w:szCs w:val="21"/>
                <w:color w:val="auto"/>
              </w:rPr>
            </w:pPr>
          </w:p>
        </w:tc>
        <w:tc>
          <w:tcPr>
            <w:tcW w:w="3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U.S. tax credits</w:t>
            </w:r>
          </w:p>
        </w:tc>
        <w:tc>
          <w:tcPr>
            <w:tcW w:w="20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10,557</w:t>
            </w:r>
          </w:p>
        </w:tc>
        <w:tc>
          <w:tcPr>
            <w:tcW w:w="9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9,880</w:t>
            </w:r>
          </w:p>
        </w:tc>
        <w:tc>
          <w:tcPr>
            <w:tcW w:w="9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10,032</w:t>
            </w:r>
          </w:p>
        </w:tc>
        <w:tc>
          <w:tcPr>
            <w:tcW w:w="60" w:type="dxa"/>
            <w:vAlign w:val="bottom"/>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40" w:type="dxa"/>
            <w:vAlign w:val="bottom"/>
          </w:tcPr>
          <w:p>
            <w:pPr>
              <w:spacing w:after="0" w:line="243" w:lineRule="exact"/>
              <w:rPr>
                <w:sz w:val="20"/>
                <w:szCs w:val="20"/>
                <w:color w:val="auto"/>
              </w:rPr>
            </w:pPr>
            <w:r>
              <w:rPr>
                <w:rFonts w:ascii="Arial" w:cs="Arial" w:eastAsia="Arial" w:hAnsi="Arial"/>
                <w:sz w:val="22"/>
                <w:szCs w:val="22"/>
                <w:color w:val="auto"/>
              </w:rPr>
              <w:t>Accruals</w:t>
            </w:r>
          </w:p>
        </w:tc>
        <w:tc>
          <w:tcPr>
            <w:tcW w:w="2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680" w:type="dxa"/>
            <w:vAlign w:val="bottom"/>
          </w:tcPr>
          <w:p>
            <w:pPr>
              <w:jc w:val="right"/>
              <w:ind w:right="14"/>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947</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Fixed assets</w:t>
            </w:r>
          </w:p>
        </w:tc>
        <w:tc>
          <w:tcPr>
            <w:tcW w:w="20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414</w:t>
            </w:r>
          </w:p>
        </w:tc>
        <w:tc>
          <w:tcPr>
            <w:tcW w:w="9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400</w:t>
            </w:r>
          </w:p>
        </w:tc>
        <w:tc>
          <w:tcPr>
            <w:tcW w:w="60" w:type="dxa"/>
            <w:vAlign w:val="bottom"/>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40" w:type="dxa"/>
            <w:vAlign w:val="bottom"/>
          </w:tcPr>
          <w:p>
            <w:pPr>
              <w:spacing w:after="0" w:line="243" w:lineRule="exact"/>
              <w:rPr>
                <w:sz w:val="20"/>
                <w:szCs w:val="20"/>
                <w:color w:val="auto"/>
              </w:rPr>
            </w:pPr>
            <w:r>
              <w:rPr>
                <w:rFonts w:ascii="Arial" w:cs="Arial" w:eastAsia="Arial" w:hAnsi="Arial"/>
                <w:sz w:val="22"/>
                <w:szCs w:val="22"/>
                <w:color w:val="auto"/>
              </w:rPr>
              <w:t>Share options</w:t>
            </w:r>
          </w:p>
        </w:tc>
        <w:tc>
          <w:tcPr>
            <w:tcW w:w="2000" w:type="dxa"/>
            <w:vAlign w:val="bottom"/>
          </w:tcPr>
          <w:p>
            <w:pPr>
              <w:spacing w:after="0"/>
              <w:rPr>
                <w:sz w:val="21"/>
                <w:szCs w:val="21"/>
                <w:color w:val="auto"/>
              </w:rPr>
            </w:pP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151</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w:t>
            </w:r>
          </w:p>
        </w:tc>
        <w:tc>
          <w:tcPr>
            <w:tcW w:w="240" w:type="dxa"/>
            <w:vAlign w:val="bottom"/>
          </w:tcPr>
          <w:p>
            <w:pPr>
              <w:spacing w:after="0"/>
              <w:rPr>
                <w:sz w:val="21"/>
                <w:szCs w:val="21"/>
                <w:color w:val="auto"/>
              </w:rPr>
            </w:pPr>
          </w:p>
        </w:tc>
        <w:tc>
          <w:tcPr>
            <w:tcW w:w="74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w:t>
            </w:r>
          </w:p>
        </w:tc>
      </w:tr>
      <w:tr>
        <w:trPr>
          <w:trHeight w:val="243"/>
        </w:trPr>
        <w:tc>
          <w:tcPr>
            <w:tcW w:w="340" w:type="dxa"/>
            <w:vAlign w:val="bottom"/>
          </w:tcPr>
          <w:p>
            <w:pPr>
              <w:spacing w:after="0"/>
              <w:rPr>
                <w:sz w:val="21"/>
                <w:szCs w:val="21"/>
                <w:color w:val="auto"/>
              </w:rPr>
            </w:pPr>
          </w:p>
        </w:tc>
        <w:tc>
          <w:tcPr>
            <w:tcW w:w="3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U.S. deferred tax</w:t>
            </w:r>
          </w:p>
        </w:tc>
        <w:tc>
          <w:tcPr>
            <w:tcW w:w="20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31</w:t>
            </w:r>
          </w:p>
        </w:tc>
        <w:tc>
          <w:tcPr>
            <w:tcW w:w="9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86</w:t>
            </w:r>
          </w:p>
        </w:tc>
        <w:tc>
          <w:tcPr>
            <w:tcW w:w="2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r>
      <w:tr>
        <w:trPr>
          <w:trHeight w:val="243"/>
        </w:trPr>
        <w:tc>
          <w:tcPr>
            <w:tcW w:w="340" w:type="dxa"/>
            <w:vAlign w:val="bottom"/>
          </w:tcPr>
          <w:p>
            <w:pPr>
              <w:spacing w:after="0"/>
              <w:rPr>
                <w:sz w:val="21"/>
                <w:szCs w:val="21"/>
                <w:color w:val="auto"/>
              </w:rPr>
            </w:pPr>
          </w:p>
        </w:tc>
        <w:tc>
          <w:tcPr>
            <w:tcW w:w="384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2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137</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202</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Temporary differences</w:t>
            </w:r>
          </w:p>
        </w:tc>
        <w:tc>
          <w:tcPr>
            <w:tcW w:w="20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56</w:t>
            </w:r>
          </w:p>
        </w:tc>
        <w:tc>
          <w:tcPr>
            <w:tcW w:w="9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9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w:t>
            </w:r>
          </w:p>
        </w:tc>
        <w:tc>
          <w:tcPr>
            <w:tcW w:w="60" w:type="dxa"/>
            <w:vAlign w:val="bottom"/>
            <w:shd w:val="clear" w:color="auto" w:fill="CCEEFF"/>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3840" w:type="dxa"/>
            <w:vAlign w:val="bottom"/>
          </w:tcPr>
          <w:p>
            <w:pPr>
              <w:spacing w:after="0" w:line="250" w:lineRule="exact"/>
              <w:rPr>
                <w:sz w:val="20"/>
                <w:szCs w:val="20"/>
                <w:color w:val="auto"/>
              </w:rPr>
            </w:pPr>
            <w:r>
              <w:rPr>
                <w:rFonts w:ascii="Arial" w:cs="Arial" w:eastAsia="Arial" w:hAnsi="Arial"/>
                <w:sz w:val="22"/>
                <w:szCs w:val="22"/>
                <w:b w:val="1"/>
                <w:bCs w:val="1"/>
                <w:color w:val="auto"/>
                <w:w w:val="97"/>
              </w:rPr>
              <w:t>Net deferred tax asset (unrecognized)</w:t>
            </w:r>
          </w:p>
        </w:tc>
        <w:tc>
          <w:tcPr>
            <w:tcW w:w="2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5"/>
              </w:rPr>
              <w:t>55,551</w:t>
            </w:r>
          </w:p>
        </w:tc>
        <w:tc>
          <w:tcPr>
            <w:tcW w:w="2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8"/>
              </w:rPr>
              <w:t>48,032</w:t>
            </w:r>
          </w:p>
        </w:tc>
        <w:tc>
          <w:tcPr>
            <w:tcW w:w="2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8"/>
              </w:rPr>
              <w:t>31,028</w:t>
            </w:r>
          </w:p>
        </w:tc>
        <w:tc>
          <w:tcPr>
            <w:tcW w:w="60" w:type="dxa"/>
            <w:vAlign w:val="bottom"/>
          </w:tcPr>
          <w:p>
            <w:pPr>
              <w:spacing w:after="0"/>
              <w:rPr>
                <w:sz w:val="21"/>
                <w:szCs w:val="21"/>
                <w:color w:val="auto"/>
              </w:rPr>
            </w:pPr>
          </w:p>
        </w:tc>
      </w:tr>
      <w:tr>
        <w:trPr>
          <w:trHeight w:val="489"/>
        </w:trPr>
        <w:tc>
          <w:tcPr>
            <w:tcW w:w="6180" w:type="dxa"/>
            <w:vAlign w:val="bottom"/>
            <w:gridSpan w:val="3"/>
          </w:tcPr>
          <w:p>
            <w:pPr>
              <w:jc w:val="right"/>
              <w:ind w:right="1196"/>
              <w:spacing w:after="0"/>
              <w:rPr>
                <w:sz w:val="20"/>
                <w:szCs w:val="20"/>
                <w:color w:val="auto"/>
              </w:rPr>
            </w:pPr>
            <w:r>
              <w:rPr>
                <w:rFonts w:ascii="Arial" w:cs="Arial" w:eastAsia="Arial" w:hAnsi="Arial"/>
                <w:sz w:val="22"/>
                <w:szCs w:val="22"/>
                <w:color w:val="auto"/>
                <w:w w:val="88"/>
              </w:rPr>
              <w:t>The analysis of recognized deferred tax is set out below:</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7"/>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20"/>
                <w:szCs w:val="20"/>
                <w:b w:val="1"/>
                <w:bCs w:val="1"/>
                <w:color w:val="auto"/>
              </w:rPr>
              <w:t>At</w:t>
            </w:r>
          </w:p>
        </w:tc>
      </w:tr>
      <w:tr>
        <w:trPr>
          <w:trHeight w:val="230"/>
        </w:trPr>
        <w:tc>
          <w:tcPr>
            <w:tcW w:w="3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0" w:type="dxa"/>
            <w:vAlign w:val="bottom"/>
          </w:tcPr>
          <w:p>
            <w:pPr>
              <w:jc w:val="right"/>
              <w:ind w:right="316"/>
              <w:spacing w:after="0"/>
              <w:rPr>
                <w:sz w:val="20"/>
                <w:szCs w:val="20"/>
                <w:color w:val="auto"/>
              </w:rPr>
            </w:pPr>
            <w:r>
              <w:rPr>
                <w:rFonts w:ascii="Arial" w:cs="Arial" w:eastAsia="Arial" w:hAnsi="Arial"/>
                <w:sz w:val="20"/>
                <w:szCs w:val="20"/>
                <w:b w:val="1"/>
                <w:bCs w:val="1"/>
                <w:color w:val="auto"/>
              </w:rPr>
              <w:t>At January 1,</w:t>
            </w:r>
          </w:p>
        </w:tc>
        <w:tc>
          <w:tcPr>
            <w:tcW w:w="1540" w:type="dxa"/>
            <w:vAlign w:val="bottom"/>
            <w:gridSpan w:val="2"/>
          </w:tcPr>
          <w:p>
            <w:pPr>
              <w:jc w:val="center"/>
              <w:ind w:left="34"/>
              <w:spacing w:after="0"/>
              <w:rPr>
                <w:sz w:val="20"/>
                <w:szCs w:val="20"/>
                <w:color w:val="auto"/>
              </w:rPr>
            </w:pPr>
            <w:r>
              <w:rPr>
                <w:rFonts w:ascii="Arial" w:cs="Arial" w:eastAsia="Arial" w:hAnsi="Arial"/>
                <w:sz w:val="20"/>
                <w:szCs w:val="20"/>
                <w:b w:val="1"/>
                <w:bCs w:val="1"/>
                <w:color w:val="auto"/>
                <w:w w:val="85"/>
              </w:rPr>
              <w:t>Recognized</w:t>
            </w:r>
          </w:p>
        </w:tc>
        <w:tc>
          <w:tcPr>
            <w:tcW w:w="220" w:type="dxa"/>
            <w:vAlign w:val="bottom"/>
          </w:tcPr>
          <w:p>
            <w:pPr>
              <w:spacing w:after="0"/>
              <w:rPr>
                <w:sz w:val="19"/>
                <w:szCs w:val="19"/>
                <w:color w:val="auto"/>
              </w:rPr>
            </w:pPr>
          </w:p>
        </w:tc>
        <w:tc>
          <w:tcPr>
            <w:tcW w:w="1660" w:type="dxa"/>
            <w:vAlign w:val="bottom"/>
            <w:gridSpan w:val="4"/>
          </w:tcPr>
          <w:p>
            <w:pPr>
              <w:jc w:val="center"/>
              <w:ind w:left="94"/>
              <w:spacing w:after="0"/>
              <w:rPr>
                <w:sz w:val="20"/>
                <w:szCs w:val="20"/>
                <w:color w:val="auto"/>
              </w:rPr>
            </w:pPr>
            <w:r>
              <w:rPr>
                <w:rFonts w:ascii="Arial" w:cs="Arial" w:eastAsia="Arial" w:hAnsi="Arial"/>
                <w:sz w:val="20"/>
                <w:szCs w:val="20"/>
                <w:b w:val="1"/>
                <w:bCs w:val="1"/>
                <w:color w:val="auto"/>
                <w:w w:val="87"/>
              </w:rPr>
              <w:t>December 31,</w:t>
            </w:r>
          </w:p>
        </w:tc>
      </w:tr>
      <w:tr>
        <w:trPr>
          <w:trHeight w:val="225"/>
        </w:trPr>
        <w:tc>
          <w:tcPr>
            <w:tcW w:w="3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0" w:type="dxa"/>
            <w:vAlign w:val="bottom"/>
          </w:tcPr>
          <w:p>
            <w:pPr>
              <w:jc w:val="right"/>
              <w:ind w:right="696"/>
              <w:spacing w:after="0" w:line="225" w:lineRule="exact"/>
              <w:rPr>
                <w:sz w:val="20"/>
                <w:szCs w:val="20"/>
                <w:color w:val="auto"/>
              </w:rPr>
            </w:pPr>
            <w:r>
              <w:rPr>
                <w:rFonts w:ascii="Arial" w:cs="Arial" w:eastAsia="Arial" w:hAnsi="Arial"/>
                <w:sz w:val="20"/>
                <w:szCs w:val="20"/>
                <w:b w:val="1"/>
                <w:bCs w:val="1"/>
                <w:color w:val="auto"/>
              </w:rPr>
              <w:t>2021</w:t>
            </w:r>
          </w:p>
        </w:tc>
        <w:tc>
          <w:tcPr>
            <w:tcW w:w="1540" w:type="dxa"/>
            <w:vAlign w:val="bottom"/>
            <w:gridSpan w:val="2"/>
          </w:tcPr>
          <w:p>
            <w:pPr>
              <w:jc w:val="center"/>
              <w:ind w:left="54"/>
              <w:spacing w:after="0" w:line="225" w:lineRule="exact"/>
              <w:rPr>
                <w:sz w:val="20"/>
                <w:szCs w:val="20"/>
                <w:color w:val="auto"/>
              </w:rPr>
            </w:pPr>
            <w:r>
              <w:rPr>
                <w:rFonts w:ascii="Arial" w:cs="Arial" w:eastAsia="Arial" w:hAnsi="Arial"/>
                <w:sz w:val="20"/>
                <w:szCs w:val="20"/>
                <w:b w:val="1"/>
                <w:bCs w:val="1"/>
                <w:color w:val="auto"/>
                <w:w w:val="87"/>
              </w:rPr>
              <w:t>in income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352"/>
              <w:spacing w:after="0" w:line="225" w:lineRule="exact"/>
              <w:rPr>
                <w:sz w:val="20"/>
                <w:szCs w:val="20"/>
                <w:color w:val="auto"/>
              </w:rPr>
            </w:pPr>
            <w:r>
              <w:rPr>
                <w:rFonts w:ascii="Arial" w:cs="Arial" w:eastAsia="Arial" w:hAnsi="Arial"/>
                <w:sz w:val="20"/>
                <w:szCs w:val="20"/>
                <w:b w:val="1"/>
                <w:bCs w:val="1"/>
                <w:color w:val="auto"/>
                <w:w w:val="98"/>
              </w:rPr>
              <w:t>2021</w:t>
            </w:r>
          </w:p>
        </w:tc>
        <w:tc>
          <w:tcPr>
            <w:tcW w:w="60" w:type="dxa"/>
            <w:vAlign w:val="bottom"/>
          </w:tcPr>
          <w:p>
            <w:pPr>
              <w:spacing w:after="0"/>
              <w:rPr>
                <w:sz w:val="19"/>
                <w:szCs w:val="19"/>
                <w:color w:val="auto"/>
              </w:rPr>
            </w:pPr>
          </w:p>
        </w:tc>
      </w:tr>
      <w:tr>
        <w:trPr>
          <w:trHeight w:val="270"/>
        </w:trPr>
        <w:tc>
          <w:tcPr>
            <w:tcW w:w="3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2000" w:type="dxa"/>
            <w:vAlign w:val="bottom"/>
          </w:tcPr>
          <w:p>
            <w:pPr>
              <w:jc w:val="center"/>
              <w:spacing w:after="0"/>
              <w:rPr>
                <w:sz w:val="20"/>
                <w:szCs w:val="20"/>
                <w:color w:val="auto"/>
              </w:rPr>
            </w:pPr>
            <w:r>
              <w:rPr>
                <w:rFonts w:ascii="Arial" w:cs="Arial" w:eastAsia="Arial" w:hAnsi="Arial"/>
                <w:sz w:val="22"/>
                <w:szCs w:val="22"/>
                <w:b w:val="1"/>
                <w:bCs w:val="1"/>
                <w:color w:val="auto"/>
                <w:w w:val="86"/>
              </w:rPr>
              <w:t>£’000s</w:t>
            </w:r>
          </w:p>
        </w:tc>
        <w:tc>
          <w:tcPr>
            <w:tcW w:w="1540" w:type="dxa"/>
            <w:vAlign w:val="bottom"/>
            <w:gridSpan w:val="2"/>
          </w:tcPr>
          <w:p>
            <w:pPr>
              <w:jc w:val="center"/>
              <w:ind w:left="34"/>
              <w:spacing w:after="0"/>
              <w:rPr>
                <w:sz w:val="20"/>
                <w:szCs w:val="20"/>
                <w:color w:val="auto"/>
              </w:rPr>
            </w:pPr>
            <w:r>
              <w:rPr>
                <w:rFonts w:ascii="Arial" w:cs="Arial" w:eastAsia="Arial" w:hAnsi="Arial"/>
                <w:sz w:val="22"/>
                <w:szCs w:val="22"/>
                <w:b w:val="1"/>
                <w:bCs w:val="1"/>
                <w:color w:val="auto"/>
                <w:w w:val="89"/>
              </w:rPr>
              <w:t>£’000s</w:t>
            </w:r>
          </w:p>
        </w:tc>
        <w:tc>
          <w:tcPr>
            <w:tcW w:w="220" w:type="dxa"/>
            <w:vAlign w:val="bottom"/>
          </w:tcPr>
          <w:p>
            <w:pPr>
              <w:spacing w:after="0"/>
              <w:rPr>
                <w:sz w:val="23"/>
                <w:szCs w:val="23"/>
                <w:color w:val="auto"/>
              </w:rPr>
            </w:pPr>
          </w:p>
        </w:tc>
        <w:tc>
          <w:tcPr>
            <w:tcW w:w="1660" w:type="dxa"/>
            <w:vAlign w:val="bottom"/>
            <w:gridSpan w:val="4"/>
          </w:tcPr>
          <w:p>
            <w:pPr>
              <w:jc w:val="center"/>
              <w:ind w:left="94"/>
              <w:spacing w:after="0"/>
              <w:rPr>
                <w:sz w:val="20"/>
                <w:szCs w:val="20"/>
                <w:color w:val="auto"/>
              </w:rPr>
            </w:pPr>
            <w:r>
              <w:rPr>
                <w:rFonts w:ascii="Arial" w:cs="Arial" w:eastAsia="Arial" w:hAnsi="Arial"/>
                <w:sz w:val="22"/>
                <w:szCs w:val="22"/>
                <w:b w:val="1"/>
                <w:bCs w:val="1"/>
                <w:color w:val="auto"/>
                <w:w w:val="86"/>
              </w:rPr>
              <w:t>£’000s</w:t>
            </w:r>
          </w:p>
        </w:tc>
      </w:tr>
      <w:tr>
        <w:trPr>
          <w:trHeight w:val="243"/>
        </w:trPr>
        <w:tc>
          <w:tcPr>
            <w:tcW w:w="340" w:type="dxa"/>
            <w:vAlign w:val="bottom"/>
          </w:tcPr>
          <w:p>
            <w:pPr>
              <w:spacing w:after="0"/>
              <w:rPr>
                <w:sz w:val="21"/>
                <w:szCs w:val="21"/>
                <w:color w:val="auto"/>
              </w:rPr>
            </w:pPr>
          </w:p>
        </w:tc>
        <w:tc>
          <w:tcPr>
            <w:tcW w:w="384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Deferred tax liabilities</w:t>
            </w:r>
          </w:p>
        </w:tc>
        <w:tc>
          <w:tcPr>
            <w:tcW w:w="20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40" w:type="dxa"/>
            <w:vAlign w:val="bottom"/>
          </w:tcPr>
          <w:p>
            <w:pPr>
              <w:spacing w:after="0" w:line="243" w:lineRule="exact"/>
              <w:rPr>
                <w:sz w:val="20"/>
                <w:szCs w:val="20"/>
                <w:color w:val="auto"/>
              </w:rPr>
            </w:pPr>
            <w:r>
              <w:rPr>
                <w:rFonts w:ascii="Arial" w:cs="Arial" w:eastAsia="Arial" w:hAnsi="Arial"/>
                <w:sz w:val="22"/>
                <w:szCs w:val="22"/>
                <w:color w:val="auto"/>
              </w:rPr>
              <w:t>Intangible asset and right-of-use asset</w:t>
            </w:r>
          </w:p>
        </w:tc>
        <w:tc>
          <w:tcPr>
            <w:tcW w:w="2000" w:type="dxa"/>
            <w:vAlign w:val="bottom"/>
          </w:tcPr>
          <w:p>
            <w:pPr>
              <w:jc w:val="right"/>
              <w:ind w:right="256"/>
              <w:spacing w:after="0" w:line="243" w:lineRule="exact"/>
              <w:rPr>
                <w:sz w:val="20"/>
                <w:szCs w:val="20"/>
                <w:color w:val="auto"/>
              </w:rPr>
            </w:pPr>
            <w:r>
              <w:rPr>
                <w:rFonts w:ascii="Arial" w:cs="Arial" w:eastAsia="Arial" w:hAnsi="Arial"/>
                <w:sz w:val="22"/>
                <w:szCs w:val="22"/>
                <w:color w:val="auto"/>
              </w:rPr>
              <w:t>(96)</w:t>
            </w:r>
          </w:p>
        </w:tc>
        <w:tc>
          <w:tcPr>
            <w:tcW w:w="1540" w:type="dxa"/>
            <w:vAlign w:val="bottom"/>
            <w:gridSpan w:val="2"/>
          </w:tcPr>
          <w:p>
            <w:pPr>
              <w:jc w:val="right"/>
              <w:ind w:right="112"/>
              <w:spacing w:after="0" w:line="243" w:lineRule="exact"/>
              <w:rPr>
                <w:sz w:val="20"/>
                <w:szCs w:val="20"/>
                <w:color w:val="auto"/>
              </w:rPr>
            </w:pPr>
            <w:r>
              <w:rPr>
                <w:rFonts w:ascii="Arial" w:cs="Arial" w:eastAsia="Arial" w:hAnsi="Arial"/>
                <w:sz w:val="22"/>
                <w:szCs w:val="22"/>
                <w:color w:val="auto"/>
              </w:rPr>
              <w:t>76</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84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Deferred tax asset</w:t>
            </w:r>
          </w:p>
        </w:tc>
        <w:tc>
          <w:tcPr>
            <w:tcW w:w="20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67"/>
        </w:trPr>
        <w:tc>
          <w:tcPr>
            <w:tcW w:w="340" w:type="dxa"/>
            <w:vAlign w:val="bottom"/>
          </w:tcPr>
          <w:p>
            <w:pPr>
              <w:spacing w:after="0"/>
              <w:rPr>
                <w:sz w:val="23"/>
                <w:szCs w:val="23"/>
                <w:color w:val="auto"/>
              </w:rPr>
            </w:pPr>
          </w:p>
        </w:tc>
        <w:tc>
          <w:tcPr>
            <w:tcW w:w="3840" w:type="dxa"/>
            <w:vAlign w:val="bottom"/>
          </w:tcPr>
          <w:p>
            <w:pPr>
              <w:spacing w:after="0"/>
              <w:rPr>
                <w:sz w:val="20"/>
                <w:szCs w:val="20"/>
                <w:color w:val="auto"/>
              </w:rPr>
            </w:pPr>
            <w:r>
              <w:rPr>
                <w:rFonts w:ascii="Arial" w:cs="Arial" w:eastAsia="Arial" w:hAnsi="Arial"/>
                <w:sz w:val="22"/>
                <w:szCs w:val="22"/>
                <w:color w:val="auto"/>
              </w:rPr>
              <w:t>Net operating losses and lease liability</w:t>
            </w:r>
          </w:p>
        </w:tc>
        <w:tc>
          <w:tcPr>
            <w:tcW w:w="2000" w:type="dxa"/>
            <w:vAlign w:val="bottom"/>
          </w:tcPr>
          <w:p>
            <w:pPr>
              <w:jc w:val="right"/>
              <w:ind w:right="316"/>
              <w:spacing w:after="0"/>
              <w:rPr>
                <w:sz w:val="20"/>
                <w:szCs w:val="20"/>
                <w:color w:val="auto"/>
              </w:rPr>
            </w:pPr>
            <w:r>
              <w:rPr>
                <w:rFonts w:ascii="Arial" w:cs="Arial" w:eastAsia="Arial" w:hAnsi="Arial"/>
                <w:sz w:val="22"/>
                <w:szCs w:val="22"/>
                <w:color w:val="auto"/>
              </w:rPr>
              <w:t>96</w:t>
            </w:r>
          </w:p>
        </w:tc>
        <w:tc>
          <w:tcPr>
            <w:tcW w:w="1540" w:type="dxa"/>
            <w:vAlign w:val="bottom"/>
            <w:gridSpan w:val="2"/>
          </w:tcPr>
          <w:p>
            <w:pPr>
              <w:jc w:val="right"/>
              <w:ind w:right="32"/>
              <w:spacing w:after="0"/>
              <w:rPr>
                <w:sz w:val="20"/>
                <w:szCs w:val="20"/>
                <w:color w:val="auto"/>
              </w:rPr>
            </w:pPr>
            <w:r>
              <w:rPr>
                <w:rFonts w:ascii="Arial" w:cs="Arial" w:eastAsia="Arial" w:hAnsi="Arial"/>
                <w:sz w:val="22"/>
                <w:szCs w:val="22"/>
                <w:color w:val="auto"/>
              </w:rPr>
              <w:t>(76)</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20</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7372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-14605</wp:posOffset>
            </wp:positionV>
            <wp:extent cx="6172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-14605</wp:posOffset>
            </wp:positionV>
            <wp:extent cx="7372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22"/>
          <w:szCs w:val="22"/>
          <w:b w:val="1"/>
          <w:bCs w:val="1"/>
          <w:color w:val="auto"/>
        </w:rPr>
        <w:t>Net deferred tax asset/(liability)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-158115</wp:posOffset>
            </wp:positionV>
            <wp:extent cx="5871845"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5871845" cy="162560"/>
                    </a:xfrm>
                    <a:prstGeom prst="rect">
                      <a:avLst/>
                    </a:prstGeom>
                    <a:noFill/>
                  </pic:spPr>
                </pic:pic>
              </a:graphicData>
            </a:graphic>
          </wp:anchor>
        </w:drawing>
      </w:r>
    </w:p>
    <w:p>
      <w:pPr>
        <w:spacing w:after="0" w:line="209" w:lineRule="exact"/>
        <w:rPr>
          <w:sz w:val="20"/>
          <w:szCs w:val="20"/>
          <w:color w:val="auto"/>
        </w:rPr>
      </w:pPr>
    </w:p>
    <w:p>
      <w:pPr>
        <w:ind w:left="120" w:right="100" w:firstLine="551"/>
        <w:spacing w:after="0" w:line="250" w:lineRule="auto"/>
        <w:rPr>
          <w:sz w:val="20"/>
          <w:szCs w:val="20"/>
          <w:color w:val="auto"/>
        </w:rPr>
      </w:pPr>
      <w:r>
        <w:rPr>
          <w:rFonts w:ascii="Arial" w:cs="Arial" w:eastAsia="Arial" w:hAnsi="Arial"/>
          <w:sz w:val="22"/>
          <w:szCs w:val="22"/>
          <w:color w:val="auto"/>
        </w:rPr>
        <w:t>A deferred tax asset on losses has been recognized up to the level of the deferred tax liability, resulting in a net deferred tax liability of £nil.</w:t>
      </w:r>
    </w:p>
    <w:p>
      <w:pPr>
        <w:spacing w:after="0" w:line="202" w:lineRule="exact"/>
        <w:rPr>
          <w:sz w:val="20"/>
          <w:szCs w:val="20"/>
          <w:color w:val="auto"/>
        </w:rPr>
      </w:pPr>
    </w:p>
    <w:p>
      <w:pPr>
        <w:ind w:left="120" w:right="760" w:firstLine="551"/>
        <w:spacing w:after="0" w:line="274" w:lineRule="auto"/>
        <w:rPr>
          <w:sz w:val="20"/>
          <w:szCs w:val="20"/>
          <w:color w:val="auto"/>
        </w:rPr>
      </w:pPr>
      <w:r>
        <w:rPr>
          <w:rFonts w:ascii="Arial" w:cs="Arial" w:eastAsia="Arial" w:hAnsi="Arial"/>
          <w:sz w:val="21"/>
          <w:szCs w:val="21"/>
          <w:color w:val="auto"/>
        </w:rPr>
        <w:t>The remaining deferred tax assets, as set out in the table above, have not been recognized as there is uncertainty regarding when suitable future profits against which to offset the accumulated tax losses will arise.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U.K. deferred tax</w:t>
      </w:r>
    </w:p>
    <w:p>
      <w:pPr>
        <w:spacing w:after="0" w:line="226" w:lineRule="exact"/>
        <w:rPr>
          <w:sz w:val="20"/>
          <w:szCs w:val="20"/>
          <w:color w:val="auto"/>
        </w:rPr>
      </w:pPr>
    </w:p>
    <w:p>
      <w:pPr>
        <w:ind w:left="120" w:right="260" w:firstLine="551"/>
        <w:spacing w:after="0" w:line="328" w:lineRule="auto"/>
        <w:rPr>
          <w:sz w:val="20"/>
          <w:szCs w:val="20"/>
          <w:color w:val="auto"/>
        </w:rPr>
      </w:pPr>
      <w:r>
        <w:rPr>
          <w:rFonts w:ascii="Arial" w:cs="Arial" w:eastAsia="Arial" w:hAnsi="Arial"/>
          <w:sz w:val="19"/>
          <w:szCs w:val="19"/>
          <w:color w:val="auto"/>
        </w:rPr>
        <w:t>The deferred tax assets have not been recognized as there is uncertainty regarding when suitable future profits against which to offset the accumulated tax losses will arise. There is no expiration date for the accumulated tax losses.</w:t>
      </w:r>
    </w:p>
    <w:p>
      <w:pPr>
        <w:spacing w:after="0" w:line="132" w:lineRule="exact"/>
        <w:rPr>
          <w:sz w:val="20"/>
          <w:szCs w:val="20"/>
          <w:color w:val="auto"/>
        </w:rPr>
      </w:pPr>
    </w:p>
    <w:p>
      <w:pPr>
        <w:ind w:left="120" w:firstLine="551"/>
        <w:spacing w:after="0" w:line="297" w:lineRule="auto"/>
        <w:rPr>
          <w:sz w:val="20"/>
          <w:szCs w:val="20"/>
          <w:color w:val="auto"/>
        </w:rPr>
      </w:pPr>
      <w:r>
        <w:rPr>
          <w:rFonts w:ascii="Arial" w:cs="Arial" w:eastAsia="Arial" w:hAnsi="Arial"/>
          <w:sz w:val="19"/>
          <w:szCs w:val="19"/>
          <w:color w:val="auto"/>
        </w:rPr>
        <w:t>The standard rate of corporation tax applied to the reported profit/(loss) before tax is 19% (2020: 19%). The Finance Act 2021, which was substantively enacted on May 24, 2021, included provisions to increase the standard rate of tax from 19% to 25%, effective from April 1, 2023. As a result, U.K. deferred tax assets and liabilities have been measured at a rate of 25%.</w:t>
      </w:r>
    </w:p>
    <w:p>
      <w:pPr>
        <w:spacing w:after="0" w:line="147" w:lineRule="exact"/>
        <w:rPr>
          <w:sz w:val="20"/>
          <w:szCs w:val="20"/>
          <w:color w:val="auto"/>
        </w:rPr>
      </w:pPr>
    </w:p>
    <w:p>
      <w:pPr>
        <w:ind w:left="120" w:right="680" w:firstLine="551"/>
        <w:spacing w:after="0" w:line="454" w:lineRule="auto"/>
        <w:rPr>
          <w:sz w:val="20"/>
          <w:szCs w:val="20"/>
          <w:color w:val="auto"/>
        </w:rPr>
      </w:pPr>
      <w:r>
        <w:rPr>
          <w:rFonts w:ascii="Arial" w:cs="Arial" w:eastAsia="Arial" w:hAnsi="Arial"/>
          <w:sz w:val="22"/>
          <w:szCs w:val="22"/>
          <w:color w:val="auto"/>
        </w:rPr>
        <w:t xml:space="preserve">At December 31, 2021, the Company had U.K. tax losses to be carried forward of approximately £122.6 million. </w:t>
      </w:r>
      <w:r>
        <w:rPr>
          <w:rFonts w:ascii="Arial" w:cs="Arial" w:eastAsia="Arial" w:hAnsi="Arial"/>
          <w:sz w:val="22"/>
          <w:szCs w:val="22"/>
          <w:b w:val="1"/>
          <w:bCs w:val="1"/>
          <w:color w:val="auto"/>
        </w:rPr>
        <w:t>U.S. deferred tax</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deferred tax assets and liabilities are calculated at a blended rate of approximately 21%.</w:t>
      </w:r>
    </w:p>
    <w:p>
      <w:pPr>
        <w:spacing w:after="0" w:line="220" w:lineRule="exact"/>
        <w:rPr>
          <w:sz w:val="20"/>
          <w:szCs w:val="20"/>
          <w:color w:val="auto"/>
        </w:rPr>
      </w:pPr>
    </w:p>
    <w:p>
      <w:pPr>
        <w:ind w:left="120" w:right="600" w:firstLine="551"/>
        <w:spacing w:after="0" w:line="328" w:lineRule="auto"/>
        <w:rPr>
          <w:sz w:val="20"/>
          <w:szCs w:val="20"/>
          <w:color w:val="auto"/>
        </w:rPr>
      </w:pPr>
      <w:r>
        <w:rPr>
          <w:rFonts w:ascii="Arial" w:cs="Arial" w:eastAsia="Arial" w:hAnsi="Arial"/>
          <w:sz w:val="19"/>
          <w:szCs w:val="19"/>
          <w:color w:val="auto"/>
        </w:rPr>
        <w:t>For Mereo BioPharma 5, Inc, with respect to accumulated tax losses carried forward prior to its acquisition by the Company, there is a change of control restriction which will limit the amount available in any one year.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December 31, 2021, the Company had U.S. federal tax losses to be carried forward of approximately £65.6 million,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of which £59.4 million can be carried forward indefinitely and £6.2 million which will begin to expire in 2022. At</w:t>
      </w:r>
    </w:p>
    <w:p>
      <w:pPr>
        <w:ind w:left="120"/>
        <w:spacing w:after="0"/>
        <w:rPr>
          <w:sz w:val="20"/>
          <w:szCs w:val="20"/>
          <w:color w:val="auto"/>
        </w:rPr>
      </w:pPr>
      <w:r>
        <w:rPr>
          <w:rFonts w:ascii="Arial" w:cs="Arial" w:eastAsia="Arial" w:hAnsi="Arial"/>
          <w:sz w:val="19"/>
          <w:szCs w:val="19"/>
          <w:color w:val="auto"/>
        </w:rPr>
        <w:t>December 31, 2021, the Company had U.S. state tax losses to be carried forward of approximately £3.5 million which begin to</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expire in 2027.</w:t>
      </w:r>
    </w:p>
    <w:p>
      <w:pPr>
        <w:sectPr>
          <w:pgSz w:w="11900" w:h="16838" w:orient="portrait"/>
          <w:cols w:equalWidth="0" w:num="1">
            <w:col w:w="11100"/>
          </w:cols>
          <w:pgMar w:left="320" w:top="486" w:right="479" w:bottom="481" w:gutter="0" w:footer="0" w:header="0"/>
        </w:sectPr>
      </w:pPr>
    </w:p>
    <w:bookmarkStart w:id="192" w:name="page193"/>
    <w:bookmarkEnd w:id="192"/>
    <w:p>
      <w:pPr>
        <w:spacing w:after="0"/>
        <w:rPr>
          <w:sz w:val="20"/>
          <w:szCs w:val="20"/>
          <w:color w:val="auto"/>
        </w:rPr>
      </w:pPr>
      <w:r>
        <w:rPr>
          <w:rFonts w:ascii="Arial" w:cs="Arial" w:eastAsia="Arial" w:hAnsi="Arial"/>
          <w:sz w:val="22"/>
          <w:szCs w:val="22"/>
          <w:b w:val="1"/>
          <w:bCs w:val="1"/>
          <w:color w:val="auto"/>
        </w:rPr>
        <w:t>11. Earnings per share</w:t>
      </w:r>
    </w:p>
    <w:p>
      <w:pPr>
        <w:spacing w:after="0" w:line="226" w:lineRule="exact"/>
        <w:rPr>
          <w:sz w:val="20"/>
          <w:szCs w:val="20"/>
          <w:color w:val="auto"/>
        </w:rPr>
      </w:pPr>
    </w:p>
    <w:p>
      <w:pPr>
        <w:ind w:firstLine="551"/>
        <w:spacing w:after="0" w:line="236" w:lineRule="auto"/>
        <w:rPr>
          <w:sz w:val="20"/>
          <w:szCs w:val="20"/>
          <w:color w:val="auto"/>
        </w:rPr>
      </w:pPr>
      <w:r>
        <w:rPr>
          <w:rFonts w:ascii="Arial" w:cs="Arial" w:eastAsia="Arial" w:hAnsi="Arial"/>
          <w:sz w:val="22"/>
          <w:szCs w:val="22"/>
          <w:color w:val="auto"/>
        </w:rPr>
        <w:t>Basic profit/(loss) per share is calculated by dividing the profit/(loss) attributable for the year to ordinary equity holders of the parent by the weighted average number of ordinary shares outstanding during the year. Diluted loss per share is based on dividing the profit attributable for the year, adjusted for the effect of diluted ordinary shares, by ordinary share equivalents, which includes the weighted average number of ordinary shares outstanding and the effect of dilutive ordinary share equivalents.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F-21</w:t>
      </w:r>
    </w:p>
    <w:p>
      <w:pPr>
        <w:sectPr>
          <w:pgSz w:w="11900" w:h="16838" w:orient="portrait"/>
          <w:cols w:equalWidth="0" w:num="1">
            <w:col w:w="10980"/>
          </w:cols>
          <w:pgMar w:left="440" w:top="112"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NOTES TO THE CONSOLIDATED FINANCIAL STATEMENTS</w:t>
      </w:r>
    </w:p>
    <w:p>
      <w:pPr>
        <w:spacing w:after="0" w:line="115" w:lineRule="exact"/>
        <w:rPr>
          <w:sz w:val="20"/>
          <w:szCs w:val="20"/>
          <w:color w:val="auto"/>
        </w:rPr>
      </w:pPr>
    </w:p>
    <w:tbl>
      <w:tblPr>
        <w:tblLayout w:type="fixed"/>
        <w:tblInd w:w="100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4060" w:type="dxa"/>
            <w:vAlign w:val="bottom"/>
            <w:gridSpan w:val="6"/>
          </w:tcPr>
          <w:p>
            <w:pPr>
              <w:jc w:val="right"/>
              <w:ind w:right="940"/>
              <w:spacing w:after="0"/>
              <w:rPr>
                <w:sz w:val="20"/>
                <w:szCs w:val="20"/>
                <w:color w:val="auto"/>
              </w:rPr>
            </w:pPr>
            <w:r>
              <w:rPr>
                <w:rFonts w:ascii="Arial" w:cs="Arial" w:eastAsia="Arial" w:hAnsi="Arial"/>
                <w:sz w:val="22"/>
                <w:szCs w:val="22"/>
                <w:b w:val="1"/>
                <w:bCs w:val="1"/>
                <w:color w:val="auto"/>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52"/>
              <w:spacing w:after="0" w:line="237" w:lineRule="exact"/>
              <w:rPr>
                <w:sz w:val="20"/>
                <w:szCs w:val="20"/>
                <w:color w:val="auto"/>
              </w:rPr>
            </w:pPr>
            <w:r>
              <w:rPr>
                <w:rFonts w:ascii="Arial" w:cs="Arial" w:eastAsia="Arial" w:hAnsi="Arial"/>
                <w:sz w:val="22"/>
                <w:szCs w:val="22"/>
                <w:b w:val="1"/>
                <w:bCs w:val="1"/>
                <w:color w:val="auto"/>
              </w:rPr>
              <w:t>2021</w:t>
            </w:r>
          </w:p>
        </w:tc>
        <w:tc>
          <w:tcPr>
            <w:tcW w:w="3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52"/>
              <w:spacing w:after="0" w:line="237" w:lineRule="exact"/>
              <w:rPr>
                <w:sz w:val="20"/>
                <w:szCs w:val="20"/>
                <w:color w:val="auto"/>
              </w:rPr>
            </w:pPr>
            <w:r>
              <w:rPr>
                <w:rFonts w:ascii="Arial" w:cs="Arial" w:eastAsia="Arial" w:hAnsi="Arial"/>
                <w:sz w:val="22"/>
                <w:szCs w:val="22"/>
                <w:b w:val="1"/>
                <w:bCs w:val="1"/>
                <w:color w:val="auto"/>
              </w:rPr>
              <w:t>2020</w:t>
            </w:r>
          </w:p>
        </w:tc>
        <w:tc>
          <w:tcPr>
            <w:tcW w:w="32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92"/>
              <w:spacing w:after="0" w:line="237" w:lineRule="exact"/>
              <w:rPr>
                <w:sz w:val="20"/>
                <w:szCs w:val="20"/>
                <w:color w:val="auto"/>
              </w:rPr>
            </w:pPr>
            <w:r>
              <w:rPr>
                <w:rFonts w:ascii="Arial" w:cs="Arial" w:eastAsia="Arial" w:hAnsi="Arial"/>
                <w:sz w:val="22"/>
                <w:szCs w:val="22"/>
                <w:b w:val="1"/>
                <w:bCs w:val="1"/>
                <w:color w:val="auto"/>
              </w:rPr>
              <w:t>2019</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spacing w:after="0" w:line="223" w:lineRule="exact"/>
              <w:rPr>
                <w:sz w:val="20"/>
                <w:szCs w:val="20"/>
                <w:color w:val="auto"/>
              </w:rPr>
            </w:pPr>
            <w:r>
              <w:rPr>
                <w:rFonts w:ascii="Arial" w:cs="Arial" w:eastAsia="Arial" w:hAnsi="Arial"/>
                <w:sz w:val="22"/>
                <w:szCs w:val="22"/>
                <w:b w:val="1"/>
                <w:bCs w:val="1"/>
                <w:color w:val="auto"/>
              </w:rPr>
              <w:t>Numerator – Basic earnings per share (£’000s):</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w w:val="98"/>
              </w:rPr>
              <w:t>Profit/(loss) attributable to equity holders of the parent</w:t>
            </w:r>
          </w:p>
        </w:tc>
        <w:tc>
          <w:tcPr>
            <w:tcW w:w="1140" w:type="dxa"/>
            <w:vAlign w:val="bottom"/>
          </w:tcPr>
          <w:p>
            <w:pPr>
              <w:jc w:val="right"/>
              <w:spacing w:after="0"/>
              <w:rPr>
                <w:sz w:val="20"/>
                <w:szCs w:val="20"/>
                <w:color w:val="auto"/>
              </w:rPr>
            </w:pPr>
            <w:r>
              <w:rPr>
                <w:rFonts w:ascii="Arial" w:cs="Arial" w:eastAsia="Arial" w:hAnsi="Arial"/>
                <w:sz w:val="22"/>
                <w:szCs w:val="22"/>
                <w:color w:val="auto"/>
              </w:rPr>
              <w:t>12,725</w:t>
            </w:r>
          </w:p>
        </w:tc>
        <w:tc>
          <w:tcPr>
            <w:tcW w:w="30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22"/>
                <w:szCs w:val="22"/>
                <w:color w:val="auto"/>
              </w:rPr>
              <w:t>(163,628)</w:t>
            </w:r>
          </w:p>
        </w:tc>
        <w:tc>
          <w:tcPr>
            <w:tcW w:w="1160" w:type="dxa"/>
            <w:vAlign w:val="bottom"/>
            <w:gridSpan w:val="2"/>
          </w:tcPr>
          <w:p>
            <w:pPr>
              <w:jc w:val="right"/>
              <w:ind w:right="80"/>
              <w:spacing w:after="0"/>
              <w:rPr>
                <w:sz w:val="20"/>
                <w:szCs w:val="20"/>
                <w:color w:val="auto"/>
              </w:rPr>
            </w:pPr>
            <w:r>
              <w:rPr>
                <w:rFonts w:ascii="Arial" w:cs="Arial" w:eastAsia="Arial" w:hAnsi="Arial"/>
                <w:sz w:val="22"/>
                <w:szCs w:val="22"/>
                <w:color w:val="auto"/>
              </w:rPr>
              <w:t>(34,844)</w:t>
            </w: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Denominator – Basic earnings per share:</w:t>
            </w:r>
          </w:p>
        </w:tc>
        <w:tc>
          <w:tcPr>
            <w:tcW w:w="1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line="243" w:lineRule="exact"/>
              <w:rPr>
                <w:sz w:val="20"/>
                <w:szCs w:val="20"/>
                <w:color w:val="auto"/>
              </w:rPr>
            </w:pPr>
            <w:r>
              <w:rPr>
                <w:rFonts w:ascii="Arial" w:cs="Arial" w:eastAsia="Arial" w:hAnsi="Arial"/>
                <w:sz w:val="22"/>
                <w:szCs w:val="22"/>
                <w:color w:val="auto"/>
              </w:rPr>
              <w:t>Weighted average number of ordinary shares</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91"/>
              </w:rPr>
              <w:t>527,818,648</w:t>
            </w:r>
          </w:p>
        </w:tc>
        <w:tc>
          <w:tcPr>
            <w:tcW w:w="30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91"/>
              </w:rPr>
              <w:t>338,953,141</w:t>
            </w:r>
          </w:p>
        </w:tc>
        <w:tc>
          <w:tcPr>
            <w:tcW w:w="3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w w:val="90"/>
              </w:rPr>
              <w:t>89,424,476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Profit/(loss) per share – basic (£)</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0.02</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(0.48)</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(0.39)</w:t>
            </w:r>
          </w:p>
        </w:tc>
        <w:tc>
          <w:tcPr>
            <w:tcW w:w="0" w:type="dxa"/>
            <w:vAlign w:val="bottom"/>
          </w:tcPr>
          <w:p>
            <w:pPr>
              <w:spacing w:after="0"/>
              <w:rPr>
                <w:sz w:val="1"/>
                <w:szCs w:val="1"/>
                <w:color w:val="auto"/>
              </w:rPr>
            </w:pPr>
          </w:p>
        </w:tc>
      </w:tr>
      <w:tr>
        <w:trPr>
          <w:trHeight w:val="351"/>
        </w:trPr>
        <w:tc>
          <w:tcPr>
            <w:tcW w:w="5200" w:type="dxa"/>
            <w:vAlign w:val="bottom"/>
            <w:gridSpan w:val="2"/>
          </w:tcPr>
          <w:p>
            <w:pPr>
              <w:spacing w:after="0"/>
              <w:rPr>
                <w:sz w:val="20"/>
                <w:szCs w:val="20"/>
                <w:color w:val="auto"/>
              </w:rPr>
            </w:pPr>
            <w:r>
              <w:rPr>
                <w:rFonts w:ascii="Arial" w:cs="Arial" w:eastAsia="Arial" w:hAnsi="Arial"/>
                <w:sz w:val="22"/>
                <w:szCs w:val="22"/>
                <w:b w:val="1"/>
                <w:bCs w:val="1"/>
                <w:color w:val="auto"/>
              </w:rPr>
              <w:t>Numerator – Diluted earnings per share (£’000s):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8"/>
              </w:rPr>
              <w:t>Profit/(loss) attributable to equity holders of the parent</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12,725</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(163,628)</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(34,844)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line="243" w:lineRule="exact"/>
              <w:rPr>
                <w:sz w:val="20"/>
                <w:szCs w:val="20"/>
                <w:color w:val="auto"/>
              </w:rPr>
            </w:pPr>
            <w:r>
              <w:rPr>
                <w:rFonts w:ascii="Arial" w:cs="Arial" w:eastAsia="Arial" w:hAnsi="Arial"/>
                <w:sz w:val="22"/>
                <w:szCs w:val="22"/>
                <w:color w:val="auto"/>
              </w:rPr>
              <w:t>Effect of dilutive ordinary shares</w:t>
            </w:r>
          </w:p>
        </w:tc>
        <w:tc>
          <w:tcPr>
            <w:tcW w:w="14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(38,523)</w:t>
            </w:r>
          </w:p>
        </w:tc>
        <w:tc>
          <w:tcPr>
            <w:tcW w:w="146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Numerator – Diluted earnings per share</w:t>
            </w:r>
          </w:p>
        </w:tc>
        <w:tc>
          <w:tcPr>
            <w:tcW w:w="144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(25,798)</w:t>
            </w:r>
          </w:p>
        </w:tc>
        <w:tc>
          <w:tcPr>
            <w:tcW w:w="14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(163,628)</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(34,844)</w:t>
            </w:r>
          </w:p>
        </w:tc>
        <w:tc>
          <w:tcPr>
            <w:tcW w:w="0" w:type="dxa"/>
            <w:vAlign w:val="bottom"/>
          </w:tcPr>
          <w:p>
            <w:pPr>
              <w:spacing w:after="0"/>
              <w:rPr>
                <w:sz w:val="1"/>
                <w:szCs w:val="1"/>
                <w:color w:val="auto"/>
              </w:rPr>
            </w:pPr>
          </w:p>
        </w:tc>
      </w:tr>
      <w:tr>
        <w:trPr>
          <w:trHeight w:val="351"/>
        </w:trPr>
        <w:tc>
          <w:tcPr>
            <w:tcW w:w="5200" w:type="dxa"/>
            <w:vAlign w:val="bottom"/>
            <w:gridSpan w:val="2"/>
          </w:tcPr>
          <w:p>
            <w:pPr>
              <w:spacing w:after="0"/>
              <w:rPr>
                <w:sz w:val="20"/>
                <w:szCs w:val="20"/>
                <w:color w:val="auto"/>
              </w:rPr>
            </w:pPr>
            <w:r>
              <w:rPr>
                <w:rFonts w:ascii="Arial" w:cs="Arial" w:eastAsia="Arial" w:hAnsi="Arial"/>
                <w:sz w:val="22"/>
                <w:szCs w:val="22"/>
                <w:b w:val="1"/>
                <w:bCs w:val="1"/>
                <w:color w:val="auto"/>
              </w:rPr>
              <w:t>Denominator – Diluted earnings per share:</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7"/>
              </w:rPr>
              <w:t>Number of ordinary shares used for basic earnings per</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share</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1"/>
              </w:rPr>
              <w:t>527,818,648</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1"/>
              </w:rPr>
              <w:t>338,953,141</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0"/>
              </w:rPr>
              <w:t>89,424,476</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line="243" w:lineRule="exact"/>
              <w:rPr>
                <w:sz w:val="20"/>
                <w:szCs w:val="20"/>
                <w:color w:val="auto"/>
              </w:rPr>
            </w:pPr>
            <w:r>
              <w:rPr>
                <w:rFonts w:ascii="Arial" w:cs="Arial" w:eastAsia="Arial" w:hAnsi="Arial"/>
                <w:sz w:val="22"/>
                <w:szCs w:val="22"/>
                <w:color w:val="auto"/>
              </w:rPr>
              <w:t>Weighted average effect of dilutive ordinary shares</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27,457,163</w:t>
            </w:r>
          </w:p>
        </w:tc>
        <w:tc>
          <w:tcPr>
            <w:tcW w:w="300" w:type="dxa"/>
            <w:vAlign w:val="bottom"/>
          </w:tcPr>
          <w:p>
            <w:pPr>
              <w:spacing w:after="0"/>
              <w:rPr>
                <w:sz w:val="21"/>
                <w:szCs w:val="21"/>
                <w:color w:val="auto"/>
              </w:rPr>
            </w:pPr>
          </w:p>
        </w:tc>
        <w:tc>
          <w:tcPr>
            <w:tcW w:w="146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Weighted average number of diluted ordinary shares</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22"/>
                <w:szCs w:val="22"/>
                <w:color w:val="auto"/>
              </w:rPr>
              <w:t>outstanding</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1"/>
              </w:rPr>
              <w:t>555,275,811</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1"/>
              </w:rPr>
              <w:t>338,953,141</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0"/>
              </w:rPr>
              <w:t>89,424,476</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Loss per share – diluted (£)</w:t>
            </w:r>
          </w:p>
        </w:tc>
        <w:tc>
          <w:tcPr>
            <w:tcW w:w="1440" w:type="dxa"/>
            <w:vAlign w:val="bottom"/>
            <w:gridSpan w:val="2"/>
          </w:tcPr>
          <w:p>
            <w:pPr>
              <w:jc w:val="right"/>
              <w:ind w:right="240"/>
              <w:spacing w:after="0"/>
              <w:rPr>
                <w:sz w:val="20"/>
                <w:szCs w:val="20"/>
                <w:color w:val="auto"/>
              </w:rPr>
            </w:pPr>
            <w:r>
              <w:rPr>
                <w:rFonts w:ascii="Arial" w:cs="Arial" w:eastAsia="Arial" w:hAnsi="Arial"/>
                <w:sz w:val="22"/>
                <w:szCs w:val="22"/>
                <w:color w:val="auto"/>
              </w:rPr>
              <w:t>(0.05)</w:t>
            </w:r>
          </w:p>
        </w:tc>
        <w:tc>
          <w:tcPr>
            <w:tcW w:w="1460" w:type="dxa"/>
            <w:vAlign w:val="bottom"/>
            <w:gridSpan w:val="2"/>
          </w:tcPr>
          <w:p>
            <w:pPr>
              <w:jc w:val="right"/>
              <w:ind w:right="260"/>
              <w:spacing w:after="0"/>
              <w:rPr>
                <w:sz w:val="20"/>
                <w:szCs w:val="20"/>
                <w:color w:val="auto"/>
              </w:rPr>
            </w:pPr>
            <w:r>
              <w:rPr>
                <w:rFonts w:ascii="Arial" w:cs="Arial" w:eastAsia="Arial" w:hAnsi="Arial"/>
                <w:sz w:val="22"/>
                <w:szCs w:val="22"/>
                <w:color w:val="auto"/>
              </w:rPr>
              <w:t>(0.48)</w:t>
            </w:r>
          </w:p>
        </w:tc>
        <w:tc>
          <w:tcPr>
            <w:tcW w:w="1160" w:type="dxa"/>
            <w:vAlign w:val="bottom"/>
            <w:gridSpan w:val="2"/>
          </w:tcPr>
          <w:p>
            <w:pPr>
              <w:jc w:val="right"/>
              <w:ind w:right="80"/>
              <w:spacing w:after="0"/>
              <w:rPr>
                <w:sz w:val="20"/>
                <w:szCs w:val="20"/>
                <w:color w:val="auto"/>
              </w:rPr>
            </w:pPr>
            <w:r>
              <w:rPr>
                <w:rFonts w:ascii="Arial" w:cs="Arial" w:eastAsia="Arial" w:hAnsi="Arial"/>
                <w:sz w:val="22"/>
                <w:szCs w:val="22"/>
                <w:color w:val="auto"/>
              </w:rPr>
              <w:t>(0.39)</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22"/>
          <w:szCs w:val="22"/>
          <w:color w:val="auto"/>
        </w:rPr>
        <w:t>For the year ended December 31, 2021, the effect of dilutive ordinary shares, net of current year tax charge, is related to Company’s outstanding warrants. For the years ended December 31, 2020 and 2019, share options, convertible loan notes and warrants were considered to be anti-dilutive as they would have decreased the loss per share and were therefore excluded from the calculation of diluted loss per share. Therefore, the weighted average shares outstanding used to calculate both the basic and diluted per share was the same.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Property, plant and equipment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2700" w:type="dxa"/>
            <w:vAlign w:val="bottom"/>
          </w:tcPr>
          <w:p>
            <w:pPr>
              <w:spacing w:after="0"/>
              <w:rPr>
                <w:sz w:val="21"/>
                <w:szCs w:val="21"/>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7"/>
              </w:rPr>
              <w:t>Right-of-use</w:t>
            </w:r>
          </w:p>
        </w:tc>
        <w:tc>
          <w:tcPr>
            <w:tcW w:w="154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7"/>
              </w:rPr>
              <w:t>Right-of-use</w:t>
            </w: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54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1"/>
              </w:rPr>
              <w:t>asset</w:t>
            </w:r>
          </w:p>
        </w:tc>
        <w:tc>
          <w:tcPr>
            <w:tcW w:w="154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1"/>
              </w:rPr>
              <w:t>asset</w:t>
            </w:r>
          </w:p>
        </w:tc>
        <w:tc>
          <w:tcPr>
            <w:tcW w:w="170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6"/>
              </w:rPr>
              <w:t>Leasehold</w:t>
            </w:r>
          </w:p>
        </w:tc>
        <w:tc>
          <w:tcPr>
            <w:tcW w:w="1380" w:type="dxa"/>
            <w:vAlign w:val="bottom"/>
            <w:gridSpan w:val="2"/>
          </w:tcPr>
          <w:p>
            <w:pPr>
              <w:jc w:val="center"/>
              <w:ind w:right="380"/>
              <w:spacing w:after="0" w:line="243" w:lineRule="exact"/>
              <w:rPr>
                <w:sz w:val="20"/>
                <w:szCs w:val="20"/>
                <w:color w:val="auto"/>
              </w:rPr>
            </w:pPr>
            <w:r>
              <w:rPr>
                <w:rFonts w:ascii="Arial" w:cs="Arial" w:eastAsia="Arial" w:hAnsi="Arial"/>
                <w:sz w:val="22"/>
                <w:szCs w:val="22"/>
                <w:b w:val="1"/>
                <w:bCs w:val="1"/>
                <w:color w:val="auto"/>
                <w:w w:val="89"/>
              </w:rPr>
              <w:t>Office</w:t>
            </w:r>
          </w:p>
        </w:tc>
        <w:tc>
          <w:tcPr>
            <w:tcW w:w="140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rPr>
              <w:t>IT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3"/>
                <w:szCs w:val="23"/>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7"/>
              </w:rPr>
              <w:t>(buildings)</w:t>
            </w:r>
          </w:p>
        </w:tc>
        <w:tc>
          <w:tcPr>
            <w:tcW w:w="154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90"/>
              </w:rPr>
              <w:t>(equipment)</w:t>
            </w:r>
          </w:p>
        </w:tc>
        <w:tc>
          <w:tcPr>
            <w:tcW w:w="170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7"/>
              </w:rPr>
              <w:t>improvements</w:t>
            </w:r>
          </w:p>
        </w:tc>
        <w:tc>
          <w:tcPr>
            <w:tcW w:w="138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9"/>
              </w:rPr>
              <w:t>equipment</w:t>
            </w:r>
          </w:p>
        </w:tc>
        <w:tc>
          <w:tcPr>
            <w:tcW w:w="140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9"/>
              </w:rPr>
              <w:t>equipment</w:t>
            </w:r>
          </w:p>
        </w:tc>
        <w:tc>
          <w:tcPr>
            <w:tcW w:w="760" w:type="dxa"/>
            <w:vAlign w:val="bottom"/>
            <w:gridSpan w:val="2"/>
          </w:tcPr>
          <w:p>
            <w:pPr>
              <w:jc w:val="right"/>
              <w:ind w:right="139"/>
              <w:spacing w:after="0"/>
              <w:rPr>
                <w:sz w:val="20"/>
                <w:szCs w:val="20"/>
                <w:color w:val="auto"/>
              </w:rPr>
            </w:pPr>
            <w:r>
              <w:rPr>
                <w:rFonts w:ascii="Arial" w:cs="Arial" w:eastAsia="Arial" w:hAnsi="Arial"/>
                <w:sz w:val="22"/>
                <w:szCs w:val="22"/>
                <w:b w:val="1"/>
                <w:bCs w:val="1"/>
                <w:color w:val="auto"/>
                <w:w w:val="98"/>
              </w:rPr>
              <w:t>Total</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11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0" w:type="dxa"/>
            <w:vAlign w:val="bottom"/>
          </w:tcPr>
          <w:p>
            <w:pPr>
              <w:spacing w:after="0"/>
              <w:rPr>
                <w:sz w:val="20"/>
                <w:szCs w:val="20"/>
                <w:color w:val="auto"/>
              </w:rPr>
            </w:pPr>
          </w:p>
        </w:tc>
        <w:tc>
          <w:tcPr>
            <w:tcW w:w="11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0" w:type="dxa"/>
            <w:vAlign w:val="bottom"/>
          </w:tcPr>
          <w:p>
            <w:pPr>
              <w:spacing w:after="0"/>
              <w:rPr>
                <w:sz w:val="20"/>
                <w:szCs w:val="20"/>
                <w:color w:val="auto"/>
              </w:rPr>
            </w:pPr>
          </w:p>
        </w:tc>
        <w:tc>
          <w:tcPr>
            <w:tcW w:w="132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80" w:type="dxa"/>
            <w:vAlign w:val="bottom"/>
          </w:tcPr>
          <w:p>
            <w:pPr>
              <w:spacing w:after="0"/>
              <w:rPr>
                <w:sz w:val="20"/>
                <w:szCs w:val="20"/>
                <w:color w:val="auto"/>
              </w:rPr>
            </w:pPr>
          </w:p>
        </w:tc>
        <w:tc>
          <w:tcPr>
            <w:tcW w:w="100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380" w:type="dxa"/>
            <w:vAlign w:val="bottom"/>
          </w:tcPr>
          <w:p>
            <w:pPr>
              <w:spacing w:after="0"/>
              <w:rPr>
                <w:sz w:val="20"/>
                <w:szCs w:val="20"/>
                <w:color w:val="auto"/>
              </w:rPr>
            </w:pPr>
          </w:p>
        </w:tc>
        <w:tc>
          <w:tcPr>
            <w:tcW w:w="100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400" w:type="dxa"/>
            <w:vAlign w:val="bottom"/>
          </w:tcPr>
          <w:p>
            <w:pPr>
              <w:spacing w:after="0"/>
              <w:rPr>
                <w:sz w:val="20"/>
                <w:szCs w:val="20"/>
                <w:color w:val="auto"/>
              </w:rPr>
            </w:pPr>
          </w:p>
        </w:tc>
        <w:tc>
          <w:tcPr>
            <w:tcW w:w="62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Cost or valuation</w:t>
            </w: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b w:val="1"/>
                <w:bCs w:val="1"/>
                <w:color w:val="auto"/>
              </w:rPr>
              <w:t>At January 1, 2021</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1,848</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1,169</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164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71</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132</w:t>
            </w:r>
          </w:p>
        </w:tc>
        <w:tc>
          <w:tcPr>
            <w:tcW w:w="76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3,384</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Additions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923</w:t>
            </w:r>
          </w:p>
        </w:tc>
        <w:tc>
          <w:tcPr>
            <w:tcW w:w="4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700" w:type="dxa"/>
            <w:vAlign w:val="bottom"/>
            <w:gridSpan w:val="2"/>
            <w:shd w:val="clear" w:color="auto" w:fill="CCEEFF"/>
          </w:tcPr>
          <w:p>
            <w:pPr>
              <w:jc w:val="right"/>
              <w:ind w:right="380"/>
              <w:spacing w:after="0" w:line="243" w:lineRule="exact"/>
              <w:rPr>
                <w:sz w:val="20"/>
                <w:szCs w:val="20"/>
                <w:color w:val="auto"/>
              </w:rPr>
            </w:pPr>
            <w:r>
              <w:rPr>
                <w:rFonts w:ascii="Arial" w:cs="Arial" w:eastAsia="Arial" w:hAnsi="Arial"/>
                <w:sz w:val="22"/>
                <w:szCs w:val="22"/>
                <w:color w:val="auto"/>
              </w:rPr>
              <w:t>393</w:t>
            </w:r>
          </w:p>
        </w:tc>
        <w:tc>
          <w:tcPr>
            <w:tcW w:w="1380" w:type="dxa"/>
            <w:vAlign w:val="bottom"/>
            <w:gridSpan w:val="2"/>
            <w:shd w:val="clear" w:color="auto" w:fill="CCEEFF"/>
          </w:tcPr>
          <w:p>
            <w:pPr>
              <w:jc w:val="right"/>
              <w:ind w:right="380"/>
              <w:spacing w:after="0" w:line="243" w:lineRule="exact"/>
              <w:rPr>
                <w:sz w:val="20"/>
                <w:szCs w:val="20"/>
                <w:color w:val="auto"/>
              </w:rPr>
            </w:pPr>
            <w:r>
              <w:rPr>
                <w:rFonts w:ascii="Arial" w:cs="Arial" w:eastAsia="Arial" w:hAnsi="Arial"/>
                <w:sz w:val="22"/>
                <w:szCs w:val="22"/>
                <w:color w:val="auto"/>
              </w:rPr>
              <w:t>109</w:t>
            </w:r>
          </w:p>
        </w:tc>
        <w:tc>
          <w:tcPr>
            <w:tcW w:w="1400" w:type="dxa"/>
            <w:vAlign w:val="bottom"/>
            <w:gridSpan w:val="2"/>
            <w:shd w:val="clear" w:color="auto" w:fill="CCEEFF"/>
          </w:tcPr>
          <w:p>
            <w:pPr>
              <w:jc w:val="right"/>
              <w:ind w:right="400"/>
              <w:spacing w:after="0" w:line="243" w:lineRule="exact"/>
              <w:rPr>
                <w:sz w:val="20"/>
                <w:szCs w:val="20"/>
                <w:color w:val="auto"/>
              </w:rPr>
            </w:pPr>
            <w:r>
              <w:rPr>
                <w:rFonts w:ascii="Arial" w:cs="Arial" w:eastAsia="Arial" w:hAnsi="Arial"/>
                <w:sz w:val="22"/>
                <w:szCs w:val="22"/>
                <w:color w:val="auto"/>
              </w:rPr>
              <w:t>48</w:t>
            </w:r>
          </w:p>
        </w:tc>
        <w:tc>
          <w:tcPr>
            <w:tcW w:w="76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color w:val="auto"/>
              </w:rPr>
              <w:t>1,473</w:t>
            </w:r>
          </w:p>
        </w:tc>
        <w:tc>
          <w:tcPr>
            <w:tcW w:w="0" w:type="dxa"/>
            <w:vAlign w:val="bottom"/>
          </w:tcPr>
          <w:p>
            <w:pPr>
              <w:spacing w:after="0"/>
              <w:rPr>
                <w:sz w:val="1"/>
                <w:szCs w:val="1"/>
                <w:color w:val="auto"/>
              </w:rPr>
            </w:pP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Lease modification</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c>
          <w:tcPr>
            <w:tcW w:w="40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400" w:type="dxa"/>
            <w:vAlign w:val="bottom"/>
          </w:tcPr>
          <w:p>
            <w:pPr>
              <w:spacing w:after="0"/>
              <w:rPr>
                <w:sz w:val="21"/>
                <w:szCs w:val="21"/>
                <w:color w:val="auto"/>
              </w:rPr>
            </w:pPr>
          </w:p>
        </w:tc>
        <w:tc>
          <w:tcPr>
            <w:tcW w:w="170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400" w:type="dxa"/>
            <w:vAlign w:val="bottom"/>
            <w:gridSpan w:val="2"/>
          </w:tcPr>
          <w:p>
            <w:pPr>
              <w:jc w:val="right"/>
              <w:ind w:right="52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tcPr>
          <w:p>
            <w:pPr>
              <w:jc w:val="right"/>
              <w:ind w:right="59"/>
              <w:spacing w:after="0" w:line="243" w:lineRule="exact"/>
              <w:rPr>
                <w:sz w:val="20"/>
                <w:szCs w:val="20"/>
                <w:color w:val="auto"/>
              </w:rPr>
            </w:pPr>
            <w:r>
              <w:rPr>
                <w:rFonts w:ascii="Arial" w:cs="Arial" w:eastAsia="Arial" w:hAnsi="Arial"/>
                <w:sz w:val="22"/>
                <w:szCs w:val="22"/>
                <w:color w:val="auto"/>
              </w:rPr>
              <w:t>163</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Disposals</w:t>
            </w:r>
          </w:p>
        </w:tc>
        <w:tc>
          <w:tcPr>
            <w:tcW w:w="154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54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(868)</w:t>
            </w:r>
          </w:p>
        </w:tc>
        <w:tc>
          <w:tcPr>
            <w:tcW w:w="170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(7)</w:t>
            </w:r>
          </w:p>
        </w:tc>
        <w:tc>
          <w:tcPr>
            <w:tcW w:w="1400" w:type="dxa"/>
            <w:vAlign w:val="bottom"/>
            <w:gridSpan w:val="2"/>
            <w:shd w:val="clear" w:color="auto" w:fill="CCEEFF"/>
          </w:tcPr>
          <w:p>
            <w:pPr>
              <w:jc w:val="right"/>
              <w:ind w:right="52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(875)</w:t>
            </w:r>
          </w:p>
        </w:tc>
        <w:tc>
          <w:tcPr>
            <w:tcW w:w="0" w:type="dxa"/>
            <w:vAlign w:val="bottom"/>
          </w:tcPr>
          <w:p>
            <w:pPr>
              <w:spacing w:after="0"/>
              <w:rPr>
                <w:sz w:val="1"/>
                <w:szCs w:val="1"/>
                <w:color w:val="auto"/>
              </w:rPr>
            </w:pPr>
          </w:p>
        </w:tc>
      </w:tr>
      <w:tr>
        <w:trPr>
          <w:trHeight w:val="250"/>
        </w:trPr>
        <w:tc>
          <w:tcPr>
            <w:tcW w:w="2700" w:type="dxa"/>
            <w:vAlign w:val="bottom"/>
          </w:tcPr>
          <w:p>
            <w:pPr>
              <w:spacing w:after="0" w:line="243" w:lineRule="exact"/>
              <w:rPr>
                <w:sz w:val="20"/>
                <w:szCs w:val="20"/>
                <w:color w:val="auto"/>
              </w:rPr>
            </w:pPr>
            <w:r>
              <w:rPr>
                <w:rFonts w:ascii="Arial" w:cs="Arial" w:eastAsia="Arial" w:hAnsi="Arial"/>
                <w:sz w:val="22"/>
                <w:szCs w:val="22"/>
                <w:color w:val="auto"/>
              </w:rPr>
              <w:t>Currency translation effects</w:t>
            </w:r>
          </w:p>
        </w:tc>
        <w:tc>
          <w:tcPr>
            <w:tcW w:w="154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w:t>
            </w:r>
          </w:p>
        </w:tc>
        <w:tc>
          <w:tcPr>
            <w:tcW w:w="154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(36)</w:t>
            </w:r>
          </w:p>
        </w:tc>
        <w:tc>
          <w:tcPr>
            <w:tcW w:w="170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400" w:type="dxa"/>
            <w:vAlign w:val="bottom"/>
            <w:gridSpan w:val="2"/>
          </w:tcPr>
          <w:p>
            <w:pPr>
              <w:jc w:val="right"/>
              <w:ind w:right="52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2021</w:t>
            </w:r>
          </w:p>
        </w:tc>
        <w:tc>
          <w:tcPr>
            <w:tcW w:w="11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2,903</w:t>
            </w:r>
          </w:p>
        </w:tc>
        <w:tc>
          <w:tcPr>
            <w:tcW w:w="400" w:type="dxa"/>
            <w:vAlign w:val="bottom"/>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295</w:t>
            </w:r>
          </w:p>
        </w:tc>
        <w:tc>
          <w:tcPr>
            <w:tcW w:w="400" w:type="dxa"/>
            <w:vAlign w:val="bottom"/>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557</w:t>
            </w:r>
          </w:p>
        </w:tc>
        <w:tc>
          <w:tcPr>
            <w:tcW w:w="380" w:type="dxa"/>
            <w:vAlign w:val="bottom"/>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173</w:t>
            </w:r>
          </w:p>
        </w:tc>
        <w:tc>
          <w:tcPr>
            <w:tcW w:w="380" w:type="dxa"/>
            <w:vAlign w:val="bottom"/>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180</w:t>
            </w:r>
          </w:p>
        </w:tc>
        <w:tc>
          <w:tcPr>
            <w:tcW w:w="400" w:type="dxa"/>
            <w:vAlign w:val="bottom"/>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4,108</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22"/>
                <w:szCs w:val="22"/>
                <w:color w:val="auto"/>
              </w:rPr>
              <w:t>Depreciation</w:t>
            </w: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January 1, 2021</w:t>
            </w:r>
          </w:p>
        </w:tc>
        <w:tc>
          <w:tcPr>
            <w:tcW w:w="154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(531)</w:t>
            </w:r>
          </w:p>
        </w:tc>
        <w:tc>
          <w:tcPr>
            <w:tcW w:w="154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(1,023)</w:t>
            </w:r>
          </w:p>
        </w:tc>
        <w:tc>
          <w:tcPr>
            <w:tcW w:w="170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(85)</w:t>
            </w:r>
          </w:p>
        </w:tc>
        <w:tc>
          <w:tcPr>
            <w:tcW w:w="138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(65)</w:t>
            </w:r>
          </w:p>
        </w:tc>
        <w:tc>
          <w:tcPr>
            <w:tcW w:w="140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b w:val="1"/>
                <w:bCs w:val="1"/>
                <w:color w:val="auto"/>
              </w:rPr>
              <w:t>(107)</w:t>
            </w:r>
          </w:p>
        </w:tc>
        <w:tc>
          <w:tcPr>
            <w:tcW w:w="7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4"/>
              </w:rPr>
              <w:t>(1,811)</w:t>
            </w:r>
          </w:p>
        </w:tc>
        <w:tc>
          <w:tcPr>
            <w:tcW w:w="0" w:type="dxa"/>
            <w:vAlign w:val="bottom"/>
          </w:tcPr>
          <w:p>
            <w:pPr>
              <w:spacing w:after="0"/>
              <w:rPr>
                <w:sz w:val="1"/>
                <w:szCs w:val="1"/>
                <w:color w:val="auto"/>
              </w:rPr>
            </w:pPr>
          </w:p>
        </w:tc>
      </w:tr>
      <w:tr>
        <w:trPr>
          <w:trHeight w:val="243"/>
        </w:trPr>
        <w:tc>
          <w:tcPr>
            <w:tcW w:w="2700" w:type="dxa"/>
            <w:vAlign w:val="bottom"/>
          </w:tcPr>
          <w:p>
            <w:pPr>
              <w:spacing w:after="0" w:line="243" w:lineRule="exact"/>
              <w:rPr>
                <w:sz w:val="20"/>
                <w:szCs w:val="20"/>
                <w:color w:val="auto"/>
              </w:rPr>
            </w:pPr>
            <w:r>
              <w:rPr>
                <w:rFonts w:ascii="Arial" w:cs="Arial" w:eastAsia="Arial" w:hAnsi="Arial"/>
                <w:sz w:val="22"/>
                <w:szCs w:val="22"/>
                <w:color w:val="auto"/>
              </w:rPr>
              <w:t>Disposals</w:t>
            </w:r>
          </w:p>
        </w:tc>
        <w:tc>
          <w:tcPr>
            <w:tcW w:w="154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868</w:t>
            </w:r>
          </w:p>
        </w:tc>
        <w:tc>
          <w:tcPr>
            <w:tcW w:w="400" w:type="dxa"/>
            <w:vAlign w:val="bottom"/>
          </w:tcPr>
          <w:p>
            <w:pPr>
              <w:spacing w:after="0"/>
              <w:rPr>
                <w:sz w:val="21"/>
                <w:szCs w:val="21"/>
                <w:color w:val="auto"/>
              </w:rPr>
            </w:pPr>
          </w:p>
        </w:tc>
        <w:tc>
          <w:tcPr>
            <w:tcW w:w="170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7</w:t>
            </w:r>
          </w:p>
        </w:tc>
        <w:tc>
          <w:tcPr>
            <w:tcW w:w="1400" w:type="dxa"/>
            <w:vAlign w:val="bottom"/>
            <w:gridSpan w:val="2"/>
          </w:tcPr>
          <w:p>
            <w:pPr>
              <w:jc w:val="right"/>
              <w:ind w:right="520"/>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tcPr>
          <w:p>
            <w:pPr>
              <w:jc w:val="right"/>
              <w:ind w:right="59"/>
              <w:spacing w:after="0" w:line="243" w:lineRule="exact"/>
              <w:rPr>
                <w:sz w:val="20"/>
                <w:szCs w:val="20"/>
                <w:color w:val="auto"/>
              </w:rPr>
            </w:pPr>
            <w:r>
              <w:rPr>
                <w:rFonts w:ascii="Arial" w:cs="Arial" w:eastAsia="Arial" w:hAnsi="Arial"/>
                <w:sz w:val="22"/>
                <w:szCs w:val="22"/>
                <w:color w:val="auto"/>
              </w:rPr>
              <w:t>874</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for the year</w:t>
            </w:r>
          </w:p>
        </w:tc>
        <w:tc>
          <w:tcPr>
            <w:tcW w:w="154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(494)</w:t>
            </w:r>
          </w:p>
        </w:tc>
        <w:tc>
          <w:tcPr>
            <w:tcW w:w="154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(76)</w:t>
            </w:r>
          </w:p>
        </w:tc>
        <w:tc>
          <w:tcPr>
            <w:tcW w:w="170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(39)</w:t>
            </w:r>
          </w:p>
        </w:tc>
        <w:tc>
          <w:tcPr>
            <w:tcW w:w="138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(11)</w:t>
            </w:r>
          </w:p>
        </w:tc>
        <w:tc>
          <w:tcPr>
            <w:tcW w:w="1400" w:type="dxa"/>
            <w:vAlign w:val="bottom"/>
            <w:gridSpan w:val="2"/>
            <w:shd w:val="clear" w:color="auto" w:fill="CCEEFF"/>
          </w:tcPr>
          <w:p>
            <w:pPr>
              <w:jc w:val="right"/>
              <w:ind w:right="340"/>
              <w:spacing w:after="0" w:line="243" w:lineRule="exact"/>
              <w:rPr>
                <w:sz w:val="20"/>
                <w:szCs w:val="20"/>
                <w:color w:val="auto"/>
              </w:rPr>
            </w:pPr>
            <w:r>
              <w:rPr>
                <w:rFonts w:ascii="Arial" w:cs="Arial" w:eastAsia="Arial" w:hAnsi="Arial"/>
                <w:sz w:val="22"/>
                <w:szCs w:val="22"/>
                <w:color w:val="auto"/>
              </w:rPr>
              <w:t>(22)</w:t>
            </w:r>
          </w:p>
        </w:tc>
        <w:tc>
          <w:tcPr>
            <w:tcW w:w="7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(642)</w:t>
            </w:r>
          </w:p>
        </w:tc>
        <w:tc>
          <w:tcPr>
            <w:tcW w:w="0" w:type="dxa"/>
            <w:vAlign w:val="bottom"/>
          </w:tcPr>
          <w:p>
            <w:pPr>
              <w:spacing w:after="0"/>
              <w:rPr>
                <w:sz w:val="1"/>
                <w:szCs w:val="1"/>
                <w:color w:val="auto"/>
              </w:rPr>
            </w:pPr>
          </w:p>
        </w:tc>
      </w:tr>
      <w:tr>
        <w:trPr>
          <w:trHeight w:val="250"/>
        </w:trPr>
        <w:tc>
          <w:tcPr>
            <w:tcW w:w="2700" w:type="dxa"/>
            <w:vAlign w:val="bottom"/>
          </w:tcPr>
          <w:p>
            <w:pPr>
              <w:spacing w:after="0" w:line="250" w:lineRule="exact"/>
              <w:rPr>
                <w:sz w:val="20"/>
                <w:szCs w:val="20"/>
                <w:color w:val="auto"/>
              </w:rPr>
            </w:pPr>
            <w:r>
              <w:rPr>
                <w:rFonts w:ascii="Arial" w:cs="Arial" w:eastAsia="Arial" w:hAnsi="Arial"/>
                <w:sz w:val="22"/>
                <w:szCs w:val="22"/>
                <w:b w:val="1"/>
                <w:bCs w:val="1"/>
                <w:color w:val="auto"/>
              </w:rPr>
              <w:t>At December 31, 2021</w:t>
            </w:r>
          </w:p>
        </w:tc>
        <w:tc>
          <w:tcPr>
            <w:tcW w:w="11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(1,025)</w:t>
            </w:r>
          </w:p>
        </w:tc>
        <w:tc>
          <w:tcPr>
            <w:tcW w:w="4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(231)</w:t>
            </w:r>
          </w:p>
        </w:tc>
        <w:tc>
          <w:tcPr>
            <w:tcW w:w="40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(124)</w:t>
            </w:r>
          </w:p>
        </w:tc>
        <w:tc>
          <w:tcPr>
            <w:tcW w:w="3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(69)</w:t>
            </w:r>
          </w:p>
        </w:tc>
        <w:tc>
          <w:tcPr>
            <w:tcW w:w="3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(129)</w:t>
            </w:r>
          </w:p>
        </w:tc>
        <w:tc>
          <w:tcPr>
            <w:tcW w:w="40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96"/>
              </w:rPr>
              <w:t>(1,578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Net book value</w:t>
            </w: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line="243" w:lineRule="exact"/>
              <w:rPr>
                <w:sz w:val="20"/>
                <w:szCs w:val="20"/>
                <w:color w:val="auto"/>
              </w:rPr>
            </w:pPr>
            <w:r>
              <w:rPr>
                <w:rFonts w:ascii="Arial" w:cs="Arial" w:eastAsia="Arial" w:hAnsi="Arial"/>
                <w:sz w:val="22"/>
                <w:szCs w:val="22"/>
                <w:color w:val="auto"/>
              </w:rPr>
              <w:t>At January 1, 2021</w:t>
            </w:r>
          </w:p>
        </w:tc>
        <w:tc>
          <w:tcPr>
            <w:tcW w:w="11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1,318</w:t>
            </w:r>
          </w:p>
        </w:tc>
        <w:tc>
          <w:tcPr>
            <w:tcW w:w="400" w:type="dxa"/>
            <w:vAlign w:val="bottom"/>
          </w:tcPr>
          <w:p>
            <w:pPr>
              <w:spacing w:after="0"/>
              <w:rPr>
                <w:sz w:val="21"/>
                <w:szCs w:val="21"/>
                <w:color w:val="auto"/>
              </w:rPr>
            </w:pPr>
          </w:p>
        </w:tc>
        <w:tc>
          <w:tcPr>
            <w:tcW w:w="11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146</w:t>
            </w:r>
          </w:p>
        </w:tc>
        <w:tc>
          <w:tcPr>
            <w:tcW w:w="400" w:type="dxa"/>
            <w:vAlign w:val="bottom"/>
          </w:tcPr>
          <w:p>
            <w:pPr>
              <w:spacing w:after="0"/>
              <w:rPr>
                <w:sz w:val="21"/>
                <w:szCs w:val="21"/>
                <w:color w:val="auto"/>
              </w:rPr>
            </w:pPr>
          </w:p>
        </w:tc>
        <w:tc>
          <w:tcPr>
            <w:tcW w:w="13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79</w:t>
            </w:r>
          </w:p>
        </w:tc>
        <w:tc>
          <w:tcPr>
            <w:tcW w:w="380" w:type="dxa"/>
            <w:vAlign w:val="bottom"/>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w:t>
            </w:r>
          </w:p>
        </w:tc>
        <w:tc>
          <w:tcPr>
            <w:tcW w:w="380" w:type="dxa"/>
            <w:vAlign w:val="bottom"/>
          </w:tcPr>
          <w:p>
            <w:pPr>
              <w:spacing w:after="0"/>
              <w:rPr>
                <w:sz w:val="21"/>
                <w:szCs w:val="21"/>
                <w:color w:val="auto"/>
              </w:rPr>
            </w:pPr>
          </w:p>
        </w:tc>
        <w:tc>
          <w:tcPr>
            <w:tcW w:w="1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25</w:t>
            </w:r>
          </w:p>
        </w:tc>
        <w:tc>
          <w:tcPr>
            <w:tcW w:w="400" w:type="dxa"/>
            <w:vAlign w:val="bottom"/>
          </w:tcPr>
          <w:p>
            <w:pPr>
              <w:spacing w:after="0"/>
              <w:rPr>
                <w:sz w:val="21"/>
                <w:szCs w:val="21"/>
                <w:color w:val="auto"/>
              </w:rPr>
            </w:pPr>
          </w:p>
        </w:tc>
        <w:tc>
          <w:tcPr>
            <w:tcW w:w="6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1,573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2021</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1,878</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64</w:t>
            </w: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80"/>
              <w:spacing w:after="0" w:line="243" w:lineRule="exact"/>
              <w:rPr>
                <w:sz w:val="20"/>
                <w:szCs w:val="20"/>
                <w:color w:val="auto"/>
              </w:rPr>
            </w:pPr>
            <w:r>
              <w:rPr>
                <w:rFonts w:ascii="Arial" w:cs="Arial" w:eastAsia="Arial" w:hAnsi="Arial"/>
                <w:sz w:val="22"/>
                <w:szCs w:val="22"/>
                <w:b w:val="1"/>
                <w:bCs w:val="1"/>
                <w:color w:val="auto"/>
              </w:rPr>
              <w:t>433</w:t>
            </w:r>
          </w:p>
        </w:tc>
        <w:tc>
          <w:tcPr>
            <w:tcW w:w="1380" w:type="dxa"/>
            <w:vAlign w:val="bottom"/>
            <w:gridSpan w:val="2"/>
            <w:shd w:val="clear" w:color="auto" w:fill="CCEEFF"/>
          </w:tcPr>
          <w:p>
            <w:pPr>
              <w:jc w:val="right"/>
              <w:ind w:right="380"/>
              <w:spacing w:after="0" w:line="243" w:lineRule="exact"/>
              <w:rPr>
                <w:sz w:val="20"/>
                <w:szCs w:val="20"/>
                <w:color w:val="auto"/>
              </w:rPr>
            </w:pPr>
            <w:r>
              <w:rPr>
                <w:rFonts w:ascii="Arial" w:cs="Arial" w:eastAsia="Arial" w:hAnsi="Arial"/>
                <w:sz w:val="22"/>
                <w:szCs w:val="22"/>
                <w:b w:val="1"/>
                <w:bCs w:val="1"/>
                <w:color w:val="auto"/>
              </w:rPr>
              <w:t>104</w:t>
            </w:r>
          </w:p>
        </w:tc>
        <w:tc>
          <w:tcPr>
            <w:tcW w:w="1400" w:type="dxa"/>
            <w:vAlign w:val="bottom"/>
            <w:gridSpan w:val="2"/>
            <w:shd w:val="clear" w:color="auto" w:fill="CCEEFF"/>
          </w:tcPr>
          <w:p>
            <w:pPr>
              <w:jc w:val="right"/>
              <w:ind w:right="400"/>
              <w:spacing w:after="0" w:line="243" w:lineRule="exact"/>
              <w:rPr>
                <w:sz w:val="20"/>
                <w:szCs w:val="20"/>
                <w:color w:val="auto"/>
              </w:rPr>
            </w:pPr>
            <w:r>
              <w:rPr>
                <w:rFonts w:ascii="Arial" w:cs="Arial" w:eastAsia="Arial" w:hAnsi="Arial"/>
                <w:sz w:val="22"/>
                <w:szCs w:val="22"/>
                <w:b w:val="1"/>
                <w:bCs w:val="1"/>
                <w:color w:val="auto"/>
              </w:rPr>
              <w:t>51</w:t>
            </w:r>
          </w:p>
        </w:tc>
        <w:tc>
          <w:tcPr>
            <w:tcW w:w="760" w:type="dxa"/>
            <w:vAlign w:val="bottom"/>
            <w:gridSpan w:val="2"/>
            <w:shd w:val="clear" w:color="auto" w:fill="CCEEFF"/>
          </w:tcPr>
          <w:p>
            <w:pPr>
              <w:jc w:val="right"/>
              <w:ind w:right="59"/>
              <w:spacing w:after="0" w:line="243" w:lineRule="exact"/>
              <w:rPr>
                <w:sz w:val="20"/>
                <w:szCs w:val="20"/>
                <w:color w:val="auto"/>
              </w:rPr>
            </w:pPr>
            <w:r>
              <w:rPr>
                <w:rFonts w:ascii="Arial" w:cs="Arial" w:eastAsia="Arial" w:hAnsi="Arial"/>
                <w:sz w:val="22"/>
                <w:szCs w:val="22"/>
                <w:b w:val="1"/>
                <w:bCs w:val="1"/>
                <w:color w:val="auto"/>
              </w:rPr>
              <w:t>2,530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right="-99"/>
        <w:spacing w:after="0"/>
        <w:rPr>
          <w:sz w:val="20"/>
          <w:szCs w:val="20"/>
          <w:color w:val="auto"/>
        </w:rPr>
      </w:pPr>
      <w:r>
        <w:rPr>
          <w:rFonts w:ascii="Arial" w:cs="Arial" w:eastAsia="Arial" w:hAnsi="Arial"/>
          <w:sz w:val="19"/>
          <w:szCs w:val="19"/>
          <w:color w:val="auto"/>
        </w:rPr>
        <w:t>F-22</w:t>
      </w:r>
    </w:p>
    <w:p>
      <w:pPr>
        <w:sectPr>
          <w:pgSz w:w="11900" w:h="16838" w:orient="portrait"/>
          <w:cols w:equalWidth="0" w:num="1">
            <w:col w:w="11140"/>
          </w:cols>
          <w:pgMar w:left="320" w:top="486" w:right="439" w:bottom="1440" w:gutter="0" w:footer="0" w:header="0"/>
          <w:type w:val="continuous"/>
        </w:sectPr>
      </w:pPr>
    </w:p>
    <w:bookmarkStart w:id="194" w:name="page195"/>
    <w:bookmarkEnd w:id="194"/>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gridSpan w:val="5"/>
          </w:tcPr>
          <w:p>
            <w:pPr>
              <w:jc w:val="right"/>
              <w:ind w:right="220"/>
              <w:spacing w:after="0"/>
              <w:rPr>
                <w:sz w:val="20"/>
                <w:szCs w:val="20"/>
                <w:color w:val="auto"/>
              </w:rPr>
            </w:pPr>
            <w:r>
              <w:rPr>
                <w:rFonts w:ascii="Arial" w:cs="Arial" w:eastAsia="Arial" w:hAnsi="Arial"/>
                <w:sz w:val="22"/>
                <w:szCs w:val="22"/>
                <w:color w:val="auto"/>
                <w:w w:val="94"/>
              </w:rPr>
              <w:t>MEREO BIOPHARMA GROUP PLC</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0" w:type="dxa"/>
            <w:vAlign w:val="bottom"/>
            <w:gridSpan w:val="11"/>
          </w:tcPr>
          <w:p>
            <w:pPr>
              <w:jc w:val="right"/>
              <w:ind w:right="360"/>
              <w:spacing w:after="0"/>
              <w:rPr>
                <w:sz w:val="20"/>
                <w:szCs w:val="20"/>
                <w:color w:val="auto"/>
              </w:rPr>
            </w:pPr>
            <w:r>
              <w:rPr>
                <w:rFonts w:ascii="Arial" w:cs="Arial" w:eastAsia="Arial" w:hAnsi="Arial"/>
                <w:sz w:val="22"/>
                <w:szCs w:val="22"/>
                <w:color w:val="auto"/>
                <w:w w:val="97"/>
              </w:rPr>
              <w:t>NOTES TO THE CONSOLIDATED FINANCIAL STATEMENTS</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22"/>
                <w:szCs w:val="22"/>
                <w:b w:val="1"/>
                <w:bCs w:val="1"/>
                <w:color w:val="auto"/>
                <w:w w:val="87"/>
              </w:rPr>
              <w:t>Right-of-use</w:t>
            </w:r>
          </w:p>
        </w:tc>
        <w:tc>
          <w:tcPr>
            <w:tcW w:w="32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7"/>
              </w:rPr>
              <w:t>Right-of-use</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center"/>
              <w:ind w:right="60"/>
              <w:spacing w:after="0" w:line="243" w:lineRule="exact"/>
              <w:rPr>
                <w:sz w:val="20"/>
                <w:szCs w:val="20"/>
                <w:color w:val="auto"/>
              </w:rPr>
            </w:pPr>
            <w:r>
              <w:rPr>
                <w:rFonts w:ascii="Arial" w:cs="Arial" w:eastAsia="Arial" w:hAnsi="Arial"/>
                <w:sz w:val="22"/>
                <w:szCs w:val="22"/>
                <w:b w:val="1"/>
                <w:bCs w:val="1"/>
                <w:color w:val="auto"/>
                <w:w w:val="78"/>
              </w:rPr>
              <w:t>asset</w:t>
            </w:r>
          </w:p>
        </w:tc>
        <w:tc>
          <w:tcPr>
            <w:tcW w:w="320" w:type="dxa"/>
            <w:vAlign w:val="bottom"/>
          </w:tcPr>
          <w:p>
            <w:pPr>
              <w:spacing w:after="0"/>
              <w:rPr>
                <w:sz w:val="21"/>
                <w:szCs w:val="21"/>
                <w:color w:val="auto"/>
              </w:rPr>
            </w:pPr>
          </w:p>
        </w:tc>
        <w:tc>
          <w:tcPr>
            <w:tcW w:w="1540" w:type="dxa"/>
            <w:vAlign w:val="bottom"/>
            <w:gridSpan w:val="2"/>
          </w:tcPr>
          <w:p>
            <w:pPr>
              <w:jc w:val="center"/>
              <w:ind w:right="380"/>
              <w:spacing w:after="0" w:line="243" w:lineRule="exact"/>
              <w:rPr>
                <w:sz w:val="20"/>
                <w:szCs w:val="20"/>
                <w:color w:val="auto"/>
              </w:rPr>
            </w:pPr>
            <w:r>
              <w:rPr>
                <w:rFonts w:ascii="Arial" w:cs="Arial" w:eastAsia="Arial" w:hAnsi="Arial"/>
                <w:sz w:val="22"/>
                <w:szCs w:val="22"/>
                <w:b w:val="1"/>
                <w:bCs w:val="1"/>
                <w:color w:val="auto"/>
                <w:w w:val="78"/>
              </w:rPr>
              <w:t>asset</w:t>
            </w:r>
          </w:p>
        </w:tc>
        <w:tc>
          <w:tcPr>
            <w:tcW w:w="17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4"/>
              </w:rPr>
              <w:t>Leasehold</w:t>
            </w:r>
          </w:p>
        </w:tc>
        <w:tc>
          <w:tcPr>
            <w:tcW w:w="1380" w:type="dxa"/>
            <w:vAlign w:val="bottom"/>
            <w:gridSpan w:val="2"/>
          </w:tcPr>
          <w:p>
            <w:pPr>
              <w:jc w:val="center"/>
              <w:ind w:right="420"/>
              <w:spacing w:after="0" w:line="243" w:lineRule="exact"/>
              <w:rPr>
                <w:sz w:val="20"/>
                <w:szCs w:val="20"/>
                <w:color w:val="auto"/>
              </w:rPr>
            </w:pPr>
            <w:r>
              <w:rPr>
                <w:rFonts w:ascii="Arial" w:cs="Arial" w:eastAsia="Arial" w:hAnsi="Arial"/>
                <w:sz w:val="22"/>
                <w:szCs w:val="22"/>
                <w:b w:val="1"/>
                <w:bCs w:val="1"/>
                <w:color w:val="auto"/>
                <w:w w:val="89"/>
              </w:rPr>
              <w:t>Office</w:t>
            </w:r>
          </w:p>
        </w:tc>
        <w:tc>
          <w:tcPr>
            <w:tcW w:w="136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rPr>
              <w:t>IT</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22"/>
                <w:szCs w:val="22"/>
                <w:b w:val="1"/>
                <w:bCs w:val="1"/>
                <w:color w:val="auto"/>
                <w:w w:val="88"/>
              </w:rPr>
              <w:t>(buildings)</w:t>
            </w:r>
          </w:p>
        </w:tc>
        <w:tc>
          <w:tcPr>
            <w:tcW w:w="320" w:type="dxa"/>
            <w:vAlign w:val="bottom"/>
          </w:tcPr>
          <w:p>
            <w:pPr>
              <w:spacing w:after="0"/>
              <w:rPr>
                <w:sz w:val="23"/>
                <w:szCs w:val="2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(equipment)</w:t>
            </w:r>
          </w:p>
        </w:tc>
        <w:tc>
          <w:tcPr>
            <w:tcW w:w="172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7"/>
              </w:rPr>
              <w:t>improvements</w:t>
            </w:r>
          </w:p>
        </w:tc>
        <w:tc>
          <w:tcPr>
            <w:tcW w:w="138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8"/>
              </w:rPr>
              <w:t>equipment</w:t>
            </w:r>
          </w:p>
        </w:tc>
        <w:tc>
          <w:tcPr>
            <w:tcW w:w="136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equipment</w:t>
            </w:r>
          </w:p>
        </w:tc>
        <w:tc>
          <w:tcPr>
            <w:tcW w:w="880" w:type="dxa"/>
            <w:vAlign w:val="bottom"/>
            <w:gridSpan w:val="2"/>
          </w:tcPr>
          <w:p>
            <w:pPr>
              <w:jc w:val="right"/>
              <w:ind w:right="280"/>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0" w:type="dxa"/>
            <w:vAlign w:val="bottom"/>
          </w:tcPr>
          <w:p>
            <w:pPr>
              <w:spacing w:after="0"/>
              <w:rPr>
                <w:sz w:val="20"/>
                <w:szCs w:val="20"/>
                <w:color w:val="auto"/>
              </w:rPr>
            </w:pPr>
          </w:p>
        </w:tc>
        <w:tc>
          <w:tcPr>
            <w:tcW w:w="132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400" w:type="dxa"/>
            <w:vAlign w:val="bottom"/>
          </w:tcPr>
          <w:p>
            <w:pPr>
              <w:spacing w:after="0"/>
              <w:rPr>
                <w:sz w:val="20"/>
                <w:szCs w:val="20"/>
                <w:color w:val="auto"/>
              </w:rPr>
            </w:pPr>
          </w:p>
        </w:tc>
        <w:tc>
          <w:tcPr>
            <w:tcW w:w="9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0" w:type="dxa"/>
            <w:vAlign w:val="bottom"/>
          </w:tcPr>
          <w:p>
            <w:pPr>
              <w:spacing w:after="0"/>
              <w:rPr>
                <w:sz w:val="20"/>
                <w:szCs w:val="20"/>
                <w:color w:val="auto"/>
              </w:rPr>
            </w:pPr>
          </w:p>
        </w:tc>
        <w:tc>
          <w:tcPr>
            <w:tcW w:w="9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380" w:type="dxa"/>
            <w:vAlign w:val="bottom"/>
          </w:tcPr>
          <w:p>
            <w:pPr>
              <w:spacing w:after="0"/>
              <w:rPr>
                <w:sz w:val="20"/>
                <w:szCs w:val="20"/>
                <w:color w:val="auto"/>
              </w:rPr>
            </w:pPr>
          </w:p>
        </w:tc>
        <w:tc>
          <w:tcPr>
            <w:tcW w:w="74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95"/>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Cost or valuation</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At January 1, 2020</w:t>
            </w:r>
          </w:p>
        </w:tc>
        <w:tc>
          <w:tcPr>
            <w:tcW w:w="1440" w:type="dxa"/>
            <w:vAlign w:val="bottom"/>
            <w:gridSpan w:val="4"/>
          </w:tcPr>
          <w:p>
            <w:pPr>
              <w:jc w:val="right"/>
              <w:ind w:right="80"/>
              <w:spacing w:after="0" w:line="243" w:lineRule="exact"/>
              <w:rPr>
                <w:sz w:val="20"/>
                <w:szCs w:val="20"/>
                <w:color w:val="auto"/>
              </w:rPr>
            </w:pPr>
            <w:r>
              <w:rPr>
                <w:rFonts w:ascii="Arial" w:cs="Arial" w:eastAsia="Arial" w:hAnsi="Arial"/>
                <w:sz w:val="22"/>
                <w:szCs w:val="22"/>
                <w:b w:val="1"/>
                <w:bCs w:val="1"/>
                <w:color w:val="auto"/>
              </w:rPr>
              <w:t>11,877</w:t>
            </w:r>
          </w:p>
        </w:tc>
        <w:tc>
          <w:tcPr>
            <w:tcW w:w="1860" w:type="dxa"/>
            <w:vAlign w:val="bottom"/>
            <w:gridSpan w:val="3"/>
          </w:tcPr>
          <w:p>
            <w:pPr>
              <w:jc w:val="right"/>
              <w:ind w:right="400"/>
              <w:spacing w:after="0" w:line="243" w:lineRule="exact"/>
              <w:rPr>
                <w:sz w:val="20"/>
                <w:szCs w:val="20"/>
                <w:color w:val="auto"/>
              </w:rPr>
            </w:pPr>
            <w:r>
              <w:rPr>
                <w:rFonts w:ascii="Arial" w:cs="Arial" w:eastAsia="Arial" w:hAnsi="Arial"/>
                <w:sz w:val="22"/>
                <w:szCs w:val="22"/>
                <w:b w:val="1"/>
                <w:bCs w:val="1"/>
                <w:color w:val="auto"/>
              </w:rPr>
              <w:t>1,024</w:t>
            </w:r>
          </w:p>
        </w:tc>
        <w:tc>
          <w:tcPr>
            <w:tcW w:w="132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164</w:t>
            </w:r>
          </w:p>
        </w:tc>
        <w:tc>
          <w:tcPr>
            <w:tcW w:w="4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71</w:t>
            </w:r>
          </w:p>
        </w:tc>
        <w:tc>
          <w:tcPr>
            <w:tcW w:w="400" w:type="dxa"/>
            <w:vAlign w:val="bottom"/>
          </w:tcPr>
          <w:p>
            <w:pPr>
              <w:spacing w:after="0"/>
              <w:rPr>
                <w:sz w:val="21"/>
                <w:szCs w:val="21"/>
                <w:color w:val="auto"/>
              </w:rPr>
            </w:pPr>
          </w:p>
        </w:tc>
        <w:tc>
          <w:tcPr>
            <w:tcW w:w="136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rPr>
              <w:t>116</w:t>
            </w:r>
          </w:p>
        </w:tc>
        <w:tc>
          <w:tcPr>
            <w:tcW w:w="88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13,252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Additions</w:t>
            </w: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3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820"/>
              <w:spacing w:after="0" w:line="243" w:lineRule="exact"/>
              <w:rPr>
                <w:sz w:val="20"/>
                <w:szCs w:val="20"/>
                <w:color w:val="auto"/>
              </w:rPr>
            </w:pPr>
            <w:r>
              <w:rPr>
                <w:rFonts w:ascii="Arial" w:cs="Arial" w:eastAsia="Arial" w:hAnsi="Arial"/>
                <w:sz w:val="22"/>
                <w:szCs w:val="22"/>
                <w:color w:val="auto"/>
              </w:rPr>
              <w:t>—</w:t>
            </w:r>
          </w:p>
        </w:tc>
        <w:tc>
          <w:tcPr>
            <w:tcW w:w="172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w:t>
            </w:r>
          </w:p>
        </w:tc>
        <w:tc>
          <w:tcPr>
            <w:tcW w:w="3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tcPr>
          <w:p>
            <w:pPr>
              <w:spacing w:after="0" w:line="243" w:lineRule="exact"/>
              <w:rPr>
                <w:sz w:val="20"/>
                <w:szCs w:val="20"/>
                <w:color w:val="auto"/>
              </w:rPr>
            </w:pPr>
            <w:r>
              <w:rPr>
                <w:rFonts w:ascii="Arial" w:cs="Arial" w:eastAsia="Arial" w:hAnsi="Arial"/>
                <w:sz w:val="22"/>
                <w:szCs w:val="22"/>
                <w:color w:val="auto"/>
              </w:rPr>
              <w:t>Lease modification</w:t>
            </w:r>
          </w:p>
        </w:tc>
        <w:tc>
          <w:tcPr>
            <w:tcW w:w="144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(10,220)</w:t>
            </w:r>
          </w:p>
        </w:tc>
        <w:tc>
          <w:tcPr>
            <w:tcW w:w="1860" w:type="dxa"/>
            <w:vAlign w:val="bottom"/>
            <w:gridSpan w:val="3"/>
          </w:tcPr>
          <w:p>
            <w:pPr>
              <w:jc w:val="right"/>
              <w:ind w:right="400"/>
              <w:spacing w:after="0" w:line="243" w:lineRule="exact"/>
              <w:rPr>
                <w:sz w:val="20"/>
                <w:szCs w:val="20"/>
                <w:color w:val="auto"/>
              </w:rPr>
            </w:pPr>
            <w:r>
              <w:rPr>
                <w:rFonts w:ascii="Arial" w:cs="Arial" w:eastAsia="Arial" w:hAnsi="Arial"/>
                <w:sz w:val="22"/>
                <w:szCs w:val="22"/>
                <w:color w:val="auto"/>
              </w:rPr>
              <w:t>149</w:t>
            </w:r>
          </w:p>
        </w:tc>
        <w:tc>
          <w:tcPr>
            <w:tcW w:w="172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5"/>
              </w:rPr>
              <w:t>(10,071)</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238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Currency translation</w:t>
            </w:r>
          </w:p>
        </w:tc>
        <w:tc>
          <w:tcPr>
            <w:tcW w:w="1380" w:type="dxa"/>
            <w:vAlign w:val="bottom"/>
            <w:gridSpan w:val="3"/>
            <w:shd w:val="clear" w:color="auto" w:fill="CCEEFF"/>
          </w:tcPr>
          <w:p>
            <w:pPr>
              <w:jc w:val="right"/>
              <w:ind w:right="20"/>
              <w:spacing w:after="0" w:line="222" w:lineRule="exact"/>
              <w:rPr>
                <w:sz w:val="20"/>
                <w:szCs w:val="20"/>
                <w:color w:val="auto"/>
              </w:rPr>
            </w:pPr>
            <w:r>
              <w:rPr>
                <w:rFonts w:ascii="Arial" w:cs="Arial" w:eastAsia="Arial" w:hAnsi="Arial"/>
                <w:sz w:val="22"/>
                <w:szCs w:val="22"/>
                <w:color w:val="auto"/>
              </w:rPr>
              <w:t>191</w:t>
            </w:r>
          </w:p>
        </w:tc>
        <w:tc>
          <w:tcPr>
            <w:tcW w:w="6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320"/>
              <w:spacing w:after="0" w:line="222" w:lineRule="exact"/>
              <w:rPr>
                <w:sz w:val="20"/>
                <w:szCs w:val="20"/>
                <w:color w:val="auto"/>
              </w:rPr>
            </w:pPr>
            <w:r>
              <w:rPr>
                <w:rFonts w:ascii="Arial" w:cs="Arial" w:eastAsia="Arial" w:hAnsi="Arial"/>
                <w:sz w:val="22"/>
                <w:szCs w:val="22"/>
                <w:color w:val="auto"/>
              </w:rPr>
              <w:t>(4)</w:t>
            </w:r>
          </w:p>
        </w:tc>
        <w:tc>
          <w:tcPr>
            <w:tcW w:w="1720" w:type="dxa"/>
            <w:vAlign w:val="bottom"/>
            <w:gridSpan w:val="2"/>
            <w:shd w:val="clear" w:color="auto" w:fill="CCEEFF"/>
          </w:tcPr>
          <w:p>
            <w:pPr>
              <w:jc w:val="right"/>
              <w:ind w:right="500"/>
              <w:spacing w:after="0" w:line="222" w:lineRule="exact"/>
              <w:rPr>
                <w:sz w:val="20"/>
                <w:szCs w:val="20"/>
                <w:color w:val="auto"/>
              </w:rPr>
            </w:pPr>
            <w:r>
              <w:rPr>
                <w:rFonts w:ascii="Arial" w:cs="Arial" w:eastAsia="Arial" w:hAnsi="Arial"/>
                <w:sz w:val="22"/>
                <w:szCs w:val="22"/>
                <w:color w:val="auto"/>
              </w:rPr>
              <w:t>—</w:t>
            </w:r>
          </w:p>
        </w:tc>
        <w:tc>
          <w:tcPr>
            <w:tcW w:w="1380" w:type="dxa"/>
            <w:vAlign w:val="bottom"/>
            <w:gridSpan w:val="2"/>
            <w:shd w:val="clear" w:color="auto" w:fill="CCEEFF"/>
          </w:tcPr>
          <w:p>
            <w:pPr>
              <w:jc w:val="right"/>
              <w:ind w:right="500"/>
              <w:spacing w:after="0" w:line="222"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CCEEFF"/>
          </w:tcPr>
          <w:p>
            <w:pPr>
              <w:jc w:val="right"/>
              <w:ind w:right="500"/>
              <w:spacing w:after="0" w:line="222"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ind w:right="140"/>
              <w:spacing w:after="0" w:line="222" w:lineRule="exact"/>
              <w:rPr>
                <w:sz w:val="20"/>
                <w:szCs w:val="20"/>
                <w:color w:val="auto"/>
              </w:rPr>
            </w:pPr>
            <w:r>
              <w:rPr>
                <w:rFonts w:ascii="Arial" w:cs="Arial" w:eastAsia="Arial" w:hAnsi="Arial"/>
                <w:sz w:val="22"/>
                <w:szCs w:val="22"/>
                <w:color w:val="auto"/>
              </w:rPr>
              <w:t>187</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38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effects</w:t>
            </w:r>
          </w:p>
        </w:tc>
        <w:tc>
          <w:tcPr>
            <w:tcW w:w="2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38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At December 31, 2020</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1,848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1,169</w:t>
            </w:r>
          </w:p>
        </w:tc>
        <w:tc>
          <w:tcPr>
            <w:tcW w:w="400" w:type="dxa"/>
            <w:vAlign w:val="bottom"/>
          </w:tcPr>
          <w:p>
            <w:pPr>
              <w:spacing w:after="0"/>
              <w:rPr>
                <w:sz w:val="21"/>
                <w:szCs w:val="21"/>
                <w:color w:val="auto"/>
              </w:rPr>
            </w:pPr>
          </w:p>
        </w:tc>
        <w:tc>
          <w:tcPr>
            <w:tcW w:w="13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164</w:t>
            </w:r>
          </w:p>
        </w:tc>
        <w:tc>
          <w:tcPr>
            <w:tcW w:w="400" w:type="dxa"/>
            <w:vAlign w:val="bottom"/>
          </w:tcPr>
          <w:p>
            <w:pPr>
              <w:spacing w:after="0"/>
              <w:rPr>
                <w:sz w:val="21"/>
                <w:szCs w:val="21"/>
                <w:color w:val="auto"/>
              </w:rPr>
            </w:pP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71</w:t>
            </w:r>
          </w:p>
        </w:tc>
        <w:tc>
          <w:tcPr>
            <w:tcW w:w="400" w:type="dxa"/>
            <w:vAlign w:val="bottom"/>
          </w:tcPr>
          <w:p>
            <w:pPr>
              <w:spacing w:after="0"/>
              <w:rPr>
                <w:sz w:val="21"/>
                <w:szCs w:val="21"/>
                <w:color w:val="auto"/>
              </w:rPr>
            </w:pPr>
          </w:p>
        </w:tc>
        <w:tc>
          <w:tcPr>
            <w:tcW w:w="9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132</w:t>
            </w:r>
          </w:p>
        </w:tc>
        <w:tc>
          <w:tcPr>
            <w:tcW w:w="380" w:type="dxa"/>
            <w:vAlign w:val="bottom"/>
          </w:tcPr>
          <w:p>
            <w:pPr>
              <w:spacing w:after="0"/>
              <w:rPr>
                <w:sz w:val="21"/>
                <w:szCs w:val="21"/>
                <w:color w:val="auto"/>
              </w:rPr>
            </w:pPr>
          </w:p>
        </w:tc>
        <w:tc>
          <w:tcPr>
            <w:tcW w:w="7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3,384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2380" w:type="dxa"/>
            <w:vAlign w:val="bottom"/>
            <w:gridSpan w:val="2"/>
            <w:shd w:val="clear" w:color="auto" w:fill="CCEEFF"/>
          </w:tcPr>
          <w:p>
            <w:pPr>
              <w:spacing w:after="0" w:line="237" w:lineRule="exact"/>
              <w:rPr>
                <w:sz w:val="20"/>
                <w:szCs w:val="20"/>
                <w:color w:val="auto"/>
              </w:rPr>
            </w:pPr>
            <w:r>
              <w:rPr>
                <w:rFonts w:ascii="Arial" w:cs="Arial" w:eastAsia="Arial" w:hAnsi="Arial"/>
                <w:sz w:val="22"/>
                <w:szCs w:val="22"/>
                <w:color w:val="auto"/>
              </w:rPr>
              <w:t>Depreciation</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At January 1, 2020</w:t>
            </w:r>
          </w:p>
        </w:tc>
        <w:tc>
          <w:tcPr>
            <w:tcW w:w="1440" w:type="dxa"/>
            <w:vAlign w:val="bottom"/>
            <w:gridSpan w:val="4"/>
          </w:tcPr>
          <w:p>
            <w:pPr>
              <w:jc w:val="right"/>
              <w:spacing w:after="0" w:line="243" w:lineRule="exact"/>
              <w:rPr>
                <w:sz w:val="20"/>
                <w:szCs w:val="20"/>
                <w:color w:val="auto"/>
              </w:rPr>
            </w:pPr>
            <w:r>
              <w:rPr>
                <w:rFonts w:ascii="Arial" w:cs="Arial" w:eastAsia="Arial" w:hAnsi="Arial"/>
                <w:sz w:val="22"/>
                <w:szCs w:val="22"/>
                <w:b w:val="1"/>
                <w:bCs w:val="1"/>
                <w:color w:val="auto"/>
              </w:rPr>
              <w:t>(996)</w:t>
            </w:r>
          </w:p>
        </w:tc>
        <w:tc>
          <w:tcPr>
            <w:tcW w:w="1860" w:type="dxa"/>
            <w:vAlign w:val="bottom"/>
            <w:gridSpan w:val="3"/>
          </w:tcPr>
          <w:p>
            <w:pPr>
              <w:jc w:val="right"/>
              <w:ind w:right="320"/>
              <w:spacing w:after="0" w:line="243" w:lineRule="exact"/>
              <w:rPr>
                <w:sz w:val="20"/>
                <w:szCs w:val="20"/>
                <w:color w:val="auto"/>
              </w:rPr>
            </w:pPr>
            <w:r>
              <w:rPr>
                <w:rFonts w:ascii="Arial" w:cs="Arial" w:eastAsia="Arial" w:hAnsi="Arial"/>
                <w:sz w:val="22"/>
                <w:szCs w:val="22"/>
                <w:b w:val="1"/>
                <w:bCs w:val="1"/>
                <w:color w:val="auto"/>
              </w:rPr>
              <w:t>(509)</w:t>
            </w:r>
          </w:p>
        </w:tc>
        <w:tc>
          <w:tcPr>
            <w:tcW w:w="1720" w:type="dxa"/>
            <w:vAlign w:val="bottom"/>
            <w:gridSpan w:val="2"/>
          </w:tcPr>
          <w:p>
            <w:pPr>
              <w:jc w:val="right"/>
              <w:ind w:right="320"/>
              <w:spacing w:after="0" w:line="243" w:lineRule="exact"/>
              <w:rPr>
                <w:sz w:val="20"/>
                <w:szCs w:val="20"/>
                <w:color w:val="auto"/>
              </w:rPr>
            </w:pPr>
            <w:r>
              <w:rPr>
                <w:rFonts w:ascii="Arial" w:cs="Arial" w:eastAsia="Arial" w:hAnsi="Arial"/>
                <w:sz w:val="22"/>
                <w:szCs w:val="22"/>
                <w:b w:val="1"/>
                <w:bCs w:val="1"/>
                <w:color w:val="auto"/>
              </w:rPr>
              <w:t>(69)</w:t>
            </w:r>
          </w:p>
        </w:tc>
        <w:tc>
          <w:tcPr>
            <w:tcW w:w="1380" w:type="dxa"/>
            <w:vAlign w:val="bottom"/>
            <w:gridSpan w:val="2"/>
          </w:tcPr>
          <w:p>
            <w:pPr>
              <w:jc w:val="right"/>
              <w:ind w:right="320"/>
              <w:spacing w:after="0" w:line="243" w:lineRule="exact"/>
              <w:rPr>
                <w:sz w:val="20"/>
                <w:szCs w:val="20"/>
                <w:color w:val="auto"/>
              </w:rPr>
            </w:pPr>
            <w:r>
              <w:rPr>
                <w:rFonts w:ascii="Arial" w:cs="Arial" w:eastAsia="Arial" w:hAnsi="Arial"/>
                <w:sz w:val="22"/>
                <w:szCs w:val="22"/>
                <w:b w:val="1"/>
                <w:bCs w:val="1"/>
                <w:color w:val="auto"/>
              </w:rPr>
              <w:t>(30)</w:t>
            </w:r>
          </w:p>
        </w:tc>
        <w:tc>
          <w:tcPr>
            <w:tcW w:w="1360" w:type="dxa"/>
            <w:vAlign w:val="bottom"/>
            <w:gridSpan w:val="2"/>
          </w:tcPr>
          <w:p>
            <w:pPr>
              <w:jc w:val="right"/>
              <w:ind w:right="320"/>
              <w:spacing w:after="0" w:line="243" w:lineRule="exact"/>
              <w:rPr>
                <w:sz w:val="20"/>
                <w:szCs w:val="20"/>
                <w:color w:val="auto"/>
              </w:rPr>
            </w:pPr>
            <w:r>
              <w:rPr>
                <w:rFonts w:ascii="Arial" w:cs="Arial" w:eastAsia="Arial" w:hAnsi="Arial"/>
                <w:sz w:val="22"/>
                <w:szCs w:val="22"/>
                <w:b w:val="1"/>
                <w:bCs w:val="1"/>
                <w:color w:val="auto"/>
              </w:rPr>
              <w:t>(90)</w:t>
            </w:r>
          </w:p>
        </w:tc>
        <w:tc>
          <w:tcPr>
            <w:tcW w:w="880" w:type="dxa"/>
            <w:vAlign w:val="bottom"/>
            <w:gridSpan w:val="2"/>
          </w:tcPr>
          <w:p>
            <w:pPr>
              <w:jc w:val="right"/>
              <w:ind w:right="80"/>
              <w:spacing w:after="0" w:line="243" w:lineRule="exact"/>
              <w:rPr>
                <w:sz w:val="20"/>
                <w:szCs w:val="20"/>
                <w:color w:val="auto"/>
              </w:rPr>
            </w:pPr>
            <w:r>
              <w:rPr>
                <w:rFonts w:ascii="Arial" w:cs="Arial" w:eastAsia="Arial" w:hAnsi="Arial"/>
                <w:sz w:val="22"/>
                <w:szCs w:val="22"/>
                <w:b w:val="1"/>
                <w:bCs w:val="1"/>
                <w:color w:val="auto"/>
              </w:rPr>
              <w:t>(1,694)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Lease modifications</w:t>
            </w:r>
          </w:p>
        </w:tc>
        <w:tc>
          <w:tcPr>
            <w:tcW w:w="138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1,482</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820"/>
              <w:spacing w:after="0" w:line="243" w:lineRule="exact"/>
              <w:rPr>
                <w:sz w:val="20"/>
                <w:szCs w:val="20"/>
                <w:color w:val="auto"/>
              </w:rPr>
            </w:pPr>
            <w:r>
              <w:rPr>
                <w:rFonts w:ascii="Arial" w:cs="Arial" w:eastAsia="Arial" w:hAnsi="Arial"/>
                <w:sz w:val="22"/>
                <w:szCs w:val="22"/>
                <w:color w:val="auto"/>
              </w:rPr>
              <w:t>—</w:t>
            </w:r>
          </w:p>
        </w:tc>
        <w:tc>
          <w:tcPr>
            <w:tcW w:w="172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CCEEFF"/>
          </w:tcPr>
          <w:p>
            <w:pPr>
              <w:jc w:val="right"/>
              <w:ind w:right="50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1,482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tcPr>
          <w:p>
            <w:pPr>
              <w:spacing w:after="0" w:line="243" w:lineRule="exact"/>
              <w:rPr>
                <w:sz w:val="20"/>
                <w:szCs w:val="20"/>
                <w:color w:val="auto"/>
              </w:rPr>
            </w:pPr>
            <w:r>
              <w:rPr>
                <w:rFonts w:ascii="Arial" w:cs="Arial" w:eastAsia="Arial" w:hAnsi="Arial"/>
                <w:sz w:val="22"/>
                <w:szCs w:val="22"/>
                <w:color w:val="auto"/>
                <w:w w:val="97"/>
              </w:rPr>
              <w:t>Depreciation for the year</w:t>
            </w:r>
          </w:p>
        </w:tc>
        <w:tc>
          <w:tcPr>
            <w:tcW w:w="220" w:type="dxa"/>
            <w:vAlign w:val="bottom"/>
          </w:tcPr>
          <w:p>
            <w:pPr>
              <w:spacing w:after="0"/>
              <w:rPr>
                <w:sz w:val="21"/>
                <w:szCs w:val="21"/>
                <w:color w:val="auto"/>
              </w:rPr>
            </w:pPr>
          </w:p>
        </w:tc>
        <w:tc>
          <w:tcPr>
            <w:tcW w:w="122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(1,017)</w:t>
            </w:r>
          </w:p>
        </w:tc>
        <w:tc>
          <w:tcPr>
            <w:tcW w:w="186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(514)</w:t>
            </w:r>
          </w:p>
        </w:tc>
        <w:tc>
          <w:tcPr>
            <w:tcW w:w="172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(16)</w:t>
            </w:r>
          </w:p>
        </w:tc>
        <w:tc>
          <w:tcPr>
            <w:tcW w:w="138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(35)</w:t>
            </w:r>
          </w:p>
        </w:tc>
        <w:tc>
          <w:tcPr>
            <w:tcW w:w="136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(17)</w:t>
            </w:r>
          </w:p>
        </w:tc>
        <w:tc>
          <w:tcPr>
            <w:tcW w:w="8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(1,599)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2020</w:t>
            </w: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(531)</w:t>
            </w:r>
          </w:p>
        </w:tc>
        <w:tc>
          <w:tcPr>
            <w:tcW w:w="1860" w:type="dxa"/>
            <w:vAlign w:val="bottom"/>
            <w:gridSpan w:val="3"/>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(1,023)</w:t>
            </w:r>
          </w:p>
        </w:tc>
        <w:tc>
          <w:tcPr>
            <w:tcW w:w="172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(85)</w:t>
            </w:r>
          </w:p>
        </w:tc>
        <w:tc>
          <w:tcPr>
            <w:tcW w:w="138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(65)</w:t>
            </w:r>
          </w:p>
        </w:tc>
        <w:tc>
          <w:tcPr>
            <w:tcW w:w="136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(107)</w:t>
            </w:r>
          </w:p>
        </w:tc>
        <w:tc>
          <w:tcPr>
            <w:tcW w:w="88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b w:val="1"/>
                <w:bCs w:val="1"/>
                <w:color w:val="auto"/>
              </w:rPr>
              <w:t>(1,811)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380" w:type="dxa"/>
            <w:vAlign w:val="bottom"/>
            <w:gridSpan w:val="2"/>
            <w:vMerge w:val="restart"/>
          </w:tcPr>
          <w:p>
            <w:pPr>
              <w:spacing w:after="0"/>
              <w:rPr>
                <w:sz w:val="20"/>
                <w:szCs w:val="20"/>
                <w:color w:val="auto"/>
              </w:rPr>
            </w:pPr>
            <w:r>
              <w:rPr>
                <w:rFonts w:ascii="Arial" w:cs="Arial" w:eastAsia="Arial" w:hAnsi="Arial"/>
                <w:sz w:val="22"/>
                <w:szCs w:val="22"/>
                <w:color w:val="auto"/>
              </w:rPr>
              <w:t>Net book value</w:t>
            </w: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3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At January 1, 2020</w:t>
            </w:r>
          </w:p>
        </w:tc>
        <w:tc>
          <w:tcPr>
            <w:tcW w:w="1380" w:type="dxa"/>
            <w:vAlign w:val="bottom"/>
            <w:gridSpan w:val="3"/>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10,881</w:t>
            </w:r>
          </w:p>
        </w:tc>
        <w:tc>
          <w:tcPr>
            <w:tcW w:w="6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0"/>
              <w:spacing w:after="0" w:line="243" w:lineRule="exact"/>
              <w:rPr>
                <w:sz w:val="20"/>
                <w:szCs w:val="20"/>
                <w:color w:val="auto"/>
              </w:rPr>
            </w:pPr>
            <w:r>
              <w:rPr>
                <w:rFonts w:ascii="Arial" w:cs="Arial" w:eastAsia="Arial" w:hAnsi="Arial"/>
                <w:sz w:val="22"/>
                <w:szCs w:val="22"/>
                <w:color w:val="auto"/>
              </w:rPr>
              <w:t>515</w:t>
            </w:r>
          </w:p>
        </w:tc>
        <w:tc>
          <w:tcPr>
            <w:tcW w:w="13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95</w:t>
            </w: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41</w:t>
            </w: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w:t>
            </w:r>
          </w:p>
        </w:tc>
        <w:tc>
          <w:tcPr>
            <w:tcW w:w="3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11,558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38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At December 31, 2020</w:t>
            </w:r>
          </w:p>
        </w:tc>
        <w:tc>
          <w:tcPr>
            <w:tcW w:w="2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1,318</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Borders>
              <w:top w:val="single" w:sz="8" w:color="auto"/>
              <w:bottom w:val="single" w:sz="8" w:color="auto"/>
            </w:tcBorders>
          </w:tcPr>
          <w:p>
            <w:pPr>
              <w:ind w:left="820"/>
              <w:spacing w:after="0" w:line="250" w:lineRule="exact"/>
              <w:rPr>
                <w:sz w:val="20"/>
                <w:szCs w:val="20"/>
                <w:color w:val="auto"/>
              </w:rPr>
            </w:pPr>
            <w:r>
              <w:rPr>
                <w:rFonts w:ascii="Arial" w:cs="Arial" w:eastAsia="Arial" w:hAnsi="Arial"/>
                <w:sz w:val="22"/>
                <w:szCs w:val="22"/>
                <w:b w:val="1"/>
                <w:bCs w:val="1"/>
                <w:color w:val="auto"/>
                <w:w w:val="81"/>
              </w:rPr>
              <w:t>146</w:t>
            </w:r>
          </w:p>
        </w:tc>
        <w:tc>
          <w:tcPr>
            <w:tcW w:w="40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79</w:t>
            </w:r>
          </w:p>
        </w:tc>
        <w:tc>
          <w:tcPr>
            <w:tcW w:w="4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6</w:t>
            </w:r>
          </w:p>
        </w:tc>
        <w:tc>
          <w:tcPr>
            <w:tcW w:w="4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25</w:t>
            </w:r>
          </w:p>
        </w:tc>
        <w:tc>
          <w:tcPr>
            <w:tcW w:w="3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1,573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right="100" w:firstLine="551"/>
        <w:spacing w:after="0" w:line="328" w:lineRule="auto"/>
        <w:rPr>
          <w:sz w:val="20"/>
          <w:szCs w:val="20"/>
          <w:color w:val="auto"/>
        </w:rPr>
      </w:pPr>
      <w:r>
        <w:rPr>
          <w:rFonts w:ascii="Arial" w:cs="Arial" w:eastAsia="Arial" w:hAnsi="Arial"/>
          <w:sz w:val="19"/>
          <w:szCs w:val="19"/>
          <w:color w:val="auto"/>
        </w:rPr>
        <w:t>In June 2021, the Company entered into a new lease agreement for additional office space in London, UK. The Company also extended the lease term of the existing office space, which resulted in the modification of the right-of-use asset.</w:t>
      </w:r>
    </w:p>
    <w:p>
      <w:pPr>
        <w:spacing w:after="0" w:line="105" w:lineRule="exact"/>
        <w:rPr>
          <w:sz w:val="20"/>
          <w:szCs w:val="20"/>
          <w:color w:val="auto"/>
        </w:rPr>
      </w:pPr>
    </w:p>
    <w:p>
      <w:pPr>
        <w:ind w:left="120" w:right="60" w:firstLine="551"/>
        <w:spacing w:after="0" w:line="273" w:lineRule="auto"/>
        <w:rPr>
          <w:sz w:val="20"/>
          <w:szCs w:val="20"/>
          <w:color w:val="auto"/>
        </w:rPr>
      </w:pPr>
      <w:r>
        <w:rPr>
          <w:rFonts w:ascii="Arial" w:cs="Arial" w:eastAsia="Arial" w:hAnsi="Arial"/>
          <w:sz w:val="19"/>
          <w:szCs w:val="19"/>
          <w:color w:val="auto"/>
        </w:rPr>
        <w:t>In August 2020, the Company modified the scope of the leased office space in the US included in the right-of-use asset (building). The revised lease payments were allocated between lease and non-lease components, determining a new lease term, and remeasuring the lease liability using a revised discount rate. This resulted in a reduction in the right-of-use asset of</w:t>
      </w:r>
    </w:p>
    <w:p>
      <w:pPr>
        <w:spacing w:after="0" w:line="1" w:lineRule="exact"/>
        <w:rPr>
          <w:sz w:val="20"/>
          <w:szCs w:val="20"/>
          <w:color w:val="auto"/>
        </w:rPr>
      </w:pPr>
    </w:p>
    <w:p>
      <w:pPr>
        <w:ind w:left="120" w:right="200"/>
        <w:spacing w:after="0" w:line="234" w:lineRule="auto"/>
        <w:rPr>
          <w:sz w:val="20"/>
          <w:szCs w:val="20"/>
          <w:color w:val="auto"/>
        </w:rPr>
      </w:pPr>
      <w:r>
        <w:rPr>
          <w:rFonts w:ascii="Arial" w:cs="Arial" w:eastAsia="Arial" w:hAnsi="Arial"/>
          <w:sz w:val="22"/>
          <w:szCs w:val="22"/>
          <w:color w:val="auto"/>
        </w:rPr>
        <w:t>£8.7 million and a reduction in lease liability of £9.5 million, with the associated gain on modification of £0.7 million recognized in the consolidated statement of comprehensive income/(loss). Related transaction costs of £2.5 million were also recognized in the consolidated statement of comprehensive income/(loss).</w:t>
      </w:r>
    </w:p>
    <w:p>
      <w:pPr>
        <w:spacing w:after="0" w:line="187" w:lineRule="exact"/>
        <w:rPr>
          <w:sz w:val="20"/>
          <w:szCs w:val="20"/>
          <w:color w:val="auto"/>
        </w:rPr>
      </w:pPr>
    </w:p>
    <w:p>
      <w:pPr>
        <w:ind w:left="120" w:right="220" w:firstLine="551"/>
        <w:spacing w:after="0"/>
        <w:rPr>
          <w:sz w:val="20"/>
          <w:szCs w:val="20"/>
          <w:color w:val="auto"/>
        </w:rPr>
      </w:pPr>
      <w:r>
        <w:rPr>
          <w:rFonts w:ascii="Arial" w:cs="Arial" w:eastAsia="Arial" w:hAnsi="Arial"/>
          <w:sz w:val="22"/>
          <w:szCs w:val="22"/>
          <w:color w:val="auto"/>
        </w:rPr>
        <w:t>The Company leases office space and equipment for use in research and development activities. In the year-ended December 31, 2021, the Company made lease payments of £0.7 million (2020: £2.1 million). The maturity of lease liabilities as of December 31, 2021 are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5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6"/>
              </w:rPr>
              <w:t>Between</w:t>
            </w:r>
          </w:p>
        </w:tc>
        <w:tc>
          <w:tcPr>
            <w:tcW w:w="118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6"/>
              </w:rPr>
              <w:t>Between</w:t>
            </w: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740" w:type="dxa"/>
            <w:vAlign w:val="bottom"/>
          </w:tcPr>
          <w:p>
            <w:pPr>
              <w:spacing w:after="0"/>
              <w:rPr>
                <w:sz w:val="21"/>
                <w:szCs w:val="21"/>
                <w:color w:val="auto"/>
              </w:rPr>
            </w:pPr>
          </w:p>
        </w:tc>
        <w:tc>
          <w:tcPr>
            <w:tcW w:w="120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93"/>
              </w:rPr>
              <w:t>Within 1</w:t>
            </w:r>
          </w:p>
        </w:tc>
        <w:tc>
          <w:tcPr>
            <w:tcW w:w="120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9"/>
              </w:rPr>
              <w:t>1 and 3</w:t>
            </w:r>
          </w:p>
        </w:tc>
        <w:tc>
          <w:tcPr>
            <w:tcW w:w="118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6"/>
              </w:rPr>
              <w:t>3 and 5</w:t>
            </w:r>
          </w:p>
        </w:tc>
        <w:tc>
          <w:tcPr>
            <w:tcW w:w="104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93"/>
              </w:rPr>
              <w:t>Over 5</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5740" w:type="dxa"/>
            <w:vAlign w:val="bottom"/>
          </w:tcPr>
          <w:p>
            <w:pPr>
              <w:spacing w:after="0"/>
              <w:rPr>
                <w:sz w:val="23"/>
                <w:szCs w:val="23"/>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8"/>
              </w:rPr>
              <w:t>year</w:t>
            </w:r>
          </w:p>
        </w:tc>
        <w:tc>
          <w:tcPr>
            <w:tcW w:w="120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3"/>
              </w:rPr>
              <w:t>years</w:t>
            </w:r>
          </w:p>
        </w:tc>
        <w:tc>
          <w:tcPr>
            <w:tcW w:w="118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6"/>
              </w:rPr>
              <w:t>years</w:t>
            </w:r>
          </w:p>
        </w:tc>
        <w:tc>
          <w:tcPr>
            <w:tcW w:w="104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3"/>
              </w:rPr>
              <w:t>years</w:t>
            </w:r>
          </w:p>
        </w:tc>
        <w:tc>
          <w:tcPr>
            <w:tcW w:w="660" w:type="dxa"/>
            <w:vAlign w:val="bottom"/>
            <w:gridSpan w:val="2"/>
          </w:tcPr>
          <w:p>
            <w:pPr>
              <w:ind w:left="60"/>
              <w:spacing w:after="0"/>
              <w:rPr>
                <w:sz w:val="20"/>
                <w:szCs w:val="20"/>
                <w:color w:val="auto"/>
              </w:rPr>
            </w:pPr>
            <w:r>
              <w:rPr>
                <w:rFonts w:ascii="Arial" w:cs="Arial" w:eastAsia="Arial" w:hAnsi="Arial"/>
                <w:sz w:val="22"/>
                <w:szCs w:val="22"/>
                <w:b w:val="1"/>
                <w:bCs w:val="1"/>
                <w:color w:val="auto"/>
              </w:rPr>
              <w:t>Total</w:t>
            </w:r>
          </w:p>
        </w:tc>
      </w:tr>
      <w:tr>
        <w:trPr>
          <w:trHeight w:val="237"/>
        </w:trPr>
        <w:tc>
          <w:tcPr>
            <w:tcW w:w="5740" w:type="dxa"/>
            <w:vAlign w:val="bottom"/>
          </w:tcPr>
          <w:p>
            <w:pPr>
              <w:spacing w:after="0"/>
              <w:rPr>
                <w:sz w:val="20"/>
                <w:szCs w:val="20"/>
                <w:color w:val="auto"/>
              </w:rPr>
            </w:pPr>
          </w:p>
        </w:tc>
        <w:tc>
          <w:tcPr>
            <w:tcW w:w="80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400" w:type="dxa"/>
            <w:vAlign w:val="bottom"/>
          </w:tcPr>
          <w:p>
            <w:pPr>
              <w:spacing w:after="0"/>
              <w:rPr>
                <w:sz w:val="20"/>
                <w:szCs w:val="20"/>
                <w:color w:val="auto"/>
              </w:rPr>
            </w:pPr>
          </w:p>
        </w:tc>
        <w:tc>
          <w:tcPr>
            <w:tcW w:w="80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400" w:type="dxa"/>
            <w:vAlign w:val="bottom"/>
          </w:tcPr>
          <w:p>
            <w:pPr>
              <w:spacing w:after="0"/>
              <w:rPr>
                <w:sz w:val="20"/>
                <w:szCs w:val="20"/>
                <w:color w:val="auto"/>
              </w:rPr>
            </w:pPr>
          </w:p>
        </w:tc>
        <w:tc>
          <w:tcPr>
            <w:tcW w:w="7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0" w:type="dxa"/>
            <w:vAlign w:val="bottom"/>
          </w:tcPr>
          <w:p>
            <w:pPr>
              <w:spacing w:after="0"/>
              <w:rPr>
                <w:sz w:val="20"/>
                <w:szCs w:val="20"/>
                <w:color w:val="auto"/>
              </w:rPr>
            </w:pPr>
          </w:p>
        </w:tc>
        <w:tc>
          <w:tcPr>
            <w:tcW w:w="6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400" w:type="dxa"/>
            <w:vAlign w:val="bottom"/>
          </w:tcPr>
          <w:p>
            <w:pPr>
              <w:spacing w:after="0"/>
              <w:rPr>
                <w:sz w:val="20"/>
                <w:szCs w:val="20"/>
                <w:color w:val="auto"/>
              </w:rPr>
            </w:pPr>
          </w:p>
        </w:tc>
        <w:tc>
          <w:tcPr>
            <w:tcW w:w="6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60" w:type="dxa"/>
            <w:vAlign w:val="bottom"/>
          </w:tcPr>
          <w:p>
            <w:pPr>
              <w:spacing w:after="0"/>
              <w:rPr>
                <w:sz w:val="20"/>
                <w:szCs w:val="20"/>
                <w:color w:val="auto"/>
              </w:rPr>
            </w:pPr>
          </w:p>
        </w:tc>
      </w:tr>
      <w:tr>
        <w:trPr>
          <w:trHeight w:val="243"/>
        </w:trPr>
        <w:tc>
          <w:tcPr>
            <w:tcW w:w="5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Maturity of lease liabilities</w:t>
            </w:r>
          </w:p>
        </w:tc>
        <w:tc>
          <w:tcPr>
            <w:tcW w:w="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622</w:t>
            </w: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972</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782</w:t>
            </w: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320"/>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b w:val="1"/>
                <w:bCs w:val="1"/>
                <w:color w:val="auto"/>
              </w:rPr>
              <w:t>2,376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Further details on the movements within lease liability are included in Note 23.</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7920" w:type="dxa"/>
            <w:vAlign w:val="bottom"/>
            <w:gridSpan w:val="2"/>
          </w:tcPr>
          <w:p>
            <w:pPr>
              <w:spacing w:after="0"/>
              <w:rPr>
                <w:sz w:val="20"/>
                <w:szCs w:val="20"/>
                <w:color w:val="auto"/>
              </w:rPr>
            </w:pPr>
            <w:r>
              <w:rPr>
                <w:rFonts w:ascii="Arial" w:cs="Arial" w:eastAsia="Arial" w:hAnsi="Arial"/>
                <w:sz w:val="22"/>
                <w:szCs w:val="22"/>
                <w:b w:val="1"/>
                <w:bCs w:val="1"/>
                <w:color w:val="auto"/>
              </w:rPr>
              <w:t>13. Intangible assets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7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320" w:type="dxa"/>
            <w:vAlign w:val="bottom"/>
            <w:gridSpan w:val="2"/>
          </w:tcPr>
          <w:p>
            <w:pPr>
              <w:jc w:val="center"/>
              <w:ind w:right="140"/>
              <w:spacing w:after="0" w:line="243" w:lineRule="exact"/>
              <w:rPr>
                <w:sz w:val="20"/>
                <w:szCs w:val="20"/>
                <w:color w:val="auto"/>
              </w:rPr>
            </w:pPr>
            <w:r>
              <w:rPr>
                <w:rFonts w:ascii="Arial" w:cs="Arial" w:eastAsia="Arial" w:hAnsi="Arial"/>
                <w:sz w:val="22"/>
                <w:szCs w:val="22"/>
                <w:b w:val="1"/>
                <w:bCs w:val="1"/>
                <w:color w:val="auto"/>
                <w:w w:val="86"/>
              </w:rPr>
              <w:t>development</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22"/>
                <w:szCs w:val="22"/>
                <w:b w:val="1"/>
                <w:bCs w:val="1"/>
                <w:color w:val="auto"/>
                <w:w w:val="88"/>
              </w:rPr>
              <w:t>programs</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Cost</w:t>
            </w: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Arial" w:cs="Arial" w:eastAsia="Arial" w:hAnsi="Arial"/>
                <w:sz w:val="22"/>
                <w:szCs w:val="22"/>
                <w:b w:val="1"/>
                <w:bCs w:val="1"/>
                <w:color w:val="auto"/>
              </w:rPr>
              <w:t>At January 1, 2020</w:t>
            </w:r>
          </w:p>
        </w:tc>
        <w:tc>
          <w:tcPr>
            <w:tcW w:w="1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45,527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Disposals</w:t>
            </w:r>
          </w:p>
        </w:tc>
        <w:tc>
          <w:tcPr>
            <w:tcW w:w="13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(13,386)</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Arial" w:cs="Arial" w:eastAsia="Arial" w:hAnsi="Arial"/>
                <w:sz w:val="22"/>
                <w:szCs w:val="22"/>
                <w:color w:val="auto"/>
              </w:rPr>
              <w:t>Currency translation effects</w:t>
            </w:r>
          </w:p>
        </w:tc>
        <w:tc>
          <w:tcPr>
            <w:tcW w:w="1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864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2020</w:t>
            </w:r>
          </w:p>
        </w:tc>
        <w:tc>
          <w:tcPr>
            <w:tcW w:w="1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33,005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Arial" w:cs="Arial" w:eastAsia="Arial" w:hAnsi="Arial"/>
                <w:sz w:val="22"/>
                <w:szCs w:val="22"/>
                <w:b w:val="1"/>
                <w:bCs w:val="1"/>
                <w:color w:val="auto"/>
              </w:rPr>
              <w:t>At December 31, 2021</w:t>
            </w:r>
          </w:p>
        </w:tc>
        <w:tc>
          <w:tcPr>
            <w:tcW w:w="1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33,005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60" w:type="dxa"/>
            <w:vAlign w:val="bottom"/>
          </w:tcPr>
          <w:p>
            <w:pPr>
              <w:spacing w:after="0"/>
              <w:rPr>
                <w:sz w:val="20"/>
                <w:szCs w:val="20"/>
                <w:color w:val="auto"/>
              </w:rPr>
            </w:pPr>
          </w:p>
        </w:tc>
        <w:tc>
          <w:tcPr>
            <w:tcW w:w="616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Revisions to estimated value</w:t>
            </w: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Arial" w:cs="Arial" w:eastAsia="Arial" w:hAnsi="Arial"/>
                <w:sz w:val="22"/>
                <w:szCs w:val="22"/>
                <w:b w:val="1"/>
                <w:bCs w:val="1"/>
                <w:color w:val="auto"/>
              </w:rPr>
              <w:t>At January 1, 2020</w:t>
            </w:r>
          </w:p>
        </w:tc>
        <w:tc>
          <w:tcPr>
            <w:tcW w:w="1320" w:type="dxa"/>
            <w:vAlign w:val="bottom"/>
            <w:gridSpan w:val="2"/>
          </w:tcPr>
          <w:p>
            <w:pPr>
              <w:jc w:val="right"/>
              <w:ind w:right="60"/>
              <w:spacing w:after="0" w:line="243" w:lineRule="exact"/>
              <w:rPr>
                <w:sz w:val="20"/>
                <w:szCs w:val="20"/>
                <w:color w:val="auto"/>
              </w:rPr>
            </w:pPr>
            <w:r>
              <w:rPr>
                <w:rFonts w:ascii="Arial" w:cs="Arial" w:eastAsia="Arial" w:hAnsi="Arial"/>
                <w:sz w:val="22"/>
                <w:szCs w:val="22"/>
                <w:b w:val="1"/>
                <w:bCs w:val="1"/>
                <w:color w:val="auto"/>
              </w:rPr>
              <w:t>(1,071)</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60" w:type="dxa"/>
            <w:vAlign w:val="bottom"/>
            <w:vMerge w:val="continue"/>
          </w:tcPr>
          <w:p>
            <w:pPr>
              <w:spacing w:after="0"/>
              <w:rPr>
                <w:sz w:val="21"/>
                <w:szCs w:val="21"/>
                <w:color w:val="auto"/>
              </w:rPr>
            </w:pPr>
          </w:p>
        </w:tc>
        <w:tc>
          <w:tcPr>
            <w:tcW w:w="6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Revisions to estimated value</w:t>
            </w:r>
          </w:p>
        </w:tc>
        <w:tc>
          <w:tcPr>
            <w:tcW w:w="13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(286)</w:t>
            </w:r>
          </w:p>
        </w:tc>
        <w:tc>
          <w:tcPr>
            <w:tcW w:w="0" w:type="dxa"/>
            <w:vAlign w:val="bottom"/>
          </w:tcPr>
          <w:p>
            <w:pPr>
              <w:spacing w:after="0"/>
              <w:rPr>
                <w:sz w:val="1"/>
                <w:szCs w:val="1"/>
                <w:color w:val="auto"/>
              </w:rPr>
            </w:pPr>
          </w:p>
        </w:tc>
      </w:tr>
      <w:tr>
        <w:trPr>
          <w:trHeight w:val="257"/>
        </w:trPr>
        <w:tc>
          <w:tcPr>
            <w:tcW w:w="1760" w:type="dxa"/>
            <w:vAlign w:val="bottom"/>
          </w:tcPr>
          <w:p>
            <w:pPr>
              <w:spacing w:after="0"/>
              <w:rPr>
                <w:sz w:val="22"/>
                <w:szCs w:val="22"/>
                <w:color w:val="auto"/>
              </w:rPr>
            </w:pPr>
          </w:p>
        </w:tc>
        <w:tc>
          <w:tcPr>
            <w:tcW w:w="6160" w:type="dxa"/>
            <w:vAlign w:val="bottom"/>
          </w:tcPr>
          <w:p>
            <w:pPr>
              <w:spacing w:after="0" w:line="250" w:lineRule="exact"/>
              <w:rPr>
                <w:sz w:val="20"/>
                <w:szCs w:val="20"/>
                <w:color w:val="auto"/>
              </w:rPr>
            </w:pPr>
            <w:r>
              <w:rPr>
                <w:rFonts w:ascii="Arial" w:cs="Arial" w:eastAsia="Arial" w:hAnsi="Arial"/>
                <w:sz w:val="22"/>
                <w:szCs w:val="22"/>
                <w:b w:val="1"/>
                <w:bCs w:val="1"/>
                <w:color w:val="auto"/>
              </w:rPr>
              <w:t>At December 31, 2020</w:t>
            </w:r>
          </w:p>
        </w:tc>
        <w:tc>
          <w:tcPr>
            <w:tcW w:w="1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(1,357)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Revisions to estimated value</w:t>
            </w:r>
          </w:p>
        </w:tc>
        <w:tc>
          <w:tcPr>
            <w:tcW w:w="1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2,373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6160" w:type="dxa"/>
            <w:vAlign w:val="bottom"/>
          </w:tcPr>
          <w:p>
            <w:pPr>
              <w:spacing w:after="0" w:line="243" w:lineRule="exact"/>
              <w:rPr>
                <w:sz w:val="20"/>
                <w:szCs w:val="20"/>
                <w:color w:val="auto"/>
              </w:rPr>
            </w:pPr>
            <w:r>
              <w:rPr>
                <w:rFonts w:ascii="Arial" w:cs="Arial" w:eastAsia="Arial" w:hAnsi="Arial"/>
                <w:sz w:val="22"/>
                <w:szCs w:val="22"/>
                <w:color w:val="auto"/>
              </w:rPr>
              <w:t>Out-license of intangible asset</w:t>
            </w:r>
          </w:p>
        </w:tc>
        <w:tc>
          <w:tcPr>
            <w:tcW w:w="13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(9,457)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1" w:orient="portrait"/>
          <w:cols w:equalWidth="0" w:num="1">
            <w:col w:w="11140"/>
          </w:cols>
          <w:pgMar w:left="320" w:top="473" w:right="439" w:bottom="0" w:gutter="0" w:footer="0" w:header="0"/>
        </w:sectPr>
      </w:pPr>
    </w:p>
    <w:bookmarkStart w:id="195" w:name="page196"/>
    <w:bookmarkEnd w:id="195"/>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22"/>
                <w:szCs w:val="22"/>
                <w:b w:val="1"/>
                <w:bCs w:val="1"/>
                <w:color w:val="auto"/>
              </w:rPr>
              <w:t>At December 31, 2021</w:t>
            </w:r>
          </w:p>
        </w:tc>
        <w:tc>
          <w:tcPr>
            <w:tcW w:w="4700" w:type="dxa"/>
            <w:vAlign w:val="bottom"/>
            <w:gridSpan w:val="3"/>
            <w:shd w:val="clear" w:color="auto" w:fill="CCEEFF"/>
          </w:tcPr>
          <w:p>
            <w:pPr>
              <w:jc w:val="right"/>
              <w:ind w:right="60"/>
              <w:spacing w:after="0"/>
              <w:rPr>
                <w:sz w:val="20"/>
                <w:szCs w:val="20"/>
                <w:color w:val="auto"/>
              </w:rPr>
            </w:pPr>
            <w:r>
              <w:rPr>
                <w:rFonts w:ascii="Arial" w:cs="Arial" w:eastAsia="Arial" w:hAnsi="Arial"/>
                <w:sz w:val="22"/>
                <w:szCs w:val="22"/>
                <w:b w:val="1"/>
                <w:bCs w:val="1"/>
                <w:color w:val="auto"/>
              </w:rPr>
              <w:t>(8,441)</w:t>
            </w:r>
          </w:p>
        </w:tc>
      </w:tr>
      <w:tr>
        <w:trPr>
          <w:trHeight w:val="250"/>
        </w:trPr>
        <w:tc>
          <w:tcPr>
            <w:tcW w:w="2780" w:type="dxa"/>
            <w:vAlign w:val="bottom"/>
            <w:gridSpan w:val="2"/>
          </w:tcPr>
          <w:p>
            <w:pPr>
              <w:spacing w:after="0" w:line="250" w:lineRule="exact"/>
              <w:rPr>
                <w:sz w:val="20"/>
                <w:szCs w:val="20"/>
                <w:color w:val="auto"/>
              </w:rPr>
            </w:pPr>
            <w:r>
              <w:rPr>
                <w:rFonts w:ascii="Arial" w:cs="Arial" w:eastAsia="Arial" w:hAnsi="Arial"/>
                <w:sz w:val="22"/>
                <w:szCs w:val="22"/>
                <w:color w:val="auto"/>
              </w:rPr>
              <w:t>Net book value</w:t>
            </w:r>
          </w:p>
        </w:tc>
        <w:tc>
          <w:tcPr>
            <w:tcW w:w="338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At January 1, 2020</w:t>
            </w:r>
          </w:p>
        </w:tc>
        <w:tc>
          <w:tcPr>
            <w:tcW w:w="45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44,456</w:t>
            </w:r>
          </w:p>
        </w:tc>
        <w:tc>
          <w:tcPr>
            <w:tcW w:w="14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Arial" w:cs="Arial" w:eastAsia="Arial" w:hAnsi="Arial"/>
                <w:sz w:val="22"/>
                <w:szCs w:val="22"/>
                <w:color w:val="auto"/>
              </w:rPr>
              <w:t>At December 31, 2020</w:t>
            </w:r>
          </w:p>
        </w:tc>
        <w:tc>
          <w:tcPr>
            <w:tcW w:w="3380" w:type="dxa"/>
            <w:vAlign w:val="bottom"/>
          </w:tcPr>
          <w:p>
            <w:pPr>
              <w:spacing w:after="0"/>
              <w:rPr>
                <w:sz w:val="21"/>
                <w:szCs w:val="21"/>
                <w:color w:val="auto"/>
              </w:rPr>
            </w:pPr>
          </w:p>
        </w:tc>
        <w:tc>
          <w:tcPr>
            <w:tcW w:w="1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31,648</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2021</w:t>
            </w:r>
          </w:p>
        </w:tc>
        <w:tc>
          <w:tcPr>
            <w:tcW w:w="338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24,564</w:t>
            </w:r>
          </w:p>
        </w:tc>
        <w:tc>
          <w:tcPr>
            <w:tcW w:w="14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00" w:type="dxa"/>
            <w:vAlign w:val="bottom"/>
            <w:gridSpan w:val="3"/>
          </w:tcPr>
          <w:p>
            <w:pPr>
              <w:jc w:val="right"/>
              <w:ind w:right="3540"/>
              <w:spacing w:after="0"/>
              <w:rPr>
                <w:sz w:val="20"/>
                <w:szCs w:val="20"/>
                <w:color w:val="auto"/>
              </w:rPr>
            </w:pPr>
            <w:r>
              <w:rPr>
                <w:rFonts w:ascii="Arial" w:cs="Arial" w:eastAsia="Arial" w:hAnsi="Arial"/>
                <w:sz w:val="22"/>
                <w:szCs w:val="22"/>
                <w:color w:val="auto"/>
              </w:rPr>
              <w:t>F-23</w:t>
            </w:r>
          </w:p>
        </w:tc>
      </w:tr>
    </w:tbl>
    <w:p>
      <w:pPr>
        <w:sectPr>
          <w:pgSz w:w="11900" w:h="16838" w:orient="portrait"/>
          <w:cols w:equalWidth="0" w:num="1">
            <w:col w:w="9019"/>
          </w:cols>
          <w:pgMar w:left="1440" w:top="130" w:right="1440" w:bottom="1440" w:gutter="0" w:footer="0" w:header="0"/>
        </w:sectPr>
      </w:pPr>
    </w:p>
    <w:bookmarkStart w:id="196" w:name="page197"/>
    <w:bookmarkEnd w:id="196"/>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300" w:firstLine="551"/>
        <w:spacing w:after="0" w:line="250" w:lineRule="auto"/>
        <w:rPr>
          <w:sz w:val="20"/>
          <w:szCs w:val="20"/>
          <w:color w:val="auto"/>
        </w:rPr>
      </w:pPr>
      <w:r>
        <w:rPr>
          <w:rFonts w:ascii="Arial" w:cs="Arial" w:eastAsia="Arial" w:hAnsi="Arial"/>
          <w:sz w:val="22"/>
          <w:szCs w:val="22"/>
          <w:color w:val="auto"/>
        </w:rPr>
        <w:t>The Company’s strategy is to acquire and develop clinical-stage development programs for the treatment of oncology and rare diseases.</w:t>
      </w:r>
    </w:p>
    <w:p>
      <w:pPr>
        <w:spacing w:after="0" w:line="175" w:lineRule="exact"/>
        <w:rPr>
          <w:sz w:val="20"/>
          <w:szCs w:val="20"/>
          <w:color w:val="auto"/>
        </w:rPr>
      </w:pPr>
    </w:p>
    <w:p>
      <w:pPr>
        <w:ind w:left="120" w:right="20" w:firstLine="551"/>
        <w:spacing w:after="0" w:line="277" w:lineRule="auto"/>
        <w:rPr>
          <w:sz w:val="20"/>
          <w:szCs w:val="20"/>
          <w:color w:val="auto"/>
        </w:rPr>
      </w:pPr>
      <w:r>
        <w:rPr>
          <w:rFonts w:ascii="Arial" w:cs="Arial" w:eastAsia="Arial" w:hAnsi="Arial"/>
          <w:sz w:val="19"/>
          <w:szCs w:val="19"/>
          <w:color w:val="auto"/>
        </w:rPr>
        <w:t>On January 25, 2021, the Company’s license and collaboration agreement with Ultragenyx for the development and commercialization of setrusumab for OI became effective. Under the terms of the agreement, the Company received an upfront payment of £36.5 million ($50 million). Additionally, the Company will be eligible to receive up to $254 million in future milestones and royalties. The license and collaboration agreement grants Ultragenyx an exclusive license to develop and commercialize setrusumab in the US and rest of the world, excluding Europe where the Company retains commercial rights. As a result, intangible assets with a carrying value of £9.5 million were derecognized and recorded within “Cost of revenue” in the Company’s consolidated statement of comprehensive income/(loss).</w:t>
      </w:r>
    </w:p>
    <w:p>
      <w:pPr>
        <w:spacing w:after="0" w:line="152" w:lineRule="exact"/>
        <w:rPr>
          <w:sz w:val="20"/>
          <w:szCs w:val="20"/>
          <w:color w:val="auto"/>
        </w:rPr>
      </w:pPr>
    </w:p>
    <w:p>
      <w:pPr>
        <w:ind w:left="120" w:firstLine="551"/>
        <w:spacing w:after="0" w:line="246" w:lineRule="auto"/>
        <w:rPr>
          <w:sz w:val="20"/>
          <w:szCs w:val="20"/>
          <w:color w:val="auto"/>
        </w:rPr>
      </w:pPr>
      <w:r>
        <w:rPr>
          <w:rFonts w:ascii="Arial" w:cs="Arial" w:eastAsia="Arial" w:hAnsi="Arial"/>
          <w:sz w:val="21"/>
          <w:szCs w:val="21"/>
          <w:color w:val="auto"/>
        </w:rPr>
        <w:t>In October 2017, the Company acquired the exclusive license for alvelestat and included the option to acquire certain assets from AstraZeneca AB (“AstraZeneca”). On that date the fair value of alvelestat was measured at £7.2 million, which consisted of upfront cash and equity payments as well as deferred cash and equity consideration. The provision for deferred cash consideration is re-measured to fair value at each balance sheet date and recognized as an increase to, or reduction of, the intangible asset. During the year, the provision for deferred cash consideration has increased by £2.4 million (2020: decrease of £0.3 million) due to changes in timelines and the probability of contractual milestones being achieved. Refer to Note 18 and Note 24 for additional information.</w:t>
      </w:r>
    </w:p>
    <w:p>
      <w:pPr>
        <w:spacing w:after="0" w:line="184" w:lineRule="exact"/>
        <w:rPr>
          <w:sz w:val="20"/>
          <w:szCs w:val="20"/>
          <w:color w:val="auto"/>
        </w:rPr>
      </w:pPr>
    </w:p>
    <w:p>
      <w:pPr>
        <w:ind w:left="120" w:right="440" w:firstLine="551"/>
        <w:spacing w:after="0" w:line="250" w:lineRule="auto"/>
        <w:rPr>
          <w:sz w:val="20"/>
          <w:szCs w:val="20"/>
          <w:color w:val="auto"/>
        </w:rPr>
      </w:pPr>
      <w:r>
        <w:rPr>
          <w:rFonts w:ascii="Arial" w:cs="Arial" w:eastAsia="Arial" w:hAnsi="Arial"/>
          <w:sz w:val="22"/>
          <w:szCs w:val="22"/>
          <w:color w:val="auto"/>
        </w:rPr>
        <w:t>During the year the Company did not revise the value of any other intangible assets. As the intangible assets remain under development, no amortization charge has been recognized (2020: £nil).</w:t>
      </w:r>
    </w:p>
    <w:p>
      <w:pPr>
        <w:spacing w:after="0" w:line="175"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21"/>
          <w:szCs w:val="21"/>
          <w:color w:val="auto"/>
        </w:rPr>
        <w:t>On April 23, 2019, the Company acquired an intangible asset of £12.7 million following the acquisition of Mereo BioPharma 5, Inc. The intangible asset represented the intellectual property associated with etigilimab and navicixizumab, among others, for which the fair value at acquisition was fully attributed to navicixizumab. On January 13, 2020, the Company entered into a license agreement with OncXerna under which an exclusive worldwide license was granted in respect of intellectual property rights for the development and commercialization of navicixizumab. Under the terms of the license agreement, the Company received an upfront gross payment of £3.1 million ($4 million), and derecognized the associated intangible asset, recording a loss on disposal of £10.9 million.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Impairment testing of acquired development programs not yet available for use</w:t>
      </w:r>
    </w:p>
    <w:p>
      <w:pPr>
        <w:spacing w:after="0" w:line="104" w:lineRule="exact"/>
        <w:rPr>
          <w:sz w:val="20"/>
          <w:szCs w:val="20"/>
          <w:color w:val="auto"/>
        </w:rPr>
      </w:pPr>
    </w:p>
    <w:p>
      <w:pPr>
        <w:ind w:left="120" w:right="60" w:firstLine="551"/>
        <w:spacing w:after="0" w:line="250" w:lineRule="auto"/>
        <w:rPr>
          <w:sz w:val="20"/>
          <w:szCs w:val="20"/>
          <w:color w:val="auto"/>
        </w:rPr>
      </w:pPr>
      <w:r>
        <w:rPr>
          <w:rFonts w:ascii="Arial" w:cs="Arial" w:eastAsia="Arial" w:hAnsi="Arial"/>
          <w:sz w:val="22"/>
          <w:szCs w:val="22"/>
          <w:color w:val="auto"/>
        </w:rPr>
        <w:t>Acquired development programs not yet available for use are assessed annually for impairment. The carrying amount of acquired development programs is as follows: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6800" w:type="dxa"/>
            <w:vAlign w:val="bottom"/>
          </w:tcPr>
          <w:p>
            <w:pPr>
              <w:spacing w:after="0"/>
              <w:rPr>
                <w:sz w:val="23"/>
                <w:szCs w:val="23"/>
                <w:color w:val="auto"/>
              </w:rPr>
            </w:pPr>
          </w:p>
        </w:tc>
        <w:tc>
          <w:tcPr>
            <w:tcW w:w="1560" w:type="dxa"/>
            <w:vAlign w:val="bottom"/>
            <w:gridSpan w:val="4"/>
          </w:tcPr>
          <w:p>
            <w:pPr>
              <w:ind w:left="140"/>
              <w:spacing w:after="0"/>
              <w:rPr>
                <w:sz w:val="20"/>
                <w:szCs w:val="20"/>
                <w:color w:val="auto"/>
              </w:rPr>
            </w:pPr>
            <w:r>
              <w:rPr>
                <w:rFonts w:ascii="Arial" w:cs="Arial" w:eastAsia="Arial" w:hAnsi="Arial"/>
                <w:sz w:val="22"/>
                <w:szCs w:val="22"/>
                <w:b w:val="1"/>
                <w:bCs w:val="1"/>
                <w:color w:val="auto"/>
                <w:w w:val="97"/>
              </w:rPr>
              <w:t>December 31,</w:t>
            </w:r>
          </w:p>
        </w:tc>
      </w:tr>
      <w:tr>
        <w:trPr>
          <w:trHeight w:val="237"/>
        </w:trPr>
        <w:tc>
          <w:tcPr>
            <w:tcW w:w="68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2021</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r>
      <w:tr>
        <w:trPr>
          <w:trHeight w:val="236"/>
        </w:trPr>
        <w:tc>
          <w:tcPr>
            <w:tcW w:w="6800" w:type="dxa"/>
            <w:vAlign w:val="bottom"/>
          </w:tcPr>
          <w:p>
            <w:pPr>
              <w:spacing w:after="0"/>
              <w:rPr>
                <w:sz w:val="20"/>
                <w:szCs w:val="20"/>
                <w:color w:val="auto"/>
              </w:rPr>
            </w:pPr>
          </w:p>
        </w:tc>
        <w:tc>
          <w:tcPr>
            <w:tcW w:w="66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200" w:type="dxa"/>
            <w:vAlign w:val="bottom"/>
          </w:tcPr>
          <w:p>
            <w:pPr>
              <w:spacing w:after="0"/>
              <w:rPr>
                <w:sz w:val="20"/>
                <w:szCs w:val="20"/>
                <w:color w:val="auto"/>
              </w:rPr>
            </w:pPr>
          </w:p>
        </w:tc>
        <w:tc>
          <w:tcPr>
            <w:tcW w:w="66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 w:type="dxa"/>
            <w:vAlign w:val="bottom"/>
          </w:tcPr>
          <w:p>
            <w:pPr>
              <w:spacing w:after="0"/>
              <w:rPr>
                <w:sz w:val="20"/>
                <w:szCs w:val="20"/>
                <w:color w:val="auto"/>
              </w:rPr>
            </w:pPr>
          </w:p>
        </w:tc>
      </w:tr>
      <w:tr>
        <w:trPr>
          <w:trHeight w:val="243"/>
        </w:trPr>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BPS-804 (setrusumab)</w:t>
            </w:r>
          </w:p>
        </w:tc>
        <w:tc>
          <w:tcPr>
            <w:tcW w:w="860" w:type="dxa"/>
            <w:vAlign w:val="bottom"/>
            <w:gridSpan w:val="2"/>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rPr>
              <w:t>2,159</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w w:val="95"/>
              </w:rPr>
              <w:t>11,616</w:t>
            </w:r>
          </w:p>
        </w:tc>
      </w:tr>
      <w:tr>
        <w:trPr>
          <w:trHeight w:val="243"/>
        </w:trPr>
        <w:tc>
          <w:tcPr>
            <w:tcW w:w="6800" w:type="dxa"/>
            <w:vAlign w:val="bottom"/>
          </w:tcPr>
          <w:p>
            <w:pPr>
              <w:spacing w:after="0" w:line="243" w:lineRule="exact"/>
              <w:rPr>
                <w:sz w:val="20"/>
                <w:szCs w:val="20"/>
                <w:color w:val="auto"/>
              </w:rPr>
            </w:pPr>
            <w:r>
              <w:rPr>
                <w:rFonts w:ascii="Arial" w:cs="Arial" w:eastAsia="Arial" w:hAnsi="Arial"/>
                <w:sz w:val="22"/>
                <w:szCs w:val="22"/>
                <w:color w:val="auto"/>
              </w:rPr>
              <w:t>MPH-966 (alvelestat)</w:t>
            </w:r>
          </w:p>
        </w:tc>
        <w:tc>
          <w:tcPr>
            <w:tcW w:w="86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8,208</w:t>
            </w:r>
          </w:p>
        </w:tc>
        <w:tc>
          <w:tcPr>
            <w:tcW w:w="7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5,835</w:t>
            </w:r>
          </w:p>
        </w:tc>
      </w:tr>
      <w:tr>
        <w:trPr>
          <w:trHeight w:val="243"/>
        </w:trPr>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BSG-649 (leflutrozole)</w:t>
            </w:r>
          </w:p>
        </w:tc>
        <w:tc>
          <w:tcPr>
            <w:tcW w:w="860" w:type="dxa"/>
            <w:vAlign w:val="bottom"/>
            <w:gridSpan w:val="2"/>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rPr>
              <w:t>9,886</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9,886</w:t>
            </w:r>
          </w:p>
        </w:tc>
      </w:tr>
      <w:tr>
        <w:trPr>
          <w:trHeight w:val="250"/>
        </w:trPr>
        <w:tc>
          <w:tcPr>
            <w:tcW w:w="6800" w:type="dxa"/>
            <w:vAlign w:val="bottom"/>
          </w:tcPr>
          <w:p>
            <w:pPr>
              <w:spacing w:after="0" w:line="243" w:lineRule="exact"/>
              <w:rPr>
                <w:sz w:val="20"/>
                <w:szCs w:val="20"/>
                <w:color w:val="auto"/>
              </w:rPr>
            </w:pPr>
            <w:r>
              <w:rPr>
                <w:rFonts w:ascii="Arial" w:cs="Arial" w:eastAsia="Arial" w:hAnsi="Arial"/>
                <w:sz w:val="22"/>
                <w:szCs w:val="22"/>
                <w:color w:val="auto"/>
              </w:rPr>
              <w:t>BCT-197 (acumapimod)</w:t>
            </w:r>
          </w:p>
        </w:tc>
        <w:tc>
          <w:tcPr>
            <w:tcW w:w="6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4,311</w:t>
            </w:r>
          </w:p>
        </w:tc>
        <w:tc>
          <w:tcPr>
            <w:tcW w:w="200" w:type="dxa"/>
            <w:vAlign w:val="bottom"/>
          </w:tcPr>
          <w:p>
            <w:pPr>
              <w:spacing w:after="0"/>
              <w:rPr>
                <w:sz w:val="21"/>
                <w:szCs w:val="21"/>
                <w:color w:val="auto"/>
              </w:rPr>
            </w:pPr>
          </w:p>
        </w:tc>
        <w:tc>
          <w:tcPr>
            <w:tcW w:w="6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4,311</w:t>
            </w:r>
          </w:p>
        </w:tc>
        <w:tc>
          <w:tcPr>
            <w:tcW w:w="40" w:type="dxa"/>
            <w:vAlign w:val="bottom"/>
          </w:tcPr>
          <w:p>
            <w:pPr>
              <w:spacing w:after="0"/>
              <w:rPr>
                <w:sz w:val="21"/>
                <w:szCs w:val="21"/>
                <w:color w:val="auto"/>
              </w:rPr>
            </w:pPr>
          </w:p>
        </w:tc>
      </w:tr>
      <w:tr>
        <w:trPr>
          <w:trHeight w:val="243"/>
        </w:trPr>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w:t>
            </w:r>
          </w:p>
        </w:tc>
        <w:tc>
          <w:tcPr>
            <w:tcW w:w="860" w:type="dxa"/>
            <w:vAlign w:val="bottom"/>
            <w:gridSpan w:val="2"/>
            <w:shd w:val="clear" w:color="auto" w:fill="CCEEFF"/>
          </w:tcPr>
          <w:p>
            <w:pPr>
              <w:jc w:val="right"/>
              <w:ind w:right="200"/>
              <w:spacing w:after="0" w:line="243" w:lineRule="exact"/>
              <w:rPr>
                <w:sz w:val="20"/>
                <w:szCs w:val="20"/>
                <w:color w:val="auto"/>
              </w:rPr>
            </w:pPr>
            <w:r>
              <w:rPr>
                <w:rFonts w:ascii="Arial" w:cs="Arial" w:eastAsia="Arial" w:hAnsi="Arial"/>
                <w:sz w:val="22"/>
                <w:szCs w:val="22"/>
                <w:b w:val="1"/>
                <w:bCs w:val="1"/>
                <w:color w:val="auto"/>
                <w:w w:val="95"/>
              </w:rPr>
              <w:t>24,564</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b w:val="1"/>
                <w:bCs w:val="1"/>
                <w:color w:val="auto"/>
                <w:w w:val="95"/>
              </w:rPr>
              <w:t>31,648</w:t>
            </w: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22"/>
          <w:szCs w:val="22"/>
          <w:color w:val="auto"/>
        </w:rPr>
        <w:t>The Company considers the future development costs, the probability of successfully progressing each program to product approval and the likely commercial returns after product approval, among other factors, when reviewing for indicators of impairment. The results of this testing did not indicate any impairment of the acquired products’ rights for the year ended December 31, 2021. Management believes that the likelihood of a materially different outcome using different assumptions is remote.</w:t>
      </w:r>
    </w:p>
    <w:p>
      <w:pPr>
        <w:spacing w:after="0" w:line="187" w:lineRule="exact"/>
        <w:rPr>
          <w:sz w:val="20"/>
          <w:szCs w:val="20"/>
          <w:color w:val="auto"/>
        </w:rPr>
      </w:pPr>
    </w:p>
    <w:p>
      <w:pPr>
        <w:ind w:left="120" w:right="120" w:firstLine="551"/>
        <w:spacing w:after="0" w:line="277" w:lineRule="auto"/>
        <w:rPr>
          <w:sz w:val="20"/>
          <w:szCs w:val="20"/>
          <w:color w:val="auto"/>
        </w:rPr>
      </w:pPr>
      <w:r>
        <w:rPr>
          <w:rFonts w:ascii="Arial" w:cs="Arial" w:eastAsia="Arial" w:hAnsi="Arial"/>
          <w:sz w:val="19"/>
          <w:szCs w:val="19"/>
          <w:color w:val="auto"/>
        </w:rPr>
        <w:t>The acquired development programs are assets which are not used in commercialized products. These assets have not yet begun to be amortized but have been tested for impairment by assessing their value in use. Value in 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Company receives upfront payments, milestone receipts and royalties on commercial sales; therefore, the Company does not incur any costs of commercialization after out-licensing except when such terms are agreed.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Key assumptions for the value in use calculations are described as follows:</w:t>
      </w:r>
    </w:p>
    <w:p>
      <w:pPr>
        <w:spacing w:after="0" w:line="112" w:lineRule="exact"/>
        <w:rPr>
          <w:sz w:val="20"/>
          <w:szCs w:val="20"/>
          <w:color w:val="auto"/>
        </w:rPr>
      </w:pPr>
    </w:p>
    <w:p>
      <w:pPr>
        <w:ind w:left="1420" w:right="220" w:hanging="535"/>
        <w:spacing w:after="0" w:line="297" w:lineRule="auto"/>
        <w:tabs>
          <w:tab w:leader="none" w:pos="14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Development costs to obtain regulatory approval – costs are estimated net of any contributions expected from collaborative arrangements with future partners. Management have developed cost estimates based on their previous experience and in conjunction with the expertise of their clinical development partners;</w:t>
      </w:r>
    </w:p>
    <w:p>
      <w:pPr>
        <w:sectPr>
          <w:pgSz w:w="11900" w:h="16965" w:orient="portrait"/>
          <w:cols w:equalWidth="0" w:num="1">
            <w:col w:w="11120"/>
          </w:cols>
          <w:pgMar w:left="320" w:top="486" w:right="459" w:bottom="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9"/>
          <w:szCs w:val="19"/>
          <w:color w:val="auto"/>
        </w:rPr>
        <w:t>F-24</w:t>
      </w:r>
    </w:p>
    <w:p>
      <w:pPr>
        <w:sectPr>
          <w:pgSz w:w="11900" w:h="16838" w:orient="portrait"/>
          <w:cols w:equalWidth="0" w:num="1">
            <w:col w:w="9019"/>
          </w:cols>
          <w:pgMar w:left="1440" w:top="267" w:right="1440" w:bottom="1440" w:gutter="0" w:footer="0" w:header="0"/>
        </w:sectPr>
      </w:pPr>
    </w:p>
    <w:bookmarkStart w:id="198" w:name="page199"/>
    <w:bookmarkEnd w:id="19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jc w:val="both"/>
        <w:ind w:left="1420" w:right="620" w:hanging="535"/>
        <w:spacing w:after="0" w:line="257" w:lineRule="auto"/>
        <w:tabs>
          <w:tab w:leader="none" w:pos="14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Launch dates of products – these reflect management’s expected date of launch for products based on the timeline of development programs required to obtain regulatory approval. The assumptions are based on management’s and clinical development partners’ prior experience;</w:t>
      </w:r>
    </w:p>
    <w:p>
      <w:pPr>
        <w:spacing w:after="0" w:line="74" w:lineRule="exact"/>
        <w:rPr>
          <w:rFonts w:ascii="Arial" w:cs="Arial" w:eastAsia="Arial" w:hAnsi="Arial"/>
          <w:sz w:val="21"/>
          <w:szCs w:val="21"/>
          <w:color w:val="auto"/>
        </w:rPr>
      </w:pPr>
    </w:p>
    <w:p>
      <w:pPr>
        <w:ind w:left="1420" w:right="600" w:hanging="535"/>
        <w:spacing w:after="0" w:line="250" w:lineRule="auto"/>
        <w:tabs>
          <w:tab w:leader="none" w:pos="14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Probability of successful development – management estimates probabilities of success for each phase of development based on industry averages and knowledge of specific programs;</w:t>
      </w:r>
    </w:p>
    <w:p>
      <w:pPr>
        <w:spacing w:after="0" w:line="80" w:lineRule="exact"/>
        <w:rPr>
          <w:rFonts w:ascii="Arial" w:cs="Arial" w:eastAsia="Arial" w:hAnsi="Arial"/>
          <w:sz w:val="22"/>
          <w:szCs w:val="22"/>
          <w:color w:val="auto"/>
        </w:rPr>
      </w:pPr>
    </w:p>
    <w:p>
      <w:pPr>
        <w:ind w:left="1420" w:hanging="535"/>
        <w:spacing w:after="0"/>
        <w:tabs>
          <w:tab w:leader="none" w:pos="14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Out-licensing signature fees, milestones and royalty rates on sales – management estimates these amounts based on prior experience and access to values from similar transactions in the industry, which are collated and accessible from specialist third-party sources;</w:t>
      </w:r>
    </w:p>
    <w:p>
      <w:pPr>
        <w:spacing w:after="0" w:line="91" w:lineRule="exact"/>
        <w:rPr>
          <w:rFonts w:ascii="Arial" w:cs="Arial" w:eastAsia="Arial" w:hAnsi="Arial"/>
          <w:sz w:val="22"/>
          <w:szCs w:val="22"/>
          <w:color w:val="auto"/>
        </w:rPr>
      </w:pPr>
    </w:p>
    <w:p>
      <w:pPr>
        <w:ind w:left="1420" w:right="40" w:hanging="535"/>
        <w:spacing w:after="0" w:line="250" w:lineRule="auto"/>
        <w:tabs>
          <w:tab w:leader="none" w:pos="14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Sales projections – these are based on management’s internal projections using external market data and market research commissioned by the Company;</w:t>
      </w:r>
    </w:p>
    <w:p>
      <w:pPr>
        <w:spacing w:after="0" w:line="80" w:lineRule="exact"/>
        <w:rPr>
          <w:rFonts w:ascii="Arial" w:cs="Arial" w:eastAsia="Arial" w:hAnsi="Arial"/>
          <w:sz w:val="22"/>
          <w:szCs w:val="22"/>
          <w:color w:val="auto"/>
        </w:rPr>
      </w:pPr>
    </w:p>
    <w:p>
      <w:pPr>
        <w:ind w:left="1420" w:right="620" w:hanging="535"/>
        <w:spacing w:after="0" w:line="297" w:lineRule="auto"/>
        <w:tabs>
          <w:tab w:leader="none" w:pos="14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Profit margins and other operational expenses – these are based on the Company’s internal projections of current product manufacturing costings, with input from manufacturing partners where applicable, and estimates of operating costs based on management’s prior industry experience;</w:t>
      </w:r>
    </w:p>
    <w:p>
      <w:pPr>
        <w:spacing w:after="0" w:line="39" w:lineRule="exact"/>
        <w:rPr>
          <w:rFonts w:ascii="Arial" w:cs="Arial" w:eastAsia="Arial" w:hAnsi="Arial"/>
          <w:sz w:val="19"/>
          <w:szCs w:val="19"/>
          <w:color w:val="auto"/>
        </w:rPr>
      </w:pPr>
    </w:p>
    <w:p>
      <w:pPr>
        <w:ind w:left="1420" w:right="220" w:hanging="535"/>
        <w:spacing w:after="0" w:line="250" w:lineRule="auto"/>
        <w:tabs>
          <w:tab w:leader="none" w:pos="14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Cash flow projections – for all assets, cash flows are assessed over an industry-standard asset life of 20 years; and</w:t>
      </w:r>
    </w:p>
    <w:p>
      <w:pPr>
        <w:spacing w:after="0" w:line="80" w:lineRule="exact"/>
        <w:rPr>
          <w:rFonts w:ascii="Arial" w:cs="Arial" w:eastAsia="Arial" w:hAnsi="Arial"/>
          <w:sz w:val="22"/>
          <w:szCs w:val="22"/>
          <w:color w:val="auto"/>
        </w:rPr>
      </w:pPr>
    </w:p>
    <w:p>
      <w:pPr>
        <w:ind w:left="1420" w:right="260" w:hanging="535"/>
        <w:spacing w:after="0"/>
        <w:tabs>
          <w:tab w:leader="none" w:pos="14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Discount rates – the discount rate is estimated on a pre-tax basis reflecting the estimated cost of capital of the Company and is applied consistently across each of the acquired development programs. The cost of capital was calculated at 12.0% (2020: 12.0%).</w:t>
      </w:r>
    </w:p>
    <w:p>
      <w:pPr>
        <w:spacing w:after="0" w:line="186" w:lineRule="exact"/>
        <w:rPr>
          <w:sz w:val="20"/>
          <w:szCs w:val="20"/>
          <w:color w:val="auto"/>
        </w:rPr>
      </w:pPr>
    </w:p>
    <w:p>
      <w:pPr>
        <w:ind w:left="120" w:right="1120" w:firstLine="551"/>
        <w:spacing w:after="0" w:line="250" w:lineRule="auto"/>
        <w:rPr>
          <w:sz w:val="20"/>
          <w:szCs w:val="20"/>
          <w:color w:val="auto"/>
        </w:rPr>
      </w:pPr>
      <w:r>
        <w:rPr>
          <w:rFonts w:ascii="Arial" w:cs="Arial" w:eastAsia="Arial" w:hAnsi="Arial"/>
          <w:sz w:val="22"/>
          <w:szCs w:val="22"/>
          <w:color w:val="auto"/>
        </w:rPr>
        <w:t>Where an out-licensing agreement has been reached with a third party, known and observable inputs replace management assumptions if available.</w:t>
      </w:r>
    </w:p>
    <w:p>
      <w:pPr>
        <w:spacing w:after="0" w:line="175" w:lineRule="exact"/>
        <w:rPr>
          <w:sz w:val="20"/>
          <w:szCs w:val="20"/>
          <w:color w:val="auto"/>
        </w:rPr>
      </w:pPr>
    </w:p>
    <w:p>
      <w:pPr>
        <w:jc w:val="both"/>
        <w:ind w:left="120" w:right="160" w:firstLine="551"/>
        <w:spacing w:after="0"/>
        <w:rPr>
          <w:sz w:val="20"/>
          <w:szCs w:val="20"/>
          <w:color w:val="auto"/>
        </w:rPr>
      </w:pPr>
      <w:r>
        <w:rPr>
          <w:rFonts w:ascii="Arial" w:cs="Arial" w:eastAsia="Arial" w:hAnsi="Arial"/>
          <w:sz w:val="22"/>
          <w:szCs w:val="22"/>
          <w:color w:val="auto"/>
        </w:rPr>
        <w:t>At this stage of product development, the key sensitivity for all development programs is the probability of successful completion of clinical trials in order to obtain regulatory approval necessary for commercial sales. Therefore, full impairment of a development program is expected should such clinical trials be unsuccessful.</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8060" w:type="dxa"/>
            <w:vAlign w:val="bottom"/>
            <w:gridSpan w:val="2"/>
          </w:tcPr>
          <w:p>
            <w:pPr>
              <w:spacing w:after="0"/>
              <w:rPr>
                <w:sz w:val="20"/>
                <w:szCs w:val="20"/>
                <w:color w:val="auto"/>
              </w:rPr>
            </w:pPr>
            <w:r>
              <w:rPr>
                <w:rFonts w:ascii="Arial" w:cs="Arial" w:eastAsia="Arial" w:hAnsi="Arial"/>
                <w:sz w:val="22"/>
                <w:szCs w:val="22"/>
                <w:b w:val="1"/>
                <w:bCs w:val="1"/>
                <w:color w:val="auto"/>
              </w:rPr>
              <w:t>15. Other receivables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6"/>
          </w:tcPr>
          <w:p>
            <w:pPr>
              <w:ind w:left="100"/>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0" w:type="dxa"/>
            <w:vAlign w:val="bottom"/>
            <w:tcBorders>
              <w:top w:val="single" w:sz="8" w:color="auto"/>
            </w:tcBorders>
            <w:gridSpan w:val="2"/>
          </w:tcPr>
          <w:p>
            <w:pPr>
              <w:ind w:left="100"/>
              <w:spacing w:after="0" w:line="237" w:lineRule="exact"/>
              <w:rPr>
                <w:sz w:val="20"/>
                <w:szCs w:val="20"/>
                <w:color w:val="auto"/>
              </w:rPr>
            </w:pPr>
            <w:r>
              <w:rPr>
                <w:rFonts w:ascii="Arial" w:cs="Arial" w:eastAsia="Arial" w:hAnsi="Arial"/>
                <w:sz w:val="22"/>
                <w:szCs w:val="22"/>
                <w:b w:val="1"/>
                <w:bCs w:val="1"/>
                <w:color w:val="auto"/>
                <w:w w:val="98"/>
              </w:rPr>
              <w:t>2021</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Lease deposits</w:t>
            </w:r>
          </w:p>
        </w:tc>
        <w:tc>
          <w:tcPr>
            <w:tcW w:w="720" w:type="dxa"/>
            <w:vAlign w:val="bottom"/>
            <w:gridSpan w:val="3"/>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408</w:t>
            </w:r>
          </w:p>
        </w:tc>
        <w:tc>
          <w:tcPr>
            <w:tcW w:w="2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407</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Arial" w:cs="Arial" w:eastAsia="Arial" w:hAnsi="Arial"/>
                <w:sz w:val="22"/>
                <w:szCs w:val="22"/>
                <w:color w:val="auto"/>
              </w:rPr>
              <w:t>VAT recoverable</w:t>
            </w:r>
          </w:p>
        </w:tc>
        <w:tc>
          <w:tcPr>
            <w:tcW w:w="72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387</w:t>
            </w:r>
          </w:p>
        </w:tc>
        <w:tc>
          <w:tcPr>
            <w:tcW w:w="200" w:type="dxa"/>
            <w:vAlign w:val="bottom"/>
          </w:tcPr>
          <w:p>
            <w:pPr>
              <w:spacing w:after="0"/>
              <w:rPr>
                <w:sz w:val="21"/>
                <w:szCs w:val="21"/>
                <w:color w:val="auto"/>
              </w:rPr>
            </w:pPr>
          </w:p>
        </w:tc>
        <w:tc>
          <w:tcPr>
            <w:tcW w:w="700" w:type="dxa"/>
            <w:vAlign w:val="bottom"/>
            <w:gridSpan w:val="3"/>
          </w:tcPr>
          <w:p>
            <w:pPr>
              <w:jc w:val="right"/>
              <w:ind w:right="40"/>
              <w:spacing w:after="0" w:line="243" w:lineRule="exact"/>
              <w:rPr>
                <w:sz w:val="20"/>
                <w:szCs w:val="20"/>
                <w:color w:val="auto"/>
              </w:rPr>
            </w:pPr>
            <w:r>
              <w:rPr>
                <w:rFonts w:ascii="Arial" w:cs="Arial" w:eastAsia="Arial" w:hAnsi="Arial"/>
                <w:sz w:val="22"/>
                <w:szCs w:val="22"/>
                <w:color w:val="auto"/>
              </w:rPr>
              <w:t>370</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w:t>
            </w:r>
          </w:p>
        </w:tc>
        <w:tc>
          <w:tcPr>
            <w:tcW w:w="720" w:type="dxa"/>
            <w:vAlign w:val="bottom"/>
            <w:gridSpan w:val="3"/>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624</w:t>
            </w:r>
          </w:p>
        </w:tc>
        <w:tc>
          <w:tcPr>
            <w:tcW w:w="2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239</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6740" w:type="dxa"/>
            <w:vAlign w:val="bottom"/>
          </w:tcPr>
          <w:p>
            <w:pPr>
              <w:spacing w:after="0" w:line="250" w:lineRule="exact"/>
              <w:rPr>
                <w:sz w:val="20"/>
                <w:szCs w:val="20"/>
                <w:color w:val="auto"/>
              </w:rPr>
            </w:pPr>
            <w:r>
              <w:rPr>
                <w:rFonts w:ascii="Arial" w:cs="Arial" w:eastAsia="Arial" w:hAnsi="Arial"/>
                <w:sz w:val="22"/>
                <w:szCs w:val="22"/>
                <w:b w:val="1"/>
                <w:bCs w:val="1"/>
                <w:color w:val="auto"/>
              </w:rPr>
              <w:t>Total</w:t>
            </w:r>
          </w:p>
        </w:tc>
        <w:tc>
          <w:tcPr>
            <w:tcW w:w="60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22"/>
                <w:szCs w:val="22"/>
                <w:b w:val="1"/>
                <w:bCs w:val="1"/>
                <w:color w:val="auto"/>
              </w:rPr>
              <w:t>1,419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16. Cash and short-term deposits</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80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6"/>
          </w:tcPr>
          <w:p>
            <w:pPr>
              <w:ind w:left="140"/>
              <w:spacing w:after="0"/>
              <w:rPr>
                <w:sz w:val="20"/>
                <w:szCs w:val="20"/>
                <w:color w:val="auto"/>
              </w:rPr>
            </w:pPr>
            <w:r>
              <w:rPr>
                <w:rFonts w:ascii="Arial" w:cs="Arial" w:eastAsia="Arial" w:hAnsi="Arial"/>
                <w:sz w:val="22"/>
                <w:szCs w:val="22"/>
                <w:b w:val="1"/>
                <w:bCs w:val="1"/>
                <w:color w:val="auto"/>
                <w:w w:val="97"/>
              </w:rPr>
              <w:t>December 31,</w:t>
            </w: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120"/>
              <w:spacing w:after="0" w:line="237" w:lineRule="exact"/>
              <w:rPr>
                <w:sz w:val="20"/>
                <w:szCs w:val="20"/>
                <w:color w:val="auto"/>
              </w:rPr>
            </w:pPr>
            <w:r>
              <w:rPr>
                <w:rFonts w:ascii="Arial" w:cs="Arial" w:eastAsia="Arial" w:hAnsi="Arial"/>
                <w:sz w:val="22"/>
                <w:szCs w:val="22"/>
                <w:b w:val="1"/>
                <w:bCs w:val="1"/>
                <w:color w:val="auto"/>
              </w:rPr>
              <w:t>2021</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ind w:left="40"/>
              <w:spacing w:after="0" w:line="237" w:lineRule="exact"/>
              <w:rPr>
                <w:sz w:val="20"/>
                <w:szCs w:val="20"/>
                <w:color w:val="auto"/>
              </w:rPr>
            </w:pPr>
            <w:r>
              <w:rPr>
                <w:rFonts w:ascii="Arial" w:cs="Arial" w:eastAsia="Arial" w:hAnsi="Arial"/>
                <w:sz w:val="22"/>
                <w:szCs w:val="22"/>
                <w:b w:val="1"/>
                <w:bCs w:val="1"/>
                <w:color w:val="auto"/>
                <w:w w:val="89"/>
              </w:rPr>
              <w:t>£’000s</w:t>
            </w:r>
          </w:p>
        </w:tc>
        <w:tc>
          <w:tcPr>
            <w:tcW w:w="200" w:type="dxa"/>
            <w:vAlign w:val="bottom"/>
          </w:tcPr>
          <w:p>
            <w:pPr>
              <w:spacing w:after="0"/>
              <w:rPr>
                <w:sz w:val="20"/>
                <w:szCs w:val="20"/>
                <w:color w:val="auto"/>
              </w:rPr>
            </w:pPr>
          </w:p>
        </w:tc>
        <w:tc>
          <w:tcPr>
            <w:tcW w:w="660" w:type="dxa"/>
            <w:vAlign w:val="bottom"/>
            <w:gridSpan w:val="2"/>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w:t>
            </w:r>
          </w:p>
        </w:tc>
        <w:tc>
          <w:tcPr>
            <w:tcW w:w="920" w:type="dxa"/>
            <w:vAlign w:val="bottom"/>
            <w:gridSpan w:val="4"/>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rPr>
              <w:t>93,727</w:t>
            </w:r>
          </w:p>
        </w:tc>
        <w:tc>
          <w:tcPr>
            <w:tcW w:w="700" w:type="dxa"/>
            <w:vAlign w:val="bottom"/>
            <w:gridSpan w:val="3"/>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w w:val="95"/>
              </w:rPr>
              <w:t>22,922</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Arial" w:cs="Arial" w:eastAsia="Arial" w:hAnsi="Arial"/>
                <w:sz w:val="22"/>
                <w:szCs w:val="22"/>
                <w:color w:val="auto"/>
              </w:rPr>
              <w:t>Short-term deposits</w:t>
            </w:r>
          </w:p>
        </w:tc>
        <w:tc>
          <w:tcPr>
            <w:tcW w:w="6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569</w:t>
            </w:r>
          </w:p>
        </w:tc>
        <w:tc>
          <w:tcPr>
            <w:tcW w:w="20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rPr>
              <w:t>547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w:t>
            </w:r>
          </w:p>
        </w:tc>
        <w:tc>
          <w:tcPr>
            <w:tcW w:w="920" w:type="dxa"/>
            <w:vAlign w:val="bottom"/>
            <w:gridSpan w:val="4"/>
            <w:shd w:val="clear" w:color="auto" w:fill="CCEEFF"/>
          </w:tcPr>
          <w:p>
            <w:pPr>
              <w:jc w:val="right"/>
              <w:ind w:right="200"/>
              <w:spacing w:after="0" w:line="243" w:lineRule="exact"/>
              <w:rPr>
                <w:sz w:val="20"/>
                <w:szCs w:val="20"/>
                <w:color w:val="auto"/>
              </w:rPr>
            </w:pPr>
            <w:r>
              <w:rPr>
                <w:rFonts w:ascii="Arial" w:cs="Arial" w:eastAsia="Arial" w:hAnsi="Arial"/>
                <w:sz w:val="22"/>
                <w:szCs w:val="22"/>
                <w:b w:val="1"/>
                <w:bCs w:val="1"/>
                <w:color w:val="auto"/>
              </w:rPr>
              <w:t>94,296</w:t>
            </w:r>
          </w:p>
        </w:tc>
        <w:tc>
          <w:tcPr>
            <w:tcW w:w="700" w:type="dxa"/>
            <w:vAlign w:val="bottom"/>
            <w:gridSpan w:val="3"/>
            <w:shd w:val="clear" w:color="auto" w:fill="CCEEFF"/>
          </w:tcPr>
          <w:p>
            <w:pPr>
              <w:jc w:val="right"/>
              <w:ind w:right="40"/>
              <w:spacing w:after="0" w:line="243" w:lineRule="exact"/>
              <w:rPr>
                <w:sz w:val="20"/>
                <w:szCs w:val="20"/>
                <w:color w:val="auto"/>
              </w:rPr>
            </w:pPr>
            <w:r>
              <w:rPr>
                <w:rFonts w:ascii="Arial" w:cs="Arial" w:eastAsia="Arial" w:hAnsi="Arial"/>
                <w:sz w:val="22"/>
                <w:szCs w:val="22"/>
                <w:b w:val="1"/>
                <w:bCs w:val="1"/>
                <w:color w:val="auto"/>
                <w:w w:val="95"/>
              </w:rPr>
              <w:t>23,469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right="260" w:firstLine="551"/>
        <w:spacing w:after="0" w:line="250" w:lineRule="auto"/>
        <w:rPr>
          <w:sz w:val="20"/>
          <w:szCs w:val="20"/>
          <w:color w:val="auto"/>
        </w:rPr>
      </w:pPr>
      <w:r>
        <w:rPr>
          <w:rFonts w:ascii="Arial" w:cs="Arial" w:eastAsia="Arial" w:hAnsi="Arial"/>
          <w:sz w:val="22"/>
          <w:szCs w:val="22"/>
          <w:color w:val="auto"/>
        </w:rPr>
        <w:t>Short-term deposits are available immediately and earn fixed interest at the respective short-term deposit rates and are held in various certificates of deposit.</w:t>
      </w: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8060" w:type="dxa"/>
            <w:vAlign w:val="bottom"/>
            <w:gridSpan w:val="2"/>
          </w:tcPr>
          <w:p>
            <w:pPr>
              <w:spacing w:after="0"/>
              <w:rPr>
                <w:sz w:val="20"/>
                <w:szCs w:val="20"/>
                <w:color w:val="auto"/>
              </w:rPr>
            </w:pPr>
            <w:r>
              <w:rPr>
                <w:rFonts w:ascii="Arial" w:cs="Arial" w:eastAsia="Arial" w:hAnsi="Arial"/>
                <w:sz w:val="22"/>
                <w:szCs w:val="22"/>
                <w:b w:val="1"/>
                <w:bCs w:val="1"/>
                <w:color w:val="auto"/>
              </w:rPr>
              <w:t>17. Trade and other payables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6"/>
        </w:trPr>
        <w:tc>
          <w:tcPr>
            <w:tcW w:w="1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20" w:type="dxa"/>
            <w:vAlign w:val="bottom"/>
            <w:gridSpan w:val="5"/>
          </w:tcPr>
          <w:p>
            <w:pPr>
              <w:ind w:left="160"/>
              <w:spacing w:after="0"/>
              <w:rPr>
                <w:sz w:val="20"/>
                <w:szCs w:val="20"/>
                <w:color w:val="auto"/>
              </w:rPr>
            </w:pPr>
            <w:r>
              <w:rPr>
                <w:rFonts w:ascii="Arial" w:cs="Arial" w:eastAsia="Arial" w:hAnsi="Arial"/>
                <w:sz w:val="22"/>
                <w:szCs w:val="22"/>
                <w:b w:val="1"/>
                <w:bCs w:val="1"/>
                <w:color w:val="auto"/>
              </w:rPr>
              <w:t>December 31,</w:t>
            </w:r>
          </w:p>
        </w:tc>
      </w:tr>
      <w:tr>
        <w:trPr>
          <w:trHeight w:val="236"/>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rPr>
              <w:t>2021</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r>
      <w:tr>
        <w:trPr>
          <w:trHeight w:val="237"/>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380" w:type="dxa"/>
            <w:vAlign w:val="bottom"/>
            <w:gridSpan w:val="2"/>
          </w:tcPr>
          <w:p>
            <w:pPr>
              <w:spacing w:after="0"/>
              <w:rPr>
                <w:sz w:val="20"/>
                <w:szCs w:val="20"/>
                <w:color w:val="auto"/>
              </w:rPr>
            </w:pPr>
          </w:p>
        </w:tc>
        <w:tc>
          <w:tcPr>
            <w:tcW w:w="6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40" w:type="dxa"/>
            <w:vAlign w:val="bottom"/>
          </w:tcPr>
          <w:p>
            <w:pPr>
              <w:spacing w:after="0"/>
              <w:rPr>
                <w:sz w:val="20"/>
                <w:szCs w:val="20"/>
                <w:color w:val="auto"/>
              </w:rPr>
            </w:pPr>
          </w:p>
        </w:tc>
      </w:tr>
      <w:tr>
        <w:trPr>
          <w:trHeight w:val="243"/>
        </w:trPr>
        <w:tc>
          <w:tcPr>
            <w:tcW w:w="13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Trade payables</w:t>
            </w:r>
          </w:p>
        </w:tc>
        <w:tc>
          <w:tcPr>
            <w:tcW w:w="62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2,285</w:t>
            </w:r>
          </w:p>
        </w:tc>
        <w:tc>
          <w:tcPr>
            <w:tcW w:w="3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3,165</w:t>
            </w:r>
          </w:p>
        </w:tc>
      </w:tr>
      <w:tr>
        <w:trPr>
          <w:trHeight w:val="243"/>
        </w:trPr>
        <w:tc>
          <w:tcPr>
            <w:tcW w:w="13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Arial" w:cs="Arial" w:eastAsia="Arial" w:hAnsi="Arial"/>
                <w:sz w:val="22"/>
                <w:szCs w:val="22"/>
                <w:color w:val="auto"/>
              </w:rPr>
              <w:t>Social security and other taxes</w:t>
            </w:r>
          </w:p>
        </w:tc>
        <w:tc>
          <w:tcPr>
            <w:tcW w:w="6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190</w:t>
            </w:r>
          </w:p>
        </w:tc>
        <w:tc>
          <w:tcPr>
            <w:tcW w:w="360" w:type="dxa"/>
            <w:vAlign w:val="bottom"/>
          </w:tcPr>
          <w:p>
            <w:pPr>
              <w:spacing w:after="0"/>
              <w:rPr>
                <w:sz w:val="21"/>
                <w:szCs w:val="21"/>
                <w:color w:val="auto"/>
              </w:rPr>
            </w:pPr>
          </w:p>
        </w:tc>
        <w:tc>
          <w:tcPr>
            <w:tcW w:w="6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146</w:t>
            </w:r>
          </w:p>
        </w:tc>
      </w:tr>
      <w:tr>
        <w:trPr>
          <w:trHeight w:val="243"/>
        </w:trPr>
        <w:tc>
          <w:tcPr>
            <w:tcW w:w="13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payables</w:t>
            </w:r>
          </w:p>
        </w:tc>
        <w:tc>
          <w:tcPr>
            <w:tcW w:w="62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24</w:t>
            </w:r>
          </w:p>
        </w:tc>
        <w:tc>
          <w:tcPr>
            <w:tcW w:w="3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22</w:t>
            </w:r>
          </w:p>
        </w:tc>
      </w:tr>
      <w:tr>
        <w:trPr>
          <w:trHeight w:val="250"/>
        </w:trPr>
        <w:tc>
          <w:tcPr>
            <w:tcW w:w="1320" w:type="dxa"/>
            <w:vAlign w:val="bottom"/>
          </w:tcPr>
          <w:p>
            <w:pPr>
              <w:spacing w:after="0"/>
              <w:rPr>
                <w:sz w:val="21"/>
                <w:szCs w:val="21"/>
                <w:color w:val="auto"/>
              </w:rPr>
            </w:pPr>
          </w:p>
        </w:tc>
        <w:tc>
          <w:tcPr>
            <w:tcW w:w="6740" w:type="dxa"/>
            <w:vAlign w:val="bottom"/>
          </w:tcPr>
          <w:p>
            <w:pPr>
              <w:spacing w:after="0" w:line="250" w:lineRule="exact"/>
              <w:rPr>
                <w:sz w:val="20"/>
                <w:szCs w:val="20"/>
                <w:color w:val="auto"/>
              </w:rPr>
            </w:pPr>
            <w:r>
              <w:rPr>
                <w:rFonts w:ascii="Arial" w:cs="Arial" w:eastAsia="Arial" w:hAnsi="Arial"/>
                <w:sz w:val="22"/>
                <w:szCs w:val="22"/>
                <w:b w:val="1"/>
                <w:bCs w:val="1"/>
                <w:color w:val="auto"/>
              </w:rPr>
              <w:t>Total</w:t>
            </w: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2,499</w:t>
            </w:r>
          </w:p>
        </w:tc>
        <w:tc>
          <w:tcPr>
            <w:tcW w:w="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3,333</w:t>
            </w:r>
          </w:p>
        </w:tc>
        <w:tc>
          <w:tcPr>
            <w:tcW w:w="40" w:type="dxa"/>
            <w:vAlign w:val="bottom"/>
          </w:tcPr>
          <w:p>
            <w:pPr>
              <w:spacing w:after="0"/>
              <w:rPr>
                <w:sz w:val="21"/>
                <w:szCs w:val="21"/>
                <w:color w:val="auto"/>
              </w:rPr>
            </w:pPr>
          </w:p>
        </w:tc>
      </w:tr>
      <w:tr>
        <w:trPr>
          <w:trHeight w:val="20"/>
        </w:trPr>
        <w:tc>
          <w:tcPr>
            <w:tcW w:w="13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900" w:orient="portrait"/>
          <w:cols w:equalWidth="0" w:num="1">
            <w:col w:w="11120"/>
          </w:cols>
          <w:pgMar w:left="320" w:top="486" w:right="459" w:bottom="0" w:gutter="0" w:footer="0" w:header="0"/>
        </w:sectPr>
      </w:pPr>
    </w:p>
    <w:bookmarkStart w:id="199" w:name="page200"/>
    <w:bookmarkEnd w:id="199"/>
    <w:p>
      <w:pPr>
        <w:spacing w:after="0"/>
        <w:rPr>
          <w:sz w:val="20"/>
          <w:szCs w:val="20"/>
          <w:color w:val="auto"/>
        </w:rPr>
      </w:pPr>
      <w:r>
        <w:rPr>
          <w:rFonts w:ascii="Arial" w:cs="Arial" w:eastAsia="Arial" w:hAnsi="Arial"/>
          <w:sz w:val="19"/>
          <w:szCs w:val="19"/>
          <w:color w:val="auto"/>
        </w:rPr>
        <w:t>Trade and other payables are non-interest bearing and have an average term of one month.</w:t>
      </w:r>
    </w:p>
    <w:p>
      <w:pPr>
        <w:sectPr>
          <w:pgSz w:w="11900" w:h="16838" w:orient="portrait"/>
          <w:cols w:equalWidth="0" w:num="1">
            <w:col w:w="9479"/>
          </w:cols>
          <w:pgMar w:left="980" w:top="348" w:right="1440" w:bottom="1440" w:gutter="0" w:footer="0" w:header="0"/>
        </w:sectPr>
      </w:pPr>
    </w:p>
    <w:p>
      <w:pPr>
        <w:spacing w:after="0" w:line="173"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F-25</w:t>
      </w:r>
    </w:p>
    <w:p>
      <w:pPr>
        <w:sectPr>
          <w:pgSz w:w="11900" w:h="16838" w:orient="portrait"/>
          <w:cols w:equalWidth="0" w:num="1">
            <w:col w:w="9479"/>
          </w:cols>
          <w:pgMar w:left="980" w:top="348" w:right="1440" w:bottom="1440" w:gutter="0" w:footer="0" w:header="0"/>
          <w:type w:val="continuous"/>
        </w:sectPr>
      </w:pPr>
    </w:p>
    <w:bookmarkStart w:id="200" w:name="page201"/>
    <w:bookmarkEnd w:id="200"/>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1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740" w:type="dxa"/>
            <w:vAlign w:val="bottom"/>
          </w:tcPr>
          <w:p>
            <w:pPr>
              <w:jc w:val="center"/>
              <w:ind w:left="1532"/>
              <w:spacing w:after="0"/>
              <w:rPr>
                <w:sz w:val="20"/>
                <w:szCs w:val="20"/>
                <w:color w:val="auto"/>
              </w:rPr>
            </w:pPr>
            <w:r>
              <w:rPr>
                <w:rFonts w:ascii="Arial" w:cs="Arial" w:eastAsia="Arial" w:hAnsi="Arial"/>
                <w:sz w:val="22"/>
                <w:szCs w:val="22"/>
                <w:color w:val="auto"/>
                <w:w w:val="94"/>
              </w:rPr>
              <w:t>MEREO BIOPHARMA GROUP PLC</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720" w:type="dxa"/>
            <w:vAlign w:val="bottom"/>
            <w:gridSpan w:val="3"/>
          </w:tcPr>
          <w:p>
            <w:pPr>
              <w:jc w:val="center"/>
              <w:ind w:left="532"/>
              <w:spacing w:after="0"/>
              <w:rPr>
                <w:sz w:val="20"/>
                <w:szCs w:val="20"/>
                <w:color w:val="auto"/>
              </w:rPr>
            </w:pPr>
            <w:r>
              <w:rPr>
                <w:rFonts w:ascii="Arial" w:cs="Arial" w:eastAsia="Arial" w:hAnsi="Arial"/>
                <w:sz w:val="22"/>
                <w:szCs w:val="22"/>
                <w:color w:val="auto"/>
                <w:w w:val="94"/>
              </w:rPr>
              <w:t>NOTES TO THE CONSOLIDATED FINANCIAL STATEMENTS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8180" w:type="dxa"/>
            <w:vAlign w:val="bottom"/>
            <w:gridSpan w:val="3"/>
          </w:tcPr>
          <w:p>
            <w:pPr>
              <w:ind w:left="120"/>
              <w:spacing w:after="0"/>
              <w:rPr>
                <w:sz w:val="20"/>
                <w:szCs w:val="20"/>
                <w:color w:val="auto"/>
              </w:rPr>
            </w:pPr>
            <w:r>
              <w:rPr>
                <w:rFonts w:ascii="Arial" w:cs="Arial" w:eastAsia="Arial" w:hAnsi="Arial"/>
                <w:sz w:val="22"/>
                <w:szCs w:val="22"/>
                <w:b w:val="1"/>
                <w:bCs w:val="1"/>
                <w:color w:val="auto"/>
              </w:rPr>
              <w:t>18. Provisions</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20" w:type="dxa"/>
            <w:vAlign w:val="bottom"/>
            <w:gridSpan w:val="4"/>
          </w:tcPr>
          <w:p>
            <w:pPr>
              <w:ind w:left="160"/>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rPr>
              <w:t>2021</w:t>
            </w:r>
          </w:p>
        </w:tc>
        <w:tc>
          <w:tcPr>
            <w:tcW w:w="380" w:type="dxa"/>
            <w:vAlign w:val="bottom"/>
            <w:tcBorders>
              <w:top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6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380" w:type="dxa"/>
            <w:vAlign w:val="bottom"/>
          </w:tcPr>
          <w:p>
            <w:pPr>
              <w:spacing w:after="0"/>
              <w:rPr>
                <w:sz w:val="20"/>
                <w:szCs w:val="20"/>
                <w:color w:val="auto"/>
              </w:rPr>
            </w:pPr>
          </w:p>
        </w:tc>
        <w:tc>
          <w:tcPr>
            <w:tcW w:w="6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Social security contribution on vested share options</w:t>
            </w:r>
          </w:p>
        </w:tc>
        <w:tc>
          <w:tcPr>
            <w:tcW w:w="980" w:type="dxa"/>
            <w:vAlign w:val="bottom"/>
            <w:gridSpan w:val="2"/>
            <w:shd w:val="clear" w:color="auto" w:fill="CCEEFF"/>
          </w:tcPr>
          <w:p>
            <w:pPr>
              <w:jc w:val="right"/>
              <w:ind w:right="480"/>
              <w:spacing w:after="0" w:line="243" w:lineRule="exact"/>
              <w:rPr>
                <w:sz w:val="20"/>
                <w:szCs w:val="20"/>
                <w:color w:val="auto"/>
              </w:rPr>
            </w:pPr>
            <w:r>
              <w:rPr>
                <w:rFonts w:ascii="Arial" w:cs="Arial" w:eastAsia="Arial" w:hAnsi="Arial"/>
                <w:sz w:val="22"/>
                <w:szCs w:val="22"/>
                <w:color w:val="auto"/>
              </w:rPr>
              <w:t>—</w:t>
            </w:r>
          </w:p>
        </w:tc>
        <w:tc>
          <w:tcPr>
            <w:tcW w:w="6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109</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Arial" w:cs="Arial" w:eastAsia="Arial" w:hAnsi="Arial"/>
                <w:sz w:val="22"/>
                <w:szCs w:val="22"/>
                <w:color w:val="auto"/>
              </w:rPr>
              <w:t>Provision for deferred cash consideration</w:t>
            </w:r>
          </w:p>
        </w:tc>
        <w:tc>
          <w:tcPr>
            <w:tcW w:w="98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4,123</w:t>
            </w:r>
          </w:p>
        </w:tc>
        <w:tc>
          <w:tcPr>
            <w:tcW w:w="6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1,525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w:t>
            </w:r>
          </w:p>
        </w:tc>
        <w:tc>
          <w:tcPr>
            <w:tcW w:w="980" w:type="dxa"/>
            <w:vAlign w:val="bottom"/>
            <w:gridSpan w:val="2"/>
            <w:shd w:val="clear" w:color="auto" w:fill="CCEEFF"/>
          </w:tcPr>
          <w:p>
            <w:pPr>
              <w:jc w:val="right"/>
              <w:ind w:right="380"/>
              <w:spacing w:after="0" w:line="243" w:lineRule="exact"/>
              <w:rPr>
                <w:sz w:val="20"/>
                <w:szCs w:val="20"/>
                <w:color w:val="auto"/>
              </w:rPr>
            </w:pPr>
            <w:r>
              <w:rPr>
                <w:rFonts w:ascii="Arial" w:cs="Arial" w:eastAsia="Arial" w:hAnsi="Arial"/>
                <w:sz w:val="22"/>
                <w:szCs w:val="22"/>
                <w:b w:val="1"/>
                <w:bCs w:val="1"/>
                <w:color w:val="auto"/>
              </w:rPr>
              <w:t>4,123</w:t>
            </w:r>
          </w:p>
        </w:tc>
        <w:tc>
          <w:tcPr>
            <w:tcW w:w="6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b w:val="1"/>
                <w:bCs w:val="1"/>
                <w:color w:val="auto"/>
              </w:rPr>
              <w:t>1,634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40" w:type="dxa"/>
            <w:vAlign w:val="bottom"/>
            <w:vMerge w:val="restart"/>
          </w:tcPr>
          <w:p>
            <w:pPr>
              <w:spacing w:after="0"/>
              <w:rPr>
                <w:sz w:val="20"/>
                <w:szCs w:val="20"/>
                <w:color w:val="auto"/>
              </w:rPr>
            </w:pPr>
            <w:r>
              <w:rPr>
                <w:rFonts w:ascii="Arial" w:cs="Arial" w:eastAsia="Arial" w:hAnsi="Arial"/>
                <w:sz w:val="22"/>
                <w:szCs w:val="22"/>
                <w:color w:val="auto"/>
              </w:rPr>
              <w:t>Current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40" w:type="dxa"/>
            <w:vAlign w:val="bottom"/>
            <w:vMerge w:val="continue"/>
          </w:tcPr>
          <w:p>
            <w:pPr>
              <w:spacing w:after="0"/>
              <w:rPr>
                <w:sz w:val="20"/>
                <w:szCs w:val="20"/>
                <w:color w:val="auto"/>
              </w:rPr>
            </w:pPr>
          </w:p>
        </w:tc>
        <w:tc>
          <w:tcPr>
            <w:tcW w:w="600" w:type="dxa"/>
            <w:vAlign w:val="bottom"/>
          </w:tcPr>
          <w:p>
            <w:pPr>
              <w:jc w:val="right"/>
              <w:spacing w:after="0" w:line="237" w:lineRule="exact"/>
              <w:rPr>
                <w:sz w:val="20"/>
                <w:szCs w:val="20"/>
                <w:color w:val="auto"/>
              </w:rPr>
            </w:pPr>
            <w:r>
              <w:rPr>
                <w:rFonts w:ascii="Arial" w:cs="Arial" w:eastAsia="Arial" w:hAnsi="Arial"/>
                <w:sz w:val="22"/>
                <w:szCs w:val="22"/>
                <w:color w:val="auto"/>
              </w:rPr>
              <w:t>2,803</w:t>
            </w:r>
          </w:p>
        </w:tc>
        <w:tc>
          <w:tcPr>
            <w:tcW w:w="380" w:type="dxa"/>
            <w:vAlign w:val="bottom"/>
          </w:tcPr>
          <w:p>
            <w:pPr>
              <w:spacing w:after="0"/>
              <w:rPr>
                <w:sz w:val="20"/>
                <w:szCs w:val="20"/>
                <w:color w:val="auto"/>
              </w:rPr>
            </w:pPr>
          </w:p>
        </w:tc>
        <w:tc>
          <w:tcPr>
            <w:tcW w:w="600" w:type="dxa"/>
            <w:vAlign w:val="bottom"/>
          </w:tcPr>
          <w:p>
            <w:pPr>
              <w:jc w:val="right"/>
              <w:spacing w:after="0" w:line="237" w:lineRule="exact"/>
              <w:rPr>
                <w:sz w:val="20"/>
                <w:szCs w:val="20"/>
                <w:color w:val="auto"/>
              </w:rPr>
            </w:pPr>
            <w:r>
              <w:rPr>
                <w:rFonts w:ascii="Arial" w:cs="Arial" w:eastAsia="Arial" w:hAnsi="Arial"/>
                <w:sz w:val="22"/>
                <w:szCs w:val="22"/>
                <w:color w:val="auto"/>
              </w:rPr>
              <w:t>418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Non-current</w:t>
            </w:r>
          </w:p>
        </w:tc>
        <w:tc>
          <w:tcPr>
            <w:tcW w:w="980" w:type="dxa"/>
            <w:vAlign w:val="bottom"/>
            <w:gridSpan w:val="2"/>
            <w:shd w:val="clear" w:color="auto" w:fill="CCEEFF"/>
          </w:tcPr>
          <w:p>
            <w:pPr>
              <w:jc w:val="right"/>
              <w:ind w:right="380"/>
              <w:spacing w:after="0" w:line="243" w:lineRule="exact"/>
              <w:rPr>
                <w:sz w:val="20"/>
                <w:szCs w:val="20"/>
                <w:color w:val="auto"/>
              </w:rPr>
            </w:pPr>
            <w:r>
              <w:rPr>
                <w:rFonts w:ascii="Arial" w:cs="Arial" w:eastAsia="Arial" w:hAnsi="Arial"/>
                <w:sz w:val="22"/>
                <w:szCs w:val="22"/>
                <w:color w:val="auto"/>
              </w:rPr>
              <w:t>1,320</w:t>
            </w:r>
          </w:p>
        </w:tc>
        <w:tc>
          <w:tcPr>
            <w:tcW w:w="6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1,216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2820" w:type="dxa"/>
            <w:vAlign w:val="bottom"/>
            <w:gridSpan w:val="2"/>
          </w:tcPr>
          <w:p>
            <w:pPr>
              <w:jc w:val="center"/>
              <w:ind w:right="960"/>
              <w:spacing w:after="0"/>
              <w:rPr>
                <w:sz w:val="20"/>
                <w:szCs w:val="20"/>
                <w:color w:val="auto"/>
              </w:rPr>
            </w:pPr>
            <w:r>
              <w:rPr>
                <w:rFonts w:ascii="Arial" w:cs="Arial" w:eastAsia="Arial" w:hAnsi="Arial"/>
                <w:sz w:val="22"/>
                <w:szCs w:val="22"/>
                <w:b w:val="1"/>
                <w:bCs w:val="1"/>
                <w:color w:val="auto"/>
                <w:w w:val="86"/>
              </w:rPr>
              <w:t>Social security</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2820" w:type="dxa"/>
            <w:vAlign w:val="bottom"/>
            <w:gridSpan w:val="2"/>
          </w:tcPr>
          <w:p>
            <w:pPr>
              <w:jc w:val="center"/>
              <w:ind w:right="960"/>
              <w:spacing w:after="0" w:line="243" w:lineRule="exact"/>
              <w:rPr>
                <w:sz w:val="20"/>
                <w:szCs w:val="20"/>
                <w:color w:val="auto"/>
              </w:rPr>
            </w:pPr>
            <w:r>
              <w:rPr>
                <w:rFonts w:ascii="Arial" w:cs="Arial" w:eastAsia="Arial" w:hAnsi="Arial"/>
                <w:sz w:val="22"/>
                <w:szCs w:val="22"/>
                <w:b w:val="1"/>
                <w:bCs w:val="1"/>
                <w:color w:val="auto"/>
                <w:w w:val="87"/>
              </w:rPr>
              <w:t>contribution on</w:t>
            </w:r>
          </w:p>
        </w:tc>
        <w:tc>
          <w:tcPr>
            <w:tcW w:w="1420" w:type="dxa"/>
            <w:vAlign w:val="bottom"/>
            <w:gridSpan w:val="2"/>
          </w:tcPr>
          <w:p>
            <w:pPr>
              <w:jc w:val="center"/>
              <w:ind w:right="140"/>
              <w:spacing w:after="0" w:line="243" w:lineRule="exact"/>
              <w:rPr>
                <w:sz w:val="20"/>
                <w:szCs w:val="20"/>
                <w:color w:val="auto"/>
              </w:rPr>
            </w:pPr>
            <w:r>
              <w:rPr>
                <w:rFonts w:ascii="Arial" w:cs="Arial" w:eastAsia="Arial" w:hAnsi="Arial"/>
                <w:sz w:val="22"/>
                <w:szCs w:val="22"/>
                <w:b w:val="1"/>
                <w:bCs w:val="1"/>
                <w:color w:val="auto"/>
                <w:w w:val="87"/>
              </w:rPr>
              <w:t>Deferred cash</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820" w:type="dxa"/>
            <w:vAlign w:val="bottom"/>
            <w:gridSpan w:val="2"/>
          </w:tcPr>
          <w:p>
            <w:pPr>
              <w:jc w:val="center"/>
              <w:ind w:right="960"/>
              <w:spacing w:after="0"/>
              <w:rPr>
                <w:sz w:val="20"/>
                <w:szCs w:val="20"/>
                <w:color w:val="auto"/>
              </w:rPr>
            </w:pPr>
            <w:r>
              <w:rPr>
                <w:rFonts w:ascii="Arial" w:cs="Arial" w:eastAsia="Arial" w:hAnsi="Arial"/>
                <w:sz w:val="22"/>
                <w:szCs w:val="22"/>
                <w:b w:val="1"/>
                <w:bCs w:val="1"/>
                <w:color w:val="auto"/>
                <w:w w:val="84"/>
              </w:rPr>
              <w:t>vested share options</w:t>
            </w:r>
          </w:p>
        </w:tc>
        <w:tc>
          <w:tcPr>
            <w:tcW w:w="142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7"/>
              </w:rPr>
              <w:t>consideration</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86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960" w:type="dxa"/>
            <w:vAlign w:val="bottom"/>
          </w:tcPr>
          <w:p>
            <w:pPr>
              <w:spacing w:after="0"/>
              <w:rPr>
                <w:sz w:val="20"/>
                <w:szCs w:val="20"/>
                <w:color w:val="auto"/>
              </w:rPr>
            </w:pPr>
          </w:p>
        </w:tc>
        <w:tc>
          <w:tcPr>
            <w:tcW w:w="130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January 1, 2020</w:t>
            </w:r>
          </w:p>
        </w:tc>
        <w:tc>
          <w:tcPr>
            <w:tcW w:w="1860" w:type="dxa"/>
            <w:vAlign w:val="bottom"/>
            <w:shd w:val="clear" w:color="auto" w:fill="CCEEFF"/>
          </w:tcPr>
          <w:p>
            <w:pPr>
              <w:ind w:left="1540"/>
              <w:spacing w:after="0" w:line="243" w:lineRule="exact"/>
              <w:rPr>
                <w:sz w:val="20"/>
                <w:szCs w:val="20"/>
                <w:color w:val="auto"/>
              </w:rPr>
            </w:pPr>
            <w:r>
              <w:rPr>
                <w:rFonts w:ascii="Arial" w:cs="Arial" w:eastAsia="Arial" w:hAnsi="Arial"/>
                <w:sz w:val="22"/>
                <w:szCs w:val="22"/>
                <w:b w:val="1"/>
                <w:bCs w:val="1"/>
                <w:color w:val="auto"/>
                <w:w w:val="81"/>
              </w:rPr>
              <w:t>104</w:t>
            </w:r>
          </w:p>
        </w:tc>
        <w:tc>
          <w:tcPr>
            <w:tcW w:w="9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b w:val="1"/>
                <w:bCs w:val="1"/>
                <w:color w:val="auto"/>
              </w:rPr>
              <w:t>1,654</w:t>
            </w:r>
          </w:p>
        </w:tc>
        <w:tc>
          <w:tcPr>
            <w:tcW w:w="0" w:type="dxa"/>
            <w:vAlign w:val="bottom"/>
          </w:tcPr>
          <w:p>
            <w:pPr>
              <w:spacing w:after="0"/>
              <w:rPr>
                <w:sz w:val="1"/>
                <w:szCs w:val="1"/>
                <w:color w:val="auto"/>
              </w:rPr>
            </w:pPr>
          </w:p>
        </w:tc>
      </w:tr>
      <w:tr>
        <w:trPr>
          <w:trHeight w:val="222"/>
        </w:trPr>
        <w:tc>
          <w:tcPr>
            <w:tcW w:w="4120" w:type="dxa"/>
            <w:vAlign w:val="bottom"/>
          </w:tcPr>
          <w:p>
            <w:pPr>
              <w:spacing w:after="0" w:line="222" w:lineRule="exact"/>
              <w:rPr>
                <w:sz w:val="20"/>
                <w:szCs w:val="20"/>
                <w:color w:val="auto"/>
              </w:rPr>
            </w:pPr>
            <w:r>
              <w:rPr>
                <w:rFonts w:ascii="Arial" w:cs="Arial" w:eastAsia="Arial" w:hAnsi="Arial"/>
                <w:sz w:val="22"/>
                <w:szCs w:val="22"/>
                <w:color w:val="auto"/>
              </w:rPr>
              <w:t>Arising/(released) during the year,</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20"/>
              <w:spacing w:after="0"/>
              <w:rPr>
                <w:sz w:val="20"/>
                <w:szCs w:val="20"/>
                <w:color w:val="auto"/>
              </w:rPr>
            </w:pPr>
            <w:r>
              <w:rPr>
                <w:rFonts w:ascii="Arial" w:cs="Arial" w:eastAsia="Arial" w:hAnsi="Arial"/>
                <w:sz w:val="22"/>
                <w:szCs w:val="22"/>
                <w:color w:val="auto"/>
              </w:rPr>
              <w:t>net</w:t>
            </w:r>
          </w:p>
        </w:tc>
        <w:tc>
          <w:tcPr>
            <w:tcW w:w="1860" w:type="dxa"/>
            <w:vAlign w:val="bottom"/>
          </w:tcPr>
          <w:p>
            <w:pPr>
              <w:jc w:val="right"/>
              <w:spacing w:after="0"/>
              <w:rPr>
                <w:sz w:val="20"/>
                <w:szCs w:val="20"/>
                <w:color w:val="auto"/>
              </w:rPr>
            </w:pPr>
            <w:r>
              <w:rPr>
                <w:rFonts w:ascii="Arial" w:cs="Arial" w:eastAsia="Arial" w:hAnsi="Arial"/>
                <w:sz w:val="22"/>
                <w:szCs w:val="22"/>
                <w:color w:val="auto"/>
              </w:rPr>
              <w:t>5</w:t>
            </w:r>
          </w:p>
        </w:tc>
        <w:tc>
          <w:tcPr>
            <w:tcW w:w="96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Increase in provision due to the</w:t>
            </w:r>
          </w:p>
        </w:tc>
        <w:tc>
          <w:tcPr>
            <w:tcW w:w="1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line="243" w:lineRule="exact"/>
              <w:rPr>
                <w:sz w:val="20"/>
                <w:szCs w:val="20"/>
                <w:color w:val="auto"/>
              </w:rPr>
            </w:pPr>
            <w:r>
              <w:rPr>
                <w:rFonts w:ascii="Arial" w:cs="Arial" w:eastAsia="Arial" w:hAnsi="Arial"/>
                <w:sz w:val="22"/>
                <w:szCs w:val="22"/>
                <w:color w:val="auto"/>
              </w:rPr>
              <w:t>unwinding of the time value of</w:t>
            </w:r>
          </w:p>
        </w:tc>
        <w:tc>
          <w:tcPr>
            <w:tcW w:w="18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220"/>
              <w:spacing w:after="0"/>
              <w:rPr>
                <w:sz w:val="20"/>
                <w:szCs w:val="20"/>
                <w:color w:val="auto"/>
              </w:rPr>
            </w:pPr>
            <w:r>
              <w:rPr>
                <w:rFonts w:ascii="Arial" w:cs="Arial" w:eastAsia="Arial" w:hAnsi="Arial"/>
                <w:sz w:val="22"/>
                <w:szCs w:val="22"/>
                <w:color w:val="auto"/>
              </w:rPr>
              <w:t>money</w:t>
            </w:r>
          </w:p>
        </w:tc>
        <w:tc>
          <w:tcPr>
            <w:tcW w:w="2820" w:type="dxa"/>
            <w:vAlign w:val="bottom"/>
            <w:gridSpan w:val="2"/>
            <w:shd w:val="clear" w:color="auto" w:fill="CCEEFF"/>
          </w:tcPr>
          <w:p>
            <w:pPr>
              <w:ind w:left="1540"/>
              <w:spacing w:after="0"/>
              <w:rPr>
                <w:sz w:val="20"/>
                <w:szCs w:val="20"/>
                <w:color w:val="auto"/>
              </w:rPr>
            </w:pPr>
            <w:r>
              <w:rPr>
                <w:rFonts w:ascii="Arial" w:cs="Arial" w:eastAsia="Arial" w:hAnsi="Arial"/>
                <w:sz w:val="22"/>
                <w:szCs w:val="22"/>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157</w:t>
            </w:r>
          </w:p>
        </w:tc>
        <w:tc>
          <w:tcPr>
            <w:tcW w:w="0" w:type="dxa"/>
            <w:vAlign w:val="bottom"/>
          </w:tcPr>
          <w:p>
            <w:pPr>
              <w:spacing w:after="0"/>
              <w:rPr>
                <w:sz w:val="1"/>
                <w:szCs w:val="1"/>
                <w:color w:val="auto"/>
              </w:rPr>
            </w:pPr>
          </w:p>
        </w:tc>
      </w:tr>
      <w:tr>
        <w:trPr>
          <w:trHeight w:val="222"/>
        </w:trPr>
        <w:tc>
          <w:tcPr>
            <w:tcW w:w="4120" w:type="dxa"/>
            <w:vAlign w:val="bottom"/>
          </w:tcPr>
          <w:p>
            <w:pPr>
              <w:spacing w:after="0" w:line="222" w:lineRule="exact"/>
              <w:rPr>
                <w:sz w:val="20"/>
                <w:szCs w:val="20"/>
                <w:color w:val="auto"/>
              </w:rPr>
            </w:pPr>
            <w:r>
              <w:rPr>
                <w:rFonts w:ascii="Arial" w:cs="Arial" w:eastAsia="Arial" w:hAnsi="Arial"/>
                <w:sz w:val="22"/>
                <w:szCs w:val="22"/>
                <w:color w:val="auto"/>
              </w:rPr>
              <w:t>Decrease in provision due to a</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change in estimates relating to</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timelines and probabilities of</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contractual milestones being</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achieved (revision to intangible</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120" w:type="dxa"/>
            <w:vAlign w:val="bottom"/>
          </w:tcPr>
          <w:p>
            <w:pPr>
              <w:ind w:left="220"/>
              <w:spacing w:after="0"/>
              <w:rPr>
                <w:sz w:val="20"/>
                <w:szCs w:val="20"/>
                <w:color w:val="auto"/>
              </w:rPr>
            </w:pPr>
            <w:r>
              <w:rPr>
                <w:rFonts w:ascii="Arial" w:cs="Arial" w:eastAsia="Arial" w:hAnsi="Arial"/>
                <w:sz w:val="22"/>
                <w:szCs w:val="22"/>
                <w:color w:val="auto"/>
              </w:rPr>
              <w:t>asset, see Note 13)</w:t>
            </w:r>
          </w:p>
        </w:tc>
        <w:tc>
          <w:tcPr>
            <w:tcW w:w="1860" w:type="dxa"/>
            <w:vAlign w:val="bottom"/>
          </w:tcPr>
          <w:p>
            <w:pPr>
              <w:ind w:left="1540"/>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3"/>
                <w:szCs w:val="23"/>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22"/>
                <w:szCs w:val="22"/>
                <w:color w:val="auto"/>
              </w:rPr>
              <w:t>(286)</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2020</w:t>
            </w:r>
          </w:p>
        </w:tc>
        <w:tc>
          <w:tcPr>
            <w:tcW w:w="1860" w:type="dxa"/>
            <w:vAlign w:val="bottom"/>
            <w:tcBorders>
              <w:top w:val="single" w:sz="8" w:color="auto"/>
              <w:bottom w:val="single" w:sz="8" w:color="auto"/>
            </w:tcBorders>
            <w:shd w:val="clear" w:color="auto" w:fill="CCEEFF"/>
          </w:tcPr>
          <w:p>
            <w:pPr>
              <w:ind w:left="1540"/>
              <w:spacing w:after="0" w:line="243" w:lineRule="exact"/>
              <w:rPr>
                <w:sz w:val="20"/>
                <w:szCs w:val="20"/>
                <w:color w:val="auto"/>
              </w:rPr>
            </w:pPr>
            <w:r>
              <w:rPr>
                <w:rFonts w:ascii="Arial" w:cs="Arial" w:eastAsia="Arial" w:hAnsi="Arial"/>
                <w:sz w:val="22"/>
                <w:szCs w:val="22"/>
                <w:b w:val="1"/>
                <w:bCs w:val="1"/>
                <w:color w:val="auto"/>
                <w:w w:val="81"/>
              </w:rPr>
              <w:t>109</w:t>
            </w:r>
          </w:p>
        </w:tc>
        <w:tc>
          <w:tcPr>
            <w:tcW w:w="960" w:type="dxa"/>
            <w:vAlign w:val="bottom"/>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1,525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22"/>
                <w:szCs w:val="22"/>
                <w:color w:val="auto"/>
              </w:rPr>
              <w:t>Arising/(released) during the year,</w:t>
            </w:r>
          </w:p>
        </w:tc>
        <w:tc>
          <w:tcPr>
            <w:tcW w:w="18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20"/>
              <w:spacing w:after="0"/>
              <w:rPr>
                <w:sz w:val="20"/>
                <w:szCs w:val="20"/>
                <w:color w:val="auto"/>
              </w:rPr>
            </w:pPr>
            <w:r>
              <w:rPr>
                <w:rFonts w:ascii="Arial" w:cs="Arial" w:eastAsia="Arial" w:hAnsi="Arial"/>
                <w:sz w:val="22"/>
                <w:szCs w:val="22"/>
                <w:color w:val="auto"/>
              </w:rPr>
              <w:t>net</w:t>
            </w:r>
          </w:p>
        </w:tc>
        <w:tc>
          <w:tcPr>
            <w:tcW w:w="2820" w:type="dxa"/>
            <w:vAlign w:val="bottom"/>
            <w:gridSpan w:val="2"/>
          </w:tcPr>
          <w:p>
            <w:pPr>
              <w:jc w:val="right"/>
              <w:ind w:right="880"/>
              <w:spacing w:after="0"/>
              <w:rPr>
                <w:sz w:val="20"/>
                <w:szCs w:val="20"/>
                <w:color w:val="auto"/>
              </w:rPr>
            </w:pPr>
            <w:r>
              <w:rPr>
                <w:rFonts w:ascii="Arial" w:cs="Arial" w:eastAsia="Arial" w:hAnsi="Arial"/>
                <w:sz w:val="22"/>
                <w:szCs w:val="22"/>
                <w:color w:val="auto"/>
              </w:rPr>
              <w:t>(109)</w:t>
            </w:r>
          </w:p>
        </w:tc>
        <w:tc>
          <w:tcPr>
            <w:tcW w:w="14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Increase in provision due to the</w:t>
            </w:r>
          </w:p>
        </w:tc>
        <w:tc>
          <w:tcPr>
            <w:tcW w:w="1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20"/>
              <w:spacing w:after="0" w:line="243" w:lineRule="exact"/>
              <w:rPr>
                <w:sz w:val="20"/>
                <w:szCs w:val="20"/>
                <w:color w:val="auto"/>
              </w:rPr>
            </w:pPr>
            <w:r>
              <w:rPr>
                <w:rFonts w:ascii="Arial" w:cs="Arial" w:eastAsia="Arial" w:hAnsi="Arial"/>
                <w:sz w:val="22"/>
                <w:szCs w:val="22"/>
                <w:color w:val="auto"/>
              </w:rPr>
              <w:t>unwinding of the time value of</w:t>
            </w:r>
          </w:p>
        </w:tc>
        <w:tc>
          <w:tcPr>
            <w:tcW w:w="18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220"/>
              <w:spacing w:after="0"/>
              <w:rPr>
                <w:sz w:val="20"/>
                <w:szCs w:val="20"/>
                <w:color w:val="auto"/>
              </w:rPr>
            </w:pPr>
            <w:r>
              <w:rPr>
                <w:rFonts w:ascii="Arial" w:cs="Arial" w:eastAsia="Arial" w:hAnsi="Arial"/>
                <w:sz w:val="22"/>
                <w:szCs w:val="22"/>
                <w:color w:val="auto"/>
              </w:rPr>
              <w:t>money</w:t>
            </w:r>
          </w:p>
        </w:tc>
        <w:tc>
          <w:tcPr>
            <w:tcW w:w="2820" w:type="dxa"/>
            <w:vAlign w:val="bottom"/>
            <w:gridSpan w:val="2"/>
            <w:shd w:val="clear" w:color="auto" w:fill="CCEEFF"/>
          </w:tcPr>
          <w:p>
            <w:pPr>
              <w:ind w:left="1540"/>
              <w:spacing w:after="0"/>
              <w:rPr>
                <w:sz w:val="20"/>
                <w:szCs w:val="20"/>
                <w:color w:val="auto"/>
              </w:rPr>
            </w:pPr>
            <w:r>
              <w:rPr>
                <w:rFonts w:ascii="Arial" w:cs="Arial" w:eastAsia="Arial" w:hAnsi="Arial"/>
                <w:sz w:val="22"/>
                <w:szCs w:val="22"/>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225</w:t>
            </w:r>
          </w:p>
        </w:tc>
        <w:tc>
          <w:tcPr>
            <w:tcW w:w="0" w:type="dxa"/>
            <w:vAlign w:val="bottom"/>
          </w:tcPr>
          <w:p>
            <w:pPr>
              <w:spacing w:after="0"/>
              <w:rPr>
                <w:sz w:val="1"/>
                <w:szCs w:val="1"/>
                <w:color w:val="auto"/>
              </w:rPr>
            </w:pPr>
          </w:p>
        </w:tc>
      </w:tr>
      <w:tr>
        <w:trPr>
          <w:trHeight w:val="222"/>
        </w:trPr>
        <w:tc>
          <w:tcPr>
            <w:tcW w:w="4120" w:type="dxa"/>
            <w:vAlign w:val="bottom"/>
          </w:tcPr>
          <w:p>
            <w:pPr>
              <w:spacing w:after="0" w:line="222" w:lineRule="exact"/>
              <w:rPr>
                <w:sz w:val="20"/>
                <w:szCs w:val="20"/>
                <w:color w:val="auto"/>
              </w:rPr>
            </w:pPr>
            <w:r>
              <w:rPr>
                <w:rFonts w:ascii="Arial" w:cs="Arial" w:eastAsia="Arial" w:hAnsi="Arial"/>
                <w:sz w:val="22"/>
                <w:szCs w:val="22"/>
                <w:color w:val="auto"/>
              </w:rPr>
              <w:t>Increase in provision due to a change</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in estimates relating to timelines</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and probabilities of contractual</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milestones being achieved</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20"/>
              <w:spacing w:after="0" w:line="243" w:lineRule="exact"/>
              <w:rPr>
                <w:sz w:val="20"/>
                <w:szCs w:val="20"/>
                <w:color w:val="auto"/>
              </w:rPr>
            </w:pPr>
            <w:r>
              <w:rPr>
                <w:rFonts w:ascii="Arial" w:cs="Arial" w:eastAsia="Arial" w:hAnsi="Arial"/>
                <w:sz w:val="22"/>
                <w:szCs w:val="22"/>
                <w:color w:val="auto"/>
              </w:rPr>
              <w:t>(revision to intangible asset, see</w:t>
            </w: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120" w:type="dxa"/>
            <w:vAlign w:val="bottom"/>
          </w:tcPr>
          <w:p>
            <w:pPr>
              <w:ind w:left="220"/>
              <w:spacing w:after="0"/>
              <w:rPr>
                <w:sz w:val="20"/>
                <w:szCs w:val="20"/>
                <w:color w:val="auto"/>
              </w:rPr>
            </w:pPr>
            <w:r>
              <w:rPr>
                <w:rFonts w:ascii="Arial" w:cs="Arial" w:eastAsia="Arial" w:hAnsi="Arial"/>
                <w:sz w:val="22"/>
                <w:szCs w:val="22"/>
                <w:color w:val="auto"/>
              </w:rPr>
              <w:t>Note 13)</w:t>
            </w:r>
          </w:p>
        </w:tc>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2021</w:t>
            </w:r>
          </w:p>
        </w:tc>
        <w:tc>
          <w:tcPr>
            <w:tcW w:w="2820" w:type="dxa"/>
            <w:vAlign w:val="bottom"/>
            <w:gridSpan w:val="2"/>
            <w:shd w:val="clear" w:color="auto" w:fill="CCEEFF"/>
          </w:tcPr>
          <w:p>
            <w:pPr>
              <w:ind w:left="1540"/>
              <w:spacing w:after="0" w:line="243" w:lineRule="exact"/>
              <w:rPr>
                <w:sz w:val="20"/>
                <w:szCs w:val="20"/>
                <w:color w:val="auto"/>
              </w:rPr>
            </w:pPr>
            <w:r>
              <w:rPr>
                <w:rFonts w:ascii="Arial" w:cs="Arial" w:eastAsia="Arial" w:hAnsi="Arial"/>
                <w:sz w:val="22"/>
                <w:szCs w:val="22"/>
                <w:b w:val="1"/>
                <w:bCs w:val="1"/>
                <w:color w:val="auto"/>
              </w:rPr>
              <w:t>—</w:t>
            </w:r>
          </w:p>
        </w:tc>
        <w:tc>
          <w:tcPr>
            <w:tcW w:w="142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b w:val="1"/>
                <w:bCs w:val="1"/>
                <w:color w:val="auto"/>
              </w:rPr>
              <w:t>4,123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right="20" w:firstLine="551"/>
        <w:spacing w:after="0" w:line="297" w:lineRule="auto"/>
        <w:rPr>
          <w:sz w:val="20"/>
          <w:szCs w:val="20"/>
          <w:color w:val="auto"/>
        </w:rPr>
      </w:pPr>
      <w:r>
        <w:rPr>
          <w:rFonts w:ascii="Arial" w:cs="Arial" w:eastAsia="Arial" w:hAnsi="Arial"/>
          <w:sz w:val="19"/>
          <w:szCs w:val="19"/>
          <w:color w:val="auto"/>
        </w:rPr>
        <w:t>The provision for social security contributions on share options is calculated based on the number of vested options outstanding at the reporting date that are expected to be exercised. The provision is based on the estimated taxable gain arising on exercise of the share options, using the best estimate of the market price at the balance sheet date.</w:t>
      </w:r>
    </w:p>
    <w:p>
      <w:pPr>
        <w:spacing w:after="0" w:line="134"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21"/>
          <w:szCs w:val="21"/>
          <w:color w:val="auto"/>
        </w:rPr>
        <w:t>The deferred cash consideration is the estimate of the quantifiable but not certain future cash payment obligations due to AstraZeneca for the acquisition of certain assets (see Note 13). This provision is calculated as the risk-adjusted net present value of future cash payments to be made by the Company. The payments are dependent on reaching certain milestones based on the commencement and outcome of clinical trials. The likelihood of achieving such milestones is reviewed at the balance sheet date and increased or decreased as appropriate.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19. Private placement</w:t>
      </w:r>
    </w:p>
    <w:p>
      <w:pPr>
        <w:spacing w:after="0" w:line="104" w:lineRule="exact"/>
        <w:rPr>
          <w:sz w:val="20"/>
          <w:szCs w:val="20"/>
          <w:color w:val="auto"/>
        </w:rPr>
      </w:pPr>
    </w:p>
    <w:p>
      <w:pPr>
        <w:ind w:left="120" w:firstLine="551"/>
        <w:spacing w:after="0" w:line="287" w:lineRule="auto"/>
        <w:rPr>
          <w:sz w:val="20"/>
          <w:szCs w:val="20"/>
          <w:color w:val="auto"/>
        </w:rPr>
      </w:pPr>
      <w:r>
        <w:rPr>
          <w:rFonts w:ascii="Arial" w:cs="Arial" w:eastAsia="Arial" w:hAnsi="Arial"/>
          <w:sz w:val="19"/>
          <w:szCs w:val="19"/>
          <w:color w:val="auto"/>
        </w:rPr>
        <w:t>On June 3, 2020, the Company completed a £56 million private placement transaction which comprised of the issuance of 89,144,630 ordinary shares of £0.003 each at a price of £0.174 per share for total proceeds of £15.5 million, and the issue of Tranche 1 convertible loan notes (the “Loan Notes”) for total proceeds of £40.5 million. The investors also received conditional warrants to subscribe for an additional 161,048,366 ordinary shares (the “Warrants”).</w:t>
      </w:r>
    </w:p>
    <w:p>
      <w:pPr>
        <w:spacing w:after="0" w:line="143" w:lineRule="exact"/>
        <w:rPr>
          <w:sz w:val="20"/>
          <w:szCs w:val="20"/>
          <w:color w:val="auto"/>
        </w:rPr>
      </w:pPr>
    </w:p>
    <w:p>
      <w:pPr>
        <w:ind w:left="120" w:right="200" w:firstLine="551"/>
        <w:spacing w:after="0" w:line="297" w:lineRule="auto"/>
        <w:rPr>
          <w:sz w:val="20"/>
          <w:szCs w:val="20"/>
          <w:color w:val="auto"/>
        </w:rPr>
      </w:pPr>
      <w:r>
        <w:rPr>
          <w:rFonts w:ascii="Arial" w:cs="Arial" w:eastAsia="Arial" w:hAnsi="Arial"/>
          <w:sz w:val="19"/>
          <w:szCs w:val="19"/>
          <w:color w:val="auto"/>
        </w:rPr>
        <w:t>The terms of the Loan Notes and Warrants, and, in particular, their ability to be converted into ordinary shares was conditional on the passing of certain resolutions (the “Resolutions”) at a subsequent general meeting of shareholders held on June 30, 2020. At that date, the Resolutions were passed, and the Loan Notes became convertible into ordinary shares.</w:t>
      </w:r>
    </w:p>
    <w:p>
      <w:pPr>
        <w:sectPr>
          <w:pgSz w:w="11900" w:h="16938" w:orient="portrait"/>
          <w:cols w:equalWidth="0" w:num="1">
            <w:col w:w="11080"/>
          </w:cols>
          <w:pgMar w:left="320" w:top="473" w:right="499" w:bottom="0" w:gutter="0" w:footer="0" w:header="0"/>
        </w:sectPr>
      </w:pPr>
    </w:p>
    <w:bookmarkStart w:id="201" w:name="page202"/>
    <w:bookmarkEnd w:id="201"/>
    <w:p>
      <w:pPr>
        <w:spacing w:after="0"/>
        <w:rPr>
          <w:sz w:val="20"/>
          <w:szCs w:val="20"/>
          <w:color w:val="auto"/>
        </w:rPr>
      </w:pPr>
      <w:r>
        <w:rPr>
          <w:rFonts w:ascii="Arial" w:cs="Arial" w:eastAsia="Arial" w:hAnsi="Arial"/>
          <w:sz w:val="22"/>
          <w:szCs w:val="22"/>
          <w:u w:val="single" w:color="auto"/>
          <w:color w:val="auto"/>
        </w:rPr>
        <w:t>Loan Notes</w:t>
      </w:r>
    </w:p>
    <w:p>
      <w:pPr>
        <w:spacing w:after="0" w:line="99" w:lineRule="exact"/>
        <w:rPr>
          <w:sz w:val="20"/>
          <w:szCs w:val="20"/>
          <w:color w:val="auto"/>
        </w:rPr>
      </w:pPr>
    </w:p>
    <w:p>
      <w:pPr>
        <w:ind w:right="120" w:firstLine="551"/>
        <w:spacing w:after="0" w:line="249" w:lineRule="auto"/>
        <w:rPr>
          <w:sz w:val="20"/>
          <w:szCs w:val="20"/>
          <w:color w:val="auto"/>
        </w:rPr>
      </w:pPr>
      <w:r>
        <w:rPr>
          <w:rFonts w:ascii="Arial" w:cs="Arial" w:eastAsia="Arial" w:hAnsi="Arial"/>
          <w:sz w:val="21"/>
          <w:szCs w:val="21"/>
          <w:color w:val="auto"/>
        </w:rPr>
        <w:t>The Loan Notes bear interest at a rate of 6% per annum and have an initial maturity date of June 2023. The Loan Notes are convertible into ordinary shares at the discretion of the holder and, if not converted by the initial maturity date, may be extended for an additional seven years, but will cease to bear interest from any extension date. The Loan Notes were initially recognized at their fair value of £38.6 million (debt host instrument in the amount of £26.7 million and the embedded derivative in the amount of £11.9 million, before transaction costs).</w:t>
      </w:r>
    </w:p>
    <w:p>
      <w:pPr>
        <w:spacing w:after="0" w:line="178" w:lineRule="exact"/>
        <w:rPr>
          <w:sz w:val="20"/>
          <w:szCs w:val="20"/>
          <w:color w:val="auto"/>
        </w:rPr>
      </w:pPr>
    </w:p>
    <w:p>
      <w:pPr>
        <w:ind w:firstLine="551"/>
        <w:spacing w:after="0" w:line="287" w:lineRule="auto"/>
        <w:rPr>
          <w:sz w:val="20"/>
          <w:szCs w:val="20"/>
          <w:color w:val="auto"/>
        </w:rPr>
      </w:pPr>
      <w:r>
        <w:rPr>
          <w:rFonts w:ascii="Arial" w:cs="Arial" w:eastAsia="Arial" w:hAnsi="Arial"/>
          <w:sz w:val="19"/>
          <w:szCs w:val="19"/>
          <w:color w:val="auto"/>
        </w:rPr>
        <w:t>Loan Notes in an aggregate principal amount of £40.5 million were issued on June 3, 2020 and became convertible upon the passing of the Resolutions. As a result, on June 30, 2020, Loan Notes in an aggregate principal amount of £21.8 million, together with accrued interest, were automatically converted into 125,061,475 ordinary shares, and Loan Notes in an aggregate principal amount of £18.9 million remained outstanding as of December 31, 2020. See Note 21.</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F-26</w:t>
      </w:r>
    </w:p>
    <w:p>
      <w:pPr>
        <w:sectPr>
          <w:pgSz w:w="11900" w:h="16838" w:orient="portrait"/>
          <w:cols w:equalWidth="0" w:num="1">
            <w:col w:w="10980"/>
          </w:cols>
          <w:pgMar w:left="440" w:top="118"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jc w:val="both"/>
        <w:ind w:left="120" w:right="320" w:firstLine="551"/>
        <w:spacing w:after="0"/>
        <w:rPr>
          <w:sz w:val="20"/>
          <w:szCs w:val="20"/>
          <w:color w:val="auto"/>
        </w:rPr>
      </w:pPr>
      <w:r>
        <w:rPr>
          <w:rFonts w:ascii="Arial" w:cs="Arial" w:eastAsia="Arial" w:hAnsi="Arial"/>
          <w:sz w:val="22"/>
          <w:szCs w:val="22"/>
          <w:color w:val="auto"/>
        </w:rPr>
        <w:t>During the year ended December 31, 2021, the Company issued and allotted 40,397,976 ordinary shares at a price of £0.174 per share on conversion of Loan Notes. As of December 31, 2021, Loan Notes in an aggregate principal amount of £12.4 million remain outstanding.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u w:val="single" w:color="auto"/>
          <w:color w:val="auto"/>
        </w:rPr>
        <w:t>Warrants</w:t>
      </w:r>
    </w:p>
    <w:p>
      <w:pPr>
        <w:spacing w:after="0" w:line="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Participants in the private placement transaction received conditional warrants to subscribe for further ordinary shares in an aggregate number equal to 50 percent of both the ordinary shares purchased and the ordinary shares issuable upon conversion of the Loan Notes. A total of 161,048,366 Warrants were issued. The fair value of the warrants at inception was £4.1 million.</w:t>
      </w:r>
    </w:p>
    <w:p>
      <w:pPr>
        <w:spacing w:after="0" w:line="18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22"/>
          <w:szCs w:val="22"/>
          <w:color w:val="auto"/>
        </w:rPr>
        <w:t>The Warrants have an exercise price of £0.348 per share and are exercisable at any time until their expiry in June 2023. The Warrants can be exercised for cash or on a cashless basis at the discretion of the warrant holder. Certain Warrants outstanding at the expiry date may be converted into Tranche 2 Notes, with an expiry date of up to seven years from conversion, and do not bear interest. See Note 20.</w:t>
      </w:r>
    </w:p>
    <w:p>
      <w:pPr>
        <w:spacing w:after="0" w:line="185" w:lineRule="exact"/>
        <w:rPr>
          <w:sz w:val="20"/>
          <w:szCs w:val="20"/>
          <w:color w:val="auto"/>
        </w:rPr>
      </w:pPr>
    </w:p>
    <w:p>
      <w:pPr>
        <w:ind w:left="120" w:right="640" w:firstLine="551"/>
        <w:spacing w:after="0" w:line="328" w:lineRule="auto"/>
        <w:rPr>
          <w:sz w:val="20"/>
          <w:szCs w:val="20"/>
          <w:color w:val="auto"/>
        </w:rPr>
      </w:pPr>
      <w:r>
        <w:rPr>
          <w:rFonts w:ascii="Arial" w:cs="Arial" w:eastAsia="Arial" w:hAnsi="Arial"/>
          <w:sz w:val="19"/>
          <w:szCs w:val="19"/>
          <w:color w:val="auto"/>
        </w:rPr>
        <w:t>The Loan Notes and the Warrants were recognized as separate financial instruments. Transaction costs directly attributable to the private placement transaction were apportioned across the ordinary shares, Loan Notes and Warrants.</w:t>
      </w:r>
    </w:p>
    <w:p>
      <w:pPr>
        <w:spacing w:after="0" w:line="3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F-27</w:t>
      </w:r>
    </w:p>
    <w:p>
      <w:pPr>
        <w:sectPr>
          <w:pgSz w:w="11900" w:h="16838" w:orient="portrait"/>
          <w:cols w:equalWidth="0" w:num="1">
            <w:col w:w="11080"/>
          </w:cols>
          <w:pgMar w:left="320" w:top="486"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THE CONSOLIDATED FINANCIAL STATEMENTS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 Warrant liability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6560" w:type="dxa"/>
            <w:vAlign w:val="bottom"/>
          </w:tcPr>
          <w:p>
            <w:pPr>
              <w:spacing w:after="0"/>
              <w:rPr>
                <w:sz w:val="23"/>
                <w:szCs w:val="23"/>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22"/>
                <w:szCs w:val="22"/>
                <w:b w:val="1"/>
                <w:bCs w:val="1"/>
                <w:color w:val="auto"/>
              </w:rPr>
              <w:t>December 31,</w:t>
            </w:r>
          </w:p>
        </w:tc>
      </w:tr>
      <w:tr>
        <w:trPr>
          <w:trHeight w:val="236"/>
        </w:trPr>
        <w:tc>
          <w:tcPr>
            <w:tcW w:w="65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32"/>
              <w:spacing w:after="0" w:line="237" w:lineRule="exact"/>
              <w:rPr>
                <w:sz w:val="20"/>
                <w:szCs w:val="20"/>
                <w:color w:val="auto"/>
              </w:rPr>
            </w:pPr>
            <w:r>
              <w:rPr>
                <w:rFonts w:ascii="Arial" w:cs="Arial" w:eastAsia="Arial" w:hAnsi="Arial"/>
                <w:sz w:val="22"/>
                <w:szCs w:val="22"/>
                <w:b w:val="1"/>
                <w:bCs w:val="1"/>
                <w:color w:val="auto"/>
              </w:rPr>
              <w:t>2021</w:t>
            </w: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2020</w:t>
            </w:r>
          </w:p>
        </w:tc>
        <w:tc>
          <w:tcPr>
            <w:tcW w:w="120" w:type="dxa"/>
            <w:vAlign w:val="bottom"/>
          </w:tcPr>
          <w:p>
            <w:pPr>
              <w:spacing w:after="0"/>
              <w:rPr>
                <w:sz w:val="20"/>
                <w:szCs w:val="20"/>
                <w:color w:val="auto"/>
              </w:rPr>
            </w:pPr>
          </w:p>
        </w:tc>
      </w:tr>
      <w:tr>
        <w:trPr>
          <w:trHeight w:val="237"/>
        </w:trPr>
        <w:tc>
          <w:tcPr>
            <w:tcW w:w="6560" w:type="dxa"/>
            <w:vAlign w:val="bottom"/>
          </w:tcPr>
          <w:p>
            <w:pPr>
              <w:spacing w:after="0"/>
              <w:rPr>
                <w:sz w:val="20"/>
                <w:szCs w:val="20"/>
                <w:color w:val="auto"/>
              </w:rPr>
            </w:pPr>
          </w:p>
        </w:tc>
        <w:tc>
          <w:tcPr>
            <w:tcW w:w="72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00" w:type="dxa"/>
            <w:vAlign w:val="bottom"/>
          </w:tcPr>
          <w:p>
            <w:pPr>
              <w:spacing w:after="0"/>
              <w:rPr>
                <w:sz w:val="20"/>
                <w:szCs w:val="20"/>
                <w:color w:val="auto"/>
              </w:rPr>
            </w:pPr>
          </w:p>
        </w:tc>
        <w:tc>
          <w:tcPr>
            <w:tcW w:w="66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20" w:type="dxa"/>
            <w:vAlign w:val="bottom"/>
          </w:tcPr>
          <w:p>
            <w:pPr>
              <w:spacing w:after="0"/>
              <w:rPr>
                <w:sz w:val="20"/>
                <w:szCs w:val="20"/>
                <w:color w:val="auto"/>
              </w:rPr>
            </w:pPr>
          </w:p>
        </w:tc>
      </w:tr>
      <w:tr>
        <w:trPr>
          <w:trHeight w:val="243"/>
        </w:trPr>
        <w:tc>
          <w:tcPr>
            <w:tcW w:w="65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January 1</w:t>
            </w:r>
          </w:p>
        </w:tc>
        <w:tc>
          <w:tcPr>
            <w:tcW w:w="102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color w:val="auto"/>
              </w:rPr>
              <w:t>50,775</w:t>
            </w:r>
          </w:p>
        </w:tc>
        <w:tc>
          <w:tcPr>
            <w:tcW w:w="78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131</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Issued during the year</w:t>
            </w:r>
          </w:p>
        </w:tc>
        <w:tc>
          <w:tcPr>
            <w:tcW w:w="102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4,080</w:t>
            </w:r>
          </w:p>
        </w:tc>
      </w:tr>
      <w:tr>
        <w:trPr>
          <w:trHeight w:val="243"/>
        </w:trPr>
        <w:tc>
          <w:tcPr>
            <w:tcW w:w="65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Settled during the year</w:t>
            </w:r>
          </w:p>
        </w:tc>
        <w:tc>
          <w:tcPr>
            <w:tcW w:w="10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(2,400)</w:t>
            </w:r>
          </w:p>
        </w:tc>
        <w:tc>
          <w:tcPr>
            <w:tcW w:w="7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(127)</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Fair value changes during the year</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95"/>
              </w:rPr>
              <w:t>(40,039)</w:t>
            </w:r>
          </w:p>
        </w:tc>
        <w:tc>
          <w:tcPr>
            <w:tcW w:w="7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w w:val="95"/>
              </w:rPr>
              <w:t>46,691</w:t>
            </w:r>
          </w:p>
        </w:tc>
      </w:tr>
      <w:tr>
        <w:trPr>
          <w:trHeight w:val="27"/>
        </w:trPr>
        <w:tc>
          <w:tcPr>
            <w:tcW w:w="6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656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w:t>
            </w:r>
          </w:p>
        </w:tc>
        <w:tc>
          <w:tcPr>
            <w:tcW w:w="102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b w:val="1"/>
                <w:bCs w:val="1"/>
                <w:color w:val="auto"/>
              </w:rPr>
              <w:t>8,336</w:t>
            </w:r>
          </w:p>
        </w:tc>
        <w:tc>
          <w:tcPr>
            <w:tcW w:w="78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b w:val="1"/>
                <w:bCs w:val="1"/>
                <w:color w:val="auto"/>
                <w:w w:val="95"/>
              </w:rPr>
              <w:t>50,775</w:t>
            </w:r>
          </w:p>
        </w:tc>
      </w:tr>
      <w:tr>
        <w:trPr>
          <w:trHeight w:val="20"/>
        </w:trPr>
        <w:tc>
          <w:tcPr>
            <w:tcW w:w="6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change in fair value of the warrant liability represents an unrealized gain in the year ended December 31, 2021.</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Warrants – private placement</w:t>
      </w:r>
    </w:p>
    <w:p>
      <w:pPr>
        <w:spacing w:after="0" w:line="104" w:lineRule="exact"/>
        <w:rPr>
          <w:sz w:val="20"/>
          <w:szCs w:val="20"/>
          <w:color w:val="auto"/>
        </w:rPr>
      </w:pPr>
    </w:p>
    <w:p>
      <w:pPr>
        <w:ind w:left="120" w:right="80" w:firstLine="551"/>
        <w:spacing w:after="0" w:line="270" w:lineRule="auto"/>
        <w:rPr>
          <w:sz w:val="20"/>
          <w:szCs w:val="20"/>
          <w:color w:val="auto"/>
        </w:rPr>
      </w:pPr>
      <w:r>
        <w:rPr>
          <w:rFonts w:ascii="Arial" w:cs="Arial" w:eastAsia="Arial" w:hAnsi="Arial"/>
          <w:sz w:val="19"/>
          <w:szCs w:val="19"/>
          <w:color w:val="auto"/>
        </w:rPr>
        <w:t>As a part of the private placement transaction on June 3, 2020, the participating investors received conditional warrants entitling them to subscribe for an aggregate of 161,048,366 ordinary shares in the Company. The warrants were conditional on certain Resolutions being passed at the Company’s general meeting on June 30, 2020. On the passing of the Resolutions, the warrants entitled the investors to subscribe for ordinary shares at an exercise price of £0.348 per warrant and are exercisable until June 2023. The warrants are classified as liabilities as the Company does not have an unconditional right to avoid redeeming the instruments for cash. The fair value of the warrant liability was £8.0 million as of December 31, 2021</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22"/>
          <w:szCs w:val="22"/>
          <w:color w:val="auto"/>
        </w:rPr>
        <w:t>(£49.9 million as of December 31, 2020). The change in the fair value of £39.5 million was recognized as a gain in the consolidated statement of comprehensive income/(loss). During the year-ended December 31, 2021, 15,414,626 warrants were exercised (2020: 690,205). Refer to Note 22 for details of the warrant exercises.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Warrants – bank loan</w:t>
      </w:r>
    </w:p>
    <w:p>
      <w:pPr>
        <w:spacing w:after="0" w:line="104" w:lineRule="exact"/>
        <w:rPr>
          <w:sz w:val="20"/>
          <w:szCs w:val="20"/>
          <w:color w:val="auto"/>
        </w:rPr>
      </w:pPr>
    </w:p>
    <w:p>
      <w:pPr>
        <w:jc w:val="both"/>
        <w:ind w:left="120" w:firstLine="551"/>
        <w:spacing w:after="0"/>
        <w:rPr>
          <w:sz w:val="20"/>
          <w:szCs w:val="20"/>
          <w:color w:val="auto"/>
        </w:rPr>
      </w:pPr>
      <w:r>
        <w:rPr>
          <w:rFonts w:ascii="Arial" w:cs="Arial" w:eastAsia="Arial" w:hAnsi="Arial"/>
          <w:sz w:val="22"/>
          <w:szCs w:val="22"/>
          <w:color w:val="auto"/>
        </w:rPr>
        <w:t>As of December 31, 2021 and 2020, the former lenders of the Company have warrants outstanding to purchase a total of 1,243,908 ordinary shares at an exercise price of £2.95 per share and a total of 1,243,908 ordinary shares at an exercise price of $0.4144 per share.</w:t>
      </w:r>
    </w:p>
    <w:p>
      <w:pPr>
        <w:spacing w:after="0" w:line="78" w:lineRule="exact"/>
        <w:rPr>
          <w:sz w:val="20"/>
          <w:szCs w:val="20"/>
          <w:color w:val="auto"/>
        </w:rPr>
      </w:pPr>
    </w:p>
    <w:p>
      <w:pPr>
        <w:ind w:left="120" w:right="180" w:firstLine="551"/>
        <w:spacing w:after="0" w:line="250" w:lineRule="auto"/>
        <w:rPr>
          <w:sz w:val="20"/>
          <w:szCs w:val="20"/>
          <w:color w:val="auto"/>
        </w:rPr>
      </w:pPr>
      <w:r>
        <w:rPr>
          <w:rFonts w:ascii="Arial" w:cs="Arial" w:eastAsia="Arial" w:hAnsi="Arial"/>
          <w:sz w:val="22"/>
          <w:szCs w:val="22"/>
          <w:color w:val="auto"/>
        </w:rPr>
        <w:t>At December 31, 2021, the fair value of these warrants were £0.3 million (2020: £0.8 million). There were no warrants exercised during the year ended December 31, 2021.</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Total outstanding warrants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December 31, 2021, a total of 147,431,351 warrants are outstanding (2020: 162,845,977). The warrants outstanding</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are equivalent to 25% of the issued ordinary share capital of the Company (2020: 48%).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lists the weighted average inputs to the models used for the fair value of warrants: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13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5"/>
          </w:tcPr>
          <w:p>
            <w:pPr>
              <w:ind w:left="1100"/>
              <w:spacing w:after="0"/>
              <w:rPr>
                <w:sz w:val="20"/>
                <w:szCs w:val="20"/>
                <w:color w:val="auto"/>
              </w:rPr>
            </w:pPr>
            <w:r>
              <w:rPr>
                <w:rFonts w:ascii="Arial" w:cs="Arial" w:eastAsia="Arial" w:hAnsi="Arial"/>
                <w:sz w:val="22"/>
                <w:szCs w:val="22"/>
                <w:b w:val="1"/>
                <w:bCs w:val="1"/>
                <w:color w:val="auto"/>
              </w:rPr>
              <w:t>December 31,</w:t>
            </w:r>
          </w:p>
        </w:tc>
        <w:tc>
          <w:tcPr>
            <w:tcW w:w="6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72"/>
              <w:spacing w:after="0" w:line="237" w:lineRule="exact"/>
              <w:rPr>
                <w:sz w:val="20"/>
                <w:szCs w:val="20"/>
                <w:color w:val="auto"/>
              </w:rPr>
            </w:pPr>
            <w:r>
              <w:rPr>
                <w:rFonts w:ascii="Arial" w:cs="Arial" w:eastAsia="Arial" w:hAnsi="Arial"/>
                <w:sz w:val="22"/>
                <w:szCs w:val="22"/>
                <w:b w:val="1"/>
                <w:bCs w:val="1"/>
                <w:color w:val="auto"/>
              </w:rPr>
              <w:t>2021</w:t>
            </w:r>
          </w:p>
        </w:tc>
        <w:tc>
          <w:tcPr>
            <w:tcW w:w="800" w:type="dxa"/>
            <w:vAlign w:val="bottom"/>
          </w:tcPr>
          <w:p>
            <w:pPr>
              <w:spacing w:after="0"/>
              <w:rPr>
                <w:sz w:val="20"/>
                <w:szCs w:val="20"/>
                <w:color w:val="auto"/>
              </w:rPr>
            </w:pPr>
          </w:p>
        </w:tc>
        <w:tc>
          <w:tcPr>
            <w:tcW w:w="1520" w:type="dxa"/>
            <w:vAlign w:val="bottom"/>
            <w:gridSpan w:val="4"/>
          </w:tcPr>
          <w:p>
            <w:pPr>
              <w:jc w:val="right"/>
              <w:ind w:right="372"/>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37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Expected volatility (%)</w:t>
            </w:r>
          </w:p>
        </w:tc>
        <w:tc>
          <w:tcPr>
            <w:tcW w:w="9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75</w:t>
            </w:r>
          </w:p>
        </w:tc>
        <w:tc>
          <w:tcPr>
            <w:tcW w:w="8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84-85</w:t>
            </w:r>
          </w:p>
        </w:tc>
        <w:tc>
          <w:tcPr>
            <w:tcW w:w="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720" w:type="dxa"/>
            <w:vAlign w:val="bottom"/>
          </w:tcPr>
          <w:p>
            <w:pPr>
              <w:spacing w:after="0" w:line="243" w:lineRule="exact"/>
              <w:rPr>
                <w:sz w:val="20"/>
                <w:szCs w:val="20"/>
                <w:color w:val="auto"/>
              </w:rPr>
            </w:pPr>
            <w:r>
              <w:rPr>
                <w:rFonts w:ascii="Arial" w:cs="Arial" w:eastAsia="Arial" w:hAnsi="Arial"/>
                <w:sz w:val="22"/>
                <w:szCs w:val="22"/>
                <w:color w:val="auto"/>
              </w:rPr>
              <w:t>Risk-free interest rate (%)</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2"/>
          </w:tcPr>
          <w:p>
            <w:pPr>
              <w:jc w:val="right"/>
              <w:ind w:right="800"/>
              <w:spacing w:after="0" w:line="243" w:lineRule="exact"/>
              <w:rPr>
                <w:sz w:val="20"/>
                <w:szCs w:val="20"/>
                <w:color w:val="auto"/>
              </w:rPr>
            </w:pPr>
            <w:r>
              <w:rPr>
                <w:rFonts w:ascii="Arial" w:cs="Arial" w:eastAsia="Arial" w:hAnsi="Arial"/>
                <w:sz w:val="22"/>
                <w:szCs w:val="22"/>
                <w:color w:val="auto"/>
              </w:rPr>
              <w:t>0.9</w:t>
            </w:r>
          </w:p>
        </w:tc>
        <w:tc>
          <w:tcPr>
            <w:tcW w:w="1560" w:type="dxa"/>
            <w:vAlign w:val="bottom"/>
            <w:gridSpan w:val="5"/>
          </w:tcPr>
          <w:p>
            <w:pPr>
              <w:jc w:val="right"/>
              <w:ind w:right="40"/>
              <w:spacing w:after="0" w:line="243" w:lineRule="exact"/>
              <w:rPr>
                <w:sz w:val="20"/>
                <w:szCs w:val="20"/>
                <w:color w:val="auto"/>
              </w:rPr>
            </w:pPr>
            <w:r>
              <w:rPr>
                <w:rFonts w:ascii="Arial" w:cs="Arial" w:eastAsia="Arial" w:hAnsi="Arial"/>
                <w:sz w:val="22"/>
                <w:szCs w:val="22"/>
                <w:color w:val="auto"/>
              </w:rPr>
              <w:t>0.25-(0.05)</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Expected life of warrants (years)</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800"/>
              <w:spacing w:after="0" w:line="243" w:lineRule="exact"/>
              <w:rPr>
                <w:sz w:val="20"/>
                <w:szCs w:val="20"/>
                <w:color w:val="auto"/>
              </w:rPr>
            </w:pPr>
            <w:r>
              <w:rPr>
                <w:rFonts w:ascii="Arial" w:cs="Arial" w:eastAsia="Arial" w:hAnsi="Arial"/>
                <w:sz w:val="22"/>
                <w:szCs w:val="22"/>
                <w:color w:val="auto"/>
              </w:rPr>
              <w:t>1.5</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720" w:type="dxa"/>
            <w:vAlign w:val="bottom"/>
          </w:tcPr>
          <w:p>
            <w:pPr>
              <w:spacing w:after="0" w:line="243" w:lineRule="exact"/>
              <w:rPr>
                <w:sz w:val="20"/>
                <w:szCs w:val="20"/>
                <w:color w:val="auto"/>
              </w:rPr>
            </w:pPr>
            <w:r>
              <w:rPr>
                <w:rFonts w:ascii="Arial" w:cs="Arial" w:eastAsia="Arial" w:hAnsi="Arial"/>
                <w:sz w:val="22"/>
                <w:szCs w:val="22"/>
                <w:color w:val="auto"/>
              </w:rPr>
              <w:t>Market price of ADS ($)</w:t>
            </w: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2060" w:type="dxa"/>
            <w:vAlign w:val="bottom"/>
            <w:gridSpan w:val="2"/>
          </w:tcPr>
          <w:p>
            <w:pPr>
              <w:jc w:val="right"/>
              <w:ind w:right="800"/>
              <w:spacing w:after="0" w:line="243" w:lineRule="exact"/>
              <w:rPr>
                <w:sz w:val="20"/>
                <w:szCs w:val="20"/>
                <w:color w:val="auto"/>
              </w:rPr>
            </w:pPr>
            <w:r>
              <w:rPr>
                <w:rFonts w:ascii="Arial" w:cs="Arial" w:eastAsia="Arial" w:hAnsi="Arial"/>
                <w:sz w:val="22"/>
                <w:szCs w:val="22"/>
                <w:color w:val="auto"/>
              </w:rPr>
              <w:t>1.60</w:t>
            </w:r>
          </w:p>
        </w:tc>
        <w:tc>
          <w:tcPr>
            <w:tcW w:w="660" w:type="dxa"/>
            <w:vAlign w:val="bottom"/>
            <w:gridSpan w:val="2"/>
          </w:tcPr>
          <w:p>
            <w:pPr>
              <w:jc w:val="right"/>
              <w:ind w:right="292"/>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7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3.58</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Model used</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Black-Scholes</w:t>
            </w:r>
          </w:p>
        </w:tc>
        <w:tc>
          <w:tcPr>
            <w:tcW w:w="16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ind w:left="100"/>
              <w:spacing w:after="0" w:line="243" w:lineRule="exact"/>
              <w:rPr>
                <w:sz w:val="20"/>
                <w:szCs w:val="20"/>
                <w:color w:val="auto"/>
              </w:rPr>
            </w:pPr>
            <w:r>
              <w:rPr>
                <w:rFonts w:ascii="Arial" w:cs="Arial" w:eastAsia="Arial" w:hAnsi="Arial"/>
                <w:sz w:val="22"/>
                <w:szCs w:val="22"/>
                <w:color w:val="auto"/>
                <w:w w:val="91"/>
              </w:rPr>
              <w:t>Black-Scholes</w:t>
            </w:r>
          </w:p>
        </w:tc>
        <w:tc>
          <w:tcPr>
            <w:tcW w:w="0" w:type="dxa"/>
            <w:vAlign w:val="bottom"/>
          </w:tcPr>
          <w:p>
            <w:pPr>
              <w:spacing w:after="0"/>
              <w:rPr>
                <w:sz w:val="1"/>
                <w:szCs w:val="1"/>
                <w:color w:val="auto"/>
              </w:rPr>
            </w:pPr>
          </w:p>
        </w:tc>
      </w:tr>
      <w:tr>
        <w:trPr>
          <w:trHeight w:val="577"/>
        </w:trPr>
        <w:tc>
          <w:tcPr>
            <w:tcW w:w="5040" w:type="dxa"/>
            <w:vAlign w:val="bottom"/>
            <w:gridSpan w:val="2"/>
          </w:tcPr>
          <w:p>
            <w:pPr>
              <w:spacing w:after="0"/>
              <w:rPr>
                <w:sz w:val="20"/>
                <w:szCs w:val="20"/>
                <w:color w:val="auto"/>
              </w:rPr>
            </w:pPr>
            <w:r>
              <w:rPr>
                <w:rFonts w:ascii="Arial" w:cs="Arial" w:eastAsia="Arial" w:hAnsi="Arial"/>
                <w:sz w:val="22"/>
                <w:szCs w:val="22"/>
                <w:b w:val="1"/>
                <w:bCs w:val="1"/>
                <w:color w:val="auto"/>
              </w:rPr>
              <w:t>21. Convertible loan notes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gridSpan w:val="5"/>
          </w:tcPr>
          <w:p>
            <w:pPr>
              <w:ind w:left="140"/>
              <w:spacing w:after="0"/>
              <w:rPr>
                <w:sz w:val="20"/>
                <w:szCs w:val="20"/>
                <w:color w:val="auto"/>
              </w:rPr>
            </w:pPr>
            <w:r>
              <w:rPr>
                <w:rFonts w:ascii="Arial" w:cs="Arial" w:eastAsia="Arial" w:hAnsi="Arial"/>
                <w:sz w:val="22"/>
                <w:szCs w:val="22"/>
                <w:b w:val="1"/>
                <w:bCs w:val="1"/>
                <w:color w:val="auto"/>
                <w:w w:val="97"/>
              </w:rPr>
              <w:t>December 31,</w:t>
            </w: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b w:val="1"/>
                <w:bCs w:val="1"/>
                <w:color w:val="auto"/>
              </w:rPr>
              <w:t>2021</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gridSpan w:val="2"/>
          </w:tcPr>
          <w:p>
            <w:pPr>
              <w:jc w:val="right"/>
              <w:spacing w:after="0" w:line="237" w:lineRule="exact"/>
              <w:rPr>
                <w:sz w:val="20"/>
                <w:szCs w:val="20"/>
                <w:color w:val="auto"/>
              </w:rPr>
            </w:pPr>
            <w:r>
              <w:rPr>
                <w:rFonts w:ascii="Arial" w:cs="Arial" w:eastAsia="Arial" w:hAnsi="Arial"/>
                <w:sz w:val="22"/>
                <w:szCs w:val="22"/>
                <w:b w:val="1"/>
                <w:bCs w:val="1"/>
                <w:color w:val="auto"/>
                <w:w w:val="89"/>
              </w:rPr>
              <w:t>£’000s</w:t>
            </w:r>
          </w:p>
        </w:tc>
        <w:tc>
          <w:tcPr>
            <w:tcW w:w="200" w:type="dxa"/>
            <w:vAlign w:val="bottom"/>
          </w:tcPr>
          <w:p>
            <w:pPr>
              <w:spacing w:after="0"/>
              <w:rPr>
                <w:sz w:val="20"/>
                <w:szCs w:val="20"/>
                <w:color w:val="auto"/>
              </w:rPr>
            </w:pPr>
          </w:p>
        </w:tc>
        <w:tc>
          <w:tcPr>
            <w:tcW w:w="660" w:type="dxa"/>
            <w:vAlign w:val="bottom"/>
          </w:tcPr>
          <w:p>
            <w:pPr>
              <w:jc w:val="right"/>
              <w:spacing w:after="0" w:line="237" w:lineRule="exact"/>
              <w:rPr>
                <w:sz w:val="20"/>
                <w:szCs w:val="20"/>
                <w:color w:val="auto"/>
              </w:rPr>
            </w:pPr>
            <w:r>
              <w:rPr>
                <w:rFonts w:ascii="Arial" w:cs="Arial" w:eastAsia="Arial" w:hAnsi="Arial"/>
                <w:sz w:val="22"/>
                <w:szCs w:val="22"/>
                <w:b w:val="1"/>
                <w:bCs w:val="1"/>
                <w:color w:val="auto"/>
                <w:w w:val="89"/>
              </w:rPr>
              <w:t>£’000s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Novartis Loan Note</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rPr>
              <w:t>3,771</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3,196</w:t>
            </w: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3720" w:type="dxa"/>
            <w:vAlign w:val="bottom"/>
          </w:tcPr>
          <w:p>
            <w:pPr>
              <w:spacing w:after="0" w:line="243" w:lineRule="exact"/>
              <w:rPr>
                <w:sz w:val="20"/>
                <w:szCs w:val="20"/>
                <w:color w:val="auto"/>
              </w:rPr>
            </w:pPr>
            <w:r>
              <w:rPr>
                <w:rFonts w:ascii="Arial" w:cs="Arial" w:eastAsia="Arial" w:hAnsi="Arial"/>
                <w:sz w:val="22"/>
                <w:szCs w:val="22"/>
                <w:color w:val="auto"/>
              </w:rPr>
              <w:t>Loan Notes – private placement</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22"/>
                <w:szCs w:val="22"/>
                <w:color w:val="auto"/>
                <w:w w:val="95"/>
              </w:rPr>
              <w:t>10,613</w:t>
            </w:r>
          </w:p>
        </w:tc>
        <w:tc>
          <w:tcPr>
            <w:tcW w:w="200" w:type="dxa"/>
            <w:vAlign w:val="bottom"/>
          </w:tcPr>
          <w:p>
            <w:pPr>
              <w:spacing w:after="0"/>
              <w:rPr>
                <w:sz w:val="21"/>
                <w:szCs w:val="21"/>
                <w:color w:val="auto"/>
              </w:rPr>
            </w:pPr>
          </w:p>
        </w:tc>
        <w:tc>
          <w:tcPr>
            <w:tcW w:w="6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w w:val="95"/>
              </w:rPr>
              <w:t>12,946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72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5"/>
              </w:rPr>
              <w:t>14,384</w:t>
            </w:r>
          </w:p>
        </w:tc>
        <w:tc>
          <w:tcPr>
            <w:tcW w:w="2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5"/>
              </w:rPr>
              <w:t>16,142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20" w:type="dxa"/>
            <w:vAlign w:val="bottom"/>
            <w:vMerge w:val="restart"/>
          </w:tcPr>
          <w:p>
            <w:pPr>
              <w:spacing w:after="0"/>
              <w:rPr>
                <w:sz w:val="20"/>
                <w:szCs w:val="20"/>
                <w:color w:val="auto"/>
              </w:rPr>
            </w:pPr>
            <w:r>
              <w:rPr>
                <w:rFonts w:ascii="Arial" w:cs="Arial" w:eastAsia="Arial" w:hAnsi="Arial"/>
                <w:sz w:val="22"/>
                <w:szCs w:val="22"/>
                <w:color w:val="auto"/>
              </w:rPr>
              <w:t>Current</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372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0"/>
                <w:szCs w:val="20"/>
                <w:color w:val="auto"/>
              </w:rPr>
            </w:pPr>
          </w:p>
        </w:tc>
        <w:tc>
          <w:tcPr>
            <w:tcW w:w="660" w:type="dxa"/>
            <w:vAlign w:val="bottom"/>
            <w:tcBorders>
              <w:top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7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Non-current</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w w:val="95"/>
              </w:rPr>
              <w:t>14,384</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w w:val="95"/>
              </w:rPr>
              <w:t>16,142</w:t>
            </w: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312"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i w:val="1"/>
          <w:iCs w:val="1"/>
          <w:color w:val="auto"/>
        </w:rPr>
        <w:t>Convertible loan notes</w:t>
      </w:r>
    </w:p>
    <w:p>
      <w:pPr>
        <w:spacing w:after="0" w:line="110" w:lineRule="exact"/>
        <w:rPr>
          <w:sz w:val="20"/>
          <w:szCs w:val="20"/>
          <w:color w:val="auto"/>
        </w:rPr>
      </w:pPr>
    </w:p>
    <w:p>
      <w:pPr>
        <w:ind w:right="119" w:firstLine="551"/>
        <w:spacing w:after="0" w:line="328" w:lineRule="auto"/>
        <w:rPr>
          <w:sz w:val="20"/>
          <w:szCs w:val="20"/>
          <w:color w:val="auto"/>
        </w:rPr>
      </w:pPr>
      <w:r>
        <w:rPr>
          <w:rFonts w:ascii="Arial" w:cs="Arial" w:eastAsia="Arial" w:hAnsi="Arial"/>
          <w:sz w:val="19"/>
          <w:szCs w:val="19"/>
          <w:color w:val="auto"/>
        </w:rPr>
        <w:t>On February 10, 2020, the Company entered into a convertible equity financing with Novartis Pharma (AG) (“Novartis”) under which Novartis purchased a £3.8 million convertible loan note (the “Novartis Loan Note”).</w:t>
      </w:r>
    </w:p>
    <w:p>
      <w:pPr>
        <w:spacing w:after="0" w:line="37"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F-28</w:t>
      </w:r>
    </w:p>
    <w:p>
      <w:pPr>
        <w:sectPr>
          <w:pgSz w:w="11900" w:h="16838" w:orient="portrait"/>
          <w:cols w:equalWidth="0" w:num="1">
            <w:col w:w="10019"/>
          </w:cols>
          <w:pgMar w:left="440" w:top="125" w:right="1440"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140" w:firstLine="551"/>
        <w:spacing w:after="0" w:line="297" w:lineRule="auto"/>
        <w:rPr>
          <w:sz w:val="20"/>
          <w:szCs w:val="20"/>
          <w:color w:val="auto"/>
        </w:rPr>
      </w:pPr>
      <w:r>
        <w:rPr>
          <w:rFonts w:ascii="Arial" w:cs="Arial" w:eastAsia="Arial" w:hAnsi="Arial"/>
          <w:sz w:val="19"/>
          <w:szCs w:val="19"/>
          <w:color w:val="auto"/>
        </w:rPr>
        <w:t>The Novartis Loan Note is convertible at the discretion of the holder, at a fixed price of £0.265 per ordinary share and bears an interest rate of 6% per annum with a maturity date of February 2025. In connection with the Novartis Loan Note, the Company issued 1,449,614 warrants which are exercisable until February 2025 at an exercise price of £0.265.</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Loan Notes – private placement</w:t>
      </w:r>
    </w:p>
    <w:p>
      <w:pPr>
        <w:spacing w:after="0" w:line="98" w:lineRule="exact"/>
        <w:rPr>
          <w:sz w:val="20"/>
          <w:szCs w:val="20"/>
          <w:color w:val="auto"/>
        </w:rPr>
      </w:pPr>
    </w:p>
    <w:p>
      <w:pPr>
        <w:ind w:left="120" w:right="280" w:firstLine="551"/>
        <w:spacing w:after="0" w:line="287" w:lineRule="auto"/>
        <w:rPr>
          <w:sz w:val="20"/>
          <w:szCs w:val="20"/>
          <w:color w:val="auto"/>
        </w:rPr>
      </w:pPr>
      <w:r>
        <w:rPr>
          <w:rFonts w:ascii="Arial" w:cs="Arial" w:eastAsia="Arial" w:hAnsi="Arial"/>
          <w:sz w:val="19"/>
          <w:szCs w:val="19"/>
          <w:color w:val="auto"/>
        </w:rPr>
        <w:t>The initial issuance of Loan Notes in an aggregate principal amount of £40.5 million were issued on June 3, 2020 and formed part of the private placement transaction (Note 19) were classified as a financial liability on initial recognition. Non-closely related embedded derivatives relating to the conversion feature, term-extension and change of control features were bifurcated and accounted for at FVTPL, with the debt host contract being measured at amortized cost.</w:t>
      </w:r>
    </w:p>
    <w:p>
      <w:pPr>
        <w:spacing w:after="0" w:line="143" w:lineRule="exact"/>
        <w:rPr>
          <w:sz w:val="20"/>
          <w:szCs w:val="20"/>
          <w:color w:val="auto"/>
        </w:rPr>
      </w:pPr>
    </w:p>
    <w:p>
      <w:pPr>
        <w:ind w:left="120" w:right="400" w:firstLine="551"/>
        <w:spacing w:after="0" w:line="252" w:lineRule="auto"/>
        <w:rPr>
          <w:sz w:val="20"/>
          <w:szCs w:val="20"/>
          <w:color w:val="auto"/>
        </w:rPr>
      </w:pPr>
      <w:r>
        <w:rPr>
          <w:rFonts w:ascii="Arial" w:cs="Arial" w:eastAsia="Arial" w:hAnsi="Arial"/>
          <w:sz w:val="21"/>
          <w:szCs w:val="21"/>
          <w:color w:val="auto"/>
        </w:rPr>
        <w:t>The fair value of the embedded derivative liability was £11.9 million on initial recognition and the fair value of the liability component was £24.4 million (net of transaction costs). In 2020, between initial recognition and the passing of the Resolutions (Note 19), changes in the fair value of the embedded derivative totaling £63.2 million were recognized as an expense in the consolidated statement of comprehensive income/(loss).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Loan Notes were not convertible until certain Resolutions were passed at the Company’s general meeting 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June 30, 2020, following which Loan Notes in an aggregate principal amount of £21.7 million (together with accrued interest)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were automatically converted into 125,061,475 ordinary shares. Accordingly, a reduction in interest bearing loans of</w:t>
      </w:r>
    </w:p>
    <w:p>
      <w:pPr>
        <w:spacing w:after="0" w:line="2" w:lineRule="exact"/>
        <w:rPr>
          <w:sz w:val="20"/>
          <w:szCs w:val="20"/>
          <w:color w:val="auto"/>
        </w:rPr>
      </w:pPr>
    </w:p>
    <w:p>
      <w:pPr>
        <w:ind w:left="120" w:right="220"/>
        <w:spacing w:after="0" w:line="280" w:lineRule="auto"/>
        <w:rPr>
          <w:sz w:val="20"/>
          <w:szCs w:val="20"/>
          <w:color w:val="auto"/>
        </w:rPr>
      </w:pPr>
      <w:r>
        <w:rPr>
          <w:rFonts w:ascii="Arial" w:cs="Arial" w:eastAsia="Arial" w:hAnsi="Arial"/>
          <w:sz w:val="19"/>
          <w:szCs w:val="19"/>
          <w:color w:val="auto"/>
        </w:rPr>
        <w:t>£13.3 million together with the derecognition of the embedded derivative relating to the conversion feature of £41.6 million was recognized; no gain or loss was recognized on conversion. The remaining portion of the embedded derivative relating to the conversion feature attributable to the Loan Notes outstanding of £33.5 million was reclassified to equity to reflect the effective change in the terms of the feature following the passing of the Resolutions.</w:t>
      </w:r>
    </w:p>
    <w:p>
      <w:pPr>
        <w:spacing w:after="0" w:line="150"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22"/>
          <w:szCs w:val="22"/>
          <w:color w:val="auto"/>
        </w:rPr>
        <w:t>The movements in the carrying value of the liability component of the Loan Notes is included in the table below. Refer to Note 22 for details of Loan Notes converted to equity.</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5520" w:type="dxa"/>
            <w:vAlign w:val="bottom"/>
          </w:tcPr>
          <w:p>
            <w:pPr>
              <w:spacing w:after="0"/>
              <w:rPr>
                <w:sz w:val="23"/>
                <w:szCs w:val="23"/>
                <w:color w:val="auto"/>
              </w:rPr>
            </w:pPr>
          </w:p>
        </w:tc>
        <w:tc>
          <w:tcPr>
            <w:tcW w:w="2840" w:type="dxa"/>
            <w:vAlign w:val="bottom"/>
            <w:gridSpan w:val="4"/>
          </w:tcPr>
          <w:p>
            <w:pPr>
              <w:jc w:val="right"/>
              <w:ind w:right="320"/>
              <w:spacing w:after="0"/>
              <w:rPr>
                <w:sz w:val="20"/>
                <w:szCs w:val="20"/>
                <w:color w:val="auto"/>
              </w:rPr>
            </w:pPr>
            <w:r>
              <w:rPr>
                <w:rFonts w:ascii="Arial" w:cs="Arial" w:eastAsia="Arial" w:hAnsi="Arial"/>
                <w:sz w:val="22"/>
                <w:szCs w:val="22"/>
                <w:b w:val="1"/>
                <w:bCs w:val="1"/>
                <w:color w:val="auto"/>
                <w:w w:val="93"/>
              </w:rPr>
              <w:t>Year ended December 31,</w:t>
            </w:r>
          </w:p>
        </w:tc>
      </w:tr>
      <w:tr>
        <w:trPr>
          <w:trHeight w:val="237"/>
        </w:trPr>
        <w:tc>
          <w:tcPr>
            <w:tcW w:w="55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152"/>
              <w:spacing w:after="0" w:line="237" w:lineRule="exact"/>
              <w:rPr>
                <w:sz w:val="20"/>
                <w:szCs w:val="20"/>
                <w:color w:val="auto"/>
              </w:rPr>
            </w:pPr>
            <w:r>
              <w:rPr>
                <w:rFonts w:ascii="Arial" w:cs="Arial" w:eastAsia="Arial" w:hAnsi="Arial"/>
                <w:sz w:val="22"/>
                <w:szCs w:val="22"/>
                <w:b w:val="1"/>
                <w:bCs w:val="1"/>
                <w:color w:val="auto"/>
              </w:rPr>
              <w:t>2021</w:t>
            </w: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12"/>
              <w:spacing w:after="0" w:line="237" w:lineRule="exact"/>
              <w:rPr>
                <w:sz w:val="20"/>
                <w:szCs w:val="20"/>
                <w:color w:val="auto"/>
              </w:rPr>
            </w:pPr>
            <w:r>
              <w:rPr>
                <w:rFonts w:ascii="Arial" w:cs="Arial" w:eastAsia="Arial" w:hAnsi="Arial"/>
                <w:sz w:val="22"/>
                <w:szCs w:val="22"/>
                <w:b w:val="1"/>
                <w:bCs w:val="1"/>
                <w:color w:val="auto"/>
              </w:rPr>
              <w:t>2020</w:t>
            </w:r>
          </w:p>
        </w:tc>
        <w:tc>
          <w:tcPr>
            <w:tcW w:w="120" w:type="dxa"/>
            <w:vAlign w:val="bottom"/>
          </w:tcPr>
          <w:p>
            <w:pPr>
              <w:spacing w:after="0"/>
              <w:rPr>
                <w:sz w:val="20"/>
                <w:szCs w:val="20"/>
                <w:color w:val="auto"/>
              </w:rPr>
            </w:pPr>
          </w:p>
        </w:tc>
      </w:tr>
      <w:tr>
        <w:trPr>
          <w:trHeight w:val="236"/>
        </w:trPr>
        <w:tc>
          <w:tcPr>
            <w:tcW w:w="5520" w:type="dxa"/>
            <w:vAlign w:val="bottom"/>
          </w:tcPr>
          <w:p>
            <w:pPr>
              <w:spacing w:after="0"/>
              <w:rPr>
                <w:sz w:val="20"/>
                <w:szCs w:val="20"/>
                <w:color w:val="auto"/>
              </w:rPr>
            </w:pPr>
          </w:p>
        </w:tc>
        <w:tc>
          <w:tcPr>
            <w:tcW w:w="94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700" w:type="dxa"/>
            <w:vAlign w:val="bottom"/>
          </w:tcPr>
          <w:p>
            <w:pPr>
              <w:spacing w:after="0"/>
              <w:rPr>
                <w:sz w:val="20"/>
                <w:szCs w:val="20"/>
                <w:color w:val="auto"/>
              </w:rPr>
            </w:pPr>
          </w:p>
        </w:tc>
        <w:tc>
          <w:tcPr>
            <w:tcW w:w="108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20" w:type="dxa"/>
            <w:vAlign w:val="bottom"/>
          </w:tcPr>
          <w:p>
            <w:pPr>
              <w:spacing w:after="0"/>
              <w:rPr>
                <w:sz w:val="20"/>
                <w:szCs w:val="20"/>
                <w:color w:val="auto"/>
              </w:rPr>
            </w:pPr>
          </w:p>
        </w:tc>
      </w:tr>
      <w:tr>
        <w:trPr>
          <w:trHeight w:val="243"/>
        </w:trPr>
        <w:tc>
          <w:tcPr>
            <w:tcW w:w="5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January 1</w:t>
            </w:r>
          </w:p>
        </w:tc>
        <w:tc>
          <w:tcPr>
            <w:tcW w:w="1640" w:type="dxa"/>
            <w:vAlign w:val="bottom"/>
            <w:gridSpan w:val="2"/>
            <w:shd w:val="clear" w:color="auto" w:fill="CCEEFF"/>
          </w:tcPr>
          <w:p>
            <w:pPr>
              <w:jc w:val="right"/>
              <w:ind w:right="700"/>
              <w:spacing w:after="0" w:line="243" w:lineRule="exact"/>
              <w:rPr>
                <w:sz w:val="20"/>
                <w:szCs w:val="20"/>
                <w:color w:val="auto"/>
              </w:rPr>
            </w:pPr>
            <w:r>
              <w:rPr>
                <w:rFonts w:ascii="Arial" w:cs="Arial" w:eastAsia="Arial" w:hAnsi="Arial"/>
                <w:sz w:val="22"/>
                <w:szCs w:val="22"/>
                <w:color w:val="auto"/>
              </w:rPr>
              <w:t>12,946</w:t>
            </w:r>
          </w:p>
        </w:tc>
        <w:tc>
          <w:tcPr>
            <w:tcW w:w="120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r>
      <w:tr>
        <w:trPr>
          <w:trHeight w:val="243"/>
        </w:trPr>
        <w:tc>
          <w:tcPr>
            <w:tcW w:w="5520" w:type="dxa"/>
            <w:vAlign w:val="bottom"/>
          </w:tcPr>
          <w:p>
            <w:pPr>
              <w:spacing w:after="0" w:line="243" w:lineRule="exact"/>
              <w:rPr>
                <w:sz w:val="20"/>
                <w:szCs w:val="20"/>
                <w:color w:val="auto"/>
              </w:rPr>
            </w:pPr>
            <w:r>
              <w:rPr>
                <w:rFonts w:ascii="Arial" w:cs="Arial" w:eastAsia="Arial" w:hAnsi="Arial"/>
                <w:sz w:val="22"/>
                <w:szCs w:val="22"/>
                <w:color w:val="auto"/>
              </w:rPr>
              <w:t>Issued</w:t>
            </w:r>
          </w:p>
        </w:tc>
        <w:tc>
          <w:tcPr>
            <w:tcW w:w="1640" w:type="dxa"/>
            <w:vAlign w:val="bottom"/>
            <w:gridSpan w:val="2"/>
          </w:tcPr>
          <w:p>
            <w:pPr>
              <w:jc w:val="right"/>
              <w:ind w:right="82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24,417</w:t>
            </w:r>
          </w:p>
        </w:tc>
      </w:tr>
      <w:tr>
        <w:trPr>
          <w:trHeight w:val="243"/>
        </w:trPr>
        <w:tc>
          <w:tcPr>
            <w:tcW w:w="55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charge</w:t>
            </w:r>
          </w:p>
        </w:tc>
        <w:tc>
          <w:tcPr>
            <w:tcW w:w="1640" w:type="dxa"/>
            <w:vAlign w:val="bottom"/>
            <w:gridSpan w:val="2"/>
            <w:shd w:val="clear" w:color="auto" w:fill="CCEEFF"/>
          </w:tcPr>
          <w:p>
            <w:pPr>
              <w:jc w:val="right"/>
              <w:ind w:right="700"/>
              <w:spacing w:after="0" w:line="243" w:lineRule="exact"/>
              <w:rPr>
                <w:sz w:val="20"/>
                <w:szCs w:val="20"/>
                <w:color w:val="auto"/>
              </w:rPr>
            </w:pPr>
            <w:r>
              <w:rPr>
                <w:rFonts w:ascii="Arial" w:cs="Arial" w:eastAsia="Arial" w:hAnsi="Arial"/>
                <w:sz w:val="22"/>
                <w:szCs w:val="22"/>
                <w:color w:val="auto"/>
              </w:rPr>
              <w:t>2,974</w:t>
            </w:r>
          </w:p>
        </w:tc>
        <w:tc>
          <w:tcPr>
            <w:tcW w:w="120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1,803</w:t>
            </w:r>
          </w:p>
        </w:tc>
      </w:tr>
      <w:tr>
        <w:trPr>
          <w:trHeight w:val="250"/>
        </w:trPr>
        <w:tc>
          <w:tcPr>
            <w:tcW w:w="5520" w:type="dxa"/>
            <w:vAlign w:val="bottom"/>
          </w:tcPr>
          <w:p>
            <w:pPr>
              <w:spacing w:after="0" w:line="243" w:lineRule="exact"/>
              <w:rPr>
                <w:sz w:val="20"/>
                <w:szCs w:val="20"/>
                <w:color w:val="auto"/>
              </w:rPr>
            </w:pPr>
            <w:r>
              <w:rPr>
                <w:rFonts w:ascii="Arial" w:cs="Arial" w:eastAsia="Arial" w:hAnsi="Arial"/>
                <w:sz w:val="22"/>
                <w:szCs w:val="22"/>
                <w:color w:val="auto"/>
              </w:rPr>
              <w:t>Converted to equity</w:t>
            </w:r>
          </w:p>
        </w:tc>
        <w:tc>
          <w:tcPr>
            <w:tcW w:w="1640" w:type="dxa"/>
            <w:vAlign w:val="bottom"/>
            <w:gridSpan w:val="2"/>
          </w:tcPr>
          <w:p>
            <w:pPr>
              <w:jc w:val="right"/>
              <w:ind w:right="640"/>
              <w:spacing w:after="0" w:line="243" w:lineRule="exact"/>
              <w:rPr>
                <w:sz w:val="20"/>
                <w:szCs w:val="20"/>
                <w:color w:val="auto"/>
              </w:rPr>
            </w:pPr>
            <w:r>
              <w:rPr>
                <w:rFonts w:ascii="Arial" w:cs="Arial" w:eastAsia="Arial" w:hAnsi="Arial"/>
                <w:sz w:val="22"/>
                <w:szCs w:val="22"/>
                <w:color w:val="auto"/>
              </w:rPr>
              <w:t>(5,307)</w:t>
            </w:r>
          </w:p>
        </w:tc>
        <w:tc>
          <w:tcPr>
            <w:tcW w:w="12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(13,274)</w:t>
            </w:r>
          </w:p>
        </w:tc>
      </w:tr>
      <w:tr>
        <w:trPr>
          <w:trHeight w:val="243"/>
        </w:trPr>
        <w:tc>
          <w:tcPr>
            <w:tcW w:w="552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December 31</w:t>
            </w:r>
          </w:p>
        </w:tc>
        <w:tc>
          <w:tcPr>
            <w:tcW w:w="9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10,613</w:t>
            </w:r>
          </w:p>
        </w:tc>
        <w:tc>
          <w:tcPr>
            <w:tcW w:w="700" w:type="dxa"/>
            <w:vAlign w:val="bottom"/>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12,946</w:t>
            </w:r>
          </w:p>
        </w:tc>
        <w:tc>
          <w:tcPr>
            <w:tcW w:w="120" w:type="dxa"/>
            <w:vAlign w:val="bottom"/>
            <w:shd w:val="clear" w:color="auto" w:fill="CCEEFF"/>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120" w:right="320" w:firstLine="551"/>
        <w:spacing w:after="0" w:line="257" w:lineRule="auto"/>
        <w:rPr>
          <w:sz w:val="20"/>
          <w:szCs w:val="20"/>
          <w:color w:val="auto"/>
        </w:rPr>
      </w:pPr>
      <w:r>
        <w:rPr>
          <w:rFonts w:ascii="Arial" w:cs="Arial" w:eastAsia="Arial" w:hAnsi="Arial"/>
          <w:sz w:val="21"/>
          <w:szCs w:val="21"/>
          <w:color w:val="auto"/>
        </w:rPr>
        <w:t>The movements in the carrying value of the embedded derivative relating to the conversion feature in the year-ended 2020 is included in the table below. There were no movements in the carrying value of the embedded derivative in the year-ended December 31, 2021 following the reclassification to equity on June 30, 2020.</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22"/>
                <w:szCs w:val="22"/>
                <w:b w:val="1"/>
                <w:bCs w:val="1"/>
                <w:color w:val="auto"/>
                <w:w w:val="91"/>
              </w:rPr>
              <w:t>Year ended December 31,</w:t>
            </w:r>
          </w:p>
        </w:tc>
      </w:tr>
      <w:tr>
        <w:trPr>
          <w:trHeight w:val="236"/>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340" w:type="dxa"/>
            <w:vAlign w:val="bottom"/>
            <w:tcBorders>
              <w:top w:val="single" w:sz="8" w:color="auto"/>
              <w:bottom w:val="single" w:sz="8" w:color="auto"/>
            </w:tcBorders>
          </w:tcPr>
          <w:p>
            <w:pPr>
              <w:jc w:val="right"/>
              <w:ind w:right="832"/>
              <w:spacing w:after="0" w:line="237" w:lineRule="exact"/>
              <w:rPr>
                <w:sz w:val="20"/>
                <w:szCs w:val="20"/>
                <w:color w:val="auto"/>
              </w:rPr>
            </w:pPr>
            <w:r>
              <w:rPr>
                <w:rFonts w:ascii="Arial" w:cs="Arial" w:eastAsia="Arial" w:hAnsi="Arial"/>
                <w:sz w:val="22"/>
                <w:szCs w:val="22"/>
                <w:b w:val="1"/>
                <w:bCs w:val="1"/>
                <w:color w:val="auto"/>
              </w:rPr>
              <w:t>2020</w:t>
            </w:r>
          </w:p>
        </w:tc>
        <w:tc>
          <w:tcPr>
            <w:tcW w:w="14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34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January 1</w:t>
            </w:r>
          </w:p>
        </w:tc>
        <w:tc>
          <w:tcPr>
            <w:tcW w:w="2480" w:type="dxa"/>
            <w:vAlign w:val="bottom"/>
            <w:gridSpan w:val="2"/>
            <w:shd w:val="clear" w:color="auto" w:fill="CCEEFF"/>
          </w:tcPr>
          <w:p>
            <w:pPr>
              <w:ind w:left="2020"/>
              <w:spacing w:after="0" w:line="243" w:lineRule="exact"/>
              <w:rPr>
                <w:sz w:val="20"/>
                <w:szCs w:val="20"/>
                <w:color w:val="auto"/>
              </w:rPr>
            </w:pPr>
            <w:r>
              <w:rPr>
                <w:rFonts w:ascii="Arial" w:cs="Arial" w:eastAsia="Arial" w:hAnsi="Arial"/>
                <w:sz w:val="22"/>
                <w:szCs w:val="22"/>
                <w:color w:val="auto"/>
              </w:rPr>
              <w:t>—</w:t>
            </w:r>
          </w:p>
        </w:tc>
      </w:tr>
      <w:tr>
        <w:trPr>
          <w:trHeight w:val="243"/>
        </w:trPr>
        <w:tc>
          <w:tcPr>
            <w:tcW w:w="20" w:type="dxa"/>
            <w:vAlign w:val="bottom"/>
          </w:tcPr>
          <w:p>
            <w:pPr>
              <w:spacing w:after="0"/>
              <w:rPr>
                <w:sz w:val="21"/>
                <w:szCs w:val="21"/>
                <w:color w:val="auto"/>
              </w:rPr>
            </w:pPr>
          </w:p>
        </w:tc>
        <w:tc>
          <w:tcPr>
            <w:tcW w:w="4980" w:type="dxa"/>
            <w:vAlign w:val="bottom"/>
          </w:tcPr>
          <w:p>
            <w:pPr>
              <w:spacing w:after="0" w:line="243" w:lineRule="exact"/>
              <w:rPr>
                <w:sz w:val="20"/>
                <w:szCs w:val="20"/>
                <w:color w:val="auto"/>
              </w:rPr>
            </w:pPr>
            <w:r>
              <w:rPr>
                <w:rFonts w:ascii="Arial" w:cs="Arial" w:eastAsia="Arial" w:hAnsi="Arial"/>
                <w:sz w:val="22"/>
                <w:szCs w:val="22"/>
                <w:color w:val="auto"/>
              </w:rPr>
              <w:t>Arising during the year</w:t>
            </w:r>
          </w:p>
        </w:tc>
        <w:tc>
          <w:tcPr>
            <w:tcW w:w="2340" w:type="dxa"/>
            <w:vAlign w:val="bottom"/>
          </w:tcPr>
          <w:p>
            <w:pPr>
              <w:jc w:val="right"/>
              <w:spacing w:after="0" w:line="243" w:lineRule="exact"/>
              <w:rPr>
                <w:sz w:val="20"/>
                <w:szCs w:val="20"/>
                <w:color w:val="auto"/>
              </w:rPr>
            </w:pPr>
            <w:r>
              <w:rPr>
                <w:rFonts w:ascii="Arial" w:cs="Arial" w:eastAsia="Arial" w:hAnsi="Arial"/>
                <w:sz w:val="22"/>
                <w:szCs w:val="22"/>
                <w:color w:val="auto"/>
              </w:rPr>
              <w:t>11,913</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Change in fair value</w:t>
            </w:r>
          </w:p>
        </w:tc>
        <w:tc>
          <w:tcPr>
            <w:tcW w:w="2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63,158</w:t>
            </w:r>
          </w:p>
        </w:tc>
        <w:tc>
          <w:tcPr>
            <w:tcW w:w="140" w:type="dxa"/>
            <w:vAlign w:val="bottom"/>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line="243" w:lineRule="exact"/>
              <w:rPr>
                <w:sz w:val="20"/>
                <w:szCs w:val="20"/>
                <w:color w:val="auto"/>
              </w:rPr>
            </w:pPr>
            <w:r>
              <w:rPr>
                <w:rFonts w:ascii="Arial" w:cs="Arial" w:eastAsia="Arial" w:hAnsi="Arial"/>
                <w:sz w:val="22"/>
                <w:szCs w:val="22"/>
                <w:color w:val="auto"/>
              </w:rPr>
              <w:t>Reclassified to equity</w:t>
            </w:r>
          </w:p>
        </w:tc>
        <w:tc>
          <w:tcPr>
            <w:tcW w:w="24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(75,071)</w:t>
            </w: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December 31</w:t>
            </w:r>
          </w:p>
        </w:tc>
        <w:tc>
          <w:tcPr>
            <w:tcW w:w="2340" w:type="dxa"/>
            <w:vAlign w:val="bottom"/>
            <w:tcBorders>
              <w:top w:val="single" w:sz="8" w:color="auto"/>
              <w:bottom w:val="single" w:sz="8" w:color="auto"/>
            </w:tcBorders>
            <w:shd w:val="clear" w:color="auto" w:fill="CCEEFF"/>
          </w:tcPr>
          <w:p>
            <w:pPr>
              <w:ind w:left="2020"/>
              <w:spacing w:after="0" w:line="243" w:lineRule="exact"/>
              <w:rPr>
                <w:sz w:val="20"/>
                <w:szCs w:val="20"/>
                <w:color w:val="auto"/>
              </w:rPr>
            </w:pPr>
            <w:r>
              <w:rPr>
                <w:rFonts w:ascii="Arial" w:cs="Arial" w:eastAsia="Arial" w:hAnsi="Arial"/>
                <w:sz w:val="22"/>
                <w:szCs w:val="22"/>
                <w:b w:val="1"/>
                <w:bCs w:val="1"/>
                <w:color w:val="auto"/>
              </w:rPr>
              <w:t>—</w:t>
            </w:r>
          </w:p>
        </w:tc>
        <w:tc>
          <w:tcPr>
            <w:tcW w:w="14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firstLine="551"/>
        <w:spacing w:after="0"/>
        <w:rPr>
          <w:sz w:val="20"/>
          <w:szCs w:val="20"/>
          <w:color w:val="auto"/>
        </w:rPr>
      </w:pPr>
      <w:r>
        <w:rPr>
          <w:rFonts w:ascii="Arial" w:cs="Arial" w:eastAsia="Arial" w:hAnsi="Arial"/>
          <w:sz w:val="22"/>
          <w:szCs w:val="22"/>
          <w:color w:val="auto"/>
        </w:rPr>
        <w:t>The change in fair value of the embedded derivative liability represented an unrealized loss (recognized within fair value changes on derivative financial instruments held at FVTPL) in the consolidated statement of comprehensive income/(loss) in the year ended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F-29</w:t>
      </w:r>
    </w:p>
    <w:p>
      <w:pPr>
        <w:sectPr>
          <w:pgSz w:w="11900" w:h="16838" w:orient="portrait"/>
          <w:cols w:equalWidth="0" w:num="1">
            <w:col w:w="11120"/>
          </w:cols>
          <w:pgMar w:left="320" w:top="486"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80" w:firstLine="551"/>
        <w:spacing w:after="0" w:line="252" w:lineRule="auto"/>
        <w:rPr>
          <w:sz w:val="20"/>
          <w:szCs w:val="20"/>
          <w:color w:val="auto"/>
        </w:rPr>
      </w:pPr>
      <w:r>
        <w:rPr>
          <w:rFonts w:ascii="Arial" w:cs="Arial" w:eastAsia="Arial" w:hAnsi="Arial"/>
          <w:sz w:val="21"/>
          <w:szCs w:val="21"/>
          <w:color w:val="auto"/>
        </w:rPr>
        <w:t>The fair value of the embedded derivative was determined by comparing the fair value of the hybrid instrument and the fair value of the host debt, which excludes the conversion features, using a discounted cash flow model as well as Black-Scholes model for the hybrid contract. Inputs into the models used to fair value the embedded derivative at inception (June 3, 2020), at conversion (June 30, 2020) and at the balance sheet date are as follows: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1920" w:type="dxa"/>
            <w:vAlign w:val="bottom"/>
          </w:tcPr>
          <w:p>
            <w:pPr>
              <w:spacing w:after="0"/>
              <w:rPr>
                <w:sz w:val="23"/>
                <w:szCs w:val="23"/>
                <w:color w:val="auto"/>
              </w:rPr>
            </w:pPr>
          </w:p>
        </w:tc>
        <w:tc>
          <w:tcPr>
            <w:tcW w:w="2440" w:type="dxa"/>
            <w:vAlign w:val="bottom"/>
            <w:gridSpan w:val="3"/>
          </w:tcPr>
          <w:p>
            <w:pPr>
              <w:jc w:val="right"/>
              <w:ind w:right="420"/>
              <w:spacing w:after="0"/>
              <w:rPr>
                <w:sz w:val="20"/>
                <w:szCs w:val="20"/>
                <w:color w:val="auto"/>
              </w:rPr>
            </w:pPr>
            <w:r>
              <w:rPr>
                <w:rFonts w:ascii="Arial" w:cs="Arial" w:eastAsia="Arial" w:hAnsi="Arial"/>
                <w:sz w:val="22"/>
                <w:szCs w:val="22"/>
                <w:b w:val="1"/>
                <w:bCs w:val="1"/>
                <w:color w:val="auto"/>
              </w:rPr>
              <w:t>December 31, 2020</w:t>
            </w:r>
          </w:p>
        </w:tc>
        <w:tc>
          <w:tcPr>
            <w:tcW w:w="2180" w:type="dxa"/>
            <w:vAlign w:val="bottom"/>
            <w:gridSpan w:val="2"/>
          </w:tcPr>
          <w:p>
            <w:pPr>
              <w:jc w:val="right"/>
              <w:ind w:right="660"/>
              <w:spacing w:after="0"/>
              <w:rPr>
                <w:sz w:val="20"/>
                <w:szCs w:val="20"/>
                <w:color w:val="auto"/>
              </w:rPr>
            </w:pPr>
            <w:r>
              <w:rPr>
                <w:rFonts w:ascii="Arial" w:cs="Arial" w:eastAsia="Arial" w:hAnsi="Arial"/>
                <w:sz w:val="22"/>
                <w:szCs w:val="22"/>
                <w:b w:val="1"/>
                <w:bCs w:val="1"/>
                <w:color w:val="auto"/>
              </w:rPr>
              <w:t>June 30, 2020</w:t>
            </w:r>
          </w:p>
        </w:tc>
        <w:tc>
          <w:tcPr>
            <w:tcW w:w="1820" w:type="dxa"/>
            <w:vAlign w:val="bottom"/>
            <w:gridSpan w:val="2"/>
          </w:tcPr>
          <w:p>
            <w:pPr>
              <w:ind w:left="320"/>
              <w:spacing w:after="0"/>
              <w:rPr>
                <w:sz w:val="20"/>
                <w:szCs w:val="20"/>
                <w:color w:val="auto"/>
              </w:rPr>
            </w:pPr>
            <w:r>
              <w:rPr>
                <w:rFonts w:ascii="Arial" w:cs="Arial" w:eastAsia="Arial" w:hAnsi="Arial"/>
                <w:sz w:val="22"/>
                <w:szCs w:val="22"/>
                <w:b w:val="1"/>
                <w:bCs w:val="1"/>
                <w:color w:val="auto"/>
              </w:rPr>
              <w:t>June 3, 2020</w:t>
            </w:r>
          </w:p>
        </w:tc>
      </w:tr>
      <w:tr>
        <w:trPr>
          <w:trHeight w:val="236"/>
        </w:trPr>
        <w:tc>
          <w:tcPr>
            <w:tcW w:w="192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Expected volatility</w:t>
            </w:r>
          </w:p>
        </w:tc>
        <w:tc>
          <w:tcPr>
            <w:tcW w:w="28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ind w:left="1420"/>
              <w:spacing w:after="0" w:line="237" w:lineRule="exact"/>
              <w:rPr>
                <w:sz w:val="20"/>
                <w:szCs w:val="20"/>
                <w:color w:val="auto"/>
              </w:rPr>
            </w:pPr>
            <w:r>
              <w:rPr>
                <w:rFonts w:ascii="Arial" w:cs="Arial" w:eastAsia="Arial" w:hAnsi="Arial"/>
                <w:sz w:val="22"/>
                <w:szCs w:val="22"/>
                <w:color w:val="auto"/>
              </w:rPr>
              <w:t>—</w:t>
            </w:r>
          </w:p>
        </w:tc>
        <w:tc>
          <w:tcPr>
            <w:tcW w:w="42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61</w:t>
            </w:r>
          </w:p>
        </w:tc>
        <w:tc>
          <w:tcPr>
            <w:tcW w:w="42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61</w:t>
            </w:r>
          </w:p>
        </w:tc>
        <w:tc>
          <w:tcPr>
            <w:tcW w:w="40" w:type="dxa"/>
            <w:vAlign w:val="bottom"/>
            <w:tcBorders>
              <w:top w:val="single" w:sz="8" w:color="CCEEFF"/>
            </w:tcBorders>
            <w:shd w:val="clear" w:color="auto" w:fill="CCEEFF"/>
          </w:tcPr>
          <w:p>
            <w:pPr>
              <w:spacing w:after="0"/>
              <w:rPr>
                <w:sz w:val="20"/>
                <w:szCs w:val="20"/>
                <w:color w:val="auto"/>
              </w:rPr>
            </w:pPr>
          </w:p>
        </w:tc>
      </w:tr>
      <w:tr>
        <w:trPr>
          <w:trHeight w:val="222"/>
        </w:trPr>
        <w:tc>
          <w:tcPr>
            <w:tcW w:w="1920" w:type="dxa"/>
            <w:vAlign w:val="bottom"/>
          </w:tcPr>
          <w:p>
            <w:pPr>
              <w:spacing w:after="0" w:line="222" w:lineRule="exact"/>
              <w:rPr>
                <w:sz w:val="20"/>
                <w:szCs w:val="20"/>
                <w:color w:val="auto"/>
              </w:rPr>
            </w:pPr>
            <w:r>
              <w:rPr>
                <w:rFonts w:ascii="Arial" w:cs="Arial" w:eastAsia="Arial" w:hAnsi="Arial"/>
                <w:sz w:val="22"/>
                <w:szCs w:val="22"/>
                <w:color w:val="auto"/>
              </w:rPr>
              <w:t>Risk-free interest</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4"/>
        </w:trPr>
        <w:tc>
          <w:tcPr>
            <w:tcW w:w="1920" w:type="dxa"/>
            <w:vAlign w:val="bottom"/>
          </w:tcPr>
          <w:p>
            <w:pPr>
              <w:ind w:left="220"/>
              <w:spacing w:after="0"/>
              <w:rPr>
                <w:sz w:val="20"/>
                <w:szCs w:val="20"/>
                <w:color w:val="auto"/>
              </w:rPr>
            </w:pPr>
            <w:r>
              <w:rPr>
                <w:rFonts w:ascii="Arial" w:cs="Arial" w:eastAsia="Arial" w:hAnsi="Arial"/>
                <w:sz w:val="22"/>
                <w:szCs w:val="22"/>
                <w:color w:val="auto"/>
              </w:rPr>
              <w:t>rate (%)</w:t>
            </w:r>
          </w:p>
        </w:tc>
        <w:tc>
          <w:tcPr>
            <w:tcW w:w="280" w:type="dxa"/>
            <w:vAlign w:val="bottom"/>
          </w:tcPr>
          <w:p>
            <w:pPr>
              <w:spacing w:after="0"/>
              <w:rPr>
                <w:sz w:val="22"/>
                <w:szCs w:val="22"/>
                <w:color w:val="auto"/>
              </w:rPr>
            </w:pPr>
          </w:p>
        </w:tc>
        <w:tc>
          <w:tcPr>
            <w:tcW w:w="2160" w:type="dxa"/>
            <w:vAlign w:val="bottom"/>
            <w:gridSpan w:val="2"/>
          </w:tcPr>
          <w:p>
            <w:pPr>
              <w:ind w:left="1420"/>
              <w:spacing w:after="0"/>
              <w:rPr>
                <w:sz w:val="20"/>
                <w:szCs w:val="20"/>
                <w:color w:val="auto"/>
              </w:rPr>
            </w:pPr>
            <w:r>
              <w:rPr>
                <w:rFonts w:ascii="Arial" w:cs="Arial" w:eastAsia="Arial" w:hAnsi="Arial"/>
                <w:sz w:val="22"/>
                <w:szCs w:val="22"/>
                <w:color w:val="auto"/>
              </w:rPr>
              <w:t>—</w:t>
            </w:r>
          </w:p>
        </w:tc>
        <w:tc>
          <w:tcPr>
            <w:tcW w:w="2180" w:type="dxa"/>
            <w:vAlign w:val="bottom"/>
            <w:gridSpan w:val="2"/>
          </w:tcPr>
          <w:p>
            <w:pPr>
              <w:jc w:val="right"/>
              <w:ind w:right="420"/>
              <w:spacing w:after="0"/>
              <w:rPr>
                <w:sz w:val="20"/>
                <w:szCs w:val="20"/>
                <w:color w:val="auto"/>
              </w:rPr>
            </w:pPr>
            <w:r>
              <w:rPr>
                <w:rFonts w:ascii="Arial" w:cs="Arial" w:eastAsia="Arial" w:hAnsi="Arial"/>
                <w:sz w:val="22"/>
                <w:szCs w:val="22"/>
                <w:color w:val="auto"/>
              </w:rPr>
              <w:t>0.19</w:t>
            </w:r>
          </w:p>
        </w:tc>
        <w:tc>
          <w:tcPr>
            <w:tcW w:w="1820" w:type="dxa"/>
            <w:vAlign w:val="bottom"/>
            <w:gridSpan w:val="2"/>
          </w:tcPr>
          <w:p>
            <w:pPr>
              <w:jc w:val="right"/>
              <w:ind w:right="40"/>
              <w:spacing w:after="0"/>
              <w:rPr>
                <w:sz w:val="20"/>
                <w:szCs w:val="20"/>
                <w:color w:val="auto"/>
              </w:rPr>
            </w:pPr>
            <w:r>
              <w:rPr>
                <w:rFonts w:ascii="Arial" w:cs="Arial" w:eastAsia="Arial" w:hAnsi="Arial"/>
                <w:sz w:val="22"/>
                <w:szCs w:val="22"/>
                <w:color w:val="auto"/>
              </w:rPr>
              <w:t>0.27</w:t>
            </w:r>
          </w:p>
        </w:tc>
      </w:tr>
      <w:tr>
        <w:trPr>
          <w:trHeight w:val="243"/>
        </w:trPr>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Credit spread %</w:t>
            </w:r>
          </w:p>
        </w:tc>
        <w:tc>
          <w:tcPr>
            <w:tcW w:w="28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1420"/>
              <w:spacing w:after="0" w:line="243" w:lineRule="exact"/>
              <w:rPr>
                <w:sz w:val="20"/>
                <w:szCs w:val="20"/>
                <w:color w:val="auto"/>
              </w:rPr>
            </w:pPr>
            <w:r>
              <w:rPr>
                <w:rFonts w:ascii="Arial" w:cs="Arial" w:eastAsia="Arial" w:hAnsi="Arial"/>
                <w:sz w:val="22"/>
                <w:szCs w:val="22"/>
                <w:color w:val="auto"/>
              </w:rPr>
              <w:t>—</w:t>
            </w:r>
          </w:p>
        </w:tc>
        <w:tc>
          <w:tcPr>
            <w:tcW w:w="218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1.86</w:t>
            </w:r>
          </w:p>
        </w:tc>
        <w:tc>
          <w:tcPr>
            <w:tcW w:w="18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2.01</w:t>
            </w:r>
          </w:p>
        </w:tc>
      </w:tr>
      <w:tr>
        <w:trPr>
          <w:trHeight w:val="243"/>
        </w:trPr>
        <w:tc>
          <w:tcPr>
            <w:tcW w:w="1920" w:type="dxa"/>
            <w:vAlign w:val="bottom"/>
          </w:tcPr>
          <w:p>
            <w:pPr>
              <w:spacing w:after="0" w:line="243" w:lineRule="exact"/>
              <w:rPr>
                <w:sz w:val="20"/>
                <w:szCs w:val="20"/>
                <w:color w:val="auto"/>
              </w:rPr>
            </w:pPr>
            <w:r>
              <w:rPr>
                <w:rFonts w:ascii="Arial" w:cs="Arial" w:eastAsia="Arial" w:hAnsi="Arial"/>
                <w:sz w:val="22"/>
                <w:szCs w:val="22"/>
                <w:color w:val="auto"/>
              </w:rPr>
              <w:t>Expected life</w:t>
            </w:r>
          </w:p>
        </w:tc>
        <w:tc>
          <w:tcPr>
            <w:tcW w:w="280" w:type="dxa"/>
            <w:vAlign w:val="bottom"/>
          </w:tcPr>
          <w:p>
            <w:pPr>
              <w:spacing w:after="0"/>
              <w:rPr>
                <w:sz w:val="21"/>
                <w:szCs w:val="21"/>
                <w:color w:val="auto"/>
              </w:rPr>
            </w:pPr>
          </w:p>
        </w:tc>
        <w:tc>
          <w:tcPr>
            <w:tcW w:w="2160" w:type="dxa"/>
            <w:vAlign w:val="bottom"/>
            <w:gridSpan w:val="2"/>
          </w:tcPr>
          <w:p>
            <w:pPr>
              <w:ind w:left="1420"/>
              <w:spacing w:after="0" w:line="243" w:lineRule="exact"/>
              <w:rPr>
                <w:sz w:val="20"/>
                <w:szCs w:val="20"/>
                <w:color w:val="auto"/>
              </w:rPr>
            </w:pPr>
            <w:r>
              <w:rPr>
                <w:rFonts w:ascii="Arial" w:cs="Arial" w:eastAsia="Arial" w:hAnsi="Arial"/>
                <w:sz w:val="22"/>
                <w:szCs w:val="22"/>
                <w:color w:val="auto"/>
              </w:rPr>
              <w:t>—</w:t>
            </w:r>
          </w:p>
        </w:tc>
        <w:tc>
          <w:tcPr>
            <w:tcW w:w="218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3</w:t>
            </w:r>
          </w:p>
        </w:tc>
        <w:tc>
          <w:tcPr>
            <w:tcW w:w="18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w:t>
            </w:r>
          </w:p>
        </w:tc>
      </w:tr>
      <w:tr>
        <w:trPr>
          <w:trHeight w:val="222"/>
        </w:trPr>
        <w:tc>
          <w:tcPr>
            <w:tcW w:w="19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Market price of</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43"/>
        </w:trPr>
        <w:tc>
          <w:tcPr>
            <w:tcW w:w="1920" w:type="dxa"/>
            <w:vAlign w:val="bottom"/>
            <w:shd w:val="clear" w:color="auto" w:fill="CCEEFF"/>
          </w:tcPr>
          <w:p>
            <w:pPr>
              <w:ind w:left="220"/>
              <w:spacing w:after="0" w:line="243" w:lineRule="exact"/>
              <w:rPr>
                <w:sz w:val="20"/>
                <w:szCs w:val="20"/>
                <w:color w:val="auto"/>
              </w:rPr>
            </w:pPr>
            <w:r>
              <w:rPr>
                <w:rFonts w:ascii="Arial" w:cs="Arial" w:eastAsia="Arial" w:hAnsi="Arial"/>
                <w:sz w:val="22"/>
                <w:szCs w:val="22"/>
                <w:color w:val="auto"/>
              </w:rPr>
              <w:t>ordinary shares</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64"/>
        </w:trPr>
        <w:tc>
          <w:tcPr>
            <w:tcW w:w="1920" w:type="dxa"/>
            <w:vAlign w:val="bottom"/>
            <w:shd w:val="clear" w:color="auto" w:fill="CCEEFF"/>
          </w:tcPr>
          <w:p>
            <w:pPr>
              <w:ind w:left="220"/>
              <w:spacing w:after="0"/>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ind w:left="1420"/>
              <w:spacing w:after="0"/>
              <w:rPr>
                <w:sz w:val="20"/>
                <w:szCs w:val="20"/>
                <w:color w:val="auto"/>
              </w:rPr>
            </w:pPr>
            <w:r>
              <w:rPr>
                <w:rFonts w:ascii="Arial" w:cs="Arial" w:eastAsia="Arial" w:hAnsi="Arial"/>
                <w:sz w:val="22"/>
                <w:szCs w:val="22"/>
                <w:color w:val="auto"/>
              </w:rPr>
              <w:t>—</w:t>
            </w:r>
          </w:p>
        </w:tc>
        <w:tc>
          <w:tcPr>
            <w:tcW w:w="2180" w:type="dxa"/>
            <w:vAlign w:val="bottom"/>
            <w:gridSpan w:val="2"/>
            <w:shd w:val="clear" w:color="auto" w:fill="CCEEFF"/>
          </w:tcPr>
          <w:p>
            <w:pPr>
              <w:jc w:val="right"/>
              <w:ind w:right="420"/>
              <w:spacing w:after="0"/>
              <w:rPr>
                <w:sz w:val="20"/>
                <w:szCs w:val="20"/>
                <w:color w:val="auto"/>
              </w:rPr>
            </w:pPr>
            <w:r>
              <w:rPr>
                <w:rFonts w:ascii="Arial" w:cs="Arial" w:eastAsia="Arial" w:hAnsi="Arial"/>
                <w:sz w:val="22"/>
                <w:szCs w:val="22"/>
                <w:color w:val="auto"/>
              </w:rPr>
              <w:t>0.46</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0.19</w:t>
            </w:r>
          </w:p>
        </w:tc>
      </w:tr>
      <w:tr>
        <w:trPr>
          <w:trHeight w:val="222"/>
        </w:trPr>
        <w:tc>
          <w:tcPr>
            <w:tcW w:w="1920" w:type="dxa"/>
            <w:vAlign w:val="bottom"/>
          </w:tcPr>
          <w:p>
            <w:pPr>
              <w:spacing w:after="0" w:line="222" w:lineRule="exact"/>
              <w:rPr>
                <w:sz w:val="20"/>
                <w:szCs w:val="20"/>
                <w:color w:val="auto"/>
              </w:rPr>
            </w:pPr>
            <w:r>
              <w:rPr>
                <w:rFonts w:ascii="Arial" w:cs="Arial" w:eastAsia="Arial" w:hAnsi="Arial"/>
                <w:sz w:val="22"/>
                <w:szCs w:val="22"/>
                <w:color w:val="auto"/>
              </w:rPr>
              <w:t>Probability of</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1920" w:type="dxa"/>
            <w:vAlign w:val="bottom"/>
          </w:tcPr>
          <w:p>
            <w:pPr>
              <w:ind w:left="220"/>
              <w:spacing w:after="0" w:line="243" w:lineRule="exact"/>
              <w:rPr>
                <w:sz w:val="20"/>
                <w:szCs w:val="20"/>
                <w:color w:val="auto"/>
              </w:rPr>
            </w:pPr>
            <w:r>
              <w:rPr>
                <w:rFonts w:ascii="Arial" w:cs="Arial" w:eastAsia="Arial" w:hAnsi="Arial"/>
                <w:sz w:val="22"/>
                <w:szCs w:val="22"/>
                <w:color w:val="auto"/>
              </w:rPr>
              <w:t>resolutions</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4"/>
        </w:trPr>
        <w:tc>
          <w:tcPr>
            <w:tcW w:w="1920" w:type="dxa"/>
            <w:vAlign w:val="bottom"/>
          </w:tcPr>
          <w:p>
            <w:pPr>
              <w:ind w:left="220"/>
              <w:spacing w:after="0"/>
              <w:rPr>
                <w:sz w:val="20"/>
                <w:szCs w:val="20"/>
                <w:color w:val="auto"/>
              </w:rPr>
            </w:pPr>
            <w:r>
              <w:rPr>
                <w:rFonts w:ascii="Arial" w:cs="Arial" w:eastAsia="Arial" w:hAnsi="Arial"/>
                <w:sz w:val="22"/>
                <w:szCs w:val="22"/>
                <w:color w:val="auto"/>
              </w:rPr>
              <w:t>passing (%)</w:t>
            </w:r>
          </w:p>
        </w:tc>
        <w:tc>
          <w:tcPr>
            <w:tcW w:w="280" w:type="dxa"/>
            <w:vAlign w:val="bottom"/>
          </w:tcPr>
          <w:p>
            <w:pPr>
              <w:spacing w:after="0"/>
              <w:rPr>
                <w:sz w:val="22"/>
                <w:szCs w:val="22"/>
                <w:color w:val="auto"/>
              </w:rPr>
            </w:pPr>
          </w:p>
        </w:tc>
        <w:tc>
          <w:tcPr>
            <w:tcW w:w="2160" w:type="dxa"/>
            <w:vAlign w:val="bottom"/>
            <w:gridSpan w:val="2"/>
          </w:tcPr>
          <w:p>
            <w:pPr>
              <w:ind w:left="1420"/>
              <w:spacing w:after="0"/>
              <w:rPr>
                <w:sz w:val="20"/>
                <w:szCs w:val="20"/>
                <w:color w:val="auto"/>
              </w:rPr>
            </w:pPr>
            <w:r>
              <w:rPr>
                <w:rFonts w:ascii="Arial" w:cs="Arial" w:eastAsia="Arial" w:hAnsi="Arial"/>
                <w:sz w:val="22"/>
                <w:szCs w:val="22"/>
                <w:color w:val="auto"/>
              </w:rPr>
              <w:t>—</w:t>
            </w:r>
          </w:p>
        </w:tc>
        <w:tc>
          <w:tcPr>
            <w:tcW w:w="2180" w:type="dxa"/>
            <w:vAlign w:val="bottom"/>
            <w:gridSpan w:val="2"/>
          </w:tcPr>
          <w:p>
            <w:pPr>
              <w:jc w:val="right"/>
              <w:ind w:right="420"/>
              <w:spacing w:after="0"/>
              <w:rPr>
                <w:sz w:val="20"/>
                <w:szCs w:val="20"/>
                <w:color w:val="auto"/>
              </w:rPr>
            </w:pPr>
            <w:r>
              <w:rPr>
                <w:rFonts w:ascii="Arial" w:cs="Arial" w:eastAsia="Arial" w:hAnsi="Arial"/>
                <w:sz w:val="22"/>
                <w:szCs w:val="22"/>
                <w:color w:val="auto"/>
              </w:rPr>
              <w:t>100</w:t>
            </w:r>
          </w:p>
        </w:tc>
        <w:tc>
          <w:tcPr>
            <w:tcW w:w="1820" w:type="dxa"/>
            <w:vAlign w:val="bottom"/>
            <w:gridSpan w:val="2"/>
          </w:tcPr>
          <w:p>
            <w:pPr>
              <w:jc w:val="right"/>
              <w:ind w:right="40"/>
              <w:spacing w:after="0"/>
              <w:rPr>
                <w:sz w:val="20"/>
                <w:szCs w:val="20"/>
                <w:color w:val="auto"/>
              </w:rPr>
            </w:pPr>
            <w:r>
              <w:rPr>
                <w:rFonts w:ascii="Arial" w:cs="Arial" w:eastAsia="Arial" w:hAnsi="Arial"/>
                <w:sz w:val="22"/>
                <w:szCs w:val="22"/>
                <w:color w:val="auto"/>
              </w:rPr>
              <w:t>90</w:t>
            </w:r>
          </w:p>
        </w:tc>
      </w:tr>
      <w:tr>
        <w:trPr>
          <w:trHeight w:val="222"/>
        </w:trPr>
        <w:tc>
          <w:tcPr>
            <w:tcW w:w="19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Models used</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420"/>
              <w:spacing w:after="0" w:line="222" w:lineRule="exact"/>
              <w:rPr>
                <w:sz w:val="20"/>
                <w:szCs w:val="20"/>
                <w:color w:val="auto"/>
              </w:rPr>
            </w:pPr>
            <w:r>
              <w:rPr>
                <w:rFonts w:ascii="Arial" w:cs="Arial" w:eastAsia="Arial" w:hAnsi="Arial"/>
                <w:sz w:val="22"/>
                <w:szCs w:val="22"/>
                <w:color w:val="auto"/>
              </w:rPr>
              <w:t>Discounted cash</w:t>
            </w:r>
          </w:p>
        </w:tc>
        <w:tc>
          <w:tcPr>
            <w:tcW w:w="1820" w:type="dxa"/>
            <w:vAlign w:val="bottom"/>
            <w:gridSpan w:val="2"/>
            <w:shd w:val="clear" w:color="auto" w:fill="CCEEFF"/>
          </w:tcPr>
          <w:p>
            <w:pPr>
              <w:jc w:val="right"/>
              <w:ind w:right="40"/>
              <w:spacing w:after="0" w:line="222" w:lineRule="exact"/>
              <w:rPr>
                <w:sz w:val="20"/>
                <w:szCs w:val="20"/>
                <w:color w:val="auto"/>
              </w:rPr>
            </w:pPr>
            <w:r>
              <w:rPr>
                <w:rFonts w:ascii="Arial" w:cs="Arial" w:eastAsia="Arial" w:hAnsi="Arial"/>
                <w:sz w:val="22"/>
                <w:szCs w:val="22"/>
                <w:color w:val="auto"/>
              </w:rPr>
              <w:t>Discounted cash</w:t>
            </w:r>
          </w:p>
        </w:tc>
      </w:tr>
      <w:tr>
        <w:trPr>
          <w:trHeight w:val="243"/>
        </w:trPr>
        <w:tc>
          <w:tcPr>
            <w:tcW w:w="1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w w:val="94"/>
              </w:rPr>
              <w:t>flow/Black-Scholes</w:t>
            </w:r>
          </w:p>
        </w:tc>
        <w:tc>
          <w:tcPr>
            <w:tcW w:w="18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w w:val="95"/>
              </w:rPr>
              <w:t>flow/Black-Scholes</w:t>
            </w:r>
          </w:p>
        </w:tc>
      </w:tr>
      <w:tr>
        <w:trPr>
          <w:trHeight w:val="264"/>
        </w:trPr>
        <w:tc>
          <w:tcPr>
            <w:tcW w:w="1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jc w:val="right"/>
              <w:ind w:right="420"/>
              <w:spacing w:after="0"/>
              <w:rPr>
                <w:sz w:val="20"/>
                <w:szCs w:val="20"/>
                <w:color w:val="auto"/>
              </w:rPr>
            </w:pPr>
            <w:r>
              <w:rPr>
                <w:rFonts w:ascii="Arial" w:cs="Arial" w:eastAsia="Arial" w:hAnsi="Arial"/>
                <w:sz w:val="22"/>
                <w:szCs w:val="22"/>
                <w:color w:val="auto"/>
              </w:rPr>
              <w:t>—</w:t>
            </w:r>
          </w:p>
        </w:tc>
        <w:tc>
          <w:tcPr>
            <w:tcW w:w="2180" w:type="dxa"/>
            <w:vAlign w:val="bottom"/>
            <w:gridSpan w:val="2"/>
            <w:shd w:val="clear" w:color="auto" w:fill="CCEEFF"/>
          </w:tcPr>
          <w:p>
            <w:pPr>
              <w:jc w:val="right"/>
              <w:ind w:right="420"/>
              <w:spacing w:after="0"/>
              <w:rPr>
                <w:sz w:val="20"/>
                <w:szCs w:val="20"/>
                <w:color w:val="auto"/>
              </w:rPr>
            </w:pPr>
            <w:r>
              <w:rPr>
                <w:rFonts w:ascii="Arial" w:cs="Arial" w:eastAsia="Arial" w:hAnsi="Arial"/>
                <w:sz w:val="22"/>
                <w:szCs w:val="22"/>
                <w:color w:val="auto"/>
              </w:rPr>
              <w:t>model</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model</w:t>
            </w:r>
          </w:p>
        </w:tc>
      </w:tr>
    </w:tbl>
    <w:p>
      <w:pPr>
        <w:spacing w:after="0" w:line="195"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Volatility was estimated by reference to the one-month historical volatility of the share price of the Company. The credit spread was determined based on the estimate of an implied credit rating of the Company between B and C. The volatility and credit spread are key unobservable inputs that require significant judgment and, therefore, the embedded derivatives were categorized within level 3 of the fair value hierarchy.</w:t>
      </w: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5880" w:type="dxa"/>
            <w:vAlign w:val="bottom"/>
            <w:gridSpan w:val="2"/>
          </w:tcPr>
          <w:p>
            <w:pPr>
              <w:spacing w:after="0"/>
              <w:rPr>
                <w:sz w:val="20"/>
                <w:szCs w:val="20"/>
                <w:color w:val="auto"/>
              </w:rPr>
            </w:pPr>
            <w:r>
              <w:rPr>
                <w:rFonts w:ascii="Arial" w:cs="Arial" w:eastAsia="Arial" w:hAnsi="Arial"/>
                <w:sz w:val="22"/>
                <w:szCs w:val="22"/>
                <w:b w:val="1"/>
                <w:bCs w:val="1"/>
                <w:color w:val="auto"/>
              </w:rPr>
              <w:t>22. Issued capital and reserves</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5"/>
              </w:rPr>
              <w:t>Ordinary</w:t>
            </w:r>
          </w:p>
        </w:tc>
        <w:tc>
          <w:tcPr>
            <w:tcW w:w="4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5"/>
              </w:rPr>
              <w:t>Ordinary</w:t>
            </w:r>
          </w:p>
        </w:tc>
        <w:tc>
          <w:tcPr>
            <w:tcW w:w="46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auto"/>
              </w:rPr>
              <w:t>Share</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166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Share capital</w:t>
            </w:r>
          </w:p>
        </w:tc>
        <w:tc>
          <w:tcPr>
            <w:tcW w:w="1460" w:type="dxa"/>
            <w:vAlign w:val="bottom"/>
            <w:gridSpan w:val="3"/>
          </w:tcPr>
          <w:p>
            <w:pPr>
              <w:jc w:val="right"/>
              <w:ind w:right="140"/>
              <w:spacing w:after="0"/>
              <w:rPr>
                <w:sz w:val="20"/>
                <w:szCs w:val="20"/>
                <w:color w:val="auto"/>
              </w:rPr>
            </w:pPr>
            <w:r>
              <w:rPr>
                <w:rFonts w:ascii="Arial" w:cs="Arial" w:eastAsia="Arial" w:hAnsi="Arial"/>
                <w:sz w:val="22"/>
                <w:szCs w:val="22"/>
                <w:b w:val="1"/>
                <w:bCs w:val="1"/>
                <w:color w:val="auto"/>
              </w:rPr>
              <w:t>premium</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1"/>
              </w:rPr>
              <w:t>Number</w:t>
            </w:r>
          </w:p>
        </w:tc>
        <w:tc>
          <w:tcPr>
            <w:tcW w:w="460" w:type="dxa"/>
            <w:vAlign w:val="bottom"/>
          </w:tcPr>
          <w:p>
            <w:pPr>
              <w:spacing w:after="0"/>
              <w:rPr>
                <w:sz w:val="20"/>
                <w:szCs w:val="20"/>
                <w:color w:val="auto"/>
              </w:rPr>
            </w:pPr>
          </w:p>
        </w:tc>
        <w:tc>
          <w:tcPr>
            <w:tcW w:w="120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60" w:type="dxa"/>
            <w:vAlign w:val="bottom"/>
          </w:tcPr>
          <w:p>
            <w:pPr>
              <w:spacing w:after="0"/>
              <w:rPr>
                <w:sz w:val="20"/>
                <w:szCs w:val="20"/>
                <w:color w:val="auto"/>
              </w:rPr>
            </w:pPr>
          </w:p>
        </w:tc>
        <w:tc>
          <w:tcPr>
            <w:tcW w:w="860" w:type="dxa"/>
            <w:vAlign w:val="bottom"/>
            <w:tcBorders>
              <w:top w:val="single" w:sz="8" w:color="auto"/>
            </w:tcBorders>
          </w:tcPr>
          <w:p>
            <w:pPr>
              <w:jc w:val="right"/>
              <w:ind w:right="32"/>
              <w:spacing w:after="0" w:line="237" w:lineRule="exact"/>
              <w:rPr>
                <w:sz w:val="20"/>
                <w:szCs w:val="20"/>
                <w:color w:val="auto"/>
              </w:rPr>
            </w:pPr>
            <w:r>
              <w:rPr>
                <w:rFonts w:ascii="Arial" w:cs="Arial" w:eastAsia="Arial" w:hAnsi="Arial"/>
                <w:sz w:val="22"/>
                <w:szCs w:val="22"/>
                <w:b w:val="1"/>
                <w:bCs w:val="1"/>
                <w:color w:val="auto"/>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As at January 1, 2019</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9"/>
              </w:rPr>
              <w:t>71,240,272</w:t>
            </w:r>
          </w:p>
        </w:tc>
        <w:tc>
          <w:tcPr>
            <w:tcW w:w="16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214</w:t>
            </w:r>
          </w:p>
        </w:tc>
        <w:tc>
          <w:tcPr>
            <w:tcW w:w="13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118,492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80" w:type="dxa"/>
            <w:vAlign w:val="bottom"/>
            <w:gridSpan w:val="2"/>
          </w:tcPr>
          <w:p>
            <w:pPr>
              <w:ind w:left="880"/>
              <w:spacing w:after="0" w:line="250" w:lineRule="exact"/>
              <w:rPr>
                <w:sz w:val="20"/>
                <w:szCs w:val="20"/>
                <w:color w:val="auto"/>
              </w:rPr>
            </w:pPr>
            <w:r>
              <w:rPr>
                <w:rFonts w:ascii="Arial" w:cs="Arial" w:eastAsia="Arial" w:hAnsi="Arial"/>
                <w:sz w:val="22"/>
                <w:szCs w:val="22"/>
                <w:color w:val="auto"/>
              </w:rPr>
              <w:t>Issued on April 23, 2019</w:t>
            </w:r>
          </w:p>
        </w:tc>
        <w:tc>
          <w:tcPr>
            <w:tcW w:w="114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w w:val="99"/>
              </w:rPr>
              <w:t>24,783,320</w:t>
            </w:r>
          </w:p>
        </w:tc>
        <w:tc>
          <w:tcPr>
            <w:tcW w:w="460" w:type="dxa"/>
            <w:vAlign w:val="bottom"/>
          </w:tcPr>
          <w:p>
            <w:pPr>
              <w:spacing w:after="0"/>
              <w:rPr>
                <w:sz w:val="21"/>
                <w:szCs w:val="21"/>
                <w:color w:val="auto"/>
              </w:rPr>
            </w:pPr>
          </w:p>
        </w:tc>
        <w:tc>
          <w:tcPr>
            <w:tcW w:w="12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74</w:t>
            </w:r>
          </w:p>
        </w:tc>
        <w:tc>
          <w:tcPr>
            <w:tcW w:w="460" w:type="dxa"/>
            <w:vAlign w:val="bottom"/>
          </w:tcPr>
          <w:p>
            <w:pPr>
              <w:spacing w:after="0"/>
              <w:rPr>
                <w:sz w:val="21"/>
                <w:szCs w:val="21"/>
                <w:color w:val="auto"/>
              </w:rPr>
            </w:pPr>
          </w:p>
        </w:tc>
        <w:tc>
          <w:tcPr>
            <w:tcW w:w="860" w:type="dxa"/>
            <w:vAlign w:val="bottom"/>
            <w:tcBorders>
              <w:top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Issued on June 21, 2019</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1,936,030</w:t>
            </w:r>
          </w:p>
        </w:tc>
        <w:tc>
          <w:tcPr>
            <w:tcW w:w="16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6</w:t>
            </w:r>
          </w:p>
        </w:tc>
        <w:tc>
          <w:tcPr>
            <w:tcW w:w="13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3,953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000" w:type="dxa"/>
            <w:vAlign w:val="bottom"/>
          </w:tcPr>
          <w:p>
            <w:pPr>
              <w:spacing w:after="0" w:line="243" w:lineRule="exact"/>
              <w:rPr>
                <w:sz w:val="20"/>
                <w:szCs w:val="20"/>
                <w:color w:val="auto"/>
              </w:rPr>
            </w:pPr>
            <w:r>
              <w:rPr>
                <w:rFonts w:ascii="Arial" w:cs="Arial" w:eastAsia="Arial" w:hAnsi="Arial"/>
                <w:sz w:val="22"/>
                <w:szCs w:val="22"/>
                <w:color w:val="auto"/>
              </w:rPr>
              <w:t>Transaction costs for issued share capital</w:t>
            </w:r>
          </w:p>
        </w:tc>
        <w:tc>
          <w:tcPr>
            <w:tcW w:w="11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(761)</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As at December 31, 2019</w:t>
            </w:r>
          </w:p>
        </w:tc>
        <w:tc>
          <w:tcPr>
            <w:tcW w:w="11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99"/>
              </w:rPr>
              <w:t>97,959,622</w:t>
            </w:r>
          </w:p>
        </w:tc>
        <w:tc>
          <w:tcPr>
            <w:tcW w:w="460" w:type="dxa"/>
            <w:vAlign w:val="bottom"/>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294</w:t>
            </w:r>
          </w:p>
        </w:tc>
        <w:tc>
          <w:tcPr>
            <w:tcW w:w="460" w:type="dxa"/>
            <w:vAlign w:val="bottom"/>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121,684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880"/>
              <w:spacing w:after="0"/>
              <w:rPr>
                <w:sz w:val="20"/>
                <w:szCs w:val="20"/>
                <w:color w:val="auto"/>
              </w:rPr>
            </w:pPr>
            <w:r>
              <w:rPr>
                <w:rFonts w:ascii="Arial" w:cs="Arial" w:eastAsia="Arial" w:hAnsi="Arial"/>
                <w:sz w:val="22"/>
                <w:szCs w:val="22"/>
                <w:color w:val="auto"/>
              </w:rPr>
              <w:t>Issued on February 11, 2020</w:t>
            </w:r>
          </w:p>
        </w:tc>
        <w:tc>
          <w:tcPr>
            <w:tcW w:w="1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gridSpan w:val="2"/>
            <w:vMerge w:val="continue"/>
          </w:tcPr>
          <w:p>
            <w:pPr>
              <w:spacing w:after="0"/>
              <w:rPr>
                <w:sz w:val="20"/>
                <w:szCs w:val="20"/>
                <w:color w:val="auto"/>
              </w:rPr>
            </w:pPr>
          </w:p>
        </w:tc>
        <w:tc>
          <w:tcPr>
            <w:tcW w:w="114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w w:val="99"/>
              </w:rPr>
              <w:t>14,295,520</w:t>
            </w:r>
          </w:p>
        </w:tc>
        <w:tc>
          <w:tcPr>
            <w:tcW w:w="460" w:type="dxa"/>
            <w:vAlign w:val="bottom"/>
          </w:tcPr>
          <w:p>
            <w:pPr>
              <w:spacing w:after="0"/>
              <w:rPr>
                <w:sz w:val="20"/>
                <w:szCs w:val="20"/>
                <w:color w:val="auto"/>
              </w:rPr>
            </w:pPr>
          </w:p>
        </w:tc>
        <w:tc>
          <w:tcPr>
            <w:tcW w:w="12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43</w:t>
            </w:r>
          </w:p>
        </w:tc>
        <w:tc>
          <w:tcPr>
            <w:tcW w:w="460" w:type="dxa"/>
            <w:vAlign w:val="bottom"/>
          </w:tcPr>
          <w:p>
            <w:pPr>
              <w:spacing w:after="0"/>
              <w:rPr>
                <w:sz w:val="20"/>
                <w:szCs w:val="20"/>
                <w:color w:val="auto"/>
              </w:rPr>
            </w:pPr>
          </w:p>
        </w:tc>
        <w:tc>
          <w:tcPr>
            <w:tcW w:w="8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2,511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Issued on February 20, 2020</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99"/>
              </w:rPr>
              <w:t>12,252,715</w:t>
            </w:r>
          </w:p>
        </w:tc>
        <w:tc>
          <w:tcPr>
            <w:tcW w:w="16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37</w:t>
            </w:r>
          </w:p>
        </w:tc>
        <w:tc>
          <w:tcPr>
            <w:tcW w:w="13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2,267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tcPr>
          <w:p>
            <w:pPr>
              <w:spacing w:after="0" w:line="243" w:lineRule="exact"/>
              <w:rPr>
                <w:sz w:val="20"/>
                <w:szCs w:val="20"/>
                <w:color w:val="auto"/>
              </w:rPr>
            </w:pPr>
            <w:r>
              <w:rPr>
                <w:rFonts w:ascii="Arial" w:cs="Arial" w:eastAsia="Arial" w:hAnsi="Arial"/>
                <w:sz w:val="22"/>
                <w:szCs w:val="22"/>
                <w:color w:val="auto"/>
              </w:rPr>
              <w:t>Issued on June 4, 2020</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99"/>
              </w:rPr>
              <w:t>89,144,630</w:t>
            </w:r>
          </w:p>
        </w:tc>
        <w:tc>
          <w:tcPr>
            <w:tcW w:w="1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267</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15,244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Issued on June 30, 2020</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9"/>
              </w:rPr>
              <w:t>125,061,475</w:t>
            </w:r>
          </w:p>
        </w:tc>
        <w:tc>
          <w:tcPr>
            <w:tcW w:w="16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375</w:t>
            </w:r>
          </w:p>
        </w:tc>
        <w:tc>
          <w:tcPr>
            <w:tcW w:w="13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21,386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tcPr>
          <w:p>
            <w:pPr>
              <w:spacing w:after="0" w:line="243" w:lineRule="exact"/>
              <w:rPr>
                <w:sz w:val="20"/>
                <w:szCs w:val="20"/>
                <w:color w:val="auto"/>
              </w:rPr>
            </w:pPr>
            <w:r>
              <w:rPr>
                <w:rFonts w:ascii="Arial" w:cs="Arial" w:eastAsia="Arial" w:hAnsi="Arial"/>
                <w:sz w:val="22"/>
                <w:szCs w:val="22"/>
                <w:color w:val="auto"/>
              </w:rPr>
              <w:t>Issued on December 23, 2020</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239,179</w:t>
            </w:r>
          </w:p>
        </w:tc>
        <w:tc>
          <w:tcPr>
            <w:tcW w:w="16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w:t>
            </w:r>
          </w:p>
        </w:tc>
        <w:tc>
          <w:tcPr>
            <w:tcW w:w="460" w:type="dxa"/>
            <w:vAlign w:val="bottom"/>
          </w:tcPr>
          <w:p>
            <w:pPr>
              <w:spacing w:after="0"/>
              <w:rPr>
                <w:sz w:val="21"/>
                <w:szCs w:val="21"/>
                <w:color w:val="auto"/>
              </w:rPr>
            </w:pPr>
          </w:p>
        </w:tc>
        <w:tc>
          <w:tcPr>
            <w:tcW w:w="100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Transaction costs for issued share capital</w:t>
            </w:r>
          </w:p>
        </w:tc>
        <w:tc>
          <w:tcPr>
            <w:tcW w:w="11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460" w:type="dxa"/>
            <w:vAlign w:val="bottom"/>
            <w:gridSpan w:val="3"/>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(1,307)</w:t>
            </w: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000" w:type="dxa"/>
            <w:vAlign w:val="bottom"/>
          </w:tcPr>
          <w:p>
            <w:pPr>
              <w:spacing w:after="0" w:line="250" w:lineRule="exact"/>
              <w:rPr>
                <w:sz w:val="20"/>
                <w:szCs w:val="20"/>
                <w:color w:val="auto"/>
              </w:rPr>
            </w:pPr>
            <w:r>
              <w:rPr>
                <w:rFonts w:ascii="Arial" w:cs="Arial" w:eastAsia="Arial" w:hAnsi="Arial"/>
                <w:sz w:val="22"/>
                <w:szCs w:val="22"/>
                <w:b w:val="1"/>
                <w:bCs w:val="1"/>
                <w:color w:val="auto"/>
              </w:rPr>
              <w:t>As at December 31, 2020</w:t>
            </w:r>
          </w:p>
        </w:tc>
        <w:tc>
          <w:tcPr>
            <w:tcW w:w="11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w w:val="89"/>
              </w:rPr>
              <w:t>338,953,141</w:t>
            </w:r>
          </w:p>
        </w:tc>
        <w:tc>
          <w:tcPr>
            <w:tcW w:w="46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1,017</w:t>
            </w:r>
          </w:p>
        </w:tc>
        <w:tc>
          <w:tcPr>
            <w:tcW w:w="46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161,785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50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Issued during the year</w:t>
            </w:r>
          </w:p>
        </w:tc>
        <w:tc>
          <w:tcPr>
            <w:tcW w:w="11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89"/>
              </w:rPr>
              <w:t>245,955,098</w:t>
            </w:r>
          </w:p>
        </w:tc>
        <w:tc>
          <w:tcPr>
            <w:tcW w:w="1660" w:type="dxa"/>
            <w:vAlign w:val="bottom"/>
            <w:gridSpan w:val="2"/>
            <w:shd w:val="clear" w:color="auto" w:fill="CCEEFF"/>
          </w:tcPr>
          <w:p>
            <w:pPr>
              <w:jc w:val="right"/>
              <w:spacing w:after="0" w:line="237" w:lineRule="exact"/>
              <w:rPr>
                <w:sz w:val="20"/>
                <w:szCs w:val="20"/>
                <w:color w:val="auto"/>
              </w:rPr>
            </w:pPr>
            <w:r>
              <w:rPr>
                <w:rFonts w:ascii="Arial" w:cs="Arial" w:eastAsia="Arial" w:hAnsi="Arial"/>
                <w:sz w:val="22"/>
                <w:szCs w:val="22"/>
                <w:color w:val="auto"/>
              </w:rPr>
              <w:t>738</w:t>
            </w:r>
          </w:p>
        </w:tc>
        <w:tc>
          <w:tcPr>
            <w:tcW w:w="1320" w:type="dxa"/>
            <w:vAlign w:val="bottom"/>
            <w:gridSpan w:val="2"/>
            <w:shd w:val="clear" w:color="auto" w:fill="CCEEFF"/>
          </w:tcPr>
          <w:p>
            <w:pPr>
              <w:jc w:val="right"/>
              <w:spacing w:after="0" w:line="237" w:lineRule="exact"/>
              <w:rPr>
                <w:sz w:val="20"/>
                <w:szCs w:val="20"/>
                <w:color w:val="auto"/>
              </w:rPr>
            </w:pPr>
            <w:r>
              <w:rPr>
                <w:rFonts w:ascii="Arial" w:cs="Arial" w:eastAsia="Arial" w:hAnsi="Arial"/>
                <w:sz w:val="22"/>
                <w:szCs w:val="22"/>
                <w:color w:val="auto"/>
              </w:rPr>
              <w:t>85,909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000" w:type="dxa"/>
            <w:vAlign w:val="bottom"/>
          </w:tcPr>
          <w:p>
            <w:pPr>
              <w:spacing w:after="0" w:line="243" w:lineRule="exact"/>
              <w:rPr>
                <w:sz w:val="20"/>
                <w:szCs w:val="20"/>
                <w:color w:val="auto"/>
              </w:rPr>
            </w:pPr>
            <w:r>
              <w:rPr>
                <w:rFonts w:ascii="Arial" w:cs="Arial" w:eastAsia="Arial" w:hAnsi="Arial"/>
                <w:sz w:val="22"/>
                <w:szCs w:val="22"/>
                <w:color w:val="auto"/>
              </w:rPr>
              <w:t>Transaction costs for issued share capital</w:t>
            </w:r>
          </w:p>
        </w:tc>
        <w:tc>
          <w:tcPr>
            <w:tcW w:w="11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(234)</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0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As at December 31, 2021</w:t>
            </w:r>
          </w:p>
        </w:tc>
        <w:tc>
          <w:tcPr>
            <w:tcW w:w="114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w w:val="89"/>
              </w:rPr>
              <w:t>584,908,239</w:t>
            </w:r>
          </w:p>
        </w:tc>
        <w:tc>
          <w:tcPr>
            <w:tcW w:w="460" w:type="dxa"/>
            <w:vAlign w:val="bottom"/>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1,755</w:t>
            </w:r>
          </w:p>
        </w:tc>
        <w:tc>
          <w:tcPr>
            <w:tcW w:w="460" w:type="dxa"/>
            <w:vAlign w:val="bottom"/>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247,460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right="740" w:firstLine="551"/>
        <w:spacing w:after="0" w:line="274" w:lineRule="auto"/>
        <w:rPr>
          <w:sz w:val="20"/>
          <w:szCs w:val="20"/>
          <w:color w:val="auto"/>
        </w:rPr>
      </w:pPr>
      <w:r>
        <w:rPr>
          <w:rFonts w:ascii="Arial" w:cs="Arial" w:eastAsia="Arial" w:hAnsi="Arial"/>
          <w:sz w:val="21"/>
          <w:szCs w:val="21"/>
          <w:color w:val="auto"/>
        </w:rPr>
        <w:t>Since January 1, 2019, the following alterations to the Company’s share capital have been made. For each share issuance, ordinary shares of £0.003 in nominal value in the capital of the Company were issued.</w:t>
      </w:r>
    </w:p>
    <w:p>
      <w:pPr>
        <w:spacing w:after="0" w:line="56" w:lineRule="exact"/>
        <w:rPr>
          <w:sz w:val="20"/>
          <w:szCs w:val="20"/>
          <w:color w:val="auto"/>
        </w:rPr>
      </w:pPr>
    </w:p>
    <w:p>
      <w:pPr>
        <w:ind w:left="1420" w:right="640" w:hanging="535"/>
        <w:spacing w:after="0"/>
        <w:tabs>
          <w:tab w:leader="none" w:pos="14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On April 23, 2019, the Company issued and allotted 24,783,320 ordinary shares as consideration for the acquisition of Mereo BioPharma 5, Inc. The fair value of the ordinary shares, measured on the date of acquisition, was £1.65;</w:t>
      </w:r>
    </w:p>
    <w:p>
      <w:pPr>
        <w:spacing w:after="0" w:line="91" w:lineRule="exact"/>
        <w:rPr>
          <w:rFonts w:ascii="Arial" w:cs="Arial" w:eastAsia="Arial" w:hAnsi="Arial"/>
          <w:sz w:val="22"/>
          <w:szCs w:val="22"/>
          <w:color w:val="auto"/>
        </w:rPr>
      </w:pPr>
    </w:p>
    <w:p>
      <w:pPr>
        <w:ind w:left="1420" w:right="300" w:hanging="535"/>
        <w:spacing w:after="0"/>
        <w:tabs>
          <w:tab w:leader="none" w:pos="14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On June 21, 2019, Novartis converted £2.4 million of loan notes dated June 3, 2016 into 1,071,042 ordinary shares at a fixed conversion price of £2.21 per share. Under the terms of the notes, Novartis also received 864,988 bonus shares.</w:t>
      </w:r>
    </w:p>
    <w:p>
      <w:pPr>
        <w:sectPr>
          <w:pgSz w:w="11900" w:h="16838" w:orient="portrait"/>
          <w:cols w:equalWidth="0" w:num="1">
            <w:col w:w="11060"/>
          </w:cols>
          <w:pgMar w:left="320" w:top="486" w:right="519" w:bottom="681" w:gutter="0" w:footer="0" w:header="0"/>
        </w:sectPr>
      </w:pPr>
    </w:p>
    <w:bookmarkStart w:id="207" w:name="page208"/>
    <w:bookmarkEnd w:id="207"/>
    <w:p>
      <w:pPr>
        <w:ind w:left="535" w:hanging="535"/>
        <w:spacing w:after="0" w:line="279" w:lineRule="auto"/>
        <w:tabs>
          <w:tab w:leader="none" w:pos="535" w:val="left"/>
        </w:tabs>
        <w:numPr>
          <w:ilvl w:val="0"/>
          <w:numId w:val="95"/>
        </w:numPr>
        <w:rPr>
          <w:rFonts w:ascii="Arial" w:cs="Arial" w:eastAsia="Arial" w:hAnsi="Arial"/>
          <w:sz w:val="19"/>
          <w:szCs w:val="19"/>
          <w:color w:val="auto"/>
        </w:rPr>
      </w:pPr>
      <w:r>
        <w:rPr>
          <w:rFonts w:ascii="Arial" w:cs="Arial" w:eastAsia="Arial" w:hAnsi="Arial"/>
          <w:sz w:val="19"/>
          <w:szCs w:val="19"/>
          <w:color w:val="auto"/>
        </w:rPr>
        <w:t>On February 11, 2020, the Company issued and allotted 11,432,925 ordinary shares at a price of £0.20 per share to Aspire Capital Fund, LLC (“Aspire Capital”). Gross cash received was £2.3 million. Aspire Capital has also committed to subscribe for up to an additional $25 million of ordinary shares exchangeable for ADSs from time to time during a 30-month period at the Company’s request. In consideration for this, the Company paid Aspire Capital a commission satisfied through a non-cash transaction wholly by the issue of a further 2,862,595 of the Company’s ordinary shares (equivalent to 572,519 ADSs) at a price of £0.08.</w:t>
      </w:r>
    </w:p>
    <w:p>
      <w:pPr>
        <w:spacing w:after="0" w:line="56" w:lineRule="exact"/>
        <w:rPr>
          <w:rFonts w:ascii="Arial" w:cs="Arial" w:eastAsia="Arial" w:hAnsi="Arial"/>
          <w:sz w:val="19"/>
          <w:szCs w:val="19"/>
          <w:color w:val="auto"/>
        </w:rPr>
      </w:pPr>
    </w:p>
    <w:p>
      <w:pPr>
        <w:ind w:left="535" w:right="480" w:hanging="535"/>
        <w:spacing w:after="0" w:line="250" w:lineRule="auto"/>
        <w:tabs>
          <w:tab w:leader="none" w:pos="535" w:val="left"/>
        </w:tabs>
        <w:numPr>
          <w:ilvl w:val="0"/>
          <w:numId w:val="95"/>
        </w:numPr>
        <w:rPr>
          <w:rFonts w:ascii="Arial" w:cs="Arial" w:eastAsia="Arial" w:hAnsi="Arial"/>
          <w:sz w:val="22"/>
          <w:szCs w:val="22"/>
          <w:color w:val="auto"/>
        </w:rPr>
      </w:pPr>
      <w:r>
        <w:rPr>
          <w:rFonts w:ascii="Arial" w:cs="Arial" w:eastAsia="Arial" w:hAnsi="Arial"/>
          <w:sz w:val="22"/>
          <w:szCs w:val="22"/>
          <w:color w:val="auto"/>
        </w:rPr>
        <w:t>On February 20, 2020, the Company issued and allotted 12,252,715 ordinary shares at a price of £0.19 per share. Gross cash received was £2.3 million;</w:t>
      </w:r>
    </w:p>
    <w:p>
      <w:pPr>
        <w:spacing w:after="0" w:line="80" w:lineRule="exact"/>
        <w:rPr>
          <w:rFonts w:ascii="Arial" w:cs="Arial" w:eastAsia="Arial" w:hAnsi="Arial"/>
          <w:sz w:val="22"/>
          <w:szCs w:val="22"/>
          <w:color w:val="auto"/>
        </w:rPr>
      </w:pPr>
    </w:p>
    <w:p>
      <w:pPr>
        <w:ind w:left="535" w:right="20" w:hanging="535"/>
        <w:spacing w:after="0" w:line="246" w:lineRule="auto"/>
        <w:tabs>
          <w:tab w:leader="none" w:pos="535" w:val="left"/>
        </w:tabs>
        <w:numPr>
          <w:ilvl w:val="0"/>
          <w:numId w:val="95"/>
        </w:numPr>
        <w:rPr>
          <w:rFonts w:ascii="Arial" w:cs="Arial" w:eastAsia="Arial" w:hAnsi="Arial"/>
          <w:sz w:val="21"/>
          <w:szCs w:val="21"/>
          <w:color w:val="auto"/>
        </w:rPr>
      </w:pPr>
      <w:r>
        <w:rPr>
          <w:rFonts w:ascii="Arial" w:cs="Arial" w:eastAsia="Arial" w:hAnsi="Arial"/>
          <w:sz w:val="21"/>
          <w:szCs w:val="21"/>
          <w:color w:val="auto"/>
        </w:rPr>
        <w:t>On June 4, 2020, the Company issued and allotted 89,144,630 ordinary shares at a price of £0.174 per share to investors. Gross cash received was £15.5 million. The ordinary shares were in substance issued at a discount to the gross cash received. The fair value of the consideration of the ordinary shares was determined to be £13.4 million and therefore the ordinary shares were in substance issued at a discount of £2.1 million, which was recorded as a reduction to other reserves (other reserves represent amounts that relate to changes to the Company’s paid up equity and which are not capital reserves) in the consolidated statement of changes in equity. The incremental directly attributable transaction costs in relation to the issue of the ordinary shares were included within share premium;</w:t>
      </w:r>
    </w:p>
    <w:p>
      <w:pPr>
        <w:spacing w:after="0" w:line="112" w:lineRule="exact"/>
        <w:rPr>
          <w:sz w:val="20"/>
          <w:szCs w:val="20"/>
          <w:color w:val="auto"/>
        </w:rPr>
      </w:pPr>
    </w:p>
    <w:p>
      <w:pPr>
        <w:ind w:left="4535"/>
        <w:spacing w:after="0"/>
        <w:rPr>
          <w:sz w:val="20"/>
          <w:szCs w:val="20"/>
          <w:color w:val="auto"/>
        </w:rPr>
      </w:pPr>
      <w:r>
        <w:rPr>
          <w:rFonts w:ascii="Arial" w:cs="Arial" w:eastAsia="Arial" w:hAnsi="Arial"/>
          <w:sz w:val="22"/>
          <w:szCs w:val="22"/>
          <w:color w:val="auto"/>
        </w:rPr>
        <w:t>F-30</w:t>
      </w:r>
    </w:p>
    <w:p>
      <w:pPr>
        <w:sectPr>
          <w:pgSz w:w="11900" w:h="16838" w:orient="portrait"/>
          <w:cols w:equalWidth="0" w:num="1">
            <w:col w:w="10215"/>
          </w:cols>
          <w:pgMar w:left="1205" w:top="118"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420" w:right="180" w:hanging="535"/>
        <w:spacing w:after="0" w:line="274" w:lineRule="auto"/>
        <w:tabs>
          <w:tab w:leader="none" w:pos="1420" w:val="left"/>
        </w:tabs>
        <w:numPr>
          <w:ilvl w:val="0"/>
          <w:numId w:val="96"/>
        </w:numPr>
        <w:rPr>
          <w:rFonts w:ascii="Arial" w:cs="Arial" w:eastAsia="Arial" w:hAnsi="Arial"/>
          <w:sz w:val="21"/>
          <w:szCs w:val="21"/>
          <w:color w:val="auto"/>
        </w:rPr>
      </w:pPr>
      <w:r>
        <w:rPr>
          <w:rFonts w:ascii="Arial" w:cs="Arial" w:eastAsia="Arial" w:hAnsi="Arial"/>
          <w:sz w:val="21"/>
          <w:szCs w:val="21"/>
          <w:color w:val="auto"/>
        </w:rPr>
        <w:t>On June 30, 2020, the Company issued and allotted 125,061,475 ordinary shares at a price of £0.174 per share to investors on conversion of the Loan Notes. The legal proceeds were £21.8 million;</w:t>
      </w:r>
    </w:p>
    <w:p>
      <w:pPr>
        <w:spacing w:after="0" w:line="56" w:lineRule="exact"/>
        <w:rPr>
          <w:rFonts w:ascii="Arial" w:cs="Arial" w:eastAsia="Arial" w:hAnsi="Arial"/>
          <w:sz w:val="21"/>
          <w:szCs w:val="21"/>
          <w:color w:val="auto"/>
        </w:rPr>
      </w:pPr>
    </w:p>
    <w:p>
      <w:pPr>
        <w:jc w:val="both"/>
        <w:ind w:left="1420" w:right="140" w:hanging="535"/>
        <w:spacing w:after="0" w:line="297" w:lineRule="auto"/>
        <w:tabs>
          <w:tab w:leader="none" w:pos="14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On December 23, 2020, 690,205 Warrants (equivalent to 138,041 ADSs) were exercised. This transaction was completed by way of a cashless exercise resulting in 47,835 ADSs being issued at the aggregate nominal value of the ordinary shares underlying the ADSs issued, in place of the exercise price of £0.348 per ordinary share.</w:t>
      </w:r>
    </w:p>
    <w:p>
      <w:pPr>
        <w:spacing w:after="0" w:line="39" w:lineRule="exact"/>
        <w:rPr>
          <w:rFonts w:ascii="Arial" w:cs="Arial" w:eastAsia="Arial" w:hAnsi="Arial"/>
          <w:sz w:val="19"/>
          <w:szCs w:val="19"/>
          <w:color w:val="auto"/>
        </w:rPr>
      </w:pPr>
    </w:p>
    <w:p>
      <w:pPr>
        <w:ind w:left="1420" w:right="220" w:hanging="535"/>
        <w:spacing w:after="0" w:line="287" w:lineRule="auto"/>
        <w:tabs>
          <w:tab w:leader="none" w:pos="14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On February 12, 2021, the Company issued and allotted 198,375,000 ordinary shares of the Company with a nominal value of £0.003 at a price of £0.395 per share, equivalent to 39,675,000 ADS at a price of $2.726 per ADS, after underwriting discounts and commissions, resulting in proceeds of £78.4 million. Transaction costs incurred for the issuance of share capital was £0.2 million.</w:t>
      </w:r>
    </w:p>
    <w:p>
      <w:pPr>
        <w:spacing w:after="0" w:line="48" w:lineRule="exact"/>
        <w:rPr>
          <w:rFonts w:ascii="Arial" w:cs="Arial" w:eastAsia="Arial" w:hAnsi="Arial"/>
          <w:sz w:val="19"/>
          <w:szCs w:val="19"/>
          <w:color w:val="auto"/>
        </w:rPr>
      </w:pPr>
    </w:p>
    <w:p>
      <w:pPr>
        <w:ind w:left="1420" w:hanging="535"/>
        <w:spacing w:after="0" w:line="282" w:lineRule="auto"/>
        <w:tabs>
          <w:tab w:leader="none" w:pos="14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During the year ended December 31, 2021, 14,954,491 warrants (equivalent to 2,990,898 ADSs) were exercised by way of a cashless exercise resulting in 4,621,147 ordinary shares (924,229 ADSs) being issued at the aggregate nominal value of the ordinary shares underlying the ADSs issued, in place of the exercise price of £0.348 per ordinary share. A further 460,135 warrants (equivalent to 92,027 ADSs) were exercised on a cash basis at the exercise price of £0.348, which resulted in aggregate proceeds of £0.2 million.</w:t>
      </w:r>
    </w:p>
    <w:p>
      <w:pPr>
        <w:spacing w:after="0" w:line="52" w:lineRule="exact"/>
        <w:rPr>
          <w:rFonts w:ascii="Arial" w:cs="Arial" w:eastAsia="Arial" w:hAnsi="Arial"/>
          <w:sz w:val="19"/>
          <w:szCs w:val="19"/>
          <w:color w:val="auto"/>
        </w:rPr>
      </w:pPr>
    </w:p>
    <w:p>
      <w:pPr>
        <w:ind w:left="1420" w:right="40" w:hanging="535"/>
        <w:spacing w:after="0" w:line="274" w:lineRule="auto"/>
        <w:tabs>
          <w:tab w:leader="none" w:pos="14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On May 4, 2021, the Company issued and allotted 2,100,840 ordinary shares of £0.003 in nominal value in the capital of the Company at a price of £0.517 per share to Cancer Focus Fund, as part of a non-cash, equity-settled transaction where the Company entered into partnership with Cancer Focus Fund for a Phase 1b/2 study of etigilimab in Clear Cell Ovarian Cancer to be conducted at The University of Texas MD Anderson Cancer Center. The study will be financed by Cancer Focus Fund, in exchange for upfront consideration of $1.5 million (£1.09 million) of the Company’s ordinary shares and additional payments based on the achievement of certain milestones. The Company initially recognized a prepayment of £1.09 million with reference to fair value of the ordinary shares granted, of which £0.2 million was subsequently recorded in the consolidated statement of comprehensive income/(loss) during the year ended December 31, 2021.</w:t>
      </w:r>
    </w:p>
    <w:p>
      <w:pPr>
        <w:spacing w:after="0" w:line="63" w:lineRule="exact"/>
        <w:rPr>
          <w:rFonts w:ascii="Arial" w:cs="Arial" w:eastAsia="Arial" w:hAnsi="Arial"/>
          <w:sz w:val="19"/>
          <w:szCs w:val="19"/>
          <w:color w:val="auto"/>
        </w:rPr>
      </w:pPr>
    </w:p>
    <w:p>
      <w:pPr>
        <w:jc w:val="both"/>
        <w:ind w:left="1420" w:right="460" w:hanging="535"/>
        <w:spacing w:after="0"/>
        <w:tabs>
          <w:tab w:leader="none" w:pos="14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During the year ended December 31, 2021, the Company issued and allotted 40,397,976 ordinary shares of £0.003 in nominal value in the capital of the Company at an exercise price of £0.174 per share on non-cash conversion of Loan Notes.</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3680" w:type="dxa"/>
            <w:vAlign w:val="bottom"/>
          </w:tcPr>
          <w:p>
            <w:pPr>
              <w:spacing w:after="0"/>
              <w:rPr>
                <w:sz w:val="20"/>
                <w:szCs w:val="20"/>
                <w:color w:val="auto"/>
              </w:rPr>
            </w:pPr>
            <w:r>
              <w:rPr>
                <w:rFonts w:ascii="Arial" w:cs="Arial" w:eastAsia="Arial" w:hAnsi="Arial"/>
                <w:sz w:val="22"/>
                <w:szCs w:val="22"/>
                <w:b w:val="1"/>
                <w:bCs w:val="1"/>
                <w:i w:val="1"/>
                <w:iCs w:val="1"/>
                <w:color w:val="auto"/>
              </w:rPr>
              <w:t>Other capital reserves</w:t>
            </w: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92"/>
              </w:rPr>
              <w:t>Equity</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5"/>
              </w:rPr>
              <w:t>component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94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4"/>
              </w:rPr>
              <w:t>Shares</w:t>
            </w:r>
          </w:p>
        </w:tc>
        <w:tc>
          <w:tcPr>
            <w:tcW w:w="12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Share-</w:t>
            </w:r>
          </w:p>
        </w:tc>
        <w:tc>
          <w:tcPr>
            <w:tcW w:w="134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6"/>
              </w:rPr>
              <w:t>of</w:t>
            </w:r>
          </w:p>
        </w:tc>
        <w:tc>
          <w:tcPr>
            <w:tcW w:w="1100" w:type="dxa"/>
            <w:vAlign w:val="bottom"/>
            <w:gridSpan w:val="2"/>
          </w:tcPr>
          <w:p>
            <w:pPr>
              <w:ind w:left="160"/>
              <w:spacing w:after="0" w:line="243" w:lineRule="exact"/>
              <w:rPr>
                <w:sz w:val="20"/>
                <w:szCs w:val="20"/>
                <w:color w:val="auto"/>
              </w:rPr>
            </w:pPr>
            <w:r>
              <w:rPr>
                <w:rFonts w:ascii="Arial" w:cs="Arial" w:eastAsia="Arial" w:hAnsi="Arial"/>
                <w:sz w:val="22"/>
                <w:szCs w:val="22"/>
                <w:b w:val="1"/>
                <w:bCs w:val="1"/>
                <w:color w:val="auto"/>
              </w:rPr>
              <w:t>Other</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94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to be</w:t>
            </w:r>
          </w:p>
        </w:tc>
        <w:tc>
          <w:tcPr>
            <w:tcW w:w="12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1"/>
              </w:rPr>
              <w:t>based</w:t>
            </w:r>
          </w:p>
        </w:tc>
        <w:tc>
          <w:tcPr>
            <w:tcW w:w="134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8"/>
              </w:rPr>
              <w:t>convertible</w:t>
            </w:r>
          </w:p>
        </w:tc>
        <w:tc>
          <w:tcPr>
            <w:tcW w:w="1100" w:type="dxa"/>
            <w:vAlign w:val="bottom"/>
            <w:gridSpan w:val="2"/>
          </w:tcPr>
          <w:p>
            <w:pPr>
              <w:jc w:val="right"/>
              <w:ind w:right="260"/>
              <w:spacing w:after="0" w:line="243" w:lineRule="exact"/>
              <w:rPr>
                <w:sz w:val="20"/>
                <w:szCs w:val="20"/>
                <w:color w:val="auto"/>
              </w:rPr>
            </w:pPr>
            <w:r>
              <w:rPr>
                <w:rFonts w:ascii="Arial" w:cs="Arial" w:eastAsia="Arial" w:hAnsi="Arial"/>
                <w:sz w:val="22"/>
                <w:szCs w:val="22"/>
                <w:b w:val="1"/>
                <w:bCs w:val="1"/>
                <w:color w:val="auto"/>
                <w:w w:val="89"/>
              </w:rPr>
              <w:t>warrants</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b w:val="1"/>
                <w:bCs w:val="1"/>
                <w:color w:val="auto"/>
                <w:w w:val="92"/>
              </w:rPr>
              <w:t>Merger</w:t>
            </w:r>
          </w:p>
        </w:tc>
        <w:tc>
          <w:tcPr>
            <w:tcW w:w="92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Other</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3"/>
              </w:rPr>
              <w:t>issued</w:t>
            </w:r>
          </w:p>
        </w:tc>
        <w:tc>
          <w:tcPr>
            <w:tcW w:w="120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5"/>
              </w:rPr>
              <w:t>payments</w:t>
            </w:r>
          </w:p>
        </w:tc>
        <w:tc>
          <w:tcPr>
            <w:tcW w:w="134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5"/>
              </w:rPr>
              <w:t>loan notes</w:t>
            </w:r>
          </w:p>
        </w:tc>
        <w:tc>
          <w:tcPr>
            <w:tcW w:w="1100" w:type="dxa"/>
            <w:vAlign w:val="bottom"/>
            <w:gridSpan w:val="2"/>
          </w:tcPr>
          <w:p>
            <w:pPr>
              <w:ind w:left="140"/>
              <w:spacing w:after="0"/>
              <w:rPr>
                <w:sz w:val="20"/>
                <w:szCs w:val="20"/>
                <w:color w:val="auto"/>
              </w:rPr>
            </w:pPr>
            <w:r>
              <w:rPr>
                <w:rFonts w:ascii="Arial" w:cs="Arial" w:eastAsia="Arial" w:hAnsi="Arial"/>
                <w:sz w:val="22"/>
                <w:szCs w:val="22"/>
                <w:b w:val="1"/>
                <w:bCs w:val="1"/>
                <w:color w:val="auto"/>
              </w:rPr>
              <w:t>issued</w:t>
            </w:r>
          </w:p>
        </w:tc>
        <w:tc>
          <w:tcPr>
            <w:tcW w:w="940" w:type="dxa"/>
            <w:vAlign w:val="bottom"/>
            <w:gridSpan w:val="2"/>
          </w:tcPr>
          <w:p>
            <w:pPr>
              <w:jc w:val="right"/>
              <w:ind w:right="260"/>
              <w:spacing w:after="0"/>
              <w:rPr>
                <w:sz w:val="20"/>
                <w:szCs w:val="20"/>
                <w:color w:val="auto"/>
              </w:rPr>
            </w:pPr>
            <w:r>
              <w:rPr>
                <w:rFonts w:ascii="Arial" w:cs="Arial" w:eastAsia="Arial" w:hAnsi="Arial"/>
                <w:sz w:val="22"/>
                <w:szCs w:val="22"/>
                <w:b w:val="1"/>
                <w:bCs w:val="1"/>
                <w:color w:val="auto"/>
                <w:w w:val="84"/>
              </w:rPr>
              <w:t>reserve</w:t>
            </w:r>
          </w:p>
        </w:tc>
        <w:tc>
          <w:tcPr>
            <w:tcW w:w="920" w:type="dxa"/>
            <w:vAlign w:val="bottom"/>
            <w:gridSpan w:val="2"/>
          </w:tcPr>
          <w:p>
            <w:pPr>
              <w:spacing w:after="0"/>
              <w:rPr>
                <w:sz w:val="20"/>
                <w:szCs w:val="20"/>
                <w:color w:val="auto"/>
              </w:rPr>
            </w:pPr>
            <w:r>
              <w:rPr>
                <w:rFonts w:ascii="Arial" w:cs="Arial" w:eastAsia="Arial" w:hAnsi="Arial"/>
                <w:sz w:val="22"/>
                <w:szCs w:val="22"/>
                <w:b w:val="1"/>
                <w:bCs w:val="1"/>
                <w:color w:val="auto"/>
              </w:rPr>
              <w:t>reserve</w:t>
            </w:r>
          </w:p>
        </w:tc>
        <w:tc>
          <w:tcPr>
            <w:tcW w:w="900" w:type="dxa"/>
            <w:vAlign w:val="bottom"/>
            <w:gridSpan w:val="2"/>
          </w:tcPr>
          <w:p>
            <w:pPr>
              <w:jc w:val="right"/>
              <w:ind w:right="280"/>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r>
        <w:trPr>
          <w:trHeight w:val="236"/>
        </w:trPr>
        <w:tc>
          <w:tcPr>
            <w:tcW w:w="3680" w:type="dxa"/>
            <w:vAlign w:val="bottom"/>
          </w:tcPr>
          <w:p>
            <w:pPr>
              <w:spacing w:after="0"/>
              <w:rPr>
                <w:sz w:val="20"/>
                <w:szCs w:val="20"/>
                <w:color w:val="auto"/>
              </w:rPr>
            </w:pPr>
          </w:p>
        </w:tc>
        <w:tc>
          <w:tcPr>
            <w:tcW w:w="62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20" w:type="dxa"/>
            <w:vAlign w:val="bottom"/>
          </w:tcPr>
          <w:p>
            <w:pPr>
              <w:spacing w:after="0"/>
              <w:rPr>
                <w:sz w:val="20"/>
                <w:szCs w:val="20"/>
                <w:color w:val="auto"/>
              </w:rPr>
            </w:pPr>
          </w:p>
        </w:tc>
        <w:tc>
          <w:tcPr>
            <w:tcW w:w="8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320" w:type="dxa"/>
            <w:vAlign w:val="bottom"/>
          </w:tcPr>
          <w:p>
            <w:pPr>
              <w:spacing w:after="0"/>
              <w:rPr>
                <w:sz w:val="20"/>
                <w:szCs w:val="20"/>
                <w:color w:val="auto"/>
              </w:rPr>
            </w:pPr>
          </w:p>
        </w:tc>
        <w:tc>
          <w:tcPr>
            <w:tcW w:w="10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00" w:type="dxa"/>
            <w:vAlign w:val="bottom"/>
          </w:tcPr>
          <w:p>
            <w:pPr>
              <w:spacing w:after="0"/>
              <w:rPr>
                <w:sz w:val="20"/>
                <w:szCs w:val="20"/>
                <w:color w:val="auto"/>
              </w:rPr>
            </w:pPr>
          </w:p>
        </w:tc>
        <w:tc>
          <w:tcPr>
            <w:tcW w:w="860" w:type="dxa"/>
            <w:vAlign w:val="bottom"/>
            <w:tcBorders>
              <w:top w:val="single" w:sz="8" w:color="auto"/>
            </w:tcBorders>
          </w:tcPr>
          <w:p>
            <w:pPr>
              <w:jc w:val="right"/>
              <w:ind w:right="32"/>
              <w:spacing w:after="0" w:line="237" w:lineRule="exact"/>
              <w:rPr>
                <w:sz w:val="20"/>
                <w:szCs w:val="20"/>
                <w:color w:val="auto"/>
              </w:rPr>
            </w:pPr>
            <w:r>
              <w:rPr>
                <w:rFonts w:ascii="Arial" w:cs="Arial" w:eastAsia="Arial" w:hAnsi="Arial"/>
                <w:sz w:val="22"/>
                <w:szCs w:val="22"/>
                <w:b w:val="1"/>
                <w:bCs w:val="1"/>
                <w:color w:val="auto"/>
              </w:rPr>
              <w:t>£’000s</w:t>
            </w:r>
          </w:p>
        </w:tc>
        <w:tc>
          <w:tcPr>
            <w:tcW w:w="240" w:type="dxa"/>
            <w:vAlign w:val="bottom"/>
          </w:tcPr>
          <w:p>
            <w:pPr>
              <w:spacing w:after="0"/>
              <w:rPr>
                <w:sz w:val="20"/>
                <w:szCs w:val="20"/>
                <w:color w:val="auto"/>
              </w:rPr>
            </w:pPr>
          </w:p>
        </w:tc>
        <w:tc>
          <w:tcPr>
            <w:tcW w:w="700" w:type="dxa"/>
            <w:vAlign w:val="bottom"/>
            <w:tcBorders>
              <w:top w:val="single" w:sz="8" w:color="auto"/>
            </w:tcBorders>
          </w:tcPr>
          <w:p>
            <w:pPr>
              <w:ind w:left="60"/>
              <w:spacing w:after="0" w:line="237" w:lineRule="exact"/>
              <w:rPr>
                <w:sz w:val="20"/>
                <w:szCs w:val="20"/>
                <w:color w:val="auto"/>
              </w:rPr>
            </w:pPr>
            <w:r>
              <w:rPr>
                <w:rFonts w:ascii="Arial" w:cs="Arial" w:eastAsia="Arial" w:hAnsi="Arial"/>
                <w:sz w:val="22"/>
                <w:szCs w:val="22"/>
                <w:b w:val="1"/>
                <w:bCs w:val="1"/>
                <w:color w:val="auto"/>
                <w:w w:val="92"/>
              </w:rPr>
              <w:t>£’000s</w:t>
            </w:r>
          </w:p>
        </w:tc>
        <w:tc>
          <w:tcPr>
            <w:tcW w:w="240" w:type="dxa"/>
            <w:vAlign w:val="bottom"/>
          </w:tcPr>
          <w:p>
            <w:pPr>
              <w:spacing w:after="0"/>
              <w:rPr>
                <w:sz w:val="20"/>
                <w:szCs w:val="20"/>
                <w:color w:val="auto"/>
              </w:rPr>
            </w:pPr>
          </w:p>
        </w:tc>
        <w:tc>
          <w:tcPr>
            <w:tcW w:w="680" w:type="dxa"/>
            <w:vAlign w:val="bottom"/>
            <w:tcBorders>
              <w:top w:val="single" w:sz="8" w:color="auto"/>
            </w:tcBorders>
          </w:tcPr>
          <w:p>
            <w:pPr>
              <w:ind w:left="40"/>
              <w:spacing w:after="0" w:line="237" w:lineRule="exact"/>
              <w:rPr>
                <w:sz w:val="20"/>
                <w:szCs w:val="20"/>
                <w:color w:val="auto"/>
              </w:rPr>
            </w:pPr>
            <w:r>
              <w:rPr>
                <w:rFonts w:ascii="Arial" w:cs="Arial" w:eastAsia="Arial" w:hAnsi="Arial"/>
                <w:sz w:val="22"/>
                <w:szCs w:val="22"/>
                <w:b w:val="1"/>
                <w:bCs w:val="1"/>
                <w:color w:val="auto"/>
                <w:w w:val="92"/>
              </w:rPr>
              <w:t>£’000s</w:t>
            </w:r>
          </w:p>
        </w:tc>
        <w:tc>
          <w:tcPr>
            <w:tcW w:w="240" w:type="dxa"/>
            <w:vAlign w:val="bottom"/>
          </w:tcPr>
          <w:p>
            <w:pPr>
              <w:spacing w:after="0"/>
              <w:rPr>
                <w:sz w:val="20"/>
                <w:szCs w:val="20"/>
                <w:color w:val="auto"/>
              </w:rPr>
            </w:pPr>
          </w:p>
        </w:tc>
        <w:tc>
          <w:tcPr>
            <w:tcW w:w="7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98"/>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January 1, 2019</w:t>
            </w:r>
          </w:p>
        </w:tc>
        <w:tc>
          <w:tcPr>
            <w:tcW w:w="6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1,590</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16,649</w:t>
            </w:r>
          </w:p>
        </w:tc>
        <w:tc>
          <w:tcPr>
            <w:tcW w:w="1340" w:type="dxa"/>
            <w:vAlign w:val="bottom"/>
            <w:gridSpan w:val="2"/>
            <w:shd w:val="clear" w:color="auto" w:fill="CCEEFF"/>
          </w:tcPr>
          <w:p>
            <w:pPr>
              <w:ind w:left="720"/>
              <w:spacing w:after="0" w:line="243" w:lineRule="exact"/>
              <w:rPr>
                <w:sz w:val="20"/>
                <w:szCs w:val="20"/>
                <w:color w:val="auto"/>
              </w:rPr>
            </w:pPr>
            <w:r>
              <w:rPr>
                <w:rFonts w:ascii="Arial" w:cs="Arial" w:eastAsia="Arial" w:hAnsi="Arial"/>
                <w:sz w:val="22"/>
                <w:szCs w:val="22"/>
                <w:b w:val="1"/>
                <w:bCs w:val="1"/>
                <w:color w:val="auto"/>
              </w:rPr>
              <w:t>310</w:t>
            </w:r>
          </w:p>
        </w:tc>
        <w:tc>
          <w:tcPr>
            <w:tcW w:w="110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44</w:t>
            </w:r>
          </w:p>
        </w:tc>
        <w:tc>
          <w:tcPr>
            <w:tcW w:w="940" w:type="dxa"/>
            <w:vAlign w:val="bottom"/>
            <w:gridSpan w:val="2"/>
            <w:shd w:val="clear" w:color="auto" w:fill="CCEEFF"/>
          </w:tcPr>
          <w:p>
            <w:pPr>
              <w:ind w:left="380"/>
              <w:spacing w:after="0" w:line="243" w:lineRule="exact"/>
              <w:rPr>
                <w:sz w:val="20"/>
                <w:szCs w:val="20"/>
                <w:color w:val="auto"/>
              </w:rPr>
            </w:pPr>
            <w:r>
              <w:rPr>
                <w:rFonts w:ascii="Arial" w:cs="Arial" w:eastAsia="Arial" w:hAnsi="Arial"/>
                <w:sz w:val="22"/>
                <w:szCs w:val="22"/>
                <w:b w:val="1"/>
                <w:bCs w:val="1"/>
                <w:color w:val="auto"/>
              </w:rPr>
              <w:t>—</w:t>
            </w:r>
          </w:p>
        </w:tc>
        <w:tc>
          <w:tcPr>
            <w:tcW w:w="920" w:type="dxa"/>
            <w:vAlign w:val="bottom"/>
            <w:gridSpan w:val="2"/>
            <w:shd w:val="clear" w:color="auto" w:fill="CCEEFF"/>
          </w:tcPr>
          <w:p>
            <w:pPr>
              <w:ind w:left="360"/>
              <w:spacing w:after="0" w:line="243" w:lineRule="exact"/>
              <w:rPr>
                <w:sz w:val="20"/>
                <w:szCs w:val="20"/>
                <w:color w:val="auto"/>
              </w:rPr>
            </w:pPr>
            <w:r>
              <w:rPr>
                <w:rFonts w:ascii="Arial" w:cs="Arial" w:eastAsia="Arial" w:hAnsi="Arial"/>
                <w:sz w:val="22"/>
                <w:szCs w:val="22"/>
                <w:b w:val="1"/>
                <w:bCs w:val="1"/>
                <w:color w:val="auto"/>
              </w:rPr>
              <w:t>—</w:t>
            </w:r>
          </w:p>
        </w:tc>
        <w:tc>
          <w:tcPr>
            <w:tcW w:w="9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b w:val="1"/>
                <w:bCs w:val="1"/>
                <w:color w:val="auto"/>
              </w:rPr>
              <w:t>18,593</w:t>
            </w:r>
          </w:p>
        </w:tc>
        <w:tc>
          <w:tcPr>
            <w:tcW w:w="0" w:type="dxa"/>
            <w:vAlign w:val="bottom"/>
          </w:tcPr>
          <w:p>
            <w:pPr>
              <w:spacing w:after="0"/>
              <w:rPr>
                <w:sz w:val="1"/>
                <w:szCs w:val="1"/>
                <w:color w:val="auto"/>
              </w:rPr>
            </w:pPr>
          </w:p>
        </w:tc>
      </w:tr>
      <w:tr>
        <w:trPr>
          <w:trHeight w:val="250"/>
        </w:trPr>
        <w:tc>
          <w:tcPr>
            <w:tcW w:w="3680" w:type="dxa"/>
            <w:vAlign w:val="bottom"/>
          </w:tcPr>
          <w:p>
            <w:pPr>
              <w:spacing w:after="0" w:line="250" w:lineRule="exact"/>
              <w:rPr>
                <w:sz w:val="20"/>
                <w:szCs w:val="20"/>
                <w:color w:val="auto"/>
              </w:rPr>
            </w:pPr>
            <w:r>
              <w:rPr>
                <w:rFonts w:ascii="Arial" w:cs="Arial" w:eastAsia="Arial" w:hAnsi="Arial"/>
                <w:sz w:val="22"/>
                <w:szCs w:val="22"/>
                <w:color w:val="auto"/>
                <w:w w:val="96"/>
              </w:rPr>
              <w:t>Acquisition of Mereo BioPharma 5, Inc.</w:t>
            </w:r>
          </w:p>
        </w:tc>
        <w:tc>
          <w:tcPr>
            <w:tcW w:w="62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320" w:type="dxa"/>
            <w:vAlign w:val="bottom"/>
          </w:tcPr>
          <w:p>
            <w:pPr>
              <w:spacing w:after="0"/>
              <w:rPr>
                <w:sz w:val="21"/>
                <w:szCs w:val="21"/>
                <w:color w:val="auto"/>
              </w:rPr>
            </w:pPr>
          </w:p>
        </w:tc>
        <w:tc>
          <w:tcPr>
            <w:tcW w:w="8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320" w:type="dxa"/>
            <w:vAlign w:val="bottom"/>
          </w:tcPr>
          <w:p>
            <w:pPr>
              <w:spacing w:after="0"/>
              <w:rPr>
                <w:sz w:val="21"/>
                <w:szCs w:val="21"/>
                <w:color w:val="auto"/>
              </w:rPr>
            </w:pPr>
          </w:p>
        </w:tc>
        <w:tc>
          <w:tcPr>
            <w:tcW w:w="1040" w:type="dxa"/>
            <w:vAlign w:val="bottom"/>
            <w:tcBorders>
              <w:top w:val="single" w:sz="8" w:color="auto"/>
            </w:tcBorders>
          </w:tcPr>
          <w:p>
            <w:pPr>
              <w:ind w:left="720"/>
              <w:spacing w:after="0" w:line="250"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860" w:type="dxa"/>
            <w:vAlign w:val="bottom"/>
            <w:tcBorders>
              <w:top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7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40,818</w:t>
            </w:r>
          </w:p>
        </w:tc>
        <w:tc>
          <w:tcPr>
            <w:tcW w:w="240" w:type="dxa"/>
            <w:vAlign w:val="bottom"/>
          </w:tcPr>
          <w:p>
            <w:pPr>
              <w:spacing w:after="0"/>
              <w:rPr>
                <w:sz w:val="21"/>
                <w:szCs w:val="21"/>
                <w:color w:val="auto"/>
              </w:rPr>
            </w:pPr>
          </w:p>
        </w:tc>
        <w:tc>
          <w:tcPr>
            <w:tcW w:w="680" w:type="dxa"/>
            <w:vAlign w:val="bottom"/>
            <w:tcBorders>
              <w:top w:val="single" w:sz="8" w:color="auto"/>
            </w:tcBorders>
          </w:tcPr>
          <w:p>
            <w:pPr>
              <w:ind w:left="360"/>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c>
          <w:tcPr>
            <w:tcW w:w="76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40,818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Shares issued during the year</w:t>
            </w:r>
          </w:p>
        </w:tc>
        <w:tc>
          <w:tcPr>
            <w:tcW w:w="94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w w:val="97"/>
              </w:rPr>
              <w:t>(1,590)</w:t>
            </w:r>
          </w:p>
        </w:tc>
        <w:tc>
          <w:tcPr>
            <w:tcW w:w="120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340" w:type="dxa"/>
            <w:vAlign w:val="bottom"/>
            <w:gridSpan w:val="2"/>
            <w:shd w:val="clear" w:color="auto" w:fill="CCEEFF"/>
          </w:tcPr>
          <w:p>
            <w:pPr>
              <w:ind w:left="72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ind w:left="38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CCEEFF"/>
          </w:tcPr>
          <w:p>
            <w:pPr>
              <w:ind w:left="36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(1,590)</w:t>
            </w:r>
          </w:p>
        </w:tc>
        <w:tc>
          <w:tcPr>
            <w:tcW w:w="0" w:type="dxa"/>
            <w:vAlign w:val="bottom"/>
          </w:tcPr>
          <w:p>
            <w:pPr>
              <w:spacing w:after="0"/>
              <w:rPr>
                <w:sz w:val="1"/>
                <w:szCs w:val="1"/>
                <w:color w:val="auto"/>
              </w:rPr>
            </w:pP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Convertible loan conversion</w:t>
            </w:r>
          </w:p>
        </w:tc>
        <w:tc>
          <w:tcPr>
            <w:tcW w:w="9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3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(310)</w:t>
            </w:r>
          </w:p>
        </w:tc>
        <w:tc>
          <w:tcPr>
            <w:tcW w:w="110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ind w:left="38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(310)</w:t>
            </w: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5"/>
              </w:rPr>
              <w:t>Share based payments expense during</w:t>
            </w: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680" w:type="dxa"/>
            <w:vAlign w:val="bottom"/>
            <w:shd w:val="clear" w:color="auto" w:fill="CCEEFF"/>
          </w:tcPr>
          <w:p>
            <w:pPr>
              <w:ind w:left="220"/>
              <w:spacing w:after="0"/>
              <w:rPr>
                <w:sz w:val="20"/>
                <w:szCs w:val="20"/>
                <w:color w:val="auto"/>
              </w:rPr>
            </w:pPr>
            <w:r>
              <w:rPr>
                <w:rFonts w:ascii="Arial" w:cs="Arial" w:eastAsia="Arial" w:hAnsi="Arial"/>
                <w:sz w:val="22"/>
                <w:szCs w:val="22"/>
                <w:color w:val="auto"/>
              </w:rPr>
              <w:t>the year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1,636</w:t>
            </w:r>
          </w:p>
        </w:tc>
        <w:tc>
          <w:tcPr>
            <w:tcW w:w="1340" w:type="dxa"/>
            <w:vAlign w:val="bottom"/>
            <w:gridSpan w:val="2"/>
            <w:shd w:val="clear" w:color="auto" w:fill="CCEEFF"/>
          </w:tcPr>
          <w:p>
            <w:pPr>
              <w:ind w:left="720"/>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22"/>
                <w:szCs w:val="22"/>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1,636</w:t>
            </w:r>
          </w:p>
        </w:tc>
        <w:tc>
          <w:tcPr>
            <w:tcW w:w="0" w:type="dxa"/>
            <w:vAlign w:val="bottom"/>
          </w:tcPr>
          <w:p>
            <w:pPr>
              <w:spacing w:after="0"/>
              <w:rPr>
                <w:sz w:val="1"/>
                <w:szCs w:val="1"/>
                <w:color w:val="auto"/>
              </w:rPr>
            </w:pPr>
          </w:p>
        </w:tc>
      </w:tr>
      <w:tr>
        <w:trPr>
          <w:trHeight w:val="250"/>
        </w:trPr>
        <w:tc>
          <w:tcPr>
            <w:tcW w:w="3680" w:type="dxa"/>
            <w:vAlign w:val="bottom"/>
          </w:tcPr>
          <w:p>
            <w:pPr>
              <w:spacing w:after="0" w:line="250" w:lineRule="exact"/>
              <w:rPr>
                <w:sz w:val="20"/>
                <w:szCs w:val="20"/>
                <w:color w:val="auto"/>
              </w:rPr>
            </w:pPr>
            <w:r>
              <w:rPr>
                <w:rFonts w:ascii="Arial" w:cs="Arial" w:eastAsia="Arial" w:hAnsi="Arial"/>
                <w:sz w:val="22"/>
                <w:szCs w:val="22"/>
                <w:b w:val="1"/>
                <w:bCs w:val="1"/>
                <w:color w:val="auto"/>
              </w:rPr>
              <w:t>At December 31, 2019</w:t>
            </w:r>
          </w:p>
        </w:tc>
        <w:tc>
          <w:tcPr>
            <w:tcW w:w="6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w:t>
            </w:r>
          </w:p>
        </w:tc>
        <w:tc>
          <w:tcPr>
            <w:tcW w:w="3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18,285</w:t>
            </w:r>
          </w:p>
        </w:tc>
        <w:tc>
          <w:tcPr>
            <w:tcW w:w="320" w:type="dxa"/>
            <w:vAlign w:val="bottom"/>
          </w:tcPr>
          <w:p>
            <w:pPr>
              <w:spacing w:after="0"/>
              <w:rPr>
                <w:sz w:val="21"/>
                <w:szCs w:val="21"/>
                <w:color w:val="auto"/>
              </w:rPr>
            </w:pPr>
          </w:p>
        </w:tc>
        <w:tc>
          <w:tcPr>
            <w:tcW w:w="1040" w:type="dxa"/>
            <w:vAlign w:val="bottom"/>
            <w:tcBorders>
              <w:top w:val="single" w:sz="8" w:color="auto"/>
              <w:bottom w:val="single" w:sz="8" w:color="auto"/>
            </w:tcBorders>
          </w:tcPr>
          <w:p>
            <w:pPr>
              <w:ind w:left="720"/>
              <w:spacing w:after="0" w:line="250" w:lineRule="exact"/>
              <w:rPr>
                <w:sz w:val="20"/>
                <w:szCs w:val="20"/>
                <w:color w:val="auto"/>
              </w:rPr>
            </w:pPr>
            <w:r>
              <w:rPr>
                <w:rFonts w:ascii="Arial" w:cs="Arial" w:eastAsia="Arial" w:hAnsi="Arial"/>
                <w:sz w:val="22"/>
                <w:szCs w:val="22"/>
                <w:b w:val="1"/>
                <w:bCs w:val="1"/>
                <w:color w:val="auto"/>
              </w:rPr>
              <w:t>—</w:t>
            </w:r>
          </w:p>
        </w:tc>
        <w:tc>
          <w:tcPr>
            <w:tcW w:w="3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44</w:t>
            </w:r>
          </w:p>
        </w:tc>
        <w:tc>
          <w:tcPr>
            <w:tcW w:w="24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40,818</w:t>
            </w:r>
          </w:p>
        </w:tc>
        <w:tc>
          <w:tcPr>
            <w:tcW w:w="240" w:type="dxa"/>
            <w:vAlign w:val="bottom"/>
          </w:tcPr>
          <w:p>
            <w:pPr>
              <w:spacing w:after="0"/>
              <w:rPr>
                <w:sz w:val="21"/>
                <w:szCs w:val="21"/>
                <w:color w:val="auto"/>
              </w:rPr>
            </w:pPr>
          </w:p>
        </w:tc>
        <w:tc>
          <w:tcPr>
            <w:tcW w:w="680" w:type="dxa"/>
            <w:vAlign w:val="bottom"/>
            <w:tcBorders>
              <w:top w:val="single" w:sz="8" w:color="auto"/>
              <w:bottom w:val="single" w:sz="8" w:color="auto"/>
            </w:tcBorders>
          </w:tcPr>
          <w:p>
            <w:pPr>
              <w:ind w:left="360"/>
              <w:spacing w:after="0" w:line="250" w:lineRule="exact"/>
              <w:rPr>
                <w:sz w:val="20"/>
                <w:szCs w:val="20"/>
                <w:color w:val="auto"/>
              </w:rPr>
            </w:pPr>
            <w:r>
              <w:rPr>
                <w:rFonts w:ascii="Arial" w:cs="Arial" w:eastAsia="Arial" w:hAnsi="Arial"/>
                <w:sz w:val="22"/>
                <w:szCs w:val="22"/>
                <w:b w:val="1"/>
                <w:bCs w:val="1"/>
                <w:color w:val="auto"/>
              </w:rPr>
              <w:t>—</w:t>
            </w:r>
          </w:p>
        </w:tc>
        <w:tc>
          <w:tcPr>
            <w:tcW w:w="24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59,147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Arial" w:cs="Arial" w:eastAsia="Arial" w:hAnsi="Arial"/>
                <w:sz w:val="22"/>
                <w:szCs w:val="22"/>
                <w:color w:val="auto"/>
                <w:w w:val="95"/>
              </w:rPr>
              <w:t>Share based payments expense during</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680" w:type="dxa"/>
            <w:vAlign w:val="bottom"/>
            <w:shd w:val="clear" w:color="auto" w:fill="CCEEFF"/>
          </w:tcPr>
          <w:p>
            <w:pPr>
              <w:ind w:left="220"/>
              <w:spacing w:after="0"/>
              <w:rPr>
                <w:sz w:val="20"/>
                <w:szCs w:val="20"/>
                <w:color w:val="auto"/>
              </w:rPr>
            </w:pPr>
            <w:r>
              <w:rPr>
                <w:rFonts w:ascii="Arial" w:cs="Arial" w:eastAsia="Arial" w:hAnsi="Arial"/>
                <w:sz w:val="22"/>
                <w:szCs w:val="22"/>
                <w:color w:val="auto"/>
              </w:rPr>
              <w:t>the year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22"/>
                <w:szCs w:val="22"/>
                <w:color w:val="auto"/>
              </w:rPr>
              <w:t>1,558</w:t>
            </w:r>
          </w:p>
        </w:tc>
        <w:tc>
          <w:tcPr>
            <w:tcW w:w="1340" w:type="dxa"/>
            <w:vAlign w:val="bottom"/>
            <w:gridSpan w:val="2"/>
            <w:shd w:val="clear" w:color="auto" w:fill="CCEEFF"/>
          </w:tcPr>
          <w:p>
            <w:pPr>
              <w:ind w:left="720"/>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22"/>
                <w:szCs w:val="22"/>
                <w:color w:val="auto"/>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1,558</w:t>
            </w:r>
          </w:p>
        </w:tc>
        <w:tc>
          <w:tcPr>
            <w:tcW w:w="0" w:type="dxa"/>
            <w:vAlign w:val="bottom"/>
          </w:tcPr>
          <w:p>
            <w:pPr>
              <w:spacing w:after="0"/>
              <w:rPr>
                <w:sz w:val="1"/>
                <w:szCs w:val="1"/>
                <w:color w:val="auto"/>
              </w:rPr>
            </w:pPr>
          </w:p>
        </w:tc>
      </w:tr>
      <w:tr>
        <w:trPr>
          <w:trHeight w:val="222"/>
        </w:trPr>
        <w:tc>
          <w:tcPr>
            <w:tcW w:w="3680" w:type="dxa"/>
            <w:vAlign w:val="bottom"/>
          </w:tcPr>
          <w:p>
            <w:pPr>
              <w:spacing w:after="0" w:line="222" w:lineRule="exact"/>
              <w:rPr>
                <w:sz w:val="20"/>
                <w:szCs w:val="20"/>
                <w:color w:val="auto"/>
              </w:rPr>
            </w:pPr>
            <w:r>
              <w:rPr>
                <w:rFonts w:ascii="Arial" w:cs="Arial" w:eastAsia="Arial" w:hAnsi="Arial"/>
                <w:sz w:val="22"/>
                <w:szCs w:val="22"/>
                <w:color w:val="auto"/>
              </w:rPr>
              <w:t>Novartis convertible loan note</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680" w:type="dxa"/>
            <w:vAlign w:val="bottom"/>
          </w:tcPr>
          <w:p>
            <w:pPr>
              <w:ind w:left="220"/>
              <w:spacing w:after="0"/>
              <w:rPr>
                <w:sz w:val="20"/>
                <w:szCs w:val="20"/>
                <w:color w:val="auto"/>
              </w:rPr>
            </w:pPr>
            <w:r>
              <w:rPr>
                <w:rFonts w:ascii="Arial" w:cs="Arial" w:eastAsia="Arial" w:hAnsi="Arial"/>
                <w:sz w:val="22"/>
                <w:szCs w:val="22"/>
                <w:color w:val="auto"/>
              </w:rPr>
              <w:t>instrument and warrants</w:t>
            </w:r>
          </w:p>
        </w:tc>
        <w:tc>
          <w:tcPr>
            <w:tcW w:w="940" w:type="dxa"/>
            <w:vAlign w:val="bottom"/>
            <w:gridSpan w:val="2"/>
          </w:tcPr>
          <w:p>
            <w:pPr>
              <w:jc w:val="right"/>
              <w:ind w:right="420"/>
              <w:spacing w:after="0"/>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22"/>
                <w:szCs w:val="22"/>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22"/>
                <w:szCs w:val="22"/>
                <w:color w:val="auto"/>
              </w:rPr>
              <w:t>1,084</w:t>
            </w:r>
          </w:p>
        </w:tc>
        <w:tc>
          <w:tcPr>
            <w:tcW w:w="110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940" w:type="dxa"/>
            <w:vAlign w:val="bottom"/>
            <w:gridSpan w:val="2"/>
          </w:tcPr>
          <w:p>
            <w:pPr>
              <w:ind w:left="380"/>
              <w:spacing w:after="0"/>
              <w:rPr>
                <w:sz w:val="20"/>
                <w:szCs w:val="20"/>
                <w:color w:val="auto"/>
              </w:rPr>
            </w:pPr>
            <w:r>
              <w:rPr>
                <w:rFonts w:ascii="Arial" w:cs="Arial" w:eastAsia="Arial" w:hAnsi="Arial"/>
                <w:sz w:val="22"/>
                <w:szCs w:val="22"/>
                <w:color w:val="auto"/>
              </w:rPr>
              <w:t>—</w:t>
            </w:r>
          </w:p>
        </w:tc>
        <w:tc>
          <w:tcPr>
            <w:tcW w:w="920" w:type="dxa"/>
            <w:vAlign w:val="bottom"/>
            <w:gridSpan w:val="2"/>
          </w:tcPr>
          <w:p>
            <w:pPr>
              <w:ind w:left="3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22"/>
                <w:szCs w:val="22"/>
                <w:color w:val="auto"/>
              </w:rPr>
              <w:t>1,084</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Conversion of Loan Notes</w:t>
            </w:r>
          </w:p>
        </w:tc>
        <w:tc>
          <w:tcPr>
            <w:tcW w:w="94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340" w:type="dxa"/>
            <w:vAlign w:val="bottom"/>
            <w:gridSpan w:val="2"/>
            <w:shd w:val="clear" w:color="auto" w:fill="CCEEFF"/>
          </w:tcPr>
          <w:p>
            <w:pPr>
              <w:ind w:left="72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ind w:left="38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CCEEFF"/>
          </w:tcPr>
          <w:p>
            <w:pPr>
              <w:ind w:left="80"/>
              <w:spacing w:after="0" w:line="243" w:lineRule="exact"/>
              <w:rPr>
                <w:sz w:val="20"/>
                <w:szCs w:val="20"/>
                <w:color w:val="auto"/>
              </w:rPr>
            </w:pPr>
            <w:r>
              <w:rPr>
                <w:rFonts w:ascii="Arial" w:cs="Arial" w:eastAsia="Arial" w:hAnsi="Arial"/>
                <w:sz w:val="22"/>
                <w:szCs w:val="22"/>
                <w:color w:val="auto"/>
              </w:rPr>
              <w:t>33,104</w:t>
            </w:r>
          </w:p>
        </w:tc>
        <w:tc>
          <w:tcPr>
            <w:tcW w:w="9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33,104</w:t>
            </w:r>
          </w:p>
        </w:tc>
        <w:tc>
          <w:tcPr>
            <w:tcW w:w="0" w:type="dxa"/>
            <w:vAlign w:val="bottom"/>
          </w:tcPr>
          <w:p>
            <w:pPr>
              <w:spacing w:after="0"/>
              <w:rPr>
                <w:sz w:val="1"/>
                <w:szCs w:val="1"/>
                <w:color w:val="auto"/>
              </w:rPr>
            </w:pPr>
          </w:p>
        </w:tc>
      </w:tr>
      <w:tr>
        <w:trPr>
          <w:trHeight w:val="222"/>
        </w:trPr>
        <w:tc>
          <w:tcPr>
            <w:tcW w:w="3680" w:type="dxa"/>
            <w:vAlign w:val="bottom"/>
          </w:tcPr>
          <w:p>
            <w:pPr>
              <w:spacing w:after="0" w:line="222" w:lineRule="exact"/>
              <w:rPr>
                <w:sz w:val="20"/>
                <w:szCs w:val="20"/>
                <w:color w:val="auto"/>
              </w:rPr>
            </w:pPr>
            <w:r>
              <w:rPr>
                <w:rFonts w:ascii="Arial" w:cs="Arial" w:eastAsia="Arial" w:hAnsi="Arial"/>
                <w:sz w:val="22"/>
                <w:szCs w:val="22"/>
                <w:color w:val="auto"/>
              </w:rPr>
              <w:t>Reclassification of the embedded</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680" w:type="dxa"/>
            <w:vAlign w:val="bottom"/>
          </w:tcPr>
          <w:p>
            <w:pPr>
              <w:ind w:left="220"/>
              <w:spacing w:after="0"/>
              <w:rPr>
                <w:sz w:val="20"/>
                <w:szCs w:val="20"/>
                <w:color w:val="auto"/>
              </w:rPr>
            </w:pPr>
            <w:r>
              <w:rPr>
                <w:rFonts w:ascii="Arial" w:cs="Arial" w:eastAsia="Arial" w:hAnsi="Arial"/>
                <w:sz w:val="22"/>
                <w:szCs w:val="22"/>
                <w:color w:val="auto"/>
              </w:rPr>
              <w:t>derivative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32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33,481</w:t>
            </w:r>
          </w:p>
        </w:tc>
        <w:tc>
          <w:tcPr>
            <w:tcW w:w="300" w:type="dxa"/>
            <w:vAlign w:val="bottom"/>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33,481</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2020</w:t>
            </w:r>
          </w:p>
        </w:tc>
        <w:tc>
          <w:tcPr>
            <w:tcW w:w="94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b w:val="1"/>
                <w:bCs w:val="1"/>
                <w:color w:val="auto"/>
              </w:rPr>
              <w:t>—</w:t>
            </w:r>
          </w:p>
        </w:tc>
        <w:tc>
          <w:tcPr>
            <w:tcW w:w="120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19,843</w:t>
            </w:r>
          </w:p>
        </w:tc>
        <w:tc>
          <w:tcPr>
            <w:tcW w:w="134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b w:val="1"/>
                <w:bCs w:val="1"/>
                <w:color w:val="auto"/>
              </w:rPr>
              <w:t>34,565</w:t>
            </w:r>
          </w:p>
        </w:tc>
        <w:tc>
          <w:tcPr>
            <w:tcW w:w="110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44</w:t>
            </w:r>
          </w:p>
        </w:tc>
        <w:tc>
          <w:tcPr>
            <w:tcW w:w="94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40,818</w:t>
            </w:r>
          </w:p>
        </w:tc>
        <w:tc>
          <w:tcPr>
            <w:tcW w:w="920" w:type="dxa"/>
            <w:vAlign w:val="bottom"/>
            <w:gridSpan w:val="2"/>
            <w:shd w:val="clear" w:color="auto" w:fill="CCEEFF"/>
          </w:tcPr>
          <w:p>
            <w:pPr>
              <w:ind w:left="80"/>
              <w:spacing w:after="0" w:line="243" w:lineRule="exact"/>
              <w:rPr>
                <w:sz w:val="20"/>
                <w:szCs w:val="20"/>
                <w:color w:val="auto"/>
              </w:rPr>
            </w:pPr>
            <w:r>
              <w:rPr>
                <w:rFonts w:ascii="Arial" w:cs="Arial" w:eastAsia="Arial" w:hAnsi="Arial"/>
                <w:sz w:val="22"/>
                <w:szCs w:val="22"/>
                <w:b w:val="1"/>
                <w:bCs w:val="1"/>
                <w:color w:val="auto"/>
              </w:rPr>
              <w:t>33,104</w:t>
            </w:r>
          </w:p>
        </w:tc>
        <w:tc>
          <w:tcPr>
            <w:tcW w:w="9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b w:val="1"/>
                <w:bCs w:val="1"/>
                <w:color w:val="auto"/>
                <w:w w:val="93"/>
              </w:rPr>
              <w:t>128,374</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22"/>
                <w:szCs w:val="22"/>
                <w:color w:val="auto"/>
                <w:w w:val="95"/>
              </w:rPr>
              <w:t>Share based payments expense during</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680" w:type="dxa"/>
            <w:vAlign w:val="bottom"/>
          </w:tcPr>
          <w:p>
            <w:pPr>
              <w:ind w:left="220"/>
              <w:spacing w:after="0"/>
              <w:rPr>
                <w:sz w:val="20"/>
                <w:szCs w:val="20"/>
                <w:color w:val="auto"/>
              </w:rPr>
            </w:pPr>
            <w:r>
              <w:rPr>
                <w:rFonts w:ascii="Arial" w:cs="Arial" w:eastAsia="Arial" w:hAnsi="Arial"/>
                <w:sz w:val="22"/>
                <w:szCs w:val="22"/>
                <w:color w:val="auto"/>
              </w:rPr>
              <w:t>the year</w:t>
            </w:r>
          </w:p>
        </w:tc>
        <w:tc>
          <w:tcPr>
            <w:tcW w:w="940" w:type="dxa"/>
            <w:vAlign w:val="bottom"/>
            <w:gridSpan w:val="2"/>
          </w:tcPr>
          <w:p>
            <w:pPr>
              <w:jc w:val="right"/>
              <w:ind w:right="420"/>
              <w:spacing w:after="0"/>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22"/>
                <w:szCs w:val="22"/>
                <w:color w:val="auto"/>
              </w:rPr>
              <w:t>3,302</w:t>
            </w:r>
          </w:p>
        </w:tc>
        <w:tc>
          <w:tcPr>
            <w:tcW w:w="1340" w:type="dxa"/>
            <w:vAlign w:val="bottom"/>
            <w:gridSpan w:val="2"/>
          </w:tcPr>
          <w:p>
            <w:pPr>
              <w:ind w:left="720"/>
              <w:spacing w:after="0"/>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22"/>
                <w:szCs w:val="22"/>
                <w:color w:val="auto"/>
              </w:rPr>
              <w:t>—</w:t>
            </w:r>
          </w:p>
        </w:tc>
        <w:tc>
          <w:tcPr>
            <w:tcW w:w="940" w:type="dxa"/>
            <w:vAlign w:val="bottom"/>
            <w:gridSpan w:val="2"/>
          </w:tcPr>
          <w:p>
            <w:pPr>
              <w:ind w:left="380"/>
              <w:spacing w:after="0"/>
              <w:rPr>
                <w:sz w:val="20"/>
                <w:szCs w:val="20"/>
                <w:color w:val="auto"/>
              </w:rPr>
            </w:pPr>
            <w:r>
              <w:rPr>
                <w:rFonts w:ascii="Arial" w:cs="Arial" w:eastAsia="Arial" w:hAnsi="Arial"/>
                <w:sz w:val="22"/>
                <w:szCs w:val="22"/>
                <w:color w:val="auto"/>
              </w:rPr>
              <w:t>—</w:t>
            </w:r>
          </w:p>
        </w:tc>
        <w:tc>
          <w:tcPr>
            <w:tcW w:w="920" w:type="dxa"/>
            <w:vAlign w:val="bottom"/>
            <w:gridSpan w:val="2"/>
          </w:tcPr>
          <w:p>
            <w:pPr>
              <w:ind w:left="3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22"/>
                <w:szCs w:val="22"/>
                <w:color w:val="auto"/>
              </w:rPr>
              <w:t>3,302</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Share options exercised</w:t>
            </w:r>
          </w:p>
        </w:tc>
        <w:tc>
          <w:tcPr>
            <w:tcW w:w="94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(119)</w:t>
            </w:r>
          </w:p>
        </w:tc>
        <w:tc>
          <w:tcPr>
            <w:tcW w:w="1340" w:type="dxa"/>
            <w:vAlign w:val="bottom"/>
            <w:gridSpan w:val="2"/>
            <w:shd w:val="clear" w:color="auto" w:fill="CCEEFF"/>
          </w:tcPr>
          <w:p>
            <w:pPr>
              <w:ind w:left="72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ind w:left="38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CCEEFF"/>
          </w:tcPr>
          <w:p>
            <w:pPr>
              <w:ind w:left="36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Conversion of Loan Notes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20" w:type="dxa"/>
            <w:vAlign w:val="bottom"/>
          </w:tcPr>
          <w:p>
            <w:pPr>
              <w:spacing w:after="0"/>
              <w:rPr>
                <w:sz w:val="21"/>
                <w:szCs w:val="21"/>
                <w:color w:val="auto"/>
              </w:rPr>
            </w:pPr>
          </w:p>
        </w:tc>
        <w:tc>
          <w:tcPr>
            <w:tcW w:w="13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(1,722)</w:t>
            </w:r>
          </w:p>
        </w:tc>
        <w:tc>
          <w:tcPr>
            <w:tcW w:w="110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ind w:left="380"/>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(1,722)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At December 31, 2021</w:t>
            </w:r>
          </w:p>
        </w:tc>
        <w:tc>
          <w:tcPr>
            <w:tcW w:w="6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23,026</w:t>
            </w:r>
          </w:p>
        </w:tc>
        <w:tc>
          <w:tcPr>
            <w:tcW w:w="134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b w:val="1"/>
                <w:bCs w:val="1"/>
                <w:color w:val="auto"/>
              </w:rPr>
              <w:t>32,843</w:t>
            </w:r>
          </w:p>
        </w:tc>
        <w:tc>
          <w:tcPr>
            <w:tcW w:w="110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44</w:t>
            </w:r>
          </w:p>
        </w:tc>
        <w:tc>
          <w:tcPr>
            <w:tcW w:w="94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b w:val="1"/>
                <w:bCs w:val="1"/>
                <w:color w:val="auto"/>
              </w:rPr>
              <w:t>40,818</w:t>
            </w:r>
          </w:p>
        </w:tc>
        <w:tc>
          <w:tcPr>
            <w:tcW w:w="920" w:type="dxa"/>
            <w:vAlign w:val="bottom"/>
            <w:gridSpan w:val="2"/>
            <w:shd w:val="clear" w:color="auto" w:fill="CCEEFF"/>
          </w:tcPr>
          <w:p>
            <w:pPr>
              <w:ind w:left="80"/>
              <w:spacing w:after="0" w:line="243" w:lineRule="exact"/>
              <w:rPr>
                <w:sz w:val="20"/>
                <w:szCs w:val="20"/>
                <w:color w:val="auto"/>
              </w:rPr>
            </w:pPr>
            <w:r>
              <w:rPr>
                <w:rFonts w:ascii="Arial" w:cs="Arial" w:eastAsia="Arial" w:hAnsi="Arial"/>
                <w:sz w:val="22"/>
                <w:szCs w:val="22"/>
                <w:b w:val="1"/>
                <w:bCs w:val="1"/>
                <w:color w:val="auto"/>
              </w:rPr>
              <w:t>33,104</w:t>
            </w:r>
          </w:p>
        </w:tc>
        <w:tc>
          <w:tcPr>
            <w:tcW w:w="9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b w:val="1"/>
                <w:bCs w:val="1"/>
                <w:color w:val="auto"/>
                <w:w w:val="93"/>
              </w:rPr>
              <w:t>129,835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86" w:right="439" w:bottom="0" w:gutter="0" w:footer="0" w:header="0"/>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Shares to be issued</w:t>
      </w:r>
    </w:p>
    <w:p>
      <w:pPr>
        <w:sectPr>
          <w:pgSz w:w="11900" w:h="16838" w:orient="portrait"/>
          <w:cols w:equalWidth="0" w:num="1">
            <w:col w:w="11140"/>
          </w:cols>
          <w:pgMar w:left="320" w:top="486" w:right="439" w:bottom="0" w:gutter="0" w:footer="0" w:header="0"/>
          <w:type w:val="continuous"/>
        </w:sectPr>
      </w:pPr>
    </w:p>
    <w:bookmarkStart w:id="209" w:name="page210"/>
    <w:bookmarkEnd w:id="209"/>
    <w:p>
      <w:pPr>
        <w:ind w:firstLine="551"/>
        <w:spacing w:after="0" w:line="329" w:lineRule="auto"/>
        <w:rPr>
          <w:sz w:val="20"/>
          <w:szCs w:val="20"/>
          <w:color w:val="auto"/>
        </w:rPr>
      </w:pPr>
      <w:r>
        <w:rPr>
          <w:rFonts w:ascii="Arial" w:cs="Arial" w:eastAsia="Arial" w:hAnsi="Arial"/>
          <w:sz w:val="19"/>
          <w:szCs w:val="19"/>
          <w:color w:val="auto"/>
        </w:rPr>
        <w:t>At January 1, 2019, a maximum of 864,988 shares were remaining to be issued to Novartis pro-rata to their percentage shareholding as and when the Company issued further ordinary shares. The fair value of these shares was £1.84 per share.</w:t>
      </w:r>
    </w:p>
    <w:p>
      <w:pPr>
        <w:spacing w:after="0" w:line="3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F-31</w:t>
      </w:r>
    </w:p>
    <w:p>
      <w:pPr>
        <w:sectPr>
          <w:pgSz w:w="11900" w:h="16838" w:orient="portrait"/>
          <w:cols w:equalWidth="0" w:num="1">
            <w:col w:w="10800"/>
          </w:cols>
          <w:pgMar w:left="440" w:top="118" w:right="6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100" w:firstLine="551"/>
        <w:spacing w:after="0"/>
        <w:rPr>
          <w:sz w:val="20"/>
          <w:szCs w:val="20"/>
          <w:color w:val="auto"/>
        </w:rPr>
      </w:pPr>
      <w:r>
        <w:rPr>
          <w:rFonts w:ascii="Arial" w:cs="Arial" w:eastAsia="Arial" w:hAnsi="Arial"/>
          <w:sz w:val="22"/>
          <w:szCs w:val="22"/>
          <w:color w:val="auto"/>
        </w:rPr>
        <w:t>On June 21, 2019, the remaining 864,988 shares were issued to Novartis as fully paid up bonus shares for £nil consideration. There were no movements in this reserve in 2020 and 2021 and the balance as at December 31, 2019, 2020 and 2021 was £nil.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Share-based payments</w:t>
      </w:r>
    </w:p>
    <w:p>
      <w:pPr>
        <w:spacing w:after="0" w:line="98" w:lineRule="exact"/>
        <w:rPr>
          <w:sz w:val="20"/>
          <w:szCs w:val="20"/>
          <w:color w:val="auto"/>
        </w:rPr>
      </w:pPr>
    </w:p>
    <w:p>
      <w:pPr>
        <w:ind w:left="120" w:right="180" w:firstLine="551"/>
        <w:spacing w:after="0" w:line="250" w:lineRule="auto"/>
        <w:rPr>
          <w:sz w:val="20"/>
          <w:szCs w:val="20"/>
          <w:color w:val="auto"/>
        </w:rPr>
      </w:pPr>
      <w:r>
        <w:rPr>
          <w:rFonts w:ascii="Arial" w:cs="Arial" w:eastAsia="Arial" w:hAnsi="Arial"/>
          <w:sz w:val="22"/>
          <w:szCs w:val="22"/>
          <w:color w:val="auto"/>
        </w:rPr>
        <w:t>The Company has various share option schemes under which options to subscribe for the Company’s shares have been granted to certain executives, non-executive directors (“NEDs”) and employees.</w:t>
      </w:r>
    </w:p>
    <w:p>
      <w:pPr>
        <w:spacing w:after="0" w:line="175" w:lineRule="exact"/>
        <w:rPr>
          <w:sz w:val="20"/>
          <w:szCs w:val="20"/>
          <w:color w:val="auto"/>
        </w:rPr>
      </w:pPr>
    </w:p>
    <w:p>
      <w:pPr>
        <w:ind w:left="120" w:right="80" w:firstLine="551"/>
        <w:spacing w:after="0"/>
        <w:rPr>
          <w:sz w:val="20"/>
          <w:szCs w:val="20"/>
          <w:color w:val="auto"/>
        </w:rPr>
      </w:pPr>
      <w:r>
        <w:rPr>
          <w:rFonts w:ascii="Arial" w:cs="Arial" w:eastAsia="Arial" w:hAnsi="Arial"/>
          <w:sz w:val="22"/>
          <w:szCs w:val="22"/>
          <w:color w:val="auto"/>
        </w:rPr>
        <w:t>The share-based payment reserve is used to recognize (i) the value of equity settled share-based payments provided to employees, including key management personnel, as part of their remuneration and (ii) deferred equity consideration. Refer to Note 26 for further details.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Equity component of convertible loan instrument</w:t>
      </w:r>
    </w:p>
    <w:p>
      <w:pPr>
        <w:spacing w:after="0" w:line="98" w:lineRule="exact"/>
        <w:rPr>
          <w:sz w:val="20"/>
          <w:szCs w:val="20"/>
          <w:color w:val="auto"/>
        </w:rPr>
      </w:pPr>
    </w:p>
    <w:p>
      <w:pPr>
        <w:ind w:left="120" w:right="580" w:firstLine="551"/>
        <w:spacing w:after="0"/>
        <w:rPr>
          <w:sz w:val="20"/>
          <w:szCs w:val="20"/>
          <w:color w:val="auto"/>
        </w:rPr>
      </w:pPr>
      <w:r>
        <w:rPr>
          <w:rFonts w:ascii="Arial" w:cs="Arial" w:eastAsia="Arial" w:hAnsi="Arial"/>
          <w:sz w:val="22"/>
          <w:szCs w:val="22"/>
          <w:color w:val="auto"/>
        </w:rPr>
        <w:t>The convertible loan notes issued to Novartis are a compound instrument consisting of a liability and an equity component. The value of the equity component (cost of the conversion option) as at December 31, 2021 is £1.08 million (December 31, 2020: £1.08 million).</w:t>
      </w:r>
    </w:p>
    <w:p>
      <w:pPr>
        <w:spacing w:after="0" w:line="18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22"/>
          <w:szCs w:val="22"/>
          <w:color w:val="auto"/>
        </w:rPr>
        <w:t>On June 30, 2020, the Loan Notes in an aggregate principal amount of £21.8 million (together with accrued interest) were automatically converted into 125,061,475 ordinary shares. This resulted in £33.5 million recognized in other reserves in equity as a difference between the share capital and share premium recognized on conversion and the carrying value of the embedded derivative financial liability extinguished. See Note 19.</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Other warrants issued</w:t>
      </w:r>
    </w:p>
    <w:p>
      <w:pPr>
        <w:spacing w:after="0" w:line="98" w:lineRule="exact"/>
        <w:rPr>
          <w:sz w:val="20"/>
          <w:szCs w:val="20"/>
          <w:color w:val="auto"/>
        </w:rPr>
      </w:pPr>
    </w:p>
    <w:p>
      <w:pPr>
        <w:jc w:val="both"/>
        <w:ind w:left="120" w:right="220" w:firstLine="551"/>
        <w:spacing w:after="0"/>
        <w:rPr>
          <w:sz w:val="20"/>
          <w:szCs w:val="20"/>
          <w:color w:val="auto"/>
        </w:rPr>
      </w:pPr>
      <w:r>
        <w:rPr>
          <w:rFonts w:ascii="Arial" w:cs="Arial" w:eastAsia="Arial" w:hAnsi="Arial"/>
          <w:sz w:val="22"/>
          <w:szCs w:val="22"/>
          <w:color w:val="auto"/>
        </w:rPr>
        <w:t>The funding arrangements with The Alpha-1 Project are a compound instrument consisting of a liability and an equity component. The value of the equity component (consideration received for the warrants) as at December 31, 2021, 2020 and 2019 is less than £ 0.1 million.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Merger reserve</w:t>
      </w:r>
    </w:p>
    <w:p>
      <w:pPr>
        <w:spacing w:after="0" w:line="98"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21"/>
          <w:szCs w:val="21"/>
          <w:color w:val="auto"/>
        </w:rPr>
        <w:t>The consideration paid to acquire Mereo BioPharma 5, Inc. was 24,783,320 ordinary shares with an acquisition date fair value of £40.9 million, based on the Company’s quoted share price. The nominal value of the issued capital was £0.1 million with the excess, £40.8 million, classified within other capital reserves as a ‘Merger reserve’.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Other reserves</w:t>
      </w:r>
    </w:p>
    <w:p>
      <w:pPr>
        <w:spacing w:after="0" w:line="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On June 30, 2020, the Company issued and allotted 125,061,475 ordinary shares of £0.003 in nominal value in the capital of the Company at a price of £0.174 per share to investors following the partial conversion of the Loan Notes. The legal proceeds were £21.8 million. This resulted in £33.1 million recognized in other reserves as a difference between the carrying value of the financial liability extinguished and the legal proceeds.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Accumulated loss</w:t>
      </w: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4160" w:type="dxa"/>
            <w:vAlign w:val="bottom"/>
          </w:tcPr>
          <w:p>
            <w:pPr>
              <w:spacing w:after="0"/>
              <w:rPr>
                <w:sz w:val="23"/>
                <w:szCs w:val="23"/>
                <w:color w:val="auto"/>
              </w:rPr>
            </w:pPr>
          </w:p>
        </w:tc>
        <w:tc>
          <w:tcPr>
            <w:tcW w:w="3320" w:type="dxa"/>
            <w:vAlign w:val="bottom"/>
            <w:gridSpan w:val="6"/>
          </w:tcPr>
          <w:p>
            <w:pPr>
              <w:jc w:val="right"/>
              <w:ind w:right="560"/>
              <w:spacing w:after="0"/>
              <w:rPr>
                <w:sz w:val="20"/>
                <w:szCs w:val="20"/>
                <w:color w:val="auto"/>
              </w:rPr>
            </w:pPr>
            <w:r>
              <w:rPr>
                <w:rFonts w:ascii="Arial" w:cs="Arial" w:eastAsia="Arial" w:hAnsi="Arial"/>
                <w:sz w:val="22"/>
                <w:szCs w:val="22"/>
                <w:b w:val="1"/>
                <w:bCs w:val="1"/>
                <w:color w:val="auto"/>
              </w:rPr>
              <w:t>Year ended December 31,</w:t>
            </w:r>
          </w:p>
        </w:tc>
      </w:tr>
      <w:tr>
        <w:trPr>
          <w:trHeight w:val="209"/>
        </w:trPr>
        <w:tc>
          <w:tcPr>
            <w:tcW w:w="4160" w:type="dxa"/>
            <w:vAlign w:val="bottom"/>
          </w:tcPr>
          <w:p>
            <w:pPr>
              <w:spacing w:after="0"/>
              <w:rPr>
                <w:sz w:val="18"/>
                <w:szCs w:val="18"/>
                <w:color w:val="auto"/>
              </w:rPr>
            </w:pPr>
          </w:p>
        </w:tc>
        <w:tc>
          <w:tcPr>
            <w:tcW w:w="840" w:type="dxa"/>
            <w:vAlign w:val="bottom"/>
            <w:tcBorders>
              <w:top w:val="single" w:sz="8" w:color="auto"/>
            </w:tcBorders>
          </w:tcPr>
          <w:p>
            <w:pPr>
              <w:jc w:val="right"/>
              <w:ind w:right="92"/>
              <w:spacing w:after="0" w:line="209" w:lineRule="exact"/>
              <w:rPr>
                <w:sz w:val="20"/>
                <w:szCs w:val="20"/>
                <w:color w:val="auto"/>
              </w:rPr>
            </w:pPr>
            <w:r>
              <w:rPr>
                <w:rFonts w:ascii="Arial" w:cs="Arial" w:eastAsia="Arial" w:hAnsi="Arial"/>
                <w:sz w:val="22"/>
                <w:szCs w:val="22"/>
                <w:b w:val="1"/>
                <w:bCs w:val="1"/>
                <w:color w:val="auto"/>
              </w:rPr>
              <w:t>2021</w:t>
            </w: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92"/>
              <w:spacing w:after="0" w:line="209" w:lineRule="exact"/>
              <w:rPr>
                <w:sz w:val="20"/>
                <w:szCs w:val="20"/>
                <w:color w:val="auto"/>
              </w:rPr>
            </w:pPr>
            <w:r>
              <w:rPr>
                <w:rFonts w:ascii="Arial" w:cs="Arial" w:eastAsia="Arial" w:hAnsi="Arial"/>
                <w:sz w:val="22"/>
                <w:szCs w:val="22"/>
                <w:b w:val="1"/>
                <w:bCs w:val="1"/>
                <w:color w:val="auto"/>
              </w:rPr>
              <w:t>2020</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92"/>
              <w:spacing w:after="0" w:line="209" w:lineRule="exact"/>
              <w:rPr>
                <w:sz w:val="20"/>
                <w:szCs w:val="20"/>
                <w:color w:val="auto"/>
              </w:rPr>
            </w:pPr>
            <w:r>
              <w:rPr>
                <w:rFonts w:ascii="Arial" w:cs="Arial" w:eastAsia="Arial" w:hAnsi="Arial"/>
                <w:sz w:val="22"/>
                <w:szCs w:val="22"/>
                <w:b w:val="1"/>
                <w:bCs w:val="1"/>
                <w:color w:val="auto"/>
              </w:rPr>
              <w:t>2019</w:t>
            </w:r>
          </w:p>
        </w:tc>
        <w:tc>
          <w:tcPr>
            <w:tcW w:w="140" w:type="dxa"/>
            <w:vAlign w:val="bottom"/>
          </w:tcPr>
          <w:p>
            <w:pPr>
              <w:spacing w:after="0"/>
              <w:rPr>
                <w:sz w:val="18"/>
                <w:szCs w:val="18"/>
                <w:color w:val="auto"/>
              </w:rPr>
            </w:pPr>
          </w:p>
        </w:tc>
      </w:tr>
      <w:tr>
        <w:trPr>
          <w:trHeight w:val="270"/>
        </w:trPr>
        <w:tc>
          <w:tcPr>
            <w:tcW w:w="4160" w:type="dxa"/>
            <w:vAlign w:val="bottom"/>
          </w:tcPr>
          <w:p>
            <w:pPr>
              <w:spacing w:after="0"/>
              <w:rPr>
                <w:sz w:val="23"/>
                <w:szCs w:val="2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89"/>
              </w:rPr>
              <w:t>£’000s</w:t>
            </w:r>
          </w:p>
        </w:tc>
        <w:tc>
          <w:tcPr>
            <w:tcW w:w="118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86"/>
              </w:rPr>
              <w:t>£’000s</w:t>
            </w:r>
          </w:p>
        </w:tc>
        <w:tc>
          <w:tcPr>
            <w:tcW w:w="960" w:type="dxa"/>
            <w:vAlign w:val="bottom"/>
            <w:gridSpan w:val="2"/>
          </w:tcPr>
          <w:p>
            <w:pPr>
              <w:jc w:val="center"/>
              <w:ind w:right="140"/>
              <w:spacing w:after="0"/>
              <w:rPr>
                <w:sz w:val="20"/>
                <w:szCs w:val="20"/>
                <w:color w:val="auto"/>
              </w:rPr>
            </w:pPr>
            <w:r>
              <w:rPr>
                <w:rFonts w:ascii="Arial" w:cs="Arial" w:eastAsia="Arial" w:hAnsi="Arial"/>
                <w:sz w:val="22"/>
                <w:szCs w:val="22"/>
                <w:b w:val="1"/>
                <w:bCs w:val="1"/>
                <w:color w:val="auto"/>
                <w:w w:val="86"/>
              </w:rPr>
              <w:t>£’000s</w:t>
            </w:r>
          </w:p>
        </w:tc>
      </w:tr>
      <w:tr>
        <w:trPr>
          <w:trHeight w:val="236"/>
        </w:trPr>
        <w:tc>
          <w:tcPr>
            <w:tcW w:w="41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Other reserves</w:t>
            </w:r>
          </w:p>
        </w:tc>
        <w:tc>
          <w:tcPr>
            <w:tcW w:w="8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7,401</w:t>
            </w:r>
          </w:p>
        </w:tc>
        <w:tc>
          <w:tcPr>
            <w:tcW w:w="3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5,001</w:t>
            </w:r>
          </w:p>
        </w:tc>
        <w:tc>
          <w:tcPr>
            <w:tcW w:w="3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7,000</w:t>
            </w:r>
          </w:p>
        </w:tc>
        <w:tc>
          <w:tcPr>
            <w:tcW w:w="140" w:type="dxa"/>
            <w:vAlign w:val="bottom"/>
            <w:tcBorders>
              <w:top w:val="single" w:sz="8" w:color="CCEEFF"/>
            </w:tcBorders>
            <w:shd w:val="clear" w:color="auto" w:fill="CCEEFF"/>
          </w:tcPr>
          <w:p>
            <w:pPr>
              <w:spacing w:after="0"/>
              <w:rPr>
                <w:sz w:val="20"/>
                <w:szCs w:val="20"/>
                <w:color w:val="auto"/>
              </w:rPr>
            </w:pPr>
          </w:p>
        </w:tc>
      </w:tr>
      <w:tr>
        <w:trPr>
          <w:trHeight w:val="274"/>
        </w:trPr>
        <w:tc>
          <w:tcPr>
            <w:tcW w:w="4160" w:type="dxa"/>
            <w:vAlign w:val="bottom"/>
          </w:tcPr>
          <w:p>
            <w:pPr>
              <w:spacing w:after="0"/>
              <w:rPr>
                <w:sz w:val="20"/>
                <w:szCs w:val="20"/>
                <w:color w:val="auto"/>
              </w:rPr>
            </w:pPr>
            <w:r>
              <w:rPr>
                <w:rFonts w:ascii="Arial" w:cs="Arial" w:eastAsia="Arial" w:hAnsi="Arial"/>
                <w:sz w:val="22"/>
                <w:szCs w:val="22"/>
                <w:color w:val="auto"/>
              </w:rPr>
              <w:t>Accumulated losses</w:t>
            </w:r>
          </w:p>
        </w:tc>
        <w:tc>
          <w:tcPr>
            <w:tcW w:w="1180" w:type="dxa"/>
            <w:vAlign w:val="bottom"/>
            <w:gridSpan w:val="2"/>
          </w:tcPr>
          <w:p>
            <w:pPr>
              <w:jc w:val="right"/>
              <w:ind w:right="260"/>
              <w:spacing w:after="0"/>
              <w:rPr>
                <w:sz w:val="20"/>
                <w:szCs w:val="20"/>
                <w:color w:val="auto"/>
              </w:rPr>
            </w:pPr>
            <w:r>
              <w:rPr>
                <w:rFonts w:ascii="Arial" w:cs="Arial" w:eastAsia="Arial" w:hAnsi="Arial"/>
                <w:sz w:val="22"/>
                <w:szCs w:val="22"/>
                <w:color w:val="auto"/>
                <w:w w:val="95"/>
              </w:rPr>
              <w:t>(296,968)</w:t>
            </w:r>
          </w:p>
        </w:tc>
        <w:tc>
          <w:tcPr>
            <w:tcW w:w="1180" w:type="dxa"/>
            <w:vAlign w:val="bottom"/>
            <w:gridSpan w:val="2"/>
          </w:tcPr>
          <w:p>
            <w:pPr>
              <w:jc w:val="right"/>
              <w:ind w:right="280"/>
              <w:spacing w:after="0"/>
              <w:rPr>
                <w:sz w:val="20"/>
                <w:szCs w:val="20"/>
                <w:color w:val="auto"/>
              </w:rPr>
            </w:pPr>
            <w:r>
              <w:rPr>
                <w:rFonts w:ascii="Arial" w:cs="Arial" w:eastAsia="Arial" w:hAnsi="Arial"/>
                <w:sz w:val="22"/>
                <w:szCs w:val="22"/>
                <w:color w:val="auto"/>
                <w:w w:val="93"/>
              </w:rPr>
              <w:t>(309,693)</w:t>
            </w:r>
          </w:p>
        </w:tc>
        <w:tc>
          <w:tcPr>
            <w:tcW w:w="960" w:type="dxa"/>
            <w:vAlign w:val="bottom"/>
            <w:gridSpan w:val="2"/>
          </w:tcPr>
          <w:p>
            <w:pPr>
              <w:jc w:val="right"/>
              <w:ind w:right="60"/>
              <w:spacing w:after="0"/>
              <w:rPr>
                <w:sz w:val="20"/>
                <w:szCs w:val="20"/>
                <w:color w:val="auto"/>
              </w:rPr>
            </w:pPr>
            <w:r>
              <w:rPr>
                <w:rFonts w:ascii="Arial" w:cs="Arial" w:eastAsia="Arial" w:hAnsi="Arial"/>
                <w:sz w:val="22"/>
                <w:szCs w:val="22"/>
                <w:color w:val="auto"/>
                <w:w w:val="93"/>
              </w:rPr>
              <w:t>(146,065)</w:t>
            </w:r>
          </w:p>
        </w:tc>
      </w:tr>
    </w:tbl>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Other reserves represent a capital reduction undertaken in 2016 which created a reserve of £7.0 million. On June 3,</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2020, the Company issued and allotted 89,144,630 ordinary shares to investors. The difference between the gross proceeds,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£15.5 million, and the fair value of the consideration of the ordinary shares, £13.4 million, of £2.1 million, was recognized as a</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reduction to other reserves. During the year ended December 31, 2021, 15,414,626 private placement warrants were exercised,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resulting in a £2.4 million reduction in the warrant liability which was recognized as an addition to “Other reserves.”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F-32</w:t>
      </w:r>
    </w:p>
    <w:p>
      <w:pPr>
        <w:sectPr>
          <w:pgSz w:w="11900" w:h="16838" w:orient="portrait"/>
          <w:cols w:equalWidth="0" w:num="1">
            <w:col w:w="11100"/>
          </w:cols>
          <w:pgMar w:left="320" w:top="486" w:right="479" w:bottom="877"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39"/>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gridSpan w:val="9"/>
          </w:tcPr>
          <w:p>
            <w:pPr>
              <w:jc w:val="right"/>
              <w:ind w:right="1060"/>
              <w:spacing w:after="0"/>
              <w:rPr>
                <w:sz w:val="20"/>
                <w:szCs w:val="20"/>
                <w:color w:val="auto"/>
              </w:rPr>
            </w:pPr>
            <w:r>
              <w:rPr>
                <w:rFonts w:ascii="Arial" w:cs="Arial" w:eastAsia="Arial" w:hAnsi="Arial"/>
                <w:sz w:val="22"/>
                <w:szCs w:val="22"/>
                <w:color w:val="auto"/>
                <w:w w:val="94"/>
              </w:rPr>
              <w:t>MEREO BIOPHARMA GROUP PLC</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4"/>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20" w:type="dxa"/>
            <w:vAlign w:val="bottom"/>
            <w:gridSpan w:val="15"/>
          </w:tcPr>
          <w:p>
            <w:pPr>
              <w:ind w:left="1000"/>
              <w:spacing w:after="0"/>
              <w:rPr>
                <w:sz w:val="20"/>
                <w:szCs w:val="20"/>
                <w:color w:val="auto"/>
              </w:rPr>
            </w:pPr>
            <w:r>
              <w:rPr>
                <w:rFonts w:ascii="Arial" w:cs="Arial" w:eastAsia="Arial" w:hAnsi="Arial"/>
                <w:sz w:val="22"/>
                <w:szCs w:val="22"/>
                <w:color w:val="auto"/>
              </w:rPr>
              <w:t>NOTES TO THE CONSOLIDATED FINANCIAL STATEMENTS</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392"/>
        </w:trPr>
        <w:tc>
          <w:tcPr>
            <w:tcW w:w="120" w:type="dxa"/>
            <w:vAlign w:val="bottom"/>
          </w:tcPr>
          <w:p>
            <w:pPr>
              <w:spacing w:after="0"/>
              <w:rPr>
                <w:sz w:val="24"/>
                <w:szCs w:val="24"/>
                <w:color w:val="auto"/>
              </w:rPr>
            </w:pPr>
          </w:p>
        </w:tc>
        <w:tc>
          <w:tcPr>
            <w:tcW w:w="5800" w:type="dxa"/>
            <w:vAlign w:val="bottom"/>
            <w:gridSpan w:val="11"/>
          </w:tcPr>
          <w:p>
            <w:pPr>
              <w:spacing w:after="0"/>
              <w:rPr>
                <w:sz w:val="20"/>
                <w:szCs w:val="20"/>
                <w:color w:val="auto"/>
              </w:rPr>
            </w:pPr>
            <w:r>
              <w:rPr>
                <w:rFonts w:ascii="Arial" w:cs="Arial" w:eastAsia="Arial" w:hAnsi="Arial"/>
                <w:sz w:val="22"/>
                <w:szCs w:val="22"/>
                <w:b w:val="1"/>
                <w:bCs w:val="1"/>
                <w:color w:val="auto"/>
                <w:w w:val="97"/>
              </w:rPr>
              <w:t>23. Changes in liabilities arising from financing activities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91"/>
              </w:rPr>
              <w:t>Loan</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60"/>
              <w:spacing w:after="0" w:line="243" w:lineRule="exact"/>
              <w:rPr>
                <w:sz w:val="20"/>
                <w:szCs w:val="20"/>
                <w:color w:val="auto"/>
              </w:rPr>
            </w:pPr>
            <w:r>
              <w:rPr>
                <w:rFonts w:ascii="Arial" w:cs="Arial" w:eastAsia="Arial" w:hAnsi="Arial"/>
                <w:sz w:val="22"/>
                <w:szCs w:val="22"/>
                <w:b w:val="1"/>
                <w:bCs w:val="1"/>
                <w:color w:val="auto"/>
                <w:w w:val="88"/>
              </w:rPr>
              <w:t>Novartis</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180"/>
              <w:spacing w:after="0" w:line="243" w:lineRule="exact"/>
              <w:rPr>
                <w:sz w:val="20"/>
                <w:szCs w:val="20"/>
                <w:color w:val="auto"/>
              </w:rPr>
            </w:pPr>
            <w:r>
              <w:rPr>
                <w:rFonts w:ascii="Arial" w:cs="Arial" w:eastAsia="Arial" w:hAnsi="Arial"/>
                <w:sz w:val="22"/>
                <w:szCs w:val="22"/>
                <w:b w:val="1"/>
                <w:bCs w:val="1"/>
                <w:color w:val="auto"/>
                <w:w w:val="90"/>
              </w:rPr>
              <w:t>Deferred</w:t>
            </w:r>
          </w:p>
        </w:tc>
        <w:tc>
          <w:tcPr>
            <w:tcW w:w="1160" w:type="dxa"/>
            <w:vAlign w:val="bottom"/>
            <w:gridSpan w:val="2"/>
          </w:tcPr>
          <w:p>
            <w:pPr>
              <w:jc w:val="center"/>
              <w:ind w:right="200"/>
              <w:spacing w:after="0" w:line="243" w:lineRule="exact"/>
              <w:rPr>
                <w:sz w:val="20"/>
                <w:szCs w:val="20"/>
                <w:color w:val="auto"/>
              </w:rPr>
            </w:pPr>
            <w:r>
              <w:rPr>
                <w:rFonts w:ascii="Arial" w:cs="Arial" w:eastAsia="Arial" w:hAnsi="Arial"/>
                <w:sz w:val="22"/>
                <w:szCs w:val="22"/>
                <w:b w:val="1"/>
                <w:bCs w:val="1"/>
                <w:color w:val="auto"/>
                <w:w w:val="85"/>
              </w:rPr>
              <w:t>Notes –</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jc w:val="center"/>
              <w:ind w:right="200"/>
              <w:spacing w:after="0" w:line="243" w:lineRule="exact"/>
              <w:rPr>
                <w:sz w:val="20"/>
                <w:szCs w:val="20"/>
                <w:color w:val="auto"/>
              </w:rPr>
            </w:pPr>
            <w:r>
              <w:rPr>
                <w:rFonts w:ascii="Arial" w:cs="Arial" w:eastAsia="Arial" w:hAnsi="Arial"/>
                <w:sz w:val="22"/>
                <w:szCs w:val="22"/>
                <w:b w:val="1"/>
                <w:bCs w:val="1"/>
                <w:color w:val="auto"/>
                <w:w w:val="89"/>
              </w:rPr>
              <w:t>Contingent</w:t>
            </w:r>
          </w:p>
        </w:tc>
        <w:tc>
          <w:tcPr>
            <w:tcW w:w="800" w:type="dxa"/>
            <w:vAlign w:val="bottom"/>
            <w:gridSpan w:val="2"/>
          </w:tcPr>
          <w:p>
            <w:pPr>
              <w:jc w:val="center"/>
              <w:ind w:right="80"/>
              <w:spacing w:after="0" w:line="243" w:lineRule="exact"/>
              <w:rPr>
                <w:sz w:val="20"/>
                <w:szCs w:val="20"/>
                <w:color w:val="auto"/>
              </w:rPr>
            </w:pPr>
            <w:r>
              <w:rPr>
                <w:rFonts w:ascii="Arial" w:cs="Arial" w:eastAsia="Arial" w:hAnsi="Arial"/>
                <w:sz w:val="22"/>
                <w:szCs w:val="22"/>
                <w:b w:val="1"/>
                <w:bCs w:val="1"/>
                <w:color w:val="auto"/>
                <w:w w:val="83"/>
              </w:rPr>
              <w:t>Lease</w:t>
            </w:r>
          </w:p>
        </w:tc>
        <w:tc>
          <w:tcPr>
            <w:tcW w:w="100" w:type="dxa"/>
            <w:vAlign w:val="bottom"/>
          </w:tcPr>
          <w:p>
            <w:pPr>
              <w:spacing w:after="0"/>
              <w:rPr>
                <w:sz w:val="21"/>
                <w:szCs w:val="21"/>
                <w:color w:val="auto"/>
              </w:rPr>
            </w:pPr>
          </w:p>
        </w:tc>
        <w:tc>
          <w:tcPr>
            <w:tcW w:w="920" w:type="dxa"/>
            <w:vAlign w:val="bottom"/>
            <w:gridSpan w:val="2"/>
          </w:tcPr>
          <w:p>
            <w:pPr>
              <w:jc w:val="center"/>
              <w:ind w:right="180"/>
              <w:spacing w:after="0" w:line="243" w:lineRule="exact"/>
              <w:rPr>
                <w:sz w:val="20"/>
                <w:szCs w:val="20"/>
                <w:color w:val="auto"/>
              </w:rPr>
            </w:pPr>
            <w:r>
              <w:rPr>
                <w:rFonts w:ascii="Arial" w:cs="Arial" w:eastAsia="Arial" w:hAnsi="Arial"/>
                <w:sz w:val="22"/>
                <w:szCs w:val="22"/>
                <w:b w:val="1"/>
                <w:bCs w:val="1"/>
                <w:color w:val="auto"/>
                <w:w w:val="92"/>
              </w:rPr>
              <w:t>Bank</w:t>
            </w:r>
          </w:p>
        </w:tc>
        <w:tc>
          <w:tcPr>
            <w:tcW w:w="960" w:type="dxa"/>
            <w:vAlign w:val="bottom"/>
            <w:gridSpan w:val="2"/>
          </w:tcPr>
          <w:p>
            <w:pPr>
              <w:jc w:val="center"/>
              <w:ind w:right="160"/>
              <w:spacing w:after="0" w:line="243" w:lineRule="exact"/>
              <w:rPr>
                <w:sz w:val="20"/>
                <w:szCs w:val="20"/>
                <w:color w:val="auto"/>
              </w:rPr>
            </w:pPr>
            <w:r>
              <w:rPr>
                <w:rFonts w:ascii="Arial" w:cs="Arial" w:eastAsia="Arial" w:hAnsi="Arial"/>
                <w:sz w:val="22"/>
                <w:szCs w:val="22"/>
                <w:b w:val="1"/>
                <w:bCs w:val="1"/>
                <w:color w:val="auto"/>
                <w:w w:val="91"/>
              </w:rPr>
              <w:t>Loan</w:t>
            </w:r>
          </w:p>
        </w:tc>
        <w:tc>
          <w:tcPr>
            <w:tcW w:w="1000" w:type="dxa"/>
            <w:vAlign w:val="bottom"/>
            <w:gridSpan w:val="2"/>
          </w:tcPr>
          <w:p>
            <w:pPr>
              <w:jc w:val="right"/>
              <w:ind w:right="200"/>
              <w:spacing w:after="0" w:line="243" w:lineRule="exact"/>
              <w:rPr>
                <w:sz w:val="20"/>
                <w:szCs w:val="20"/>
                <w:color w:val="auto"/>
              </w:rPr>
            </w:pPr>
            <w:r>
              <w:rPr>
                <w:rFonts w:ascii="Arial" w:cs="Arial" w:eastAsia="Arial" w:hAnsi="Arial"/>
                <w:sz w:val="22"/>
                <w:szCs w:val="22"/>
                <w:b w:val="1"/>
                <w:bCs w:val="1"/>
                <w:color w:val="auto"/>
                <w:w w:val="93"/>
              </w:rPr>
              <w:t>Warrant</w:t>
            </w:r>
          </w:p>
        </w:tc>
        <w:tc>
          <w:tcPr>
            <w:tcW w:w="1440" w:type="dxa"/>
            <w:vAlign w:val="bottom"/>
            <w:gridSpan w:val="2"/>
          </w:tcPr>
          <w:p>
            <w:pPr>
              <w:jc w:val="center"/>
              <w:ind w:right="180"/>
              <w:spacing w:after="0" w:line="243" w:lineRule="exact"/>
              <w:rPr>
                <w:sz w:val="20"/>
                <w:szCs w:val="20"/>
                <w:color w:val="auto"/>
              </w:rPr>
            </w:pPr>
            <w:r>
              <w:rPr>
                <w:rFonts w:ascii="Arial" w:cs="Arial" w:eastAsia="Arial" w:hAnsi="Arial"/>
                <w:sz w:val="22"/>
                <w:szCs w:val="22"/>
                <w:b w:val="1"/>
                <w:bCs w:val="1"/>
                <w:color w:val="auto"/>
                <w:w w:val="83"/>
              </w:rPr>
              <w:t>cash</w:t>
            </w:r>
          </w:p>
        </w:tc>
        <w:tc>
          <w:tcPr>
            <w:tcW w:w="1160" w:type="dxa"/>
            <w:vAlign w:val="bottom"/>
            <w:gridSpan w:val="2"/>
          </w:tcPr>
          <w:p>
            <w:pPr>
              <w:jc w:val="center"/>
              <w:ind w:right="180"/>
              <w:spacing w:after="0" w:line="243" w:lineRule="exact"/>
              <w:rPr>
                <w:sz w:val="20"/>
                <w:szCs w:val="20"/>
                <w:color w:val="auto"/>
              </w:rPr>
            </w:pPr>
            <w:r>
              <w:rPr>
                <w:rFonts w:ascii="Arial" w:cs="Arial" w:eastAsia="Arial" w:hAnsi="Arial"/>
                <w:sz w:val="22"/>
                <w:szCs w:val="22"/>
                <w:b w:val="1"/>
                <w:bCs w:val="1"/>
                <w:color w:val="auto"/>
                <w:w w:val="91"/>
              </w:rPr>
              <w:t>private</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85"/>
              </w:rPr>
              <w:t>consideration</w:t>
            </w:r>
          </w:p>
        </w:tc>
        <w:tc>
          <w:tcPr>
            <w:tcW w:w="800" w:type="dxa"/>
            <w:vAlign w:val="bottom"/>
            <w:gridSpan w:val="2"/>
          </w:tcPr>
          <w:p>
            <w:pPr>
              <w:jc w:val="center"/>
              <w:ind w:right="80"/>
              <w:spacing w:after="0"/>
              <w:rPr>
                <w:sz w:val="20"/>
                <w:szCs w:val="20"/>
                <w:color w:val="auto"/>
              </w:rPr>
            </w:pPr>
            <w:r>
              <w:rPr>
                <w:rFonts w:ascii="Arial" w:cs="Arial" w:eastAsia="Arial" w:hAnsi="Arial"/>
                <w:sz w:val="22"/>
                <w:szCs w:val="22"/>
                <w:b w:val="1"/>
                <w:bCs w:val="1"/>
                <w:color w:val="auto"/>
                <w:w w:val="94"/>
              </w:rPr>
              <w:t>liability</w:t>
            </w:r>
          </w:p>
        </w:tc>
        <w:tc>
          <w:tcPr>
            <w:tcW w:w="100" w:type="dxa"/>
            <w:vAlign w:val="bottom"/>
          </w:tcPr>
          <w:p>
            <w:pPr>
              <w:spacing w:after="0"/>
              <w:rPr>
                <w:sz w:val="23"/>
                <w:szCs w:val="2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3"/>
              </w:rPr>
              <w:t>loan</w:t>
            </w:r>
          </w:p>
        </w:tc>
        <w:tc>
          <w:tcPr>
            <w:tcW w:w="960" w:type="dxa"/>
            <w:vAlign w:val="bottom"/>
            <w:gridSpan w:val="2"/>
          </w:tcPr>
          <w:p>
            <w:pPr>
              <w:jc w:val="center"/>
              <w:ind w:right="160"/>
              <w:spacing w:after="0"/>
              <w:rPr>
                <w:sz w:val="20"/>
                <w:szCs w:val="20"/>
                <w:color w:val="auto"/>
              </w:rPr>
            </w:pPr>
            <w:r>
              <w:rPr>
                <w:rFonts w:ascii="Arial" w:cs="Arial" w:eastAsia="Arial" w:hAnsi="Arial"/>
                <w:sz w:val="22"/>
                <w:szCs w:val="22"/>
                <w:b w:val="1"/>
                <w:bCs w:val="1"/>
                <w:color w:val="auto"/>
                <w:w w:val="89"/>
              </w:rPr>
              <w:t>Note</w:t>
            </w:r>
          </w:p>
        </w:tc>
        <w:tc>
          <w:tcPr>
            <w:tcW w:w="1000" w:type="dxa"/>
            <w:vAlign w:val="bottom"/>
            <w:gridSpan w:val="2"/>
          </w:tcPr>
          <w:p>
            <w:pPr>
              <w:jc w:val="right"/>
              <w:ind w:right="240"/>
              <w:spacing w:after="0"/>
              <w:rPr>
                <w:sz w:val="20"/>
                <w:szCs w:val="20"/>
                <w:color w:val="auto"/>
              </w:rPr>
            </w:pPr>
            <w:r>
              <w:rPr>
                <w:rFonts w:ascii="Arial" w:cs="Arial" w:eastAsia="Arial" w:hAnsi="Arial"/>
                <w:sz w:val="22"/>
                <w:szCs w:val="22"/>
                <w:b w:val="1"/>
                <w:bCs w:val="1"/>
                <w:color w:val="auto"/>
                <w:w w:val="97"/>
              </w:rPr>
              <w:t>liability</w:t>
            </w:r>
          </w:p>
        </w:tc>
        <w:tc>
          <w:tcPr>
            <w:tcW w:w="144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7"/>
              </w:rPr>
              <w:t>consideration</w:t>
            </w:r>
          </w:p>
        </w:tc>
        <w:tc>
          <w:tcPr>
            <w:tcW w:w="116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88"/>
              </w:rPr>
              <w:t>placement</w:t>
            </w:r>
          </w:p>
        </w:tc>
        <w:tc>
          <w:tcPr>
            <w:tcW w:w="74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w w:val="91"/>
              </w:rPr>
              <w:t>Other</w:t>
            </w:r>
          </w:p>
        </w:tc>
        <w:tc>
          <w:tcPr>
            <w:tcW w:w="90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7"/>
              </w:rPr>
              <w:t>Total</w:t>
            </w: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180" w:type="dxa"/>
            <w:vAlign w:val="bottom"/>
          </w:tcPr>
          <w:p>
            <w:pPr>
              <w:spacing w:after="0"/>
              <w:rPr>
                <w:sz w:val="20"/>
                <w:szCs w:val="20"/>
                <w:color w:val="auto"/>
              </w:rPr>
            </w:pPr>
          </w:p>
        </w:tc>
        <w:tc>
          <w:tcPr>
            <w:tcW w:w="72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80" w:type="dxa"/>
            <w:vAlign w:val="bottom"/>
          </w:tcPr>
          <w:p>
            <w:pPr>
              <w:spacing w:after="0"/>
              <w:rPr>
                <w:sz w:val="20"/>
                <w:szCs w:val="20"/>
                <w:color w:val="auto"/>
              </w:rPr>
            </w:pPr>
          </w:p>
        </w:tc>
        <w:tc>
          <w:tcPr>
            <w:tcW w:w="80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160" w:type="dxa"/>
            <w:vAlign w:val="bottom"/>
          </w:tcPr>
          <w:p>
            <w:pPr>
              <w:spacing w:after="0"/>
              <w:rPr>
                <w:sz w:val="20"/>
                <w:szCs w:val="20"/>
                <w:color w:val="auto"/>
              </w:rPr>
            </w:pPr>
          </w:p>
        </w:tc>
        <w:tc>
          <w:tcPr>
            <w:tcW w:w="820" w:type="dxa"/>
            <w:vAlign w:val="bottom"/>
            <w:tcBorders>
              <w:top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£’000s</w:t>
            </w:r>
          </w:p>
        </w:tc>
        <w:tc>
          <w:tcPr>
            <w:tcW w:w="180" w:type="dxa"/>
            <w:vAlign w:val="bottom"/>
          </w:tcPr>
          <w:p>
            <w:pPr>
              <w:spacing w:after="0"/>
              <w:rPr>
                <w:sz w:val="20"/>
                <w:szCs w:val="20"/>
                <w:color w:val="auto"/>
              </w:rPr>
            </w:pPr>
          </w:p>
        </w:tc>
        <w:tc>
          <w:tcPr>
            <w:tcW w:w="126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80" w:type="dxa"/>
            <w:vAlign w:val="bottom"/>
          </w:tcPr>
          <w:p>
            <w:pPr>
              <w:spacing w:after="0"/>
              <w:rPr>
                <w:sz w:val="20"/>
                <w:szCs w:val="20"/>
                <w:color w:val="auto"/>
              </w:rPr>
            </w:pPr>
          </w:p>
        </w:tc>
        <w:tc>
          <w:tcPr>
            <w:tcW w:w="96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200" w:type="dxa"/>
            <w:vAlign w:val="bottom"/>
          </w:tcPr>
          <w:p>
            <w:pPr>
              <w:spacing w:after="0"/>
              <w:rPr>
                <w:sz w:val="20"/>
                <w:szCs w:val="20"/>
                <w:color w:val="auto"/>
              </w:rPr>
            </w:pPr>
          </w:p>
        </w:tc>
        <w:tc>
          <w:tcPr>
            <w:tcW w:w="58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3"/>
              </w:rPr>
              <w:t>£’000s</w:t>
            </w:r>
          </w:p>
        </w:tc>
        <w:tc>
          <w:tcPr>
            <w:tcW w:w="160" w:type="dxa"/>
            <w:vAlign w:val="bottom"/>
          </w:tcPr>
          <w:p>
            <w:pPr>
              <w:spacing w:after="0"/>
              <w:rPr>
                <w:sz w:val="20"/>
                <w:szCs w:val="20"/>
                <w:color w:val="auto"/>
              </w:rPr>
            </w:pPr>
          </w:p>
        </w:tc>
        <w:tc>
          <w:tcPr>
            <w:tcW w:w="76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140" w:type="dxa"/>
            <w:vAlign w:val="bottom"/>
          </w:tcPr>
          <w:p>
            <w:pPr>
              <w:spacing w:after="0"/>
              <w:rPr>
                <w:sz w:val="20"/>
                <w:szCs w:val="20"/>
                <w:color w:val="auto"/>
              </w:rPr>
            </w:pPr>
          </w:p>
        </w:tc>
      </w:tr>
      <w:tr>
        <w:trPr>
          <w:trHeight w:val="222"/>
        </w:trPr>
        <w:tc>
          <w:tcPr>
            <w:tcW w:w="120" w:type="dxa"/>
            <w:vAlign w:val="bottom"/>
          </w:tcPr>
          <w:p>
            <w:pPr>
              <w:spacing w:after="0"/>
              <w:rPr>
                <w:sz w:val="19"/>
                <w:szCs w:val="19"/>
                <w:color w:val="auto"/>
              </w:rPr>
            </w:pPr>
          </w:p>
        </w:tc>
        <w:tc>
          <w:tcPr>
            <w:tcW w:w="158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Carrying value</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1580" w:type="dxa"/>
            <w:vAlign w:val="bottom"/>
            <w:gridSpan w:val="2"/>
            <w:shd w:val="clear" w:color="auto" w:fill="CCEEFF"/>
          </w:tcPr>
          <w:p>
            <w:pPr>
              <w:ind w:left="220"/>
              <w:spacing w:after="0" w:line="243" w:lineRule="exact"/>
              <w:rPr>
                <w:sz w:val="20"/>
                <w:szCs w:val="20"/>
                <w:color w:val="auto"/>
              </w:rPr>
            </w:pPr>
            <w:r>
              <w:rPr>
                <w:rFonts w:ascii="Arial" w:cs="Arial" w:eastAsia="Arial" w:hAnsi="Arial"/>
                <w:sz w:val="22"/>
                <w:szCs w:val="22"/>
                <w:color w:val="auto"/>
              </w:rPr>
              <w:t>at January 1,</w:t>
            </w: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64"/>
        </w:trPr>
        <w:tc>
          <w:tcPr>
            <w:tcW w:w="120" w:type="dxa"/>
            <w:vAlign w:val="bottom"/>
          </w:tcPr>
          <w:p>
            <w:pPr>
              <w:spacing w:after="0"/>
              <w:rPr>
                <w:sz w:val="22"/>
                <w:szCs w:val="22"/>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22"/>
                <w:szCs w:val="22"/>
                <w:color w:val="auto"/>
              </w:rPr>
              <w:t>2020</w:t>
            </w:r>
          </w:p>
        </w:tc>
        <w:tc>
          <w:tcPr>
            <w:tcW w:w="3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color w:val="auto"/>
              </w:rPr>
              <w:t>354</w:t>
            </w:r>
          </w:p>
        </w:tc>
        <w:tc>
          <w:tcPr>
            <w:tcW w:w="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11,904</w:t>
            </w: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20,512</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131</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1,654</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44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34,599</w:t>
            </w:r>
          </w:p>
        </w:tc>
      </w:tr>
      <w:tr>
        <w:trPr>
          <w:trHeight w:val="222"/>
        </w:trPr>
        <w:tc>
          <w:tcPr>
            <w:tcW w:w="120" w:type="dxa"/>
            <w:vAlign w:val="bottom"/>
          </w:tcPr>
          <w:p>
            <w:pPr>
              <w:spacing w:after="0"/>
              <w:rPr>
                <w:sz w:val="19"/>
                <w:szCs w:val="19"/>
                <w:color w:val="auto"/>
              </w:rPr>
            </w:pPr>
          </w:p>
        </w:tc>
        <w:tc>
          <w:tcPr>
            <w:tcW w:w="1580" w:type="dxa"/>
            <w:vAlign w:val="bottom"/>
            <w:gridSpan w:val="2"/>
          </w:tcPr>
          <w:p>
            <w:pPr>
              <w:spacing w:after="0" w:line="222" w:lineRule="exact"/>
              <w:rPr>
                <w:sz w:val="20"/>
                <w:szCs w:val="20"/>
                <w:color w:val="auto"/>
              </w:rPr>
            </w:pPr>
            <w:r>
              <w:rPr>
                <w:rFonts w:ascii="Arial" w:cs="Arial" w:eastAsia="Arial" w:hAnsi="Arial"/>
                <w:sz w:val="22"/>
                <w:szCs w:val="22"/>
                <w:color w:val="auto"/>
              </w:rPr>
              <w:t>Settled during</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22"/>
                <w:szCs w:val="22"/>
                <w:color w:val="auto"/>
              </w:rPr>
              <w:t>the year</w:t>
            </w:r>
          </w:p>
        </w:tc>
        <w:tc>
          <w:tcPr>
            <w:tcW w:w="1440" w:type="dxa"/>
            <w:vAlign w:val="bottom"/>
            <w:gridSpan w:val="2"/>
          </w:tcPr>
          <w:p>
            <w:pPr>
              <w:ind w:left="860"/>
              <w:spacing w:after="0"/>
              <w:rPr>
                <w:sz w:val="20"/>
                <w:szCs w:val="20"/>
                <w:color w:val="auto"/>
              </w:rPr>
            </w:pPr>
            <w:r>
              <w:rPr>
                <w:rFonts w:ascii="Arial" w:cs="Arial" w:eastAsia="Arial" w:hAnsi="Arial"/>
                <w:sz w:val="22"/>
                <w:szCs w:val="22"/>
                <w:color w:val="auto"/>
              </w:rPr>
              <w:t>(354)</w:t>
            </w:r>
          </w:p>
        </w:tc>
        <w:tc>
          <w:tcPr>
            <w:tcW w:w="80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22"/>
                <w:szCs w:val="22"/>
                <w:color w:val="auto"/>
              </w:rPr>
              <w:t>(23,412)</w:t>
            </w:r>
          </w:p>
        </w:tc>
        <w:tc>
          <w:tcPr>
            <w:tcW w:w="960" w:type="dxa"/>
            <w:vAlign w:val="bottom"/>
            <w:gridSpan w:val="2"/>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22"/>
                <w:szCs w:val="22"/>
                <w:color w:val="auto"/>
              </w:rPr>
              <w:t>(127)</w:t>
            </w:r>
          </w:p>
        </w:tc>
        <w:tc>
          <w:tcPr>
            <w:tcW w:w="1440" w:type="dxa"/>
            <w:vAlign w:val="bottom"/>
            <w:gridSpan w:val="2"/>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22"/>
                <w:szCs w:val="22"/>
                <w:color w:val="auto"/>
              </w:rPr>
              <w:t>(23,893)</w:t>
            </w:r>
          </w:p>
        </w:tc>
      </w:tr>
      <w:tr>
        <w:trPr>
          <w:trHeight w:val="222"/>
        </w:trPr>
        <w:tc>
          <w:tcPr>
            <w:tcW w:w="120" w:type="dxa"/>
            <w:vAlign w:val="bottom"/>
          </w:tcPr>
          <w:p>
            <w:pPr>
              <w:spacing w:after="0"/>
              <w:rPr>
                <w:sz w:val="19"/>
                <w:szCs w:val="19"/>
                <w:color w:val="auto"/>
              </w:rPr>
            </w:pPr>
          </w:p>
        </w:tc>
        <w:tc>
          <w:tcPr>
            <w:tcW w:w="158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Financing cash</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flows</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22"/>
                <w:szCs w:val="22"/>
                <w:color w:val="auto"/>
              </w:rPr>
              <w:t>(2,086)</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2,758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36,330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18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37,020</w:t>
            </w:r>
          </w:p>
        </w:tc>
      </w:tr>
      <w:tr>
        <w:trPr>
          <w:trHeight w:val="222"/>
        </w:trPr>
        <w:tc>
          <w:tcPr>
            <w:tcW w:w="120" w:type="dxa"/>
            <w:vAlign w:val="bottom"/>
          </w:tcPr>
          <w:p>
            <w:pPr>
              <w:spacing w:after="0"/>
              <w:rPr>
                <w:sz w:val="19"/>
                <w:szCs w:val="19"/>
                <w:color w:val="auto"/>
              </w:rPr>
            </w:pPr>
          </w:p>
        </w:tc>
        <w:tc>
          <w:tcPr>
            <w:tcW w:w="1580" w:type="dxa"/>
            <w:vAlign w:val="bottom"/>
            <w:gridSpan w:val="2"/>
          </w:tcPr>
          <w:p>
            <w:pPr>
              <w:spacing w:after="0" w:line="222" w:lineRule="exact"/>
              <w:rPr>
                <w:sz w:val="20"/>
                <w:szCs w:val="20"/>
                <w:color w:val="auto"/>
              </w:rPr>
            </w:pPr>
            <w:r>
              <w:rPr>
                <w:rFonts w:ascii="Arial" w:cs="Arial" w:eastAsia="Arial" w:hAnsi="Arial"/>
                <w:sz w:val="22"/>
                <w:szCs w:val="22"/>
                <w:color w:val="auto"/>
              </w:rPr>
              <w:t>Issuance of</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22"/>
                <w:szCs w:val="22"/>
                <w:color w:val="auto"/>
              </w:rPr>
              <w:t>warrants</w:t>
            </w:r>
          </w:p>
        </w:tc>
        <w:tc>
          <w:tcPr>
            <w:tcW w:w="1440" w:type="dxa"/>
            <w:vAlign w:val="bottom"/>
            <w:gridSpan w:val="2"/>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22"/>
                <w:szCs w:val="22"/>
                <w:color w:val="auto"/>
              </w:rPr>
              <w:t>4,080</w:t>
            </w:r>
          </w:p>
        </w:tc>
        <w:tc>
          <w:tcPr>
            <w:tcW w:w="1440" w:type="dxa"/>
            <w:vAlign w:val="bottom"/>
            <w:gridSpan w:val="2"/>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22"/>
                <w:szCs w:val="22"/>
                <w:color w:val="auto"/>
              </w:rPr>
              <w:t>4,080</w:t>
            </w:r>
          </w:p>
        </w:tc>
      </w:tr>
      <w:tr>
        <w:trPr>
          <w:trHeight w:val="243"/>
        </w:trPr>
        <w:tc>
          <w:tcPr>
            <w:tcW w:w="120" w:type="dxa"/>
            <w:vAlign w:val="bottom"/>
          </w:tcPr>
          <w:p>
            <w:pPr>
              <w:spacing w:after="0"/>
              <w:rPr>
                <w:sz w:val="21"/>
                <w:szCs w:val="21"/>
                <w:color w:val="auto"/>
              </w:rPr>
            </w:pPr>
          </w:p>
        </w:tc>
        <w:tc>
          <w:tcPr>
            <w:tcW w:w="15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w w:val="95"/>
              </w:rPr>
              <w:t>Interest expense</w:t>
            </w:r>
          </w:p>
        </w:tc>
        <w:tc>
          <w:tcPr>
            <w:tcW w:w="1440" w:type="dxa"/>
            <w:vAlign w:val="bottom"/>
            <w:gridSpan w:val="2"/>
            <w:shd w:val="clear" w:color="auto" w:fill="CCEEFF"/>
          </w:tcPr>
          <w:p>
            <w:pPr>
              <w:ind w:left="92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1,085</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2,900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80"/>
              <w:spacing w:after="0" w:line="243" w:lineRule="exact"/>
              <w:rPr>
                <w:sz w:val="20"/>
                <w:szCs w:val="20"/>
                <w:color w:val="auto"/>
              </w:rPr>
            </w:pPr>
            <w:r>
              <w:rPr>
                <w:rFonts w:ascii="Arial" w:cs="Arial" w:eastAsia="Arial" w:hAnsi="Arial"/>
                <w:sz w:val="22"/>
                <w:szCs w:val="22"/>
                <w:color w:val="auto"/>
              </w:rPr>
              <w:t>438</w:t>
            </w:r>
          </w:p>
        </w:tc>
        <w:tc>
          <w:tcPr>
            <w:tcW w:w="100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color w:val="auto"/>
              </w:rPr>
              <w:t>—</w:t>
            </w:r>
          </w:p>
        </w:tc>
        <w:tc>
          <w:tcPr>
            <w:tcW w:w="1440" w:type="dxa"/>
            <w:vAlign w:val="bottom"/>
            <w:gridSpan w:val="2"/>
            <w:shd w:val="clear" w:color="auto" w:fill="CCEEFF"/>
          </w:tcPr>
          <w:p>
            <w:pPr>
              <w:ind w:left="940"/>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rPr>
              <w:t>1,803</w:t>
            </w:r>
          </w:p>
        </w:tc>
        <w:tc>
          <w:tcPr>
            <w:tcW w:w="74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6,226</w:t>
            </w:r>
          </w:p>
        </w:tc>
      </w:tr>
      <w:tr>
        <w:trPr>
          <w:trHeight w:val="222"/>
        </w:trPr>
        <w:tc>
          <w:tcPr>
            <w:tcW w:w="120" w:type="dxa"/>
            <w:vAlign w:val="bottom"/>
          </w:tcPr>
          <w:p>
            <w:pPr>
              <w:spacing w:after="0"/>
              <w:rPr>
                <w:sz w:val="19"/>
                <w:szCs w:val="19"/>
                <w:color w:val="auto"/>
              </w:rPr>
            </w:pPr>
          </w:p>
        </w:tc>
        <w:tc>
          <w:tcPr>
            <w:tcW w:w="1580" w:type="dxa"/>
            <w:vAlign w:val="bottom"/>
            <w:gridSpan w:val="2"/>
          </w:tcPr>
          <w:p>
            <w:pPr>
              <w:spacing w:after="0" w:line="222" w:lineRule="exact"/>
              <w:rPr>
                <w:sz w:val="20"/>
                <w:szCs w:val="20"/>
                <w:color w:val="auto"/>
              </w:rPr>
            </w:pPr>
            <w:r>
              <w:rPr>
                <w:rFonts w:ascii="Arial" w:cs="Arial" w:eastAsia="Arial" w:hAnsi="Arial"/>
                <w:sz w:val="22"/>
                <w:szCs w:val="22"/>
                <w:color w:val="auto"/>
              </w:rPr>
              <w:t>Lease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22"/>
                <w:szCs w:val="22"/>
                <w:color w:val="auto"/>
              </w:rPr>
              <w:t>modification</w:t>
            </w:r>
          </w:p>
        </w:tc>
        <w:tc>
          <w:tcPr>
            <w:tcW w:w="1440" w:type="dxa"/>
            <w:vAlign w:val="bottom"/>
            <w:gridSpan w:val="2"/>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(9,547)</w:t>
            </w:r>
          </w:p>
        </w:tc>
        <w:tc>
          <w:tcPr>
            <w:tcW w:w="10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440" w:type="dxa"/>
            <w:vAlign w:val="bottom"/>
            <w:gridSpan w:val="2"/>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22"/>
                <w:szCs w:val="22"/>
                <w:color w:val="auto"/>
              </w:rPr>
              <w:t>(9,547)</w:t>
            </w:r>
          </w:p>
        </w:tc>
      </w:tr>
      <w:tr>
        <w:trPr>
          <w:trHeight w:val="222"/>
        </w:trPr>
        <w:tc>
          <w:tcPr>
            <w:tcW w:w="120" w:type="dxa"/>
            <w:vAlign w:val="bottom"/>
          </w:tcPr>
          <w:p>
            <w:pPr>
              <w:spacing w:after="0"/>
              <w:rPr>
                <w:sz w:val="19"/>
                <w:szCs w:val="19"/>
                <w:color w:val="auto"/>
              </w:rPr>
            </w:pPr>
          </w:p>
        </w:tc>
        <w:tc>
          <w:tcPr>
            <w:tcW w:w="158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Changes in fair</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values</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46,691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(129)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63,158</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w w:val="93"/>
              </w:rPr>
              <w:t>109,720</w:t>
            </w:r>
          </w:p>
        </w:tc>
      </w:tr>
      <w:tr>
        <w:trPr>
          <w:trHeight w:val="222"/>
        </w:trPr>
        <w:tc>
          <w:tcPr>
            <w:tcW w:w="120" w:type="dxa"/>
            <w:vAlign w:val="bottom"/>
          </w:tcPr>
          <w:p>
            <w:pPr>
              <w:spacing w:after="0"/>
              <w:rPr>
                <w:sz w:val="19"/>
                <w:szCs w:val="19"/>
                <w:color w:val="auto"/>
              </w:rPr>
            </w:pPr>
          </w:p>
        </w:tc>
        <w:tc>
          <w:tcPr>
            <w:tcW w:w="1580" w:type="dxa"/>
            <w:vAlign w:val="bottom"/>
            <w:gridSpan w:val="2"/>
          </w:tcPr>
          <w:p>
            <w:pPr>
              <w:spacing w:after="0" w:line="222" w:lineRule="exact"/>
              <w:rPr>
                <w:sz w:val="20"/>
                <w:szCs w:val="20"/>
                <w:color w:val="auto"/>
              </w:rPr>
            </w:pPr>
            <w:r>
              <w:rPr>
                <w:rFonts w:ascii="Arial" w:cs="Arial" w:eastAsia="Arial" w:hAnsi="Arial"/>
                <w:sz w:val="22"/>
                <w:szCs w:val="22"/>
                <w:color w:val="auto"/>
              </w:rPr>
              <w:t>Changes in</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158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foreign</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22"/>
                <w:szCs w:val="22"/>
                <w:color w:val="auto"/>
              </w:rPr>
              <w:t>exchange</w:t>
            </w:r>
          </w:p>
        </w:tc>
        <w:tc>
          <w:tcPr>
            <w:tcW w:w="1440" w:type="dxa"/>
            <w:vAlign w:val="bottom"/>
            <w:gridSpan w:val="2"/>
          </w:tcPr>
          <w:p>
            <w:pPr>
              <w:ind w:left="920"/>
              <w:spacing w:after="0"/>
              <w:rPr>
                <w:sz w:val="20"/>
                <w:szCs w:val="20"/>
                <w:color w:val="auto"/>
              </w:rPr>
            </w:pPr>
            <w:r>
              <w:rPr>
                <w:rFonts w:ascii="Arial" w:cs="Arial" w:eastAsia="Arial" w:hAnsi="Arial"/>
                <w:sz w:val="22"/>
                <w:szCs w:val="22"/>
                <w:color w:val="auto"/>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438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440" w:type="dxa"/>
            <w:vAlign w:val="bottom"/>
            <w:gridSpan w:val="2"/>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22"/>
                <w:szCs w:val="22"/>
                <w:color w:val="auto"/>
              </w:rPr>
              <w:t>438</w:t>
            </w:r>
          </w:p>
        </w:tc>
      </w:tr>
      <w:tr>
        <w:trPr>
          <w:trHeight w:val="222"/>
        </w:trPr>
        <w:tc>
          <w:tcPr>
            <w:tcW w:w="120" w:type="dxa"/>
            <w:vAlign w:val="bottom"/>
          </w:tcPr>
          <w:p>
            <w:pPr>
              <w:spacing w:after="0"/>
              <w:rPr>
                <w:sz w:val="19"/>
                <w:szCs w:val="19"/>
                <w:color w:val="auto"/>
              </w:rPr>
            </w:pPr>
          </w:p>
        </w:tc>
        <w:tc>
          <w:tcPr>
            <w:tcW w:w="158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Reclassified to</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equity</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(88,345)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(88,345)</w:t>
            </w:r>
          </w:p>
        </w:tc>
      </w:tr>
      <w:tr>
        <w:trPr>
          <w:trHeight w:val="223"/>
        </w:trPr>
        <w:tc>
          <w:tcPr>
            <w:tcW w:w="120" w:type="dxa"/>
            <w:vAlign w:val="bottom"/>
          </w:tcPr>
          <w:p>
            <w:pPr>
              <w:spacing w:after="0"/>
              <w:rPr>
                <w:sz w:val="19"/>
                <w:szCs w:val="19"/>
                <w:color w:val="auto"/>
              </w:rPr>
            </w:pPr>
          </w:p>
        </w:tc>
        <w:tc>
          <w:tcPr>
            <w:tcW w:w="1580" w:type="dxa"/>
            <w:vAlign w:val="bottom"/>
            <w:gridSpan w:val="2"/>
          </w:tcPr>
          <w:p>
            <w:pPr>
              <w:spacing w:after="0" w:line="223" w:lineRule="exact"/>
              <w:rPr>
                <w:sz w:val="20"/>
                <w:szCs w:val="20"/>
                <w:color w:val="auto"/>
              </w:rPr>
            </w:pPr>
            <w:r>
              <w:rPr>
                <w:rFonts w:ascii="Arial" w:cs="Arial" w:eastAsia="Arial" w:hAnsi="Arial"/>
                <w:sz w:val="22"/>
                <w:szCs w:val="22"/>
                <w:b w:val="1"/>
                <w:bCs w:val="1"/>
                <w:color w:val="auto"/>
              </w:rPr>
              <w:t>Carrying value</w:t>
            </w:r>
          </w:p>
        </w:tc>
        <w:tc>
          <w:tcPr>
            <w:tcW w:w="1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1580" w:type="dxa"/>
            <w:vAlign w:val="bottom"/>
            <w:gridSpan w:val="2"/>
          </w:tcPr>
          <w:p>
            <w:pPr>
              <w:ind w:left="220"/>
              <w:spacing w:after="0" w:line="243" w:lineRule="exact"/>
              <w:rPr>
                <w:sz w:val="20"/>
                <w:szCs w:val="20"/>
                <w:color w:val="auto"/>
              </w:rPr>
            </w:pPr>
            <w:r>
              <w:rPr>
                <w:rFonts w:ascii="Arial" w:cs="Arial" w:eastAsia="Arial" w:hAnsi="Arial"/>
                <w:sz w:val="22"/>
                <w:szCs w:val="22"/>
                <w:b w:val="1"/>
                <w:bCs w:val="1"/>
                <w:color w:val="auto"/>
              </w:rPr>
              <w:t>at</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580" w:type="dxa"/>
            <w:vAlign w:val="bottom"/>
            <w:gridSpan w:val="2"/>
          </w:tcPr>
          <w:p>
            <w:pPr>
              <w:ind w:left="220"/>
              <w:spacing w:after="0" w:line="243" w:lineRule="exact"/>
              <w:rPr>
                <w:sz w:val="20"/>
                <w:szCs w:val="20"/>
                <w:color w:val="auto"/>
              </w:rPr>
            </w:pPr>
            <w:r>
              <w:rPr>
                <w:rFonts w:ascii="Arial" w:cs="Arial" w:eastAsia="Arial" w:hAnsi="Arial"/>
                <w:sz w:val="22"/>
                <w:szCs w:val="22"/>
                <w:b w:val="1"/>
                <w:bCs w:val="1"/>
                <w:color w:val="auto"/>
                <w:w w:val="93"/>
              </w:rPr>
              <w:t>December 31,</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0"/>
        </w:trPr>
        <w:tc>
          <w:tcPr>
            <w:tcW w:w="1360" w:type="dxa"/>
            <w:vAlign w:val="bottom"/>
            <w:gridSpan w:val="2"/>
          </w:tcPr>
          <w:p>
            <w:pPr>
              <w:ind w:left="340"/>
              <w:spacing w:after="0"/>
              <w:rPr>
                <w:sz w:val="20"/>
                <w:szCs w:val="20"/>
                <w:color w:val="auto"/>
              </w:rPr>
            </w:pPr>
            <w:r>
              <w:rPr>
                <w:rFonts w:ascii="Arial" w:cs="Arial" w:eastAsia="Arial" w:hAnsi="Arial"/>
                <w:sz w:val="22"/>
                <w:szCs w:val="22"/>
                <w:b w:val="1"/>
                <w:bCs w:val="1"/>
                <w:color w:val="auto"/>
              </w:rPr>
              <w:t>2020</w:t>
            </w:r>
          </w:p>
        </w:tc>
        <w:tc>
          <w:tcPr>
            <w:tcW w:w="340" w:type="dxa"/>
            <w:vAlign w:val="bottom"/>
          </w:tcPr>
          <w:p>
            <w:pPr>
              <w:spacing w:after="0"/>
              <w:rPr>
                <w:sz w:val="23"/>
                <w:szCs w:val="23"/>
                <w:color w:val="auto"/>
              </w:rPr>
            </w:pPr>
          </w:p>
        </w:tc>
        <w:tc>
          <w:tcPr>
            <w:tcW w:w="1440" w:type="dxa"/>
            <w:vAlign w:val="bottom"/>
            <w:gridSpan w:val="2"/>
          </w:tcPr>
          <w:p>
            <w:pPr>
              <w:ind w:left="920"/>
              <w:spacing w:after="0"/>
              <w:rPr>
                <w:sz w:val="20"/>
                <w:szCs w:val="20"/>
                <w:color w:val="auto"/>
              </w:rPr>
            </w:pPr>
            <w:r>
              <w:rPr>
                <w:rFonts w:ascii="Arial" w:cs="Arial" w:eastAsia="Arial" w:hAnsi="Arial"/>
                <w:sz w:val="22"/>
                <w:szCs w:val="22"/>
                <w:b w:val="1"/>
                <w:bCs w:val="1"/>
                <w:color w:val="auto"/>
              </w:rPr>
              <w:t>—</w:t>
            </w:r>
          </w:p>
        </w:tc>
        <w:tc>
          <w:tcPr>
            <w:tcW w:w="720" w:type="dxa"/>
            <w:vAlign w:val="bottom"/>
          </w:tcPr>
          <w:p>
            <w:pPr>
              <w:jc w:val="right"/>
              <w:spacing w:after="0"/>
              <w:rPr>
                <w:sz w:val="20"/>
                <w:szCs w:val="20"/>
                <w:color w:val="auto"/>
              </w:rPr>
            </w:pPr>
            <w:r>
              <w:rPr>
                <w:rFonts w:ascii="Arial" w:cs="Arial" w:eastAsia="Arial" w:hAnsi="Arial"/>
                <w:sz w:val="22"/>
                <w:szCs w:val="22"/>
                <w:b w:val="1"/>
                <w:bCs w:val="1"/>
                <w:color w:val="auto"/>
              </w:rPr>
              <w:t>1,794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3,196</w:t>
            </w:r>
          </w:p>
        </w:tc>
        <w:tc>
          <w:tcPr>
            <w:tcW w:w="100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50,775</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1,525</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2"/>
                <w:szCs w:val="22"/>
                <w:b w:val="1"/>
                <w:bCs w:val="1"/>
                <w:color w:val="auto"/>
              </w:rPr>
              <w:t>12,946</w:t>
            </w:r>
          </w:p>
        </w:tc>
        <w:tc>
          <w:tcPr>
            <w:tcW w:w="74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62</w:t>
            </w:r>
          </w:p>
        </w:tc>
        <w:tc>
          <w:tcPr>
            <w:tcW w:w="90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70,298</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1580" w:type="dxa"/>
            <w:vAlign w:val="bottom"/>
            <w:gridSpan w:val="2"/>
            <w:shd w:val="clear" w:color="auto" w:fill="CCEEFF"/>
          </w:tcPr>
          <w:p>
            <w:pPr>
              <w:spacing w:after="0" w:line="216" w:lineRule="exact"/>
              <w:rPr>
                <w:sz w:val="20"/>
                <w:szCs w:val="20"/>
                <w:color w:val="auto"/>
              </w:rPr>
            </w:pPr>
            <w:r>
              <w:rPr>
                <w:rFonts w:ascii="Arial" w:cs="Arial" w:eastAsia="Arial" w:hAnsi="Arial"/>
                <w:sz w:val="22"/>
                <w:szCs w:val="22"/>
                <w:color w:val="auto"/>
              </w:rPr>
              <w:t>Financing cash</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flows</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22"/>
                <w:szCs w:val="22"/>
                <w:color w:val="auto"/>
              </w:rPr>
              <w:t>(692)</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(692)</w:t>
            </w:r>
          </w:p>
        </w:tc>
      </w:tr>
      <w:tr>
        <w:trPr>
          <w:trHeight w:val="222"/>
        </w:trPr>
        <w:tc>
          <w:tcPr>
            <w:tcW w:w="120" w:type="dxa"/>
            <w:vAlign w:val="bottom"/>
          </w:tcPr>
          <w:p>
            <w:pPr>
              <w:spacing w:after="0"/>
              <w:rPr>
                <w:sz w:val="19"/>
                <w:szCs w:val="19"/>
                <w:color w:val="auto"/>
              </w:rPr>
            </w:pPr>
          </w:p>
        </w:tc>
        <w:tc>
          <w:tcPr>
            <w:tcW w:w="1580" w:type="dxa"/>
            <w:vAlign w:val="bottom"/>
            <w:gridSpan w:val="2"/>
          </w:tcPr>
          <w:p>
            <w:pPr>
              <w:spacing w:after="0" w:line="222" w:lineRule="exact"/>
              <w:rPr>
                <w:sz w:val="20"/>
                <w:szCs w:val="20"/>
                <w:color w:val="auto"/>
              </w:rPr>
            </w:pPr>
            <w:r>
              <w:rPr>
                <w:rFonts w:ascii="Arial" w:cs="Arial" w:eastAsia="Arial" w:hAnsi="Arial"/>
                <w:sz w:val="22"/>
                <w:szCs w:val="22"/>
                <w:color w:val="auto"/>
              </w:rPr>
              <w:t>Non-cash</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22"/>
                <w:szCs w:val="22"/>
                <w:color w:val="auto"/>
              </w:rPr>
              <w:t>changes</w:t>
            </w: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22"/>
        </w:trPr>
        <w:tc>
          <w:tcPr>
            <w:tcW w:w="120" w:type="dxa"/>
            <w:vAlign w:val="bottom"/>
          </w:tcPr>
          <w:p>
            <w:pPr>
              <w:spacing w:after="0"/>
              <w:rPr>
                <w:sz w:val="19"/>
                <w:szCs w:val="19"/>
                <w:color w:val="auto"/>
              </w:rPr>
            </w:pPr>
          </w:p>
        </w:tc>
        <w:tc>
          <w:tcPr>
            <w:tcW w:w="158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Settled during</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the year</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(2,400)</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(5,307)</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(7,707)</w:t>
            </w:r>
          </w:p>
        </w:tc>
      </w:tr>
      <w:tr>
        <w:trPr>
          <w:trHeight w:val="243"/>
        </w:trPr>
        <w:tc>
          <w:tcPr>
            <w:tcW w:w="120" w:type="dxa"/>
            <w:vAlign w:val="bottom"/>
          </w:tcPr>
          <w:p>
            <w:pPr>
              <w:spacing w:after="0"/>
              <w:rPr>
                <w:sz w:val="21"/>
                <w:szCs w:val="21"/>
                <w:color w:val="auto"/>
              </w:rPr>
            </w:pPr>
          </w:p>
        </w:tc>
        <w:tc>
          <w:tcPr>
            <w:tcW w:w="1580" w:type="dxa"/>
            <w:vAlign w:val="bottom"/>
            <w:gridSpan w:val="2"/>
          </w:tcPr>
          <w:p>
            <w:pPr>
              <w:spacing w:after="0" w:line="243" w:lineRule="exact"/>
              <w:rPr>
                <w:sz w:val="20"/>
                <w:szCs w:val="20"/>
                <w:color w:val="auto"/>
              </w:rPr>
            </w:pPr>
            <w:r>
              <w:rPr>
                <w:rFonts w:ascii="Arial" w:cs="Arial" w:eastAsia="Arial" w:hAnsi="Arial"/>
                <w:sz w:val="22"/>
                <w:szCs w:val="22"/>
                <w:color w:val="auto"/>
                <w:w w:val="95"/>
              </w:rPr>
              <w:t>Interest expense</w:t>
            </w:r>
          </w:p>
        </w:tc>
        <w:tc>
          <w:tcPr>
            <w:tcW w:w="1440" w:type="dxa"/>
            <w:vAlign w:val="bottom"/>
            <w:gridSpan w:val="2"/>
          </w:tcPr>
          <w:p>
            <w:pPr>
              <w:ind w:left="92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w:t>
            </w:r>
          </w:p>
        </w:tc>
        <w:tc>
          <w:tcPr>
            <w:tcW w:w="960" w:type="dxa"/>
            <w:vAlign w:val="bottom"/>
            <w:gridSpan w:val="2"/>
          </w:tcPr>
          <w:p>
            <w:pPr>
              <w:ind w:left="480"/>
              <w:spacing w:after="0" w:line="243" w:lineRule="exact"/>
              <w:rPr>
                <w:sz w:val="20"/>
                <w:szCs w:val="20"/>
                <w:color w:val="auto"/>
              </w:rPr>
            </w:pPr>
            <w:r>
              <w:rPr>
                <w:rFonts w:ascii="Arial" w:cs="Arial" w:eastAsia="Arial" w:hAnsi="Arial"/>
                <w:sz w:val="22"/>
                <w:szCs w:val="22"/>
                <w:color w:val="auto"/>
              </w:rPr>
              <w:t>575</w:t>
            </w:r>
          </w:p>
        </w:tc>
        <w:tc>
          <w:tcPr>
            <w:tcW w:w="10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w:t>
            </w:r>
          </w:p>
        </w:tc>
        <w:tc>
          <w:tcPr>
            <w:tcW w:w="1260" w:type="dxa"/>
            <w:vAlign w:val="bottom"/>
          </w:tcPr>
          <w:p>
            <w:pPr>
              <w:ind w:left="940"/>
              <w:spacing w:after="0" w:line="243" w:lineRule="exact"/>
              <w:rPr>
                <w:sz w:val="20"/>
                <w:szCs w:val="20"/>
                <w:color w:val="auto"/>
              </w:rPr>
            </w:pPr>
            <w:r>
              <w:rPr>
                <w:rFonts w:ascii="Arial" w:cs="Arial" w:eastAsia="Arial" w:hAnsi="Arial"/>
                <w:sz w:val="22"/>
                <w:szCs w:val="22"/>
                <w:color w:val="auto"/>
                <w:w w:val="81"/>
              </w:rPr>
              <w:t>206</w:t>
            </w:r>
          </w:p>
        </w:tc>
        <w:tc>
          <w:tcPr>
            <w:tcW w:w="180" w:type="dxa"/>
            <w:vAlign w:val="bottom"/>
          </w:tcPr>
          <w:p>
            <w:pPr>
              <w:spacing w:after="0"/>
              <w:rPr>
                <w:sz w:val="21"/>
                <w:szCs w:val="21"/>
                <w:color w:val="auto"/>
              </w:rPr>
            </w:pPr>
          </w:p>
        </w:tc>
        <w:tc>
          <w:tcPr>
            <w:tcW w:w="116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2,974</w:t>
            </w:r>
          </w:p>
        </w:tc>
        <w:tc>
          <w:tcPr>
            <w:tcW w:w="7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18</w:t>
            </w:r>
          </w:p>
        </w:tc>
        <w:tc>
          <w:tcPr>
            <w:tcW w:w="9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4,003</w:t>
            </w:r>
          </w:p>
        </w:tc>
      </w:tr>
      <w:tr>
        <w:trPr>
          <w:trHeight w:val="243"/>
        </w:trPr>
        <w:tc>
          <w:tcPr>
            <w:tcW w:w="120" w:type="dxa"/>
            <w:vAlign w:val="bottom"/>
          </w:tcPr>
          <w:p>
            <w:pPr>
              <w:spacing w:after="0"/>
              <w:rPr>
                <w:sz w:val="21"/>
                <w:szCs w:val="21"/>
                <w:color w:val="auto"/>
              </w:rPr>
            </w:pPr>
          </w:p>
        </w:tc>
        <w:tc>
          <w:tcPr>
            <w:tcW w:w="158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Lease addition</w:t>
            </w:r>
          </w:p>
        </w:tc>
        <w:tc>
          <w:tcPr>
            <w:tcW w:w="1440" w:type="dxa"/>
            <w:vAlign w:val="bottom"/>
            <w:gridSpan w:val="2"/>
            <w:shd w:val="clear" w:color="auto" w:fill="CCEEFF"/>
          </w:tcPr>
          <w:p>
            <w:pPr>
              <w:ind w:left="92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910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ind w:left="480"/>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color w:val="auto"/>
              </w:rPr>
              <w:t>—</w:t>
            </w:r>
          </w:p>
        </w:tc>
        <w:tc>
          <w:tcPr>
            <w:tcW w:w="1440" w:type="dxa"/>
            <w:vAlign w:val="bottom"/>
            <w:gridSpan w:val="2"/>
            <w:shd w:val="clear" w:color="auto" w:fill="CCEEFF"/>
          </w:tcPr>
          <w:p>
            <w:pPr>
              <w:ind w:left="940"/>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300"/>
              <w:spacing w:after="0" w:line="243" w:lineRule="exact"/>
              <w:rPr>
                <w:sz w:val="20"/>
                <w:szCs w:val="20"/>
                <w:color w:val="auto"/>
              </w:rPr>
            </w:pPr>
            <w:r>
              <w:rPr>
                <w:rFonts w:ascii="Arial" w:cs="Arial" w:eastAsia="Arial" w:hAnsi="Arial"/>
                <w:sz w:val="22"/>
                <w:szCs w:val="22"/>
                <w:color w:val="auto"/>
              </w:rPr>
              <w:t>—</w:t>
            </w:r>
          </w:p>
        </w:tc>
        <w:tc>
          <w:tcPr>
            <w:tcW w:w="74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910</w:t>
            </w:r>
          </w:p>
        </w:tc>
      </w:tr>
      <w:tr>
        <w:trPr>
          <w:trHeight w:val="222"/>
        </w:trPr>
        <w:tc>
          <w:tcPr>
            <w:tcW w:w="120" w:type="dxa"/>
            <w:vAlign w:val="bottom"/>
          </w:tcPr>
          <w:p>
            <w:pPr>
              <w:spacing w:after="0"/>
              <w:rPr>
                <w:sz w:val="19"/>
                <w:szCs w:val="19"/>
                <w:color w:val="auto"/>
              </w:rPr>
            </w:pPr>
          </w:p>
        </w:tc>
        <w:tc>
          <w:tcPr>
            <w:tcW w:w="1580" w:type="dxa"/>
            <w:vAlign w:val="bottom"/>
            <w:gridSpan w:val="2"/>
          </w:tcPr>
          <w:p>
            <w:pPr>
              <w:spacing w:after="0" w:line="222" w:lineRule="exact"/>
              <w:rPr>
                <w:sz w:val="20"/>
                <w:szCs w:val="20"/>
                <w:color w:val="auto"/>
              </w:rPr>
            </w:pPr>
            <w:r>
              <w:rPr>
                <w:rFonts w:ascii="Arial" w:cs="Arial" w:eastAsia="Arial" w:hAnsi="Arial"/>
                <w:sz w:val="22"/>
                <w:szCs w:val="22"/>
                <w:color w:val="auto"/>
              </w:rPr>
              <w:t>Lease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22"/>
                <w:szCs w:val="22"/>
                <w:color w:val="auto"/>
              </w:rPr>
              <w:t>modification</w:t>
            </w:r>
          </w:p>
        </w:tc>
        <w:tc>
          <w:tcPr>
            <w:tcW w:w="1440" w:type="dxa"/>
            <w:vAlign w:val="bottom"/>
            <w:gridSpan w:val="2"/>
          </w:tcPr>
          <w:p>
            <w:pPr>
              <w:ind w:left="920"/>
              <w:spacing w:after="0"/>
              <w:rPr>
                <w:sz w:val="20"/>
                <w:szCs w:val="20"/>
                <w:color w:val="auto"/>
              </w:rPr>
            </w:pPr>
            <w:r>
              <w:rPr>
                <w:rFonts w:ascii="Arial" w:cs="Arial" w:eastAsia="Arial" w:hAnsi="Arial"/>
                <w:sz w:val="22"/>
                <w:szCs w:val="22"/>
                <w:color w:val="auto"/>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163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440" w:type="dxa"/>
            <w:vAlign w:val="bottom"/>
            <w:gridSpan w:val="2"/>
          </w:tcPr>
          <w:p>
            <w:pPr>
              <w:ind w:left="940"/>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22"/>
                <w:szCs w:val="22"/>
                <w:color w:val="auto"/>
              </w:rPr>
              <w:t>163</w:t>
            </w:r>
          </w:p>
        </w:tc>
      </w:tr>
      <w:tr>
        <w:trPr>
          <w:trHeight w:val="222"/>
        </w:trPr>
        <w:tc>
          <w:tcPr>
            <w:tcW w:w="120" w:type="dxa"/>
            <w:vAlign w:val="bottom"/>
          </w:tcPr>
          <w:p>
            <w:pPr>
              <w:spacing w:after="0"/>
              <w:rPr>
                <w:sz w:val="19"/>
                <w:szCs w:val="19"/>
                <w:color w:val="auto"/>
              </w:rPr>
            </w:pPr>
          </w:p>
        </w:tc>
        <w:tc>
          <w:tcPr>
            <w:tcW w:w="158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Changes in fair</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4"/>
        </w:trPr>
        <w:tc>
          <w:tcPr>
            <w:tcW w:w="120" w:type="dxa"/>
            <w:vAlign w:val="bottom"/>
          </w:tcPr>
          <w:p>
            <w:pPr>
              <w:spacing w:after="0"/>
              <w:rPr>
                <w:sz w:val="22"/>
                <w:szCs w:val="22"/>
                <w:color w:val="auto"/>
              </w:rPr>
            </w:pPr>
          </w:p>
        </w:tc>
        <w:tc>
          <w:tcPr>
            <w:tcW w:w="158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values</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22"/>
                <w:szCs w:val="22"/>
                <w:color w:val="auto"/>
              </w:rPr>
              <w:t>(40,039)</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2,373</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(37,666)</w:t>
            </w:r>
          </w:p>
        </w:tc>
      </w:tr>
      <w:tr>
        <w:trPr>
          <w:trHeight w:val="222"/>
        </w:trPr>
        <w:tc>
          <w:tcPr>
            <w:tcW w:w="120" w:type="dxa"/>
            <w:vAlign w:val="bottom"/>
          </w:tcPr>
          <w:p>
            <w:pPr>
              <w:spacing w:after="0"/>
              <w:rPr>
                <w:sz w:val="19"/>
                <w:szCs w:val="19"/>
                <w:color w:val="auto"/>
              </w:rPr>
            </w:pPr>
          </w:p>
        </w:tc>
        <w:tc>
          <w:tcPr>
            <w:tcW w:w="1580" w:type="dxa"/>
            <w:vAlign w:val="bottom"/>
            <w:gridSpan w:val="2"/>
          </w:tcPr>
          <w:p>
            <w:pPr>
              <w:spacing w:after="0" w:line="222" w:lineRule="exact"/>
              <w:rPr>
                <w:sz w:val="20"/>
                <w:szCs w:val="20"/>
                <w:color w:val="auto"/>
              </w:rPr>
            </w:pPr>
            <w:r>
              <w:rPr>
                <w:rFonts w:ascii="Arial" w:cs="Arial" w:eastAsia="Arial" w:hAnsi="Arial"/>
                <w:sz w:val="22"/>
                <w:szCs w:val="22"/>
                <w:color w:val="auto"/>
              </w:rPr>
              <w:t>Changes in</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158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foreign</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1"/>
        </w:trPr>
        <w:tc>
          <w:tcPr>
            <w:tcW w:w="120" w:type="dxa"/>
            <w:vAlign w:val="bottom"/>
          </w:tcPr>
          <w:p>
            <w:pPr>
              <w:spacing w:after="0"/>
              <w:rPr>
                <w:sz w:val="23"/>
                <w:szCs w:val="23"/>
                <w:color w:val="auto"/>
              </w:rPr>
            </w:pPr>
          </w:p>
        </w:tc>
        <w:tc>
          <w:tcPr>
            <w:tcW w:w="1580" w:type="dxa"/>
            <w:vAlign w:val="bottom"/>
            <w:gridSpan w:val="2"/>
          </w:tcPr>
          <w:p>
            <w:pPr>
              <w:ind w:left="220"/>
              <w:spacing w:after="0"/>
              <w:rPr>
                <w:sz w:val="20"/>
                <w:szCs w:val="20"/>
                <w:color w:val="auto"/>
              </w:rPr>
            </w:pPr>
            <w:r>
              <w:rPr>
                <w:rFonts w:ascii="Arial" w:cs="Arial" w:eastAsia="Arial" w:hAnsi="Arial"/>
                <w:sz w:val="22"/>
                <w:szCs w:val="22"/>
                <w:color w:val="auto"/>
              </w:rPr>
              <w:t>exchange</w:t>
            </w:r>
          </w:p>
        </w:tc>
        <w:tc>
          <w:tcPr>
            <w:tcW w:w="1440" w:type="dxa"/>
            <w:vAlign w:val="bottom"/>
            <w:gridSpan w:val="2"/>
          </w:tcPr>
          <w:p>
            <w:pPr>
              <w:ind w:left="920"/>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(29)</w:t>
            </w:r>
          </w:p>
        </w:tc>
        <w:tc>
          <w:tcPr>
            <w:tcW w:w="10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960" w:type="dxa"/>
            <w:vAlign w:val="bottom"/>
            <w:gridSpan w:val="2"/>
          </w:tcPr>
          <w:p>
            <w:pPr>
              <w:ind w:left="480"/>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19</w:t>
            </w:r>
          </w:p>
        </w:tc>
        <w:tc>
          <w:tcPr>
            <w:tcW w:w="18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22"/>
                <w:szCs w:val="22"/>
                <w:color w:val="auto"/>
              </w:rPr>
              <w:t>(10)</w:t>
            </w:r>
          </w:p>
        </w:tc>
      </w:tr>
      <w:tr>
        <w:trPr>
          <w:trHeight w:val="216"/>
        </w:trPr>
        <w:tc>
          <w:tcPr>
            <w:tcW w:w="120" w:type="dxa"/>
            <w:vAlign w:val="bottom"/>
          </w:tcPr>
          <w:p>
            <w:pPr>
              <w:spacing w:after="0"/>
              <w:rPr>
                <w:sz w:val="18"/>
                <w:szCs w:val="18"/>
                <w:color w:val="auto"/>
              </w:rPr>
            </w:pPr>
          </w:p>
        </w:tc>
        <w:tc>
          <w:tcPr>
            <w:tcW w:w="1580" w:type="dxa"/>
            <w:vAlign w:val="bottom"/>
            <w:gridSpan w:val="2"/>
            <w:shd w:val="clear" w:color="auto" w:fill="CCEEFF"/>
          </w:tcPr>
          <w:p>
            <w:pPr>
              <w:spacing w:after="0" w:line="216" w:lineRule="exact"/>
              <w:rPr>
                <w:sz w:val="20"/>
                <w:szCs w:val="20"/>
                <w:color w:val="auto"/>
              </w:rPr>
            </w:pPr>
            <w:r>
              <w:rPr>
                <w:rFonts w:ascii="Arial" w:cs="Arial" w:eastAsia="Arial" w:hAnsi="Arial"/>
                <w:sz w:val="22"/>
                <w:szCs w:val="22"/>
                <w:b w:val="1"/>
                <w:bCs w:val="1"/>
                <w:color w:val="auto"/>
              </w:rPr>
              <w:t>Carrying value</w:t>
            </w: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3"/>
        </w:trPr>
        <w:tc>
          <w:tcPr>
            <w:tcW w:w="120" w:type="dxa"/>
            <w:vAlign w:val="bottom"/>
          </w:tcPr>
          <w:p>
            <w:pPr>
              <w:spacing w:after="0"/>
              <w:rPr>
                <w:sz w:val="21"/>
                <w:szCs w:val="21"/>
                <w:color w:val="auto"/>
              </w:rPr>
            </w:pPr>
          </w:p>
        </w:tc>
        <w:tc>
          <w:tcPr>
            <w:tcW w:w="1580" w:type="dxa"/>
            <w:vAlign w:val="bottom"/>
            <w:gridSpan w:val="2"/>
            <w:shd w:val="clear" w:color="auto" w:fill="CCEEFF"/>
          </w:tcPr>
          <w:p>
            <w:pPr>
              <w:ind w:left="220"/>
              <w:spacing w:after="0" w:line="243" w:lineRule="exact"/>
              <w:rPr>
                <w:sz w:val="20"/>
                <w:szCs w:val="20"/>
                <w:color w:val="auto"/>
              </w:rPr>
            </w:pPr>
            <w:r>
              <w:rPr>
                <w:rFonts w:ascii="Arial" w:cs="Arial" w:eastAsia="Arial" w:hAnsi="Arial"/>
                <w:sz w:val="22"/>
                <w:szCs w:val="22"/>
                <w:b w:val="1"/>
                <w:bCs w:val="1"/>
                <w:color w:val="auto"/>
              </w:rPr>
              <w:t>at</w:t>
            </w: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580" w:type="dxa"/>
            <w:vAlign w:val="bottom"/>
            <w:gridSpan w:val="2"/>
            <w:shd w:val="clear" w:color="auto" w:fill="CCEEFF"/>
          </w:tcPr>
          <w:p>
            <w:pPr>
              <w:ind w:left="220"/>
              <w:spacing w:after="0" w:line="243" w:lineRule="exact"/>
              <w:rPr>
                <w:sz w:val="20"/>
                <w:szCs w:val="20"/>
                <w:color w:val="auto"/>
              </w:rPr>
            </w:pPr>
            <w:r>
              <w:rPr>
                <w:rFonts w:ascii="Arial" w:cs="Arial" w:eastAsia="Arial" w:hAnsi="Arial"/>
                <w:sz w:val="22"/>
                <w:szCs w:val="22"/>
                <w:b w:val="1"/>
                <w:bCs w:val="1"/>
                <w:color w:val="auto"/>
                <w:w w:val="93"/>
              </w:rPr>
              <w:t>December 31,</w:t>
            </w: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22"/>
                <w:szCs w:val="22"/>
                <w:b w:val="1"/>
                <w:bCs w:val="1"/>
                <w:color w:val="auto"/>
              </w:rPr>
              <w:t>2021</w:t>
            </w:r>
          </w:p>
        </w:tc>
        <w:tc>
          <w:tcPr>
            <w:tcW w:w="34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22"/>
                <w:szCs w:val="22"/>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2,376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b w:val="1"/>
                <w:bCs w:val="1"/>
                <w:color w:val="auto"/>
              </w:rPr>
              <w:t>3,771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b w:val="1"/>
                <w:bCs w:val="1"/>
                <w:color w:val="auto"/>
              </w:rPr>
              <w:t>8,336</w:t>
            </w:r>
          </w:p>
        </w:tc>
        <w:tc>
          <w:tcPr>
            <w:tcW w:w="1260" w:type="dxa"/>
            <w:vAlign w:val="bottom"/>
            <w:shd w:val="clear" w:color="auto" w:fill="CCEEFF"/>
          </w:tcPr>
          <w:p>
            <w:pPr>
              <w:jc w:val="right"/>
              <w:spacing w:after="0"/>
              <w:rPr>
                <w:sz w:val="20"/>
                <w:szCs w:val="20"/>
                <w:color w:val="auto"/>
              </w:rPr>
            </w:pPr>
            <w:r>
              <w:rPr>
                <w:rFonts w:ascii="Arial" w:cs="Arial" w:eastAsia="Arial" w:hAnsi="Arial"/>
                <w:sz w:val="22"/>
                <w:szCs w:val="22"/>
                <w:b w:val="1"/>
                <w:bCs w:val="1"/>
                <w:color w:val="auto"/>
              </w:rPr>
              <w:t>4,123</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b w:val="1"/>
                <w:bCs w:val="1"/>
                <w:color w:val="auto"/>
              </w:rPr>
              <w:t>10,613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b w:val="1"/>
                <w:bCs w:val="1"/>
                <w:color w:val="auto"/>
              </w:rPr>
              <w:t>80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b w:val="1"/>
                <w:bCs w:val="1"/>
                <w:color w:val="auto"/>
              </w:rPr>
              <w:t>29,299</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right="4480" w:hanging="4"/>
        <w:spacing w:after="0" w:line="335" w:lineRule="auto"/>
        <w:tabs>
          <w:tab w:leader="none" w:pos="444"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Financial and capital risk management and fair value measurement </w:t>
      </w:r>
      <w:r>
        <w:rPr>
          <w:rFonts w:ascii="Arial" w:cs="Arial" w:eastAsia="Arial" w:hAnsi="Arial"/>
          <w:sz w:val="22"/>
          <w:szCs w:val="22"/>
          <w:i w:val="1"/>
          <w:iCs w:val="1"/>
          <w:color w:val="auto"/>
        </w:rPr>
        <w:t>Capital risk management</w:t>
      </w:r>
    </w:p>
    <w:p>
      <w:pPr>
        <w:spacing w:after="0" w:line="2"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22"/>
          <w:szCs w:val="22"/>
          <w:color w:val="auto"/>
        </w:rPr>
        <w:t>The Company’s objectives when managing capital are to safeguard the ability to continue as a going concern and ensure that sufficient capital is in place to fund the Company’s R&amp;D activities and operations. The Company’s principal methods of adjusting the capital available are through issuing new shares, licensing and/or collaboration agreements or arranging suitable debt financing. The Company’s share capital and share premium are disclosed in Note 22. The Company’s convertible loans are disclosed in Note 21. The Company monitors the availability of capital with regards to its committed and forecasted future expenditure on an ongoing basis.</w:t>
      </w:r>
    </w:p>
    <w:p>
      <w:pPr>
        <w:sectPr>
          <w:pgSz w:w="11900" w:h="16838" w:orient="portrait"/>
          <w:cols w:equalWidth="0" w:num="1">
            <w:col w:w="11160"/>
          </w:cols>
          <w:pgMar w:left="320" w:top="473" w:right="419" w:bottom="49" w:gutter="0" w:footer="0" w:header="0"/>
        </w:sectPr>
      </w:pPr>
    </w:p>
    <w:bookmarkStart w:id="212" w:name="page213"/>
    <w:bookmarkEnd w:id="212"/>
    <w:p>
      <w:pPr>
        <w:ind w:right="280" w:firstLine="551"/>
        <w:spacing w:after="0" w:line="251" w:lineRule="auto"/>
        <w:rPr>
          <w:sz w:val="20"/>
          <w:szCs w:val="20"/>
          <w:color w:val="auto"/>
        </w:rPr>
      </w:pPr>
      <w:r>
        <w:rPr>
          <w:rFonts w:ascii="Arial" w:cs="Arial" w:eastAsia="Arial" w:hAnsi="Arial"/>
          <w:sz w:val="22"/>
          <w:szCs w:val="22"/>
          <w:color w:val="auto"/>
        </w:rPr>
        <w:t>The Company has an Employee Benefit Trust which holds ADSs to satisfy exercises of options under the Company’s share option schemes (see Note 26).</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risk management objectives and policies</w:t>
      </w:r>
    </w:p>
    <w:p>
      <w:pPr>
        <w:spacing w:after="0" w:line="98" w:lineRule="exact"/>
        <w:rPr>
          <w:sz w:val="20"/>
          <w:szCs w:val="20"/>
          <w:color w:val="auto"/>
        </w:rPr>
      </w:pPr>
    </w:p>
    <w:p>
      <w:pPr>
        <w:ind w:firstLine="551"/>
        <w:spacing w:after="0" w:line="238" w:lineRule="auto"/>
        <w:rPr>
          <w:sz w:val="20"/>
          <w:szCs w:val="20"/>
          <w:color w:val="auto"/>
        </w:rPr>
      </w:pPr>
      <w:r>
        <w:rPr>
          <w:rFonts w:ascii="Arial" w:cs="Arial" w:eastAsia="Arial" w:hAnsi="Arial"/>
          <w:sz w:val="22"/>
          <w:szCs w:val="22"/>
          <w:color w:val="auto"/>
        </w:rPr>
        <w:t>The Company seeks to maintain a balance between equity capital and convertible debt to provide sufficient cash resources to execute the business plan. In addition, the Company maintains a balance between cash held on deposit and short-term investments in pound sterling and other currencies to reduce its exposure to foreign exchange fluctuations in respect of its planned expenditure.</w:t>
      </w:r>
    </w:p>
    <w:p>
      <w:pPr>
        <w:spacing w:after="0" w:line="185" w:lineRule="exact"/>
        <w:rPr>
          <w:sz w:val="20"/>
          <w:szCs w:val="20"/>
          <w:color w:val="auto"/>
        </w:rPr>
      </w:pPr>
    </w:p>
    <w:p>
      <w:pPr>
        <w:ind w:firstLine="551"/>
        <w:spacing w:after="0" w:line="328" w:lineRule="auto"/>
        <w:rPr>
          <w:sz w:val="20"/>
          <w:szCs w:val="20"/>
          <w:color w:val="auto"/>
        </w:rPr>
      </w:pPr>
      <w:r>
        <w:rPr>
          <w:rFonts w:ascii="Arial" w:cs="Arial" w:eastAsia="Arial" w:hAnsi="Arial"/>
          <w:sz w:val="19"/>
          <w:szCs w:val="19"/>
          <w:color w:val="auto"/>
        </w:rPr>
        <w:t>Company’s principal financial instruments comprise warrants, convertible loan notes and trade payables which arise directly from its operations. The Company has various financial assets, including receivables and cash and short-term deposits.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rate risk</w:t>
      </w:r>
    </w:p>
    <w:p>
      <w:pPr>
        <w:spacing w:after="0" w:line="98" w:lineRule="exact"/>
        <w:rPr>
          <w:sz w:val="20"/>
          <w:szCs w:val="20"/>
          <w:color w:val="auto"/>
        </w:rPr>
      </w:pPr>
    </w:p>
    <w:p>
      <w:pPr>
        <w:ind w:right="20" w:firstLine="551"/>
        <w:spacing w:after="0"/>
        <w:rPr>
          <w:sz w:val="20"/>
          <w:szCs w:val="20"/>
          <w:color w:val="auto"/>
        </w:rPr>
      </w:pPr>
      <w:r>
        <w:rPr>
          <w:rFonts w:ascii="Arial" w:cs="Arial" w:eastAsia="Arial" w:hAnsi="Arial"/>
          <w:sz w:val="22"/>
          <w:szCs w:val="22"/>
          <w:color w:val="auto"/>
        </w:rPr>
        <w:t>The Company’s policy in relation to interest rate risk is to monitor short and medium-term interest rates and to place cash on deposit for periods that optimize the amount of interest earned while maintaining access to sufficient funds to meet the cost of is operating activities and future research and development activities.</w:t>
      </w:r>
    </w:p>
    <w:p>
      <w:pPr>
        <w:spacing w:after="0" w:line="186" w:lineRule="exact"/>
        <w:rPr>
          <w:sz w:val="20"/>
          <w:szCs w:val="20"/>
          <w:color w:val="auto"/>
        </w:rPr>
      </w:pPr>
    </w:p>
    <w:p>
      <w:pPr>
        <w:ind w:right="580" w:firstLine="551"/>
        <w:spacing w:after="0" w:line="250" w:lineRule="auto"/>
        <w:rPr>
          <w:sz w:val="20"/>
          <w:szCs w:val="20"/>
          <w:color w:val="auto"/>
        </w:rPr>
      </w:pPr>
      <w:r>
        <w:rPr>
          <w:rFonts w:ascii="Arial" w:cs="Arial" w:eastAsia="Arial" w:hAnsi="Arial"/>
          <w:sz w:val="22"/>
          <w:szCs w:val="22"/>
          <w:color w:val="auto"/>
        </w:rPr>
        <w:t>The Company’s interest payable on convertible loan notes is fixed. Consequently, there is no material exposure to interest rate risk in respect of interest payable.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F-33</w:t>
      </w:r>
    </w:p>
    <w:p>
      <w:pPr>
        <w:sectPr>
          <w:pgSz w:w="11900" w:h="16838" w:orient="portrait"/>
          <w:cols w:equalWidth="0" w:num="1">
            <w:col w:w="10960"/>
          </w:cols>
          <w:pgMar w:left="440" w:top="118"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Credit risk</w:t>
      </w:r>
    </w:p>
    <w:p>
      <w:pPr>
        <w:spacing w:after="0" w:line="98" w:lineRule="exact"/>
        <w:rPr>
          <w:sz w:val="20"/>
          <w:szCs w:val="20"/>
          <w:color w:val="auto"/>
        </w:rPr>
      </w:pPr>
    </w:p>
    <w:p>
      <w:pPr>
        <w:ind w:left="120" w:right="80" w:firstLine="551"/>
        <w:spacing w:after="0" w:line="249" w:lineRule="auto"/>
        <w:rPr>
          <w:sz w:val="20"/>
          <w:szCs w:val="20"/>
          <w:color w:val="auto"/>
        </w:rPr>
      </w:pPr>
      <w:r>
        <w:rPr>
          <w:rFonts w:ascii="Arial" w:cs="Arial" w:eastAsia="Arial" w:hAnsi="Arial"/>
          <w:sz w:val="21"/>
          <w:szCs w:val="21"/>
          <w:color w:val="auto"/>
        </w:rPr>
        <w:t>The Company is dependent on a number of third parties for the delivery of its programs and, where required, pays upfront deposits and fees in advance of the delivery of services. The Company considers all of its material counterparties to be creditworthy and the credit risk for each of its major counterparties to be low, but continues to assess credit risk as part of its management of these third-party relationships. The Company’s maximum exposure to credit risk for the components of the balance sheet at December 31, 2021 are the carrying amounts.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Liquidity risk</w:t>
      </w:r>
    </w:p>
    <w:p>
      <w:pPr>
        <w:spacing w:after="0" w:line="9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22"/>
          <w:szCs w:val="22"/>
          <w:color w:val="auto"/>
        </w:rPr>
        <w:t>The Company’s policy is to maintain adequate cash reserves at highly rated banks and financial institutions and also seeks to invest in short-term deposits to achieve a competitive rate of return. The Company’s liquid resources are invested with regard to the timing of payments to be made in the ordinary course of business, while monitoring its funding requirements through preparation of short-term, mid-term and long-term forecasts.</w:t>
      </w:r>
    </w:p>
    <w:p>
      <w:pPr>
        <w:spacing w:after="0" w:line="185" w:lineRule="exact"/>
        <w:rPr>
          <w:sz w:val="20"/>
          <w:szCs w:val="20"/>
          <w:color w:val="auto"/>
        </w:rPr>
      </w:pPr>
    </w:p>
    <w:p>
      <w:pPr>
        <w:ind w:left="120" w:right="1180" w:firstLine="551"/>
        <w:spacing w:after="0" w:line="250" w:lineRule="auto"/>
        <w:rPr>
          <w:sz w:val="20"/>
          <w:szCs w:val="20"/>
          <w:color w:val="auto"/>
        </w:rPr>
      </w:pPr>
      <w:r>
        <w:rPr>
          <w:rFonts w:ascii="Arial" w:cs="Arial" w:eastAsia="Arial" w:hAnsi="Arial"/>
          <w:sz w:val="22"/>
          <w:szCs w:val="22"/>
          <w:color w:val="auto"/>
        </w:rPr>
        <w:t>The table below summarizes the maturity profile of the Company’s financial liabilities based on contractual undiscounted payments at December 31, 2021:</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4280" w:type="dxa"/>
            <w:vAlign w:val="bottom"/>
          </w:tcPr>
          <w:p>
            <w:pPr>
              <w:spacing w:after="0"/>
              <w:rPr>
                <w:sz w:val="23"/>
                <w:szCs w:val="23"/>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22"/>
                <w:szCs w:val="22"/>
                <w:b w:val="1"/>
                <w:bCs w:val="1"/>
                <w:color w:val="auto"/>
                <w:w w:val="90"/>
              </w:rPr>
              <w:t>Up to 1 year</w:t>
            </w:r>
          </w:p>
        </w:tc>
        <w:tc>
          <w:tcPr>
            <w:tcW w:w="1360" w:type="dxa"/>
            <w:vAlign w:val="bottom"/>
            <w:gridSpan w:val="2"/>
          </w:tcPr>
          <w:p>
            <w:pPr>
              <w:jc w:val="right"/>
              <w:ind w:right="520"/>
              <w:spacing w:after="0"/>
              <w:rPr>
                <w:sz w:val="20"/>
                <w:szCs w:val="20"/>
                <w:color w:val="auto"/>
              </w:rPr>
            </w:pPr>
            <w:r>
              <w:rPr>
                <w:rFonts w:ascii="Arial" w:cs="Arial" w:eastAsia="Arial" w:hAnsi="Arial"/>
                <w:sz w:val="22"/>
                <w:szCs w:val="22"/>
                <w:b w:val="1"/>
                <w:bCs w:val="1"/>
                <w:color w:val="auto"/>
                <w:w w:val="85"/>
              </w:rPr>
              <w:t>1-3 years</w:t>
            </w:r>
          </w:p>
        </w:tc>
        <w:tc>
          <w:tcPr>
            <w:tcW w:w="1360" w:type="dxa"/>
            <w:vAlign w:val="bottom"/>
            <w:gridSpan w:val="2"/>
          </w:tcPr>
          <w:p>
            <w:pPr>
              <w:jc w:val="center"/>
              <w:ind w:right="520"/>
              <w:spacing w:after="0"/>
              <w:rPr>
                <w:sz w:val="20"/>
                <w:szCs w:val="20"/>
                <w:color w:val="auto"/>
              </w:rPr>
            </w:pPr>
            <w:r>
              <w:rPr>
                <w:rFonts w:ascii="Arial" w:cs="Arial" w:eastAsia="Arial" w:hAnsi="Arial"/>
                <w:sz w:val="22"/>
                <w:szCs w:val="22"/>
                <w:b w:val="1"/>
                <w:bCs w:val="1"/>
                <w:color w:val="auto"/>
                <w:w w:val="88"/>
              </w:rPr>
              <w:t>3-5 years</w:t>
            </w:r>
          </w:p>
        </w:tc>
        <w:tc>
          <w:tcPr>
            <w:tcW w:w="1700" w:type="dxa"/>
            <w:vAlign w:val="bottom"/>
            <w:gridSpan w:val="2"/>
          </w:tcPr>
          <w:p>
            <w:pPr>
              <w:jc w:val="center"/>
              <w:ind w:right="520"/>
              <w:spacing w:after="0"/>
              <w:rPr>
                <w:sz w:val="20"/>
                <w:szCs w:val="20"/>
                <w:color w:val="auto"/>
              </w:rPr>
            </w:pPr>
            <w:r>
              <w:rPr>
                <w:rFonts w:ascii="Arial" w:cs="Arial" w:eastAsia="Arial" w:hAnsi="Arial"/>
                <w:sz w:val="22"/>
                <w:szCs w:val="22"/>
                <w:b w:val="1"/>
                <w:bCs w:val="1"/>
                <w:color w:val="auto"/>
                <w:w w:val="89"/>
              </w:rPr>
              <w:t>Over 5 years</w:t>
            </w:r>
          </w:p>
        </w:tc>
        <w:tc>
          <w:tcPr>
            <w:tcW w:w="660" w:type="dxa"/>
            <w:vAlign w:val="bottom"/>
            <w:gridSpan w:val="2"/>
          </w:tcPr>
          <w:p>
            <w:pPr>
              <w:ind w:left="60"/>
              <w:spacing w:after="0"/>
              <w:rPr>
                <w:sz w:val="20"/>
                <w:szCs w:val="20"/>
                <w:color w:val="auto"/>
              </w:rPr>
            </w:pPr>
            <w:r>
              <w:rPr>
                <w:rFonts w:ascii="Arial" w:cs="Arial" w:eastAsia="Arial" w:hAnsi="Arial"/>
                <w:sz w:val="22"/>
                <w:szCs w:val="22"/>
                <w:b w:val="1"/>
                <w:bCs w:val="1"/>
                <w:color w:val="auto"/>
              </w:rPr>
              <w:t>Total</w:t>
            </w:r>
          </w:p>
        </w:tc>
      </w:tr>
      <w:tr>
        <w:trPr>
          <w:trHeight w:val="237"/>
        </w:trPr>
        <w:tc>
          <w:tcPr>
            <w:tcW w:w="4280" w:type="dxa"/>
            <w:vAlign w:val="bottom"/>
          </w:tcPr>
          <w:p>
            <w:pPr>
              <w:spacing w:after="0"/>
              <w:rPr>
                <w:sz w:val="20"/>
                <w:szCs w:val="20"/>
                <w:color w:val="auto"/>
              </w:rPr>
            </w:pPr>
          </w:p>
        </w:tc>
        <w:tc>
          <w:tcPr>
            <w:tcW w:w="11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520" w:type="dxa"/>
            <w:vAlign w:val="bottom"/>
          </w:tcPr>
          <w:p>
            <w:pPr>
              <w:spacing w:after="0"/>
              <w:rPr>
                <w:sz w:val="20"/>
                <w:szCs w:val="20"/>
                <w:color w:val="auto"/>
              </w:rPr>
            </w:pPr>
          </w:p>
        </w:tc>
        <w:tc>
          <w:tcPr>
            <w:tcW w:w="840" w:type="dxa"/>
            <w:vAlign w:val="bottom"/>
            <w:tcBorders>
              <w:top w:val="single" w:sz="8" w:color="auto"/>
            </w:tcBorders>
          </w:tcPr>
          <w:p>
            <w:pPr>
              <w:jc w:val="right"/>
              <w:ind w:right="32"/>
              <w:spacing w:after="0" w:line="237" w:lineRule="exact"/>
              <w:rPr>
                <w:sz w:val="20"/>
                <w:szCs w:val="20"/>
                <w:color w:val="auto"/>
              </w:rPr>
            </w:pPr>
            <w:r>
              <w:rPr>
                <w:rFonts w:ascii="Arial" w:cs="Arial" w:eastAsia="Arial" w:hAnsi="Arial"/>
                <w:sz w:val="22"/>
                <w:szCs w:val="22"/>
                <w:b w:val="1"/>
                <w:bCs w:val="1"/>
                <w:color w:val="auto"/>
              </w:rPr>
              <w:t>£’000s</w:t>
            </w:r>
          </w:p>
        </w:tc>
        <w:tc>
          <w:tcPr>
            <w:tcW w:w="520" w:type="dxa"/>
            <w:vAlign w:val="bottom"/>
          </w:tcPr>
          <w:p>
            <w:pPr>
              <w:spacing w:after="0"/>
              <w:rPr>
                <w:sz w:val="20"/>
                <w:szCs w:val="20"/>
                <w:color w:val="auto"/>
              </w:rPr>
            </w:pPr>
          </w:p>
        </w:tc>
        <w:tc>
          <w:tcPr>
            <w:tcW w:w="8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520" w:type="dxa"/>
            <w:vAlign w:val="bottom"/>
          </w:tcPr>
          <w:p>
            <w:pPr>
              <w:spacing w:after="0"/>
              <w:rPr>
                <w:sz w:val="20"/>
                <w:szCs w:val="20"/>
                <w:color w:val="auto"/>
              </w:rPr>
            </w:pPr>
          </w:p>
        </w:tc>
        <w:tc>
          <w:tcPr>
            <w:tcW w:w="11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520" w:type="dxa"/>
            <w:vAlign w:val="bottom"/>
          </w:tcPr>
          <w:p>
            <w:pPr>
              <w:spacing w:after="0"/>
              <w:rPr>
                <w:sz w:val="20"/>
                <w:szCs w:val="20"/>
                <w:color w:val="auto"/>
              </w:rPr>
            </w:pPr>
          </w:p>
        </w:tc>
        <w:tc>
          <w:tcPr>
            <w:tcW w:w="6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60" w:type="dxa"/>
            <w:vAlign w:val="bottom"/>
          </w:tcPr>
          <w:p>
            <w:pPr>
              <w:spacing w:after="0"/>
              <w:rPr>
                <w:sz w:val="20"/>
                <w:szCs w:val="20"/>
                <w:color w:val="auto"/>
              </w:rPr>
            </w:pPr>
          </w:p>
        </w:tc>
      </w:tr>
      <w:tr>
        <w:trPr>
          <w:trHeight w:val="243"/>
        </w:trPr>
        <w:tc>
          <w:tcPr>
            <w:tcW w:w="42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Leases</w:t>
            </w:r>
          </w:p>
        </w:tc>
        <w:tc>
          <w:tcPr>
            <w:tcW w:w="1660" w:type="dxa"/>
            <w:vAlign w:val="bottom"/>
            <w:gridSpan w:val="2"/>
            <w:shd w:val="clear" w:color="auto" w:fill="CCEEFF"/>
          </w:tcPr>
          <w:p>
            <w:pPr>
              <w:jc w:val="right"/>
              <w:ind w:right="520"/>
              <w:spacing w:after="0" w:line="243" w:lineRule="exact"/>
              <w:rPr>
                <w:sz w:val="20"/>
                <w:szCs w:val="20"/>
                <w:color w:val="auto"/>
              </w:rPr>
            </w:pPr>
            <w:r>
              <w:rPr>
                <w:rFonts w:ascii="Arial" w:cs="Arial" w:eastAsia="Arial" w:hAnsi="Arial"/>
                <w:sz w:val="22"/>
                <w:szCs w:val="22"/>
                <w:color w:val="auto"/>
              </w:rPr>
              <w:t>781</w:t>
            </w:r>
          </w:p>
        </w:tc>
        <w:tc>
          <w:tcPr>
            <w:tcW w:w="1360" w:type="dxa"/>
            <w:vAlign w:val="bottom"/>
            <w:gridSpan w:val="2"/>
            <w:shd w:val="clear" w:color="auto" w:fill="CCEEFF"/>
          </w:tcPr>
          <w:p>
            <w:pPr>
              <w:jc w:val="right"/>
              <w:ind w:right="520"/>
              <w:spacing w:after="0" w:line="243" w:lineRule="exact"/>
              <w:rPr>
                <w:sz w:val="20"/>
                <w:szCs w:val="20"/>
                <w:color w:val="auto"/>
              </w:rPr>
            </w:pPr>
            <w:r>
              <w:rPr>
                <w:rFonts w:ascii="Arial" w:cs="Arial" w:eastAsia="Arial" w:hAnsi="Arial"/>
                <w:sz w:val="22"/>
                <w:szCs w:val="22"/>
                <w:color w:val="auto"/>
              </w:rPr>
              <w:t>1,222</w:t>
            </w:r>
          </w:p>
        </w:tc>
        <w:tc>
          <w:tcPr>
            <w:tcW w:w="840" w:type="dxa"/>
            <w:vAlign w:val="bottom"/>
            <w:shd w:val="clear" w:color="auto" w:fill="CCEEFF"/>
          </w:tcPr>
          <w:p>
            <w:pPr>
              <w:ind w:left="520"/>
              <w:spacing w:after="0" w:line="243" w:lineRule="exact"/>
              <w:rPr>
                <w:sz w:val="20"/>
                <w:szCs w:val="20"/>
                <w:color w:val="auto"/>
              </w:rPr>
            </w:pPr>
            <w:r>
              <w:rPr>
                <w:rFonts w:ascii="Arial" w:cs="Arial" w:eastAsia="Arial" w:hAnsi="Arial"/>
                <w:sz w:val="22"/>
                <w:szCs w:val="22"/>
                <w:color w:val="auto"/>
                <w:w w:val="81"/>
              </w:rPr>
              <w:t>835</w:t>
            </w:r>
          </w:p>
        </w:tc>
        <w:tc>
          <w:tcPr>
            <w:tcW w:w="5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860"/>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2,838</w:t>
            </w:r>
          </w:p>
        </w:tc>
      </w:tr>
      <w:tr>
        <w:trPr>
          <w:trHeight w:val="243"/>
        </w:trPr>
        <w:tc>
          <w:tcPr>
            <w:tcW w:w="4280" w:type="dxa"/>
            <w:vAlign w:val="bottom"/>
          </w:tcPr>
          <w:p>
            <w:pPr>
              <w:spacing w:after="0" w:line="243" w:lineRule="exact"/>
              <w:rPr>
                <w:sz w:val="20"/>
                <w:szCs w:val="20"/>
                <w:color w:val="auto"/>
              </w:rPr>
            </w:pPr>
            <w:r>
              <w:rPr>
                <w:rFonts w:ascii="Arial" w:cs="Arial" w:eastAsia="Arial" w:hAnsi="Arial"/>
                <w:sz w:val="22"/>
                <w:szCs w:val="22"/>
                <w:color w:val="auto"/>
              </w:rPr>
              <w:t>Trade and other payables</w:t>
            </w:r>
          </w:p>
        </w:tc>
        <w:tc>
          <w:tcPr>
            <w:tcW w:w="1660" w:type="dxa"/>
            <w:vAlign w:val="bottom"/>
            <w:gridSpan w:val="2"/>
          </w:tcPr>
          <w:p>
            <w:pPr>
              <w:jc w:val="right"/>
              <w:ind w:right="520"/>
              <w:spacing w:after="0" w:line="243" w:lineRule="exact"/>
              <w:rPr>
                <w:sz w:val="20"/>
                <w:szCs w:val="20"/>
                <w:color w:val="auto"/>
              </w:rPr>
            </w:pPr>
            <w:r>
              <w:rPr>
                <w:rFonts w:ascii="Arial" w:cs="Arial" w:eastAsia="Arial" w:hAnsi="Arial"/>
                <w:sz w:val="22"/>
                <w:szCs w:val="22"/>
                <w:color w:val="auto"/>
              </w:rPr>
              <w:t>2,499</w:t>
            </w:r>
          </w:p>
        </w:tc>
        <w:tc>
          <w:tcPr>
            <w:tcW w:w="1360" w:type="dxa"/>
            <w:vAlign w:val="bottom"/>
            <w:gridSpan w:val="2"/>
          </w:tcPr>
          <w:p>
            <w:pPr>
              <w:jc w:val="right"/>
              <w:ind w:right="640"/>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tcPr>
          <w:p>
            <w:pPr>
              <w:ind w:left="520"/>
              <w:spacing w:after="0" w:line="243" w:lineRule="exact"/>
              <w:rPr>
                <w:sz w:val="20"/>
                <w:szCs w:val="20"/>
                <w:color w:val="auto"/>
              </w:rPr>
            </w:pPr>
            <w:r>
              <w:rPr>
                <w:rFonts w:ascii="Arial" w:cs="Arial" w:eastAsia="Arial" w:hAnsi="Arial"/>
                <w:sz w:val="22"/>
                <w:szCs w:val="22"/>
                <w:color w:val="auto"/>
              </w:rPr>
              <w:t>—</w:t>
            </w:r>
          </w:p>
        </w:tc>
        <w:tc>
          <w:tcPr>
            <w:tcW w:w="170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2,499</w:t>
            </w:r>
          </w:p>
        </w:tc>
      </w:tr>
      <w:tr>
        <w:trPr>
          <w:trHeight w:val="243"/>
        </w:trPr>
        <w:tc>
          <w:tcPr>
            <w:tcW w:w="42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Accruals</w:t>
            </w:r>
          </w:p>
        </w:tc>
        <w:tc>
          <w:tcPr>
            <w:tcW w:w="1660" w:type="dxa"/>
            <w:vAlign w:val="bottom"/>
            <w:gridSpan w:val="2"/>
            <w:shd w:val="clear" w:color="auto" w:fill="CCEEFF"/>
          </w:tcPr>
          <w:p>
            <w:pPr>
              <w:jc w:val="right"/>
              <w:ind w:right="520"/>
              <w:spacing w:after="0" w:line="243" w:lineRule="exact"/>
              <w:rPr>
                <w:sz w:val="20"/>
                <w:szCs w:val="20"/>
                <w:color w:val="auto"/>
              </w:rPr>
            </w:pPr>
            <w:r>
              <w:rPr>
                <w:rFonts w:ascii="Arial" w:cs="Arial" w:eastAsia="Arial" w:hAnsi="Arial"/>
                <w:sz w:val="22"/>
                <w:szCs w:val="22"/>
                <w:color w:val="auto"/>
              </w:rPr>
              <w:t>3,826</w:t>
            </w:r>
          </w:p>
        </w:tc>
        <w:tc>
          <w:tcPr>
            <w:tcW w:w="1360" w:type="dxa"/>
            <w:vAlign w:val="bottom"/>
            <w:gridSpan w:val="2"/>
            <w:shd w:val="clear" w:color="auto" w:fill="CCEEFF"/>
          </w:tcPr>
          <w:p>
            <w:pPr>
              <w:jc w:val="right"/>
              <w:ind w:right="640"/>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CCEEFF"/>
          </w:tcPr>
          <w:p>
            <w:pPr>
              <w:ind w:left="520"/>
              <w:spacing w:after="0" w:line="243" w:lineRule="exact"/>
              <w:rPr>
                <w:sz w:val="20"/>
                <w:szCs w:val="20"/>
                <w:color w:val="auto"/>
              </w:rPr>
            </w:pPr>
            <w:r>
              <w:rPr>
                <w:rFonts w:ascii="Arial" w:cs="Arial" w:eastAsia="Arial" w:hAnsi="Arial"/>
                <w:sz w:val="22"/>
                <w:szCs w:val="22"/>
                <w:color w:val="auto"/>
              </w:rPr>
              <w:t>—</w:t>
            </w:r>
          </w:p>
        </w:tc>
        <w:tc>
          <w:tcPr>
            <w:tcW w:w="1700" w:type="dxa"/>
            <w:vAlign w:val="bottom"/>
            <w:gridSpan w:val="2"/>
            <w:shd w:val="clear" w:color="auto" w:fill="CCEEFF"/>
          </w:tcPr>
          <w:p>
            <w:pPr>
              <w:ind w:left="860"/>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3,826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does not face a significant liquidity risk with regards to its lease liabilities.</w:t>
      </w:r>
    </w:p>
    <w:p>
      <w:pPr>
        <w:spacing w:after="0" w:line="206" w:lineRule="exact"/>
        <w:rPr>
          <w:sz w:val="20"/>
          <w:szCs w:val="20"/>
          <w:color w:val="auto"/>
        </w:rPr>
      </w:pPr>
    </w:p>
    <w:p>
      <w:pPr>
        <w:ind w:left="120" w:right="80" w:firstLine="551"/>
        <w:spacing w:after="0" w:line="282" w:lineRule="auto"/>
        <w:rPr>
          <w:sz w:val="20"/>
          <w:szCs w:val="20"/>
          <w:color w:val="auto"/>
        </w:rPr>
      </w:pPr>
      <w:r>
        <w:rPr>
          <w:rFonts w:ascii="Arial" w:cs="Arial" w:eastAsia="Arial" w:hAnsi="Arial"/>
          <w:sz w:val="19"/>
          <w:szCs w:val="19"/>
          <w:color w:val="auto"/>
        </w:rPr>
        <w:t>The Company may incur potential payments upon achievement of clinical, regulatory and commercial milestones, as applicable, or royalty payments that may be required to be made under license agreements the Company entered into with various entities pursuant to which the Company has in-licensed certain intellectual property, including license agreements with Novartis and AstraZeneca. Due to the uncertainty of the achievement and timing of the events requiring payment under these agreements, the amounts to be paid are not fixed or determinable at this time and no such amounts are included herein.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Foreign currency and market risk</w:t>
      </w:r>
    </w:p>
    <w:p>
      <w:pPr>
        <w:spacing w:after="0" w:line="98" w:lineRule="exact"/>
        <w:rPr>
          <w:sz w:val="20"/>
          <w:szCs w:val="20"/>
          <w:color w:val="auto"/>
        </w:rPr>
      </w:pPr>
    </w:p>
    <w:p>
      <w:pPr>
        <w:ind w:left="120" w:right="660" w:firstLine="551"/>
        <w:spacing w:after="0" w:line="328" w:lineRule="auto"/>
        <w:rPr>
          <w:sz w:val="20"/>
          <w:szCs w:val="20"/>
          <w:color w:val="auto"/>
        </w:rPr>
      </w:pPr>
      <w:r>
        <w:rPr>
          <w:rFonts w:ascii="Arial" w:cs="Arial" w:eastAsia="Arial" w:hAnsi="Arial"/>
          <w:sz w:val="19"/>
          <w:szCs w:val="19"/>
          <w:color w:val="auto"/>
        </w:rPr>
        <w:t>Foreign currency risk arises from R&amp;D activities, commercial transactions and recognized assets and liabilities in foreign currencies, with the principal currency exposure being fluctuations in pound sterling, U.S. dollars and Euros.</w:t>
      </w:r>
    </w:p>
    <w:p>
      <w:pPr>
        <w:spacing w:after="0" w:line="1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22"/>
          <w:szCs w:val="22"/>
          <w:color w:val="auto"/>
        </w:rPr>
        <w:t>The functional currency of the Company and all subsidiaries is pound sterling, except for Mereo BioPharma 5, Inc. whose functional currency is U.S. dollars. The Company incurs expenditures in foreign currencies and is exposed to the risks of foreign exchange rate movements, with the impact recognized in the consolidated statement of comprehensive income/(loss).</w:t>
      </w:r>
    </w:p>
    <w:p>
      <w:pPr>
        <w:spacing w:after="0" w:line="185" w:lineRule="exact"/>
        <w:rPr>
          <w:sz w:val="20"/>
          <w:szCs w:val="20"/>
          <w:color w:val="auto"/>
        </w:rPr>
      </w:pPr>
    </w:p>
    <w:p>
      <w:pPr>
        <w:ind w:left="120" w:right="200" w:firstLine="551"/>
        <w:spacing w:after="0" w:line="297" w:lineRule="auto"/>
        <w:rPr>
          <w:sz w:val="20"/>
          <w:szCs w:val="20"/>
          <w:color w:val="auto"/>
        </w:rPr>
      </w:pPr>
      <w:r>
        <w:rPr>
          <w:rFonts w:ascii="Arial" w:cs="Arial" w:eastAsia="Arial" w:hAnsi="Arial"/>
          <w:sz w:val="19"/>
          <w:szCs w:val="19"/>
          <w:color w:val="auto"/>
        </w:rPr>
        <w:t>Funding secured in 2021 and 2020 was principally in U.S dollars and, although the Company currently has no revenue from product sales, proceeds received from upfront milestones under its licensing and collaboration agreements are denominated in U.S. dollars, while the majority of operating costs are denominated in pound sterling, U.S. dollars and Euros.</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F-34</w:t>
      </w:r>
    </w:p>
    <w:p>
      <w:pPr>
        <w:sectPr>
          <w:pgSz w:w="11900" w:h="16838" w:orient="portrait"/>
          <w:cols w:equalWidth="0" w:num="1">
            <w:col w:w="11140"/>
          </w:cols>
          <w:pgMar w:left="320" w:top="486"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380" w:firstLine="551"/>
        <w:spacing w:after="0"/>
        <w:rPr>
          <w:sz w:val="20"/>
          <w:szCs w:val="20"/>
          <w:color w:val="auto"/>
        </w:rPr>
      </w:pPr>
      <w:r>
        <w:rPr>
          <w:rFonts w:ascii="Arial" w:cs="Arial" w:eastAsia="Arial" w:hAnsi="Arial"/>
          <w:sz w:val="22"/>
          <w:szCs w:val="22"/>
          <w:color w:val="auto"/>
        </w:rPr>
        <w:t>The Company seeks to minimize this exposure by passively maintaining foreign currency cash balances at levels appropriate to meet foreseeable foreign currency expenditures. The Company does not hedge potential future cash flows or income.</w:t>
      </w:r>
    </w:p>
    <w:p>
      <w:pPr>
        <w:spacing w:after="0" w:line="186" w:lineRule="exact"/>
        <w:rPr>
          <w:sz w:val="20"/>
          <w:szCs w:val="20"/>
          <w:color w:val="auto"/>
        </w:rPr>
      </w:pPr>
    </w:p>
    <w:p>
      <w:pPr>
        <w:ind w:left="120" w:right="120" w:firstLine="551"/>
        <w:spacing w:after="0" w:line="250" w:lineRule="auto"/>
        <w:rPr>
          <w:sz w:val="20"/>
          <w:szCs w:val="20"/>
          <w:color w:val="auto"/>
        </w:rPr>
      </w:pPr>
      <w:r>
        <w:rPr>
          <w:rFonts w:ascii="Arial" w:cs="Arial" w:eastAsia="Arial" w:hAnsi="Arial"/>
          <w:sz w:val="22"/>
          <w:szCs w:val="22"/>
          <w:color w:val="auto"/>
        </w:rPr>
        <w:t>The table below shows analysis of the pound sterling equivalent of period-end cash and short-term deposits balances by currency:</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6800" w:type="dxa"/>
            <w:vAlign w:val="bottom"/>
          </w:tcPr>
          <w:p>
            <w:pPr>
              <w:spacing w:after="0"/>
              <w:rPr>
                <w:sz w:val="23"/>
                <w:szCs w:val="23"/>
                <w:color w:val="auto"/>
              </w:rPr>
            </w:pPr>
          </w:p>
        </w:tc>
        <w:tc>
          <w:tcPr>
            <w:tcW w:w="1560" w:type="dxa"/>
            <w:vAlign w:val="bottom"/>
            <w:gridSpan w:val="4"/>
          </w:tcPr>
          <w:p>
            <w:pPr>
              <w:ind w:left="140"/>
              <w:spacing w:after="0"/>
              <w:rPr>
                <w:sz w:val="20"/>
                <w:szCs w:val="20"/>
                <w:color w:val="auto"/>
              </w:rPr>
            </w:pPr>
            <w:r>
              <w:rPr>
                <w:rFonts w:ascii="Arial" w:cs="Arial" w:eastAsia="Arial" w:hAnsi="Arial"/>
                <w:sz w:val="22"/>
                <w:szCs w:val="22"/>
                <w:b w:val="1"/>
                <w:bCs w:val="1"/>
                <w:color w:val="auto"/>
                <w:w w:val="97"/>
              </w:rPr>
              <w:t>December 31,</w:t>
            </w:r>
          </w:p>
        </w:tc>
      </w:tr>
      <w:tr>
        <w:trPr>
          <w:trHeight w:val="236"/>
        </w:trPr>
        <w:tc>
          <w:tcPr>
            <w:tcW w:w="68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2021</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2"/>
              <w:spacing w:after="0" w:line="237" w:lineRule="exact"/>
              <w:rPr>
                <w:sz w:val="20"/>
                <w:szCs w:val="20"/>
                <w:color w:val="auto"/>
              </w:rPr>
            </w:pPr>
            <w:r>
              <w:rPr>
                <w:rFonts w:ascii="Arial" w:cs="Arial" w:eastAsia="Arial" w:hAnsi="Arial"/>
                <w:sz w:val="22"/>
                <w:szCs w:val="22"/>
                <w:b w:val="1"/>
                <w:bCs w:val="1"/>
                <w:color w:val="auto"/>
              </w:rPr>
              <w:t>2020</w:t>
            </w:r>
          </w:p>
        </w:tc>
        <w:tc>
          <w:tcPr>
            <w:tcW w:w="40" w:type="dxa"/>
            <w:vAlign w:val="bottom"/>
          </w:tcPr>
          <w:p>
            <w:pPr>
              <w:spacing w:after="0"/>
              <w:rPr>
                <w:sz w:val="20"/>
                <w:szCs w:val="20"/>
                <w:color w:val="auto"/>
              </w:rPr>
            </w:pPr>
          </w:p>
        </w:tc>
      </w:tr>
      <w:tr>
        <w:trPr>
          <w:trHeight w:val="237"/>
        </w:trPr>
        <w:tc>
          <w:tcPr>
            <w:tcW w:w="6800" w:type="dxa"/>
            <w:vAlign w:val="bottom"/>
          </w:tcPr>
          <w:p>
            <w:pPr>
              <w:spacing w:after="0"/>
              <w:rPr>
                <w:sz w:val="20"/>
                <w:szCs w:val="20"/>
                <w:color w:val="auto"/>
              </w:rPr>
            </w:pPr>
          </w:p>
        </w:tc>
        <w:tc>
          <w:tcPr>
            <w:tcW w:w="66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200" w:type="dxa"/>
            <w:vAlign w:val="bottom"/>
          </w:tcPr>
          <w:p>
            <w:pPr>
              <w:spacing w:after="0"/>
              <w:rPr>
                <w:sz w:val="20"/>
                <w:szCs w:val="20"/>
                <w:color w:val="auto"/>
              </w:rPr>
            </w:pPr>
          </w:p>
        </w:tc>
        <w:tc>
          <w:tcPr>
            <w:tcW w:w="660" w:type="dxa"/>
            <w:vAlign w:val="bottom"/>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40" w:type="dxa"/>
            <w:vAlign w:val="bottom"/>
          </w:tcPr>
          <w:p>
            <w:pPr>
              <w:spacing w:after="0"/>
              <w:rPr>
                <w:sz w:val="20"/>
                <w:szCs w:val="20"/>
                <w:color w:val="auto"/>
              </w:rPr>
            </w:pPr>
          </w:p>
        </w:tc>
      </w:tr>
      <w:tr>
        <w:trPr>
          <w:trHeight w:val="243"/>
        </w:trPr>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Pound sterling</w:t>
            </w:r>
          </w:p>
        </w:tc>
        <w:tc>
          <w:tcPr>
            <w:tcW w:w="860" w:type="dxa"/>
            <w:vAlign w:val="bottom"/>
            <w:gridSpan w:val="2"/>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w w:val="95"/>
              </w:rPr>
              <w:t>92,104</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w w:val="95"/>
              </w:rPr>
              <w:t>17,809</w:t>
            </w:r>
          </w:p>
        </w:tc>
      </w:tr>
      <w:tr>
        <w:trPr>
          <w:trHeight w:val="243"/>
        </w:trPr>
        <w:tc>
          <w:tcPr>
            <w:tcW w:w="6800" w:type="dxa"/>
            <w:vAlign w:val="bottom"/>
          </w:tcPr>
          <w:p>
            <w:pPr>
              <w:spacing w:after="0" w:line="243" w:lineRule="exact"/>
              <w:rPr>
                <w:sz w:val="20"/>
                <w:szCs w:val="20"/>
                <w:color w:val="auto"/>
              </w:rPr>
            </w:pPr>
            <w:r>
              <w:rPr>
                <w:rFonts w:ascii="Arial" w:cs="Arial" w:eastAsia="Arial" w:hAnsi="Arial"/>
                <w:sz w:val="22"/>
                <w:szCs w:val="22"/>
                <w:color w:val="auto"/>
              </w:rPr>
              <w:t>U.S. dollars</w:t>
            </w:r>
          </w:p>
        </w:tc>
        <w:tc>
          <w:tcPr>
            <w:tcW w:w="86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2,018</w:t>
            </w:r>
          </w:p>
        </w:tc>
        <w:tc>
          <w:tcPr>
            <w:tcW w:w="7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5,586</w:t>
            </w:r>
          </w:p>
        </w:tc>
      </w:tr>
      <w:tr>
        <w:trPr>
          <w:trHeight w:val="243"/>
        </w:trPr>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Swiss francs</w:t>
            </w:r>
          </w:p>
        </w:tc>
        <w:tc>
          <w:tcPr>
            <w:tcW w:w="860" w:type="dxa"/>
            <w:vAlign w:val="bottom"/>
            <w:gridSpan w:val="2"/>
            <w:shd w:val="clear" w:color="auto" w:fill="CCEEFF"/>
          </w:tcPr>
          <w:p>
            <w:pPr>
              <w:jc w:val="right"/>
              <w:ind w:right="200"/>
              <w:spacing w:after="0" w:line="243" w:lineRule="exact"/>
              <w:rPr>
                <w:sz w:val="20"/>
                <w:szCs w:val="20"/>
                <w:color w:val="auto"/>
              </w:rPr>
            </w:pPr>
            <w:r>
              <w:rPr>
                <w:rFonts w:ascii="Arial" w:cs="Arial" w:eastAsia="Arial" w:hAnsi="Arial"/>
                <w:sz w:val="22"/>
                <w:szCs w:val="22"/>
                <w:color w:val="auto"/>
              </w:rPr>
              <w:t>9</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9</w:t>
            </w:r>
          </w:p>
        </w:tc>
      </w:tr>
      <w:tr>
        <w:trPr>
          <w:trHeight w:val="250"/>
        </w:trPr>
        <w:tc>
          <w:tcPr>
            <w:tcW w:w="6800" w:type="dxa"/>
            <w:vAlign w:val="bottom"/>
          </w:tcPr>
          <w:p>
            <w:pPr>
              <w:spacing w:after="0" w:line="243" w:lineRule="exact"/>
              <w:rPr>
                <w:sz w:val="20"/>
                <w:szCs w:val="20"/>
                <w:color w:val="auto"/>
              </w:rPr>
            </w:pPr>
            <w:r>
              <w:rPr>
                <w:rFonts w:ascii="Arial" w:cs="Arial" w:eastAsia="Arial" w:hAnsi="Arial"/>
                <w:sz w:val="22"/>
                <w:szCs w:val="22"/>
                <w:color w:val="auto"/>
              </w:rPr>
              <w:t>Euro</w:t>
            </w:r>
          </w:p>
        </w:tc>
        <w:tc>
          <w:tcPr>
            <w:tcW w:w="6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165</w:t>
            </w:r>
          </w:p>
        </w:tc>
        <w:tc>
          <w:tcPr>
            <w:tcW w:w="200" w:type="dxa"/>
            <w:vAlign w:val="bottom"/>
          </w:tcPr>
          <w:p>
            <w:pPr>
              <w:spacing w:after="0"/>
              <w:rPr>
                <w:sz w:val="21"/>
                <w:szCs w:val="21"/>
                <w:color w:val="auto"/>
              </w:rPr>
            </w:pPr>
          </w:p>
        </w:tc>
        <w:tc>
          <w:tcPr>
            <w:tcW w:w="6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65</w:t>
            </w:r>
          </w:p>
        </w:tc>
        <w:tc>
          <w:tcPr>
            <w:tcW w:w="40" w:type="dxa"/>
            <w:vAlign w:val="bottom"/>
          </w:tcPr>
          <w:p>
            <w:pPr>
              <w:spacing w:after="0"/>
              <w:rPr>
                <w:sz w:val="21"/>
                <w:szCs w:val="21"/>
                <w:color w:val="auto"/>
              </w:rPr>
            </w:pPr>
          </w:p>
        </w:tc>
      </w:tr>
      <w:tr>
        <w:trPr>
          <w:trHeight w:val="243"/>
        </w:trPr>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w:t>
            </w:r>
          </w:p>
        </w:tc>
        <w:tc>
          <w:tcPr>
            <w:tcW w:w="860" w:type="dxa"/>
            <w:vAlign w:val="bottom"/>
            <w:gridSpan w:val="2"/>
            <w:shd w:val="clear" w:color="auto" w:fill="CCEEFF"/>
          </w:tcPr>
          <w:p>
            <w:pPr>
              <w:jc w:val="right"/>
              <w:ind w:right="200"/>
              <w:spacing w:after="0" w:line="243" w:lineRule="exact"/>
              <w:rPr>
                <w:sz w:val="20"/>
                <w:szCs w:val="20"/>
                <w:color w:val="auto"/>
              </w:rPr>
            </w:pPr>
            <w:r>
              <w:rPr>
                <w:rFonts w:ascii="Arial" w:cs="Arial" w:eastAsia="Arial" w:hAnsi="Arial"/>
                <w:sz w:val="22"/>
                <w:szCs w:val="22"/>
                <w:b w:val="1"/>
                <w:bCs w:val="1"/>
                <w:color w:val="auto"/>
                <w:w w:val="95"/>
              </w:rPr>
              <w:t>94,296</w:t>
            </w:r>
          </w:p>
        </w:tc>
        <w:tc>
          <w:tcPr>
            <w:tcW w:w="7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b w:val="1"/>
                <w:bCs w:val="1"/>
                <w:color w:val="auto"/>
                <w:w w:val="95"/>
              </w:rPr>
              <w:t>23,469</w:t>
            </w: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22"/>
          <w:szCs w:val="22"/>
          <w:color w:val="auto"/>
        </w:rPr>
        <w:t>The table below shows those transactional exposures that give rise to net currency gains and losses recognized in the consolidated statement of comprehensive income/(loss). Such exposures comprise the net monetary assets and monetary liabilities of the Company that are not denominated in the functional currency of the relevant subsidiary. As at December 31, these exposures were as follows:</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5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60" w:type="dxa"/>
            <w:vAlign w:val="bottom"/>
            <w:gridSpan w:val="4"/>
          </w:tcPr>
          <w:p>
            <w:pPr>
              <w:jc w:val="right"/>
              <w:ind w:right="260"/>
              <w:spacing w:after="0"/>
              <w:rPr>
                <w:sz w:val="20"/>
                <w:szCs w:val="20"/>
                <w:color w:val="auto"/>
              </w:rPr>
            </w:pPr>
            <w:r>
              <w:rPr>
                <w:rFonts w:ascii="Arial" w:cs="Arial" w:eastAsia="Arial" w:hAnsi="Arial"/>
                <w:sz w:val="22"/>
                <w:szCs w:val="22"/>
                <w:b w:val="1"/>
                <w:bCs w:val="1"/>
                <w:color w:val="auto"/>
                <w:w w:val="96"/>
              </w:rPr>
              <w:t>December 31,</w:t>
            </w:r>
          </w:p>
        </w:tc>
      </w:tr>
      <w:tr>
        <w:trPr>
          <w:trHeight w:val="236"/>
        </w:trPr>
        <w:tc>
          <w:tcPr>
            <w:tcW w:w="51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98"/>
              </w:rPr>
              <w:t>2021</w:t>
            </w:r>
          </w:p>
        </w:tc>
        <w:tc>
          <w:tcPr>
            <w:tcW w:w="380" w:type="dxa"/>
            <w:vAlign w:val="bottom"/>
            <w:tcBorders>
              <w:top w:val="single" w:sz="8" w:color="auto"/>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rPr>
              <w:t>2020</w:t>
            </w:r>
          </w:p>
        </w:tc>
        <w:tc>
          <w:tcPr>
            <w:tcW w:w="120" w:type="dxa"/>
            <w:vAlign w:val="bottom"/>
            <w:tcBorders>
              <w:bottom w:val="single" w:sz="8" w:color="CCEEFF"/>
            </w:tcBorders>
          </w:tcPr>
          <w:p>
            <w:pPr>
              <w:spacing w:after="0"/>
              <w:rPr>
                <w:sz w:val="20"/>
                <w:szCs w:val="20"/>
                <w:color w:val="auto"/>
              </w:rPr>
            </w:pPr>
          </w:p>
        </w:tc>
      </w:tr>
      <w:tr>
        <w:trPr>
          <w:trHeight w:val="223"/>
        </w:trPr>
        <w:tc>
          <w:tcPr>
            <w:tcW w:w="5160" w:type="dxa"/>
            <w:vAlign w:val="bottom"/>
            <w:shd w:val="clear" w:color="auto" w:fill="CCEEFF"/>
          </w:tcPr>
          <w:p>
            <w:pPr>
              <w:spacing w:after="0" w:line="223" w:lineRule="exact"/>
              <w:rPr>
                <w:sz w:val="20"/>
                <w:szCs w:val="20"/>
                <w:color w:val="auto"/>
              </w:rPr>
            </w:pPr>
            <w:r>
              <w:rPr>
                <w:rFonts w:ascii="Arial" w:cs="Arial" w:eastAsia="Arial" w:hAnsi="Arial"/>
                <w:sz w:val="22"/>
                <w:szCs w:val="22"/>
                <w:b w:val="1"/>
                <w:bCs w:val="1"/>
                <w:color w:val="auto"/>
              </w:rPr>
              <w:t>Net foreign currency assets/(liabilities):</w:t>
            </w:r>
          </w:p>
        </w:tc>
        <w:tc>
          <w:tcPr>
            <w:tcW w:w="15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91"/>
              </w:rPr>
              <w:t>£’000s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 ’000s</w:t>
            </w:r>
          </w:p>
        </w:tc>
        <w:tc>
          <w:tcPr>
            <w:tcW w:w="12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line="243" w:lineRule="exact"/>
              <w:rPr>
                <w:sz w:val="20"/>
                <w:szCs w:val="20"/>
                <w:color w:val="auto"/>
              </w:rPr>
            </w:pPr>
            <w:r>
              <w:rPr>
                <w:rFonts w:ascii="Arial" w:cs="Arial" w:eastAsia="Arial" w:hAnsi="Arial"/>
                <w:sz w:val="22"/>
                <w:szCs w:val="22"/>
                <w:color w:val="auto"/>
              </w:rPr>
              <w:t>U.S. dollars</w:t>
            </w:r>
          </w:p>
        </w:tc>
        <w:tc>
          <w:tcPr>
            <w:tcW w:w="2480" w:type="dxa"/>
            <w:vAlign w:val="bottom"/>
            <w:gridSpan w:val="3"/>
          </w:tcPr>
          <w:p>
            <w:pPr>
              <w:jc w:val="right"/>
              <w:ind w:right="380"/>
              <w:spacing w:after="0" w:line="243" w:lineRule="exact"/>
              <w:rPr>
                <w:sz w:val="20"/>
                <w:szCs w:val="20"/>
                <w:color w:val="auto"/>
              </w:rPr>
            </w:pPr>
            <w:r>
              <w:rPr>
                <w:rFonts w:ascii="Arial" w:cs="Arial" w:eastAsia="Arial" w:hAnsi="Arial"/>
                <w:sz w:val="22"/>
                <w:szCs w:val="22"/>
                <w:color w:val="auto"/>
              </w:rPr>
              <w:t>920</w:t>
            </w:r>
          </w:p>
        </w:tc>
        <w:tc>
          <w:tcPr>
            <w:tcW w:w="7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4,088</w:t>
            </w:r>
          </w:p>
        </w:tc>
      </w:tr>
      <w:tr>
        <w:trPr>
          <w:trHeight w:val="243"/>
        </w:trPr>
        <w:tc>
          <w:tcPr>
            <w:tcW w:w="5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Swiss francs</w:t>
            </w:r>
          </w:p>
        </w:tc>
        <w:tc>
          <w:tcPr>
            <w:tcW w:w="2480" w:type="dxa"/>
            <w:vAlign w:val="bottom"/>
            <w:gridSpan w:val="3"/>
            <w:shd w:val="clear" w:color="auto" w:fill="CCEEFF"/>
          </w:tcPr>
          <w:p>
            <w:pPr>
              <w:jc w:val="right"/>
              <w:ind w:right="380"/>
              <w:spacing w:after="0" w:line="243" w:lineRule="exact"/>
              <w:rPr>
                <w:sz w:val="20"/>
                <w:szCs w:val="20"/>
                <w:color w:val="auto"/>
              </w:rPr>
            </w:pPr>
            <w:r>
              <w:rPr>
                <w:rFonts w:ascii="Arial" w:cs="Arial" w:eastAsia="Arial" w:hAnsi="Arial"/>
                <w:sz w:val="22"/>
                <w:szCs w:val="22"/>
                <w:color w:val="auto"/>
              </w:rPr>
              <w:t>9</w:t>
            </w:r>
          </w:p>
        </w:tc>
        <w:tc>
          <w:tcPr>
            <w:tcW w:w="72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9</w:t>
            </w:r>
          </w:p>
        </w:tc>
      </w:tr>
      <w:tr>
        <w:trPr>
          <w:trHeight w:val="243"/>
        </w:trPr>
        <w:tc>
          <w:tcPr>
            <w:tcW w:w="5160" w:type="dxa"/>
            <w:vAlign w:val="bottom"/>
          </w:tcPr>
          <w:p>
            <w:pPr>
              <w:spacing w:after="0" w:line="243" w:lineRule="exact"/>
              <w:rPr>
                <w:sz w:val="20"/>
                <w:szCs w:val="20"/>
                <w:color w:val="auto"/>
              </w:rPr>
            </w:pPr>
            <w:r>
              <w:rPr>
                <w:rFonts w:ascii="Arial" w:cs="Arial" w:eastAsia="Arial" w:hAnsi="Arial"/>
                <w:sz w:val="22"/>
                <w:szCs w:val="22"/>
                <w:color w:val="auto"/>
              </w:rPr>
              <w:t>Euro</w:t>
            </w:r>
          </w:p>
        </w:tc>
        <w:tc>
          <w:tcPr>
            <w:tcW w:w="1540" w:type="dxa"/>
            <w:vAlign w:val="bottom"/>
          </w:tcPr>
          <w:p>
            <w:pPr>
              <w:spacing w:after="0"/>
              <w:rPr>
                <w:sz w:val="21"/>
                <w:szCs w:val="21"/>
                <w:color w:val="auto"/>
              </w:rPr>
            </w:pPr>
          </w:p>
        </w:tc>
        <w:tc>
          <w:tcPr>
            <w:tcW w:w="9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(142)</w:t>
            </w:r>
          </w:p>
        </w:tc>
        <w:tc>
          <w:tcPr>
            <w:tcW w:w="7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(513)</w:t>
            </w: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16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Total</w:t>
            </w:r>
          </w:p>
        </w:tc>
        <w:tc>
          <w:tcPr>
            <w:tcW w:w="15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80"/>
              <w:spacing w:after="0" w:line="243" w:lineRule="exact"/>
              <w:rPr>
                <w:sz w:val="20"/>
                <w:szCs w:val="20"/>
                <w:color w:val="auto"/>
              </w:rPr>
            </w:pPr>
            <w:r>
              <w:rPr>
                <w:rFonts w:ascii="Arial" w:cs="Arial" w:eastAsia="Arial" w:hAnsi="Arial"/>
                <w:sz w:val="22"/>
                <w:szCs w:val="22"/>
                <w:b w:val="1"/>
                <w:bCs w:val="1"/>
                <w:color w:val="auto"/>
              </w:rPr>
              <w:t>787</w:t>
            </w:r>
          </w:p>
        </w:tc>
        <w:tc>
          <w:tcPr>
            <w:tcW w:w="72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b w:val="1"/>
                <w:bCs w:val="1"/>
                <w:color w:val="auto"/>
              </w:rPr>
              <w:t>3,584</w:t>
            </w:r>
          </w:p>
        </w:tc>
      </w:tr>
      <w:tr>
        <w:trPr>
          <w:trHeight w:val="20"/>
        </w:trPr>
        <w:tc>
          <w:tcPr>
            <w:tcW w:w="5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120" w:right="280" w:firstLine="551"/>
        <w:spacing w:after="0" w:line="250" w:lineRule="auto"/>
        <w:rPr>
          <w:sz w:val="20"/>
          <w:szCs w:val="20"/>
          <w:color w:val="auto"/>
        </w:rPr>
      </w:pPr>
      <w:r>
        <w:rPr>
          <w:rFonts w:ascii="Arial" w:cs="Arial" w:eastAsia="Arial" w:hAnsi="Arial"/>
          <w:sz w:val="22"/>
          <w:szCs w:val="22"/>
          <w:color w:val="auto"/>
        </w:rPr>
        <w:t>The most significant currencies in which the Company transacts, other than pound sterling, are the U.S. dollar and the Euro. The Company also transacts in other currencies as necessary.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illustrates the sensitivity to a 10% weakening or strengthening in the period-end rate in the U.S.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dollar and the Euro against pound sterling:</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132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22"/>
                <w:szCs w:val="22"/>
                <w:b w:val="1"/>
                <w:bCs w:val="1"/>
                <w:color w:val="auto"/>
                <w:w w:val="86"/>
              </w:rPr>
              <w:t>December 31, 2021</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7"/>
          </w:tcPr>
          <w:p>
            <w:pPr>
              <w:jc w:val="center"/>
              <w:ind w:right="740"/>
              <w:spacing w:after="0"/>
              <w:rPr>
                <w:sz w:val="20"/>
                <w:szCs w:val="20"/>
                <w:color w:val="auto"/>
              </w:rPr>
            </w:pPr>
            <w:r>
              <w:rPr>
                <w:rFonts w:ascii="Arial" w:cs="Arial" w:eastAsia="Arial" w:hAnsi="Arial"/>
                <w:sz w:val="22"/>
                <w:szCs w:val="22"/>
                <w:b w:val="1"/>
                <w:bCs w:val="1"/>
                <w:color w:val="auto"/>
                <w:w w:val="90"/>
              </w:rPr>
              <w:t>U.S. dollar</w:t>
            </w:r>
          </w:p>
        </w:tc>
        <w:tc>
          <w:tcPr>
            <w:tcW w:w="1220" w:type="dxa"/>
            <w:vAlign w:val="bottom"/>
            <w:gridSpan w:val="5"/>
          </w:tcPr>
          <w:p>
            <w:pPr>
              <w:ind w:left="60"/>
              <w:spacing w:after="0"/>
              <w:rPr>
                <w:sz w:val="20"/>
                <w:szCs w:val="20"/>
                <w:color w:val="auto"/>
              </w:rPr>
            </w:pPr>
            <w:r>
              <w:rPr>
                <w:rFonts w:ascii="Arial" w:cs="Arial" w:eastAsia="Arial" w:hAnsi="Arial"/>
                <w:sz w:val="22"/>
                <w:szCs w:val="22"/>
                <w:b w:val="1"/>
                <w:bCs w:val="1"/>
                <w:color w:val="auto"/>
              </w:rPr>
              <w:t>Euro</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3"/>
          </w:tcPr>
          <w:p>
            <w:pPr>
              <w:jc w:val="center"/>
              <w:spacing w:after="0" w:line="243" w:lineRule="exact"/>
              <w:rPr>
                <w:sz w:val="20"/>
                <w:szCs w:val="20"/>
                <w:color w:val="auto"/>
              </w:rPr>
            </w:pPr>
            <w:r>
              <w:rPr>
                <w:rFonts w:ascii="Arial" w:cs="Arial" w:eastAsia="Arial" w:hAnsi="Arial"/>
                <w:sz w:val="22"/>
                <w:szCs w:val="22"/>
                <w:b w:val="1"/>
                <w:bCs w:val="1"/>
                <w:color w:val="auto"/>
                <w:w w:val="86"/>
              </w:rPr>
              <w:t>£’000s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Borders>
              <w:top w:val="single" w:sz="8" w:color="auto"/>
            </w:tcBorders>
            <w:gridSpan w:val="2"/>
          </w:tcPr>
          <w:p>
            <w:pPr>
              <w:jc w:val="right"/>
              <w:spacing w:after="0" w:line="243" w:lineRule="exact"/>
              <w:rPr>
                <w:sz w:val="20"/>
                <w:szCs w:val="20"/>
                <w:color w:val="auto"/>
              </w:rPr>
            </w:pPr>
            <w:r>
              <w:rPr>
                <w:rFonts w:ascii="Arial" w:cs="Arial" w:eastAsia="Arial" w:hAnsi="Arial"/>
                <w:sz w:val="22"/>
                <w:szCs w:val="22"/>
                <w:b w:val="1"/>
                <w:bCs w:val="1"/>
                <w:color w:val="auto"/>
                <w:w w:val="86"/>
              </w:rPr>
              <w:t>£’000s</w:t>
            </w:r>
          </w:p>
        </w:tc>
        <w:tc>
          <w:tcPr>
            <w:tcW w:w="26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Profit before tax</w:t>
            </w:r>
          </w:p>
        </w:tc>
        <w:tc>
          <w:tcPr>
            <w:tcW w:w="4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center"/>
              <w:ind w:right="112"/>
              <w:spacing w:after="0" w:line="243" w:lineRule="exact"/>
              <w:rPr>
                <w:sz w:val="20"/>
                <w:szCs w:val="20"/>
                <w:color w:val="auto"/>
              </w:rPr>
            </w:pPr>
            <w:r>
              <w:rPr>
                <w:rFonts w:ascii="Arial" w:cs="Arial" w:eastAsia="Arial" w:hAnsi="Arial"/>
                <w:sz w:val="22"/>
                <w:szCs w:val="22"/>
                <w:color w:val="auto"/>
                <w:w w:val="91"/>
              </w:rPr>
              <w:t>(84)</w:t>
            </w:r>
          </w:p>
        </w:tc>
        <w:tc>
          <w:tcPr>
            <w:tcW w:w="2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4"/>
        </w:trPr>
        <w:tc>
          <w:tcPr>
            <w:tcW w:w="132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22"/>
                <w:szCs w:val="22"/>
                <w:color w:val="auto"/>
              </w:rPr>
              <w:t>Equity</w:t>
            </w:r>
          </w:p>
        </w:tc>
        <w:tc>
          <w:tcPr>
            <w:tcW w:w="4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4"/>
          </w:tcPr>
          <w:p>
            <w:pPr>
              <w:jc w:val="center"/>
              <w:ind w:right="112"/>
              <w:spacing w:after="0"/>
              <w:rPr>
                <w:sz w:val="20"/>
                <w:szCs w:val="20"/>
                <w:color w:val="auto"/>
              </w:rPr>
            </w:pPr>
            <w:r>
              <w:rPr>
                <w:rFonts w:ascii="Arial" w:cs="Arial" w:eastAsia="Arial" w:hAnsi="Arial"/>
                <w:sz w:val="22"/>
                <w:szCs w:val="22"/>
                <w:color w:val="auto"/>
                <w:w w:val="91"/>
              </w:rPr>
              <w:t>(84)</w:t>
            </w:r>
          </w:p>
        </w:tc>
        <w:tc>
          <w:tcPr>
            <w:tcW w:w="22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22"/>
                <w:szCs w:val="22"/>
                <w:color w:val="auto"/>
              </w:rPr>
              <w:t>13</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62"/>
        </w:trPr>
        <w:tc>
          <w:tcPr>
            <w:tcW w:w="132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22"/>
                <w:szCs w:val="22"/>
                <w:b w:val="1"/>
                <w:bCs w:val="1"/>
                <w:color w:val="auto"/>
                <w:w w:val="86"/>
              </w:rPr>
              <w:t>December 31, 2020</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6"/>
          </w:tcPr>
          <w:p>
            <w:pPr>
              <w:jc w:val="center"/>
              <w:ind w:right="700"/>
              <w:spacing w:after="0"/>
              <w:rPr>
                <w:sz w:val="20"/>
                <w:szCs w:val="20"/>
                <w:color w:val="auto"/>
              </w:rPr>
            </w:pPr>
            <w:r>
              <w:rPr>
                <w:rFonts w:ascii="Arial" w:cs="Arial" w:eastAsia="Arial" w:hAnsi="Arial"/>
                <w:sz w:val="22"/>
                <w:szCs w:val="22"/>
                <w:b w:val="1"/>
                <w:bCs w:val="1"/>
                <w:color w:val="auto"/>
                <w:w w:val="91"/>
              </w:rPr>
              <w:t>U.S. dollar</w:t>
            </w:r>
          </w:p>
        </w:tc>
        <w:tc>
          <w:tcPr>
            <w:tcW w:w="1220" w:type="dxa"/>
            <w:vAlign w:val="bottom"/>
            <w:gridSpan w:val="5"/>
          </w:tcPr>
          <w:p>
            <w:pPr>
              <w:ind w:left="60"/>
              <w:spacing w:after="0"/>
              <w:rPr>
                <w:sz w:val="20"/>
                <w:szCs w:val="20"/>
                <w:color w:val="auto"/>
              </w:rPr>
            </w:pPr>
            <w:r>
              <w:rPr>
                <w:rFonts w:ascii="Arial" w:cs="Arial" w:eastAsia="Arial" w:hAnsi="Arial"/>
                <w:sz w:val="22"/>
                <w:szCs w:val="22"/>
                <w:b w:val="1"/>
                <w:bCs w:val="1"/>
                <w:color w:val="auto"/>
              </w:rPr>
              <w:t>Euro</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Borders>
              <w:top w:val="single" w:sz="8" w:color="auto"/>
            </w:tcBorders>
            <w:gridSpan w:val="4"/>
          </w:tcPr>
          <w:p>
            <w:pPr>
              <w:jc w:val="center"/>
              <w:spacing w:after="0" w:line="243" w:lineRule="exact"/>
              <w:rPr>
                <w:sz w:val="20"/>
                <w:szCs w:val="20"/>
                <w:color w:val="auto"/>
              </w:rPr>
            </w:pPr>
            <w:r>
              <w:rPr>
                <w:rFonts w:ascii="Arial" w:cs="Arial" w:eastAsia="Arial" w:hAnsi="Arial"/>
                <w:sz w:val="22"/>
                <w:szCs w:val="22"/>
                <w:b w:val="1"/>
                <w:bCs w:val="1"/>
                <w:color w:val="auto"/>
                <w:w w:val="89"/>
              </w:rPr>
              <w:t>£’000s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Borders>
              <w:top w:val="single" w:sz="8" w:color="auto"/>
            </w:tcBorders>
            <w:gridSpan w:val="2"/>
          </w:tcPr>
          <w:p>
            <w:pPr>
              <w:jc w:val="right"/>
              <w:spacing w:after="0" w:line="243" w:lineRule="exact"/>
              <w:rPr>
                <w:sz w:val="20"/>
                <w:szCs w:val="20"/>
                <w:color w:val="auto"/>
              </w:rPr>
            </w:pPr>
            <w:r>
              <w:rPr>
                <w:rFonts w:ascii="Arial" w:cs="Arial" w:eastAsia="Arial" w:hAnsi="Arial"/>
                <w:sz w:val="22"/>
                <w:szCs w:val="22"/>
                <w:b w:val="1"/>
                <w:bCs w:val="1"/>
                <w:color w:val="auto"/>
                <w:w w:val="86"/>
              </w:rPr>
              <w:t>£’000s</w:t>
            </w:r>
          </w:p>
        </w:tc>
        <w:tc>
          <w:tcPr>
            <w:tcW w:w="26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Profit before tax</w:t>
            </w:r>
          </w:p>
        </w:tc>
        <w:tc>
          <w:tcPr>
            <w:tcW w:w="4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center"/>
              <w:ind w:right="112"/>
              <w:spacing w:after="0" w:line="243" w:lineRule="exact"/>
              <w:rPr>
                <w:sz w:val="20"/>
                <w:szCs w:val="20"/>
                <w:color w:val="auto"/>
              </w:rPr>
            </w:pPr>
            <w:r>
              <w:rPr>
                <w:rFonts w:ascii="Arial" w:cs="Arial" w:eastAsia="Arial" w:hAnsi="Arial"/>
                <w:sz w:val="22"/>
                <w:szCs w:val="22"/>
                <w:color w:val="auto"/>
                <w:w w:val="93"/>
              </w:rPr>
              <w:t>(372)</w:t>
            </w:r>
          </w:p>
        </w:tc>
        <w:tc>
          <w:tcPr>
            <w:tcW w:w="2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47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4"/>
        </w:trPr>
        <w:tc>
          <w:tcPr>
            <w:tcW w:w="132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22"/>
                <w:szCs w:val="22"/>
                <w:color w:val="auto"/>
              </w:rPr>
              <w:t>Equity</w:t>
            </w:r>
          </w:p>
        </w:tc>
        <w:tc>
          <w:tcPr>
            <w:tcW w:w="4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4"/>
          </w:tcPr>
          <w:p>
            <w:pPr>
              <w:jc w:val="center"/>
              <w:ind w:right="112"/>
              <w:spacing w:after="0"/>
              <w:rPr>
                <w:sz w:val="20"/>
                <w:szCs w:val="20"/>
                <w:color w:val="auto"/>
              </w:rPr>
            </w:pPr>
            <w:r>
              <w:rPr>
                <w:rFonts w:ascii="Arial" w:cs="Arial" w:eastAsia="Arial" w:hAnsi="Arial"/>
                <w:sz w:val="22"/>
                <w:szCs w:val="22"/>
                <w:color w:val="auto"/>
                <w:w w:val="93"/>
              </w:rPr>
              <w:t>(372)</w:t>
            </w:r>
          </w:p>
        </w:tc>
        <w:tc>
          <w:tcPr>
            <w:tcW w:w="220" w:type="dxa"/>
            <w:vAlign w:val="bottom"/>
          </w:tcPr>
          <w:p>
            <w:pPr>
              <w:spacing w:after="0"/>
              <w:rPr>
                <w:sz w:val="23"/>
                <w:szCs w:val="2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22"/>
                <w:szCs w:val="22"/>
                <w:color w:val="auto"/>
              </w:rPr>
              <w:t>47</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6"/>
        </w:trPr>
        <w:tc>
          <w:tcPr>
            <w:tcW w:w="3060" w:type="dxa"/>
            <w:vAlign w:val="bottom"/>
            <w:gridSpan w:val="2"/>
          </w:tcPr>
          <w:p>
            <w:pPr>
              <w:spacing w:after="0"/>
              <w:rPr>
                <w:sz w:val="20"/>
                <w:szCs w:val="20"/>
                <w:color w:val="auto"/>
              </w:rPr>
            </w:pPr>
            <w:r>
              <w:rPr>
                <w:rFonts w:ascii="Arial" w:cs="Arial" w:eastAsia="Arial" w:hAnsi="Arial"/>
                <w:sz w:val="22"/>
                <w:szCs w:val="22"/>
                <w:i w:val="1"/>
                <w:iCs w:val="1"/>
                <w:color w:val="auto"/>
                <w:w w:val="92"/>
              </w:rPr>
              <w:t>Financial instruments by category</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9"/>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6"/>
          </w:tcPr>
          <w:p>
            <w:pPr>
              <w:jc w:val="center"/>
              <w:ind w:right="500"/>
              <w:spacing w:after="0"/>
              <w:rPr>
                <w:sz w:val="20"/>
                <w:szCs w:val="20"/>
                <w:color w:val="auto"/>
              </w:rPr>
            </w:pPr>
            <w:r>
              <w:rPr>
                <w:rFonts w:ascii="Arial" w:cs="Arial" w:eastAsia="Arial" w:hAnsi="Arial"/>
                <w:sz w:val="22"/>
                <w:szCs w:val="22"/>
                <w:b w:val="1"/>
                <w:bCs w:val="1"/>
                <w:color w:val="auto"/>
                <w:w w:val="93"/>
              </w:rPr>
              <w:t>Fair value</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980" w:type="dxa"/>
            <w:vAlign w:val="bottom"/>
            <w:gridSpan w:val="8"/>
          </w:tcPr>
          <w:p>
            <w:pPr>
              <w:jc w:val="center"/>
              <w:ind w:right="220"/>
              <w:spacing w:after="0" w:line="243" w:lineRule="exact"/>
              <w:rPr>
                <w:sz w:val="20"/>
                <w:szCs w:val="20"/>
                <w:color w:val="auto"/>
              </w:rPr>
            </w:pPr>
            <w:r>
              <w:rPr>
                <w:rFonts w:ascii="Arial" w:cs="Arial" w:eastAsia="Arial" w:hAnsi="Arial"/>
                <w:sz w:val="22"/>
                <w:szCs w:val="22"/>
                <w:b w:val="1"/>
                <w:bCs w:val="1"/>
                <w:color w:val="auto"/>
                <w:w w:val="89"/>
              </w:rPr>
              <w:t>through profit or</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5"/>
          </w:tcPr>
          <w:p>
            <w:pPr>
              <w:jc w:val="center"/>
              <w:ind w:right="920"/>
              <w:spacing w:after="0" w:line="243" w:lineRule="exact"/>
              <w:rPr>
                <w:sz w:val="20"/>
                <w:szCs w:val="20"/>
                <w:color w:val="auto"/>
              </w:rPr>
            </w:pPr>
            <w:r>
              <w:rPr>
                <w:rFonts w:ascii="Arial" w:cs="Arial" w:eastAsia="Arial" w:hAnsi="Arial"/>
                <w:sz w:val="22"/>
                <w:szCs w:val="22"/>
                <w:b w:val="1"/>
                <w:bCs w:val="1"/>
                <w:color w:val="auto"/>
                <w:w w:val="72"/>
              </w:rPr>
              <w:t>loss</w:t>
            </w:r>
          </w:p>
        </w:tc>
        <w:tc>
          <w:tcPr>
            <w:tcW w:w="140" w:type="dxa"/>
            <w:vAlign w:val="bottom"/>
          </w:tcPr>
          <w:p>
            <w:pPr>
              <w:spacing w:after="0"/>
              <w:rPr>
                <w:sz w:val="21"/>
                <w:szCs w:val="21"/>
                <w:color w:val="auto"/>
              </w:rPr>
            </w:pPr>
          </w:p>
        </w:tc>
        <w:tc>
          <w:tcPr>
            <w:tcW w:w="1840" w:type="dxa"/>
            <w:vAlign w:val="bottom"/>
            <w:gridSpan w:val="6"/>
          </w:tcPr>
          <w:p>
            <w:pPr>
              <w:jc w:val="center"/>
              <w:ind w:right="40"/>
              <w:spacing w:after="0" w:line="243" w:lineRule="exact"/>
              <w:rPr>
                <w:sz w:val="20"/>
                <w:szCs w:val="20"/>
                <w:color w:val="auto"/>
              </w:rPr>
            </w:pPr>
            <w:r>
              <w:rPr>
                <w:rFonts w:ascii="Arial" w:cs="Arial" w:eastAsia="Arial" w:hAnsi="Arial"/>
                <w:sz w:val="22"/>
                <w:szCs w:val="22"/>
                <w:b w:val="1"/>
                <w:bCs w:val="1"/>
                <w:color w:val="auto"/>
                <w:w w:val="88"/>
              </w:rPr>
              <w:t>Amortized cost</w:t>
            </w:r>
          </w:p>
        </w:tc>
      </w:tr>
      <w:tr>
        <w:trPr>
          <w:trHeight w:val="270"/>
        </w:trPr>
        <w:tc>
          <w:tcPr>
            <w:tcW w:w="1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7"/>
          </w:tcPr>
          <w:p>
            <w:pPr>
              <w:jc w:val="center"/>
              <w:ind w:right="440"/>
              <w:spacing w:after="0"/>
              <w:rPr>
                <w:sz w:val="20"/>
                <w:szCs w:val="20"/>
                <w:color w:val="auto"/>
              </w:rPr>
            </w:pPr>
            <w:r>
              <w:rPr>
                <w:rFonts w:ascii="Arial" w:cs="Arial" w:eastAsia="Arial" w:hAnsi="Arial"/>
                <w:sz w:val="22"/>
                <w:szCs w:val="22"/>
                <w:b w:val="1"/>
                <w:bCs w:val="1"/>
                <w:color w:val="auto"/>
                <w:w w:val="86"/>
              </w:rPr>
              <w:t>December 31,</w:t>
            </w:r>
          </w:p>
        </w:tc>
        <w:tc>
          <w:tcPr>
            <w:tcW w:w="140" w:type="dxa"/>
            <w:vAlign w:val="bottom"/>
          </w:tcPr>
          <w:p>
            <w:pPr>
              <w:spacing w:after="0"/>
              <w:rPr>
                <w:sz w:val="23"/>
                <w:szCs w:val="23"/>
                <w:color w:val="auto"/>
              </w:rPr>
            </w:pPr>
          </w:p>
        </w:tc>
        <w:tc>
          <w:tcPr>
            <w:tcW w:w="1840" w:type="dxa"/>
            <w:vAlign w:val="bottom"/>
            <w:gridSpan w:val="6"/>
          </w:tcPr>
          <w:p>
            <w:pPr>
              <w:jc w:val="center"/>
              <w:ind w:right="60"/>
              <w:spacing w:after="0"/>
              <w:rPr>
                <w:sz w:val="20"/>
                <w:szCs w:val="20"/>
                <w:color w:val="auto"/>
              </w:rPr>
            </w:pPr>
            <w:r>
              <w:rPr>
                <w:rFonts w:ascii="Arial" w:cs="Arial" w:eastAsia="Arial" w:hAnsi="Arial"/>
                <w:sz w:val="22"/>
                <w:szCs w:val="22"/>
                <w:b w:val="1"/>
                <w:bCs w:val="1"/>
                <w:color w:val="auto"/>
                <w:w w:val="88"/>
              </w:rPr>
              <w:t>December 31,</w:t>
            </w:r>
          </w:p>
        </w:tc>
      </w:tr>
      <w:tr>
        <w:trPr>
          <w:trHeight w:val="236"/>
        </w:trPr>
        <w:tc>
          <w:tcPr>
            <w:tcW w:w="1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00" w:type="dxa"/>
            <w:vAlign w:val="bottom"/>
            <w:tcBorders>
              <w:top w:val="single" w:sz="8" w:color="auto"/>
            </w:tcBorders>
            <w:gridSpan w:val="3"/>
          </w:tcPr>
          <w:p>
            <w:pPr>
              <w:jc w:val="right"/>
              <w:ind w:right="32"/>
              <w:spacing w:after="0" w:line="237" w:lineRule="exact"/>
              <w:rPr>
                <w:sz w:val="20"/>
                <w:szCs w:val="20"/>
                <w:color w:val="auto"/>
              </w:rPr>
            </w:pPr>
            <w:r>
              <w:rPr>
                <w:rFonts w:ascii="Arial" w:cs="Arial" w:eastAsia="Arial" w:hAnsi="Arial"/>
                <w:sz w:val="22"/>
                <w:szCs w:val="22"/>
                <w:b w:val="1"/>
                <w:bCs w:val="1"/>
                <w:color w:val="auto"/>
              </w:rPr>
              <w:t>2021</w:t>
            </w:r>
          </w:p>
        </w:tc>
        <w:tc>
          <w:tcPr>
            <w:tcW w:w="1060" w:type="dxa"/>
            <w:vAlign w:val="bottom"/>
            <w:tcBorders>
              <w:top w:val="single" w:sz="8" w:color="auto"/>
            </w:tcBorders>
            <w:gridSpan w:val="4"/>
          </w:tcPr>
          <w:p>
            <w:pPr>
              <w:jc w:val="right"/>
              <w:ind w:right="12"/>
              <w:spacing w:after="0" w:line="237" w:lineRule="exact"/>
              <w:rPr>
                <w:sz w:val="20"/>
                <w:szCs w:val="20"/>
                <w:color w:val="auto"/>
              </w:rPr>
            </w:pPr>
            <w:r>
              <w:rPr>
                <w:rFonts w:ascii="Arial" w:cs="Arial" w:eastAsia="Arial" w:hAnsi="Arial"/>
                <w:sz w:val="22"/>
                <w:szCs w:val="22"/>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tcBorders>
            <w:gridSpan w:val="3"/>
          </w:tcPr>
          <w:p>
            <w:pPr>
              <w:jc w:val="right"/>
              <w:ind w:right="140"/>
              <w:spacing w:after="0" w:line="237" w:lineRule="exact"/>
              <w:rPr>
                <w:sz w:val="20"/>
                <w:szCs w:val="20"/>
                <w:color w:val="auto"/>
              </w:rPr>
            </w:pPr>
            <w:r>
              <w:rPr>
                <w:rFonts w:ascii="Arial" w:cs="Arial" w:eastAsia="Arial" w:hAnsi="Arial"/>
                <w:sz w:val="22"/>
                <w:szCs w:val="22"/>
                <w:b w:val="1"/>
                <w:bCs w:val="1"/>
                <w:color w:val="auto"/>
              </w:rPr>
              <w:t>2021</w:t>
            </w: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line="237" w:lineRule="exact"/>
              <w:rPr>
                <w:sz w:val="20"/>
                <w:szCs w:val="20"/>
                <w:color w:val="auto"/>
              </w:rPr>
            </w:pPr>
            <w:r>
              <w:rPr>
                <w:rFonts w:ascii="Arial" w:cs="Arial" w:eastAsia="Arial" w:hAnsi="Arial"/>
                <w:sz w:val="22"/>
                <w:szCs w:val="22"/>
                <w:b w:val="1"/>
                <w:bCs w:val="1"/>
                <w:color w:val="auto"/>
              </w:rPr>
              <w:t>2020</w:t>
            </w:r>
          </w:p>
        </w:tc>
        <w:tc>
          <w:tcPr>
            <w:tcW w:w="60" w:type="dxa"/>
            <w:vAlign w:val="bottom"/>
          </w:tcPr>
          <w:p>
            <w:pPr>
              <w:spacing w:after="0"/>
              <w:rPr>
                <w:sz w:val="20"/>
                <w:szCs w:val="20"/>
                <w:color w:val="auto"/>
              </w:rPr>
            </w:pPr>
          </w:p>
        </w:tc>
      </w:tr>
      <w:tr>
        <w:trPr>
          <w:trHeight w:val="237"/>
        </w:trPr>
        <w:tc>
          <w:tcPr>
            <w:tcW w:w="3060" w:type="dxa"/>
            <w:vAlign w:val="bottom"/>
            <w:tcBorders>
              <w:top w:val="single" w:sz="8" w:color="CCEEFF"/>
            </w:tcBorders>
            <w:gridSpan w:val="2"/>
            <w:shd w:val="clear" w:color="auto" w:fill="CCEEFF"/>
          </w:tcPr>
          <w:p>
            <w:pPr>
              <w:spacing w:after="0" w:line="237" w:lineRule="exact"/>
              <w:rPr>
                <w:sz w:val="20"/>
                <w:szCs w:val="20"/>
                <w:color w:val="auto"/>
              </w:rPr>
            </w:pPr>
            <w:r>
              <w:rPr>
                <w:rFonts w:ascii="Arial" w:cs="Arial" w:eastAsia="Arial" w:hAnsi="Arial"/>
                <w:sz w:val="22"/>
                <w:szCs w:val="22"/>
                <w:b w:val="1"/>
                <w:bCs w:val="1"/>
                <w:color w:val="auto"/>
              </w:rPr>
              <w:t>Financial assets</w:t>
            </w:r>
          </w:p>
        </w:tc>
        <w:tc>
          <w:tcPr>
            <w:tcW w:w="40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gridSpan w:val="3"/>
            <w:shd w:val="clear" w:color="auto" w:fill="CCEEFF"/>
          </w:tcPr>
          <w:p>
            <w:pPr>
              <w:jc w:val="right"/>
              <w:spacing w:after="0" w:line="237" w:lineRule="exact"/>
              <w:rPr>
                <w:sz w:val="20"/>
                <w:szCs w:val="20"/>
                <w:color w:val="auto"/>
              </w:rPr>
            </w:pPr>
            <w:r>
              <w:rPr>
                <w:rFonts w:ascii="Arial" w:cs="Arial" w:eastAsia="Arial" w:hAnsi="Arial"/>
                <w:sz w:val="22"/>
                <w:szCs w:val="22"/>
                <w:color w:val="auto"/>
                <w:w w:val="95"/>
              </w:rPr>
              <w:t>£ ’000s</w:t>
            </w:r>
          </w:p>
        </w:tc>
        <w:tc>
          <w:tcPr>
            <w:tcW w:w="36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gridSpan w:val="3"/>
            <w:shd w:val="clear" w:color="auto" w:fill="CCEEFF"/>
          </w:tcPr>
          <w:p>
            <w:pPr>
              <w:jc w:val="right"/>
              <w:spacing w:after="0" w:line="237" w:lineRule="exact"/>
              <w:rPr>
                <w:sz w:val="20"/>
                <w:szCs w:val="20"/>
                <w:color w:val="auto"/>
              </w:rPr>
            </w:pPr>
            <w:r>
              <w:rPr>
                <w:rFonts w:ascii="Arial" w:cs="Arial" w:eastAsia="Arial" w:hAnsi="Arial"/>
                <w:sz w:val="22"/>
                <w:szCs w:val="22"/>
                <w:color w:val="auto"/>
                <w:w w:val="95"/>
              </w:rPr>
              <w:t>£ ’000s</w:t>
            </w: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gridSpan w:val="3"/>
            <w:shd w:val="clear" w:color="auto" w:fill="CCEEFF"/>
          </w:tcPr>
          <w:p>
            <w:pPr>
              <w:jc w:val="right"/>
              <w:spacing w:after="0" w:line="237" w:lineRule="exact"/>
              <w:rPr>
                <w:sz w:val="20"/>
                <w:szCs w:val="20"/>
                <w:color w:val="auto"/>
              </w:rPr>
            </w:pPr>
            <w:r>
              <w:rPr>
                <w:rFonts w:ascii="Arial" w:cs="Arial" w:eastAsia="Arial" w:hAnsi="Arial"/>
                <w:sz w:val="22"/>
                <w:szCs w:val="22"/>
                <w:color w:val="auto"/>
                <w:w w:val="98"/>
              </w:rPr>
              <w:t>£ ’000s</w:t>
            </w:r>
          </w:p>
        </w:tc>
        <w:tc>
          <w:tcPr>
            <w:tcW w:w="36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5"/>
              </w:rPr>
              <w:t>£ ’000s</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3060" w:type="dxa"/>
            <w:vAlign w:val="bottom"/>
            <w:gridSpan w:val="2"/>
          </w:tcPr>
          <w:p>
            <w:pPr>
              <w:spacing w:after="0" w:line="243" w:lineRule="exact"/>
              <w:rPr>
                <w:sz w:val="20"/>
                <w:szCs w:val="20"/>
                <w:color w:val="auto"/>
              </w:rPr>
            </w:pPr>
            <w:r>
              <w:rPr>
                <w:rFonts w:ascii="Arial" w:cs="Arial" w:eastAsia="Arial" w:hAnsi="Arial"/>
                <w:sz w:val="22"/>
                <w:szCs w:val="22"/>
                <w:color w:val="auto"/>
              </w:rPr>
              <w:t>Cash and short-term deposits</w:t>
            </w:r>
          </w:p>
        </w:tc>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94,296</w:t>
            </w:r>
          </w:p>
        </w:tc>
        <w:tc>
          <w:tcPr>
            <w:tcW w:w="360" w:type="dxa"/>
            <w:vAlign w:val="bottom"/>
          </w:tcPr>
          <w:p>
            <w:pPr>
              <w:spacing w:after="0"/>
              <w:rPr>
                <w:sz w:val="21"/>
                <w:szCs w:val="21"/>
                <w:color w:val="auto"/>
              </w:rPr>
            </w:pPr>
          </w:p>
        </w:tc>
        <w:tc>
          <w:tcPr>
            <w:tcW w:w="7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23,469</w:t>
            </w:r>
          </w:p>
        </w:tc>
      </w:tr>
      <w:tr>
        <w:trPr>
          <w:trHeight w:val="243"/>
        </w:trPr>
        <w:tc>
          <w:tcPr>
            <w:tcW w:w="30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Other receivables</w:t>
            </w:r>
          </w:p>
        </w:tc>
        <w:tc>
          <w:tcPr>
            <w:tcW w:w="4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1,032</w:t>
            </w:r>
          </w:p>
        </w:tc>
        <w:tc>
          <w:tcPr>
            <w:tcW w:w="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646</w:t>
            </w:r>
          </w:p>
        </w:tc>
      </w:tr>
      <w:tr>
        <w:trPr>
          <w:trHeight w:val="250"/>
        </w:trPr>
        <w:tc>
          <w:tcPr>
            <w:tcW w:w="30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Total financial assets</w:t>
            </w:r>
          </w:p>
        </w:tc>
        <w:tc>
          <w:tcPr>
            <w:tcW w:w="40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w:t>
            </w:r>
          </w:p>
        </w:tc>
        <w:tc>
          <w:tcPr>
            <w:tcW w:w="3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Arial" w:cs="Arial" w:eastAsia="Arial" w:hAnsi="Arial"/>
                <w:sz w:val="22"/>
                <w:szCs w:val="22"/>
                <w:b w:val="1"/>
                <w:bCs w:val="1"/>
                <w:color w:val="auto"/>
              </w:rPr>
              <w:t>95,328</w:t>
            </w:r>
          </w:p>
        </w:tc>
        <w:tc>
          <w:tcPr>
            <w:tcW w:w="36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24,919</w:t>
            </w:r>
          </w:p>
        </w:tc>
        <w:tc>
          <w:tcPr>
            <w:tcW w:w="60" w:type="dxa"/>
            <w:vAlign w:val="bottom"/>
          </w:tcPr>
          <w:p>
            <w:pPr>
              <w:spacing w:after="0"/>
              <w:rPr>
                <w:sz w:val="21"/>
                <w:szCs w:val="21"/>
                <w:color w:val="auto"/>
              </w:rPr>
            </w:pPr>
          </w:p>
        </w:tc>
      </w:tr>
      <w:tr>
        <w:trPr>
          <w:trHeight w:val="20"/>
        </w:trPr>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060" w:type="dxa"/>
            <w:vAlign w:val="bottom"/>
            <w:gridSpan w:val="2"/>
            <w:shd w:val="clear" w:color="auto" w:fill="CCEEFF"/>
          </w:tcPr>
          <w:p>
            <w:pPr>
              <w:spacing w:after="0" w:line="237" w:lineRule="exact"/>
              <w:rPr>
                <w:sz w:val="20"/>
                <w:szCs w:val="20"/>
                <w:color w:val="auto"/>
              </w:rPr>
            </w:pPr>
            <w:r>
              <w:rPr>
                <w:rFonts w:ascii="Arial" w:cs="Arial" w:eastAsia="Arial" w:hAnsi="Arial"/>
                <w:sz w:val="22"/>
                <w:szCs w:val="22"/>
                <w:b w:val="1"/>
                <w:bCs w:val="1"/>
                <w:color w:val="auto"/>
              </w:rPr>
              <w:t>Financial liabilities</w:t>
            </w:r>
          </w:p>
        </w:tc>
        <w:tc>
          <w:tcPr>
            <w:tcW w:w="4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43"/>
        </w:trPr>
        <w:tc>
          <w:tcPr>
            <w:tcW w:w="3060" w:type="dxa"/>
            <w:vAlign w:val="bottom"/>
            <w:gridSpan w:val="2"/>
          </w:tcPr>
          <w:p>
            <w:pPr>
              <w:spacing w:after="0" w:line="243" w:lineRule="exact"/>
              <w:rPr>
                <w:sz w:val="20"/>
                <w:szCs w:val="20"/>
                <w:color w:val="auto"/>
              </w:rPr>
            </w:pPr>
            <w:r>
              <w:rPr>
                <w:rFonts w:ascii="Arial" w:cs="Arial" w:eastAsia="Arial" w:hAnsi="Arial"/>
                <w:sz w:val="22"/>
                <w:szCs w:val="22"/>
                <w:color w:val="auto"/>
              </w:rPr>
              <w:t>Provisions</w:t>
            </w:r>
          </w:p>
        </w:tc>
        <w:tc>
          <w:tcPr>
            <w:tcW w:w="47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4,123</w:t>
            </w:r>
          </w:p>
        </w:tc>
        <w:tc>
          <w:tcPr>
            <w:tcW w:w="1280" w:type="dxa"/>
            <w:vAlign w:val="bottom"/>
            <w:gridSpan w:val="5"/>
          </w:tcPr>
          <w:p>
            <w:pPr>
              <w:jc w:val="right"/>
              <w:ind w:right="220"/>
              <w:spacing w:after="0" w:line="243" w:lineRule="exact"/>
              <w:rPr>
                <w:sz w:val="20"/>
                <w:szCs w:val="20"/>
                <w:color w:val="auto"/>
              </w:rPr>
            </w:pPr>
            <w:r>
              <w:rPr>
                <w:rFonts w:ascii="Arial" w:cs="Arial" w:eastAsia="Arial" w:hAnsi="Arial"/>
                <w:sz w:val="22"/>
                <w:szCs w:val="22"/>
                <w:color w:val="auto"/>
              </w:rPr>
              <w:t>1,634</w:t>
            </w:r>
          </w:p>
        </w:tc>
        <w:tc>
          <w:tcPr>
            <w:tcW w:w="140" w:type="dxa"/>
            <w:vAlign w:val="bottom"/>
          </w:tcPr>
          <w:p>
            <w:pPr>
              <w:spacing w:after="0"/>
              <w:rPr>
                <w:sz w:val="21"/>
                <w:szCs w:val="21"/>
                <w:color w:val="auto"/>
              </w:rPr>
            </w:pPr>
          </w:p>
        </w:tc>
        <w:tc>
          <w:tcPr>
            <w:tcW w:w="1080" w:type="dxa"/>
            <w:vAlign w:val="bottom"/>
            <w:gridSpan w:val="4"/>
          </w:tcPr>
          <w:p>
            <w:pPr>
              <w:jc w:val="right"/>
              <w:ind w:right="480"/>
              <w:spacing w:after="0" w:line="243" w:lineRule="exact"/>
              <w:rPr>
                <w:sz w:val="20"/>
                <w:szCs w:val="20"/>
                <w:color w:val="auto"/>
              </w:rPr>
            </w:pPr>
            <w:r>
              <w:rPr>
                <w:rFonts w:ascii="Arial" w:cs="Arial" w:eastAsia="Arial" w:hAnsi="Arial"/>
                <w:sz w:val="22"/>
                <w:szCs w:val="22"/>
                <w:b w:val="1"/>
                <w:bCs w:val="1"/>
                <w:color w:val="auto"/>
              </w:rPr>
              <w:t>—</w:t>
            </w:r>
          </w:p>
        </w:tc>
        <w:tc>
          <w:tcPr>
            <w:tcW w:w="760" w:type="dxa"/>
            <w:vAlign w:val="bottom"/>
            <w:gridSpan w:val="2"/>
          </w:tcPr>
          <w:p>
            <w:pPr>
              <w:jc w:val="right"/>
              <w:ind w:right="160"/>
              <w:spacing w:after="0" w:line="243" w:lineRule="exact"/>
              <w:rPr>
                <w:sz w:val="20"/>
                <w:szCs w:val="20"/>
                <w:color w:val="auto"/>
              </w:rPr>
            </w:pPr>
            <w:r>
              <w:rPr>
                <w:rFonts w:ascii="Arial" w:cs="Arial" w:eastAsia="Arial" w:hAnsi="Arial"/>
                <w:sz w:val="22"/>
                <w:szCs w:val="22"/>
                <w:b w:val="1"/>
                <w:bCs w:val="1"/>
                <w:color w:val="auto"/>
              </w:rPr>
              <w:t>—</w:t>
            </w:r>
          </w:p>
        </w:tc>
      </w:tr>
      <w:tr>
        <w:trPr>
          <w:trHeight w:val="243"/>
        </w:trPr>
        <w:tc>
          <w:tcPr>
            <w:tcW w:w="30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Convertible loan notes</w:t>
            </w:r>
          </w:p>
        </w:tc>
        <w:tc>
          <w:tcPr>
            <w:tcW w:w="4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20"/>
              <w:spacing w:after="0" w:line="243" w:lineRule="exact"/>
              <w:rPr>
                <w:sz w:val="20"/>
                <w:szCs w:val="20"/>
                <w:color w:val="auto"/>
              </w:rPr>
            </w:pPr>
            <w:r>
              <w:rPr>
                <w:rFonts w:ascii="Arial" w:cs="Arial" w:eastAsia="Arial" w:hAnsi="Arial"/>
                <w:sz w:val="22"/>
                <w:szCs w:val="22"/>
                <w:b w:val="1"/>
                <w:bCs w:val="1"/>
                <w:color w:val="auto"/>
              </w:rPr>
              <w:t>—</w:t>
            </w:r>
          </w:p>
        </w:tc>
        <w:tc>
          <w:tcPr>
            <w:tcW w:w="8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14,384</w:t>
            </w:r>
          </w:p>
        </w:tc>
        <w:tc>
          <w:tcPr>
            <w:tcW w:w="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16,142</w:t>
            </w:r>
          </w:p>
        </w:tc>
      </w:tr>
      <w:tr>
        <w:trPr>
          <w:trHeight w:val="280"/>
        </w:trPr>
        <w:tc>
          <w:tcPr>
            <w:tcW w:w="3060" w:type="dxa"/>
            <w:vAlign w:val="bottom"/>
            <w:gridSpan w:val="2"/>
          </w:tcPr>
          <w:p>
            <w:pPr>
              <w:spacing w:after="0"/>
              <w:rPr>
                <w:sz w:val="20"/>
                <w:szCs w:val="20"/>
                <w:color w:val="auto"/>
              </w:rPr>
            </w:pPr>
            <w:r>
              <w:rPr>
                <w:rFonts w:ascii="Arial" w:cs="Arial" w:eastAsia="Arial" w:hAnsi="Arial"/>
                <w:sz w:val="22"/>
                <w:szCs w:val="22"/>
                <w:color w:val="auto"/>
              </w:rPr>
              <w:t>Warrant liability</w:t>
            </w:r>
          </w:p>
        </w:tc>
        <w:tc>
          <w:tcPr>
            <w:tcW w:w="4700" w:type="dxa"/>
            <w:vAlign w:val="bottom"/>
            <w:gridSpan w:val="4"/>
          </w:tcPr>
          <w:p>
            <w:pPr>
              <w:jc w:val="right"/>
              <w:spacing w:after="0"/>
              <w:rPr>
                <w:sz w:val="20"/>
                <w:szCs w:val="20"/>
                <w:color w:val="auto"/>
              </w:rPr>
            </w:pPr>
            <w:r>
              <w:rPr>
                <w:rFonts w:ascii="Arial" w:cs="Arial" w:eastAsia="Arial" w:hAnsi="Arial"/>
                <w:sz w:val="22"/>
                <w:szCs w:val="22"/>
                <w:color w:val="auto"/>
              </w:rPr>
              <w:t>8,336</w:t>
            </w:r>
          </w:p>
        </w:tc>
        <w:tc>
          <w:tcPr>
            <w:tcW w:w="1280" w:type="dxa"/>
            <w:vAlign w:val="bottom"/>
            <w:gridSpan w:val="5"/>
          </w:tcPr>
          <w:p>
            <w:pPr>
              <w:jc w:val="right"/>
              <w:ind w:right="220"/>
              <w:spacing w:after="0"/>
              <w:rPr>
                <w:sz w:val="20"/>
                <w:szCs w:val="20"/>
                <w:color w:val="auto"/>
              </w:rPr>
            </w:pPr>
            <w:r>
              <w:rPr>
                <w:rFonts w:ascii="Arial" w:cs="Arial" w:eastAsia="Arial" w:hAnsi="Arial"/>
                <w:sz w:val="22"/>
                <w:szCs w:val="22"/>
                <w:color w:val="auto"/>
              </w:rPr>
              <w:t>50,775</w:t>
            </w:r>
          </w:p>
        </w:tc>
        <w:tc>
          <w:tcPr>
            <w:tcW w:w="140" w:type="dxa"/>
            <w:vAlign w:val="bottom"/>
          </w:tcPr>
          <w:p>
            <w:pPr>
              <w:spacing w:after="0"/>
              <w:rPr>
                <w:sz w:val="24"/>
                <w:szCs w:val="24"/>
                <w:color w:val="auto"/>
              </w:rPr>
            </w:pPr>
          </w:p>
        </w:tc>
        <w:tc>
          <w:tcPr>
            <w:tcW w:w="1080" w:type="dxa"/>
            <w:vAlign w:val="bottom"/>
            <w:gridSpan w:val="4"/>
          </w:tcPr>
          <w:p>
            <w:pPr>
              <w:jc w:val="right"/>
              <w:ind w:right="480"/>
              <w:spacing w:after="0"/>
              <w:rPr>
                <w:sz w:val="20"/>
                <w:szCs w:val="20"/>
                <w:color w:val="auto"/>
              </w:rPr>
            </w:pPr>
            <w:r>
              <w:rPr>
                <w:rFonts w:ascii="Arial" w:cs="Arial" w:eastAsia="Arial" w:hAnsi="Arial"/>
                <w:sz w:val="22"/>
                <w:szCs w:val="22"/>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w:t>
            </w:r>
          </w:p>
        </w:tc>
      </w:tr>
    </w:tbl>
    <w:p>
      <w:pPr>
        <w:sectPr>
          <w:pgSz w:w="11900" w:h="16838" w:orient="portrait"/>
          <w:cols w:equalWidth="0" w:num="1">
            <w:col w:w="11140"/>
          </w:cols>
          <w:pgMar w:left="320" w:top="486" w:right="439" w:bottom="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shd w:val="clear" w:color="auto" w:fill="CCEEFF"/>
          </w:tcPr>
          <w:p>
            <w:pPr>
              <w:spacing w:after="0"/>
              <w:rPr>
                <w:sz w:val="20"/>
                <w:szCs w:val="20"/>
                <w:color w:val="auto"/>
              </w:rPr>
            </w:pPr>
            <w:r>
              <w:rPr>
                <w:rFonts w:ascii="Arial" w:cs="Arial" w:eastAsia="Arial" w:hAnsi="Arial"/>
                <w:sz w:val="22"/>
                <w:szCs w:val="22"/>
                <w:color w:val="auto"/>
              </w:rPr>
              <w:t>Trade and other payables</w:t>
            </w:r>
          </w:p>
        </w:tc>
        <w:tc>
          <w:tcPr>
            <w:tcW w:w="3300" w:type="dxa"/>
            <w:vAlign w:val="bottom"/>
            <w:shd w:val="clear" w:color="auto" w:fill="CCEEFF"/>
          </w:tcPr>
          <w:p>
            <w:pPr>
              <w:spacing w:after="0"/>
              <w:rPr>
                <w:sz w:val="21"/>
                <w:szCs w:val="21"/>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22"/>
                <w:szCs w:val="22"/>
                <w:b w:val="1"/>
                <w:bCs w:val="1"/>
                <w:color w:val="auto"/>
              </w:rPr>
              <w:t>—</w:t>
            </w:r>
          </w:p>
        </w:tc>
        <w:tc>
          <w:tcPr>
            <w:tcW w:w="3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22"/>
                <w:szCs w:val="22"/>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2,309</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22"/>
                <w:szCs w:val="22"/>
                <w:color w:val="auto"/>
              </w:rPr>
              <w:t>3,187</w:t>
            </w:r>
          </w:p>
        </w:tc>
      </w:tr>
      <w:tr>
        <w:trPr>
          <w:trHeight w:val="243"/>
        </w:trPr>
        <w:tc>
          <w:tcPr>
            <w:tcW w:w="3760" w:type="dxa"/>
            <w:vAlign w:val="bottom"/>
          </w:tcPr>
          <w:p>
            <w:pPr>
              <w:spacing w:after="0" w:line="243" w:lineRule="exact"/>
              <w:rPr>
                <w:sz w:val="20"/>
                <w:szCs w:val="20"/>
                <w:color w:val="auto"/>
              </w:rPr>
            </w:pPr>
            <w:r>
              <w:rPr>
                <w:rFonts w:ascii="Arial" w:cs="Arial" w:eastAsia="Arial" w:hAnsi="Arial"/>
                <w:sz w:val="22"/>
                <w:szCs w:val="22"/>
                <w:color w:val="auto"/>
              </w:rPr>
              <w:t>Accruals</w:t>
            </w:r>
          </w:p>
        </w:tc>
        <w:tc>
          <w:tcPr>
            <w:tcW w:w="3300" w:type="dxa"/>
            <w:vAlign w:val="bottom"/>
          </w:tcPr>
          <w:p>
            <w:pPr>
              <w:spacing w:after="0"/>
              <w:rPr>
                <w:sz w:val="21"/>
                <w:szCs w:val="21"/>
                <w:color w:val="auto"/>
              </w:rPr>
            </w:pPr>
          </w:p>
        </w:tc>
        <w:tc>
          <w:tcPr>
            <w:tcW w:w="700" w:type="dxa"/>
            <w:vAlign w:val="bottom"/>
          </w:tcPr>
          <w:p>
            <w:pPr>
              <w:ind w:left="380"/>
              <w:spacing w:after="0" w:line="243" w:lineRule="exact"/>
              <w:rPr>
                <w:sz w:val="20"/>
                <w:szCs w:val="20"/>
                <w:color w:val="auto"/>
              </w:rPr>
            </w:pPr>
            <w:r>
              <w:rPr>
                <w:rFonts w:ascii="Arial" w:cs="Arial" w:eastAsia="Arial" w:hAnsi="Arial"/>
                <w:sz w:val="22"/>
                <w:szCs w:val="22"/>
                <w:b w:val="1"/>
                <w:bCs w:val="1"/>
                <w:color w:val="auto"/>
              </w:rPr>
              <w:t>—</w:t>
            </w:r>
          </w:p>
        </w:tc>
        <w:tc>
          <w:tcPr>
            <w:tcW w:w="360" w:type="dxa"/>
            <w:vAlign w:val="bottom"/>
          </w:tcPr>
          <w:p>
            <w:pPr>
              <w:spacing w:after="0"/>
              <w:rPr>
                <w:sz w:val="21"/>
                <w:szCs w:val="21"/>
                <w:color w:val="auto"/>
              </w:rPr>
            </w:pPr>
          </w:p>
        </w:tc>
        <w:tc>
          <w:tcPr>
            <w:tcW w:w="1060" w:type="dxa"/>
            <w:vAlign w:val="bottom"/>
            <w:gridSpan w:val="2"/>
          </w:tcPr>
          <w:p>
            <w:pPr>
              <w:ind w:left="380"/>
              <w:spacing w:after="0" w:line="243" w:lineRule="exact"/>
              <w:rPr>
                <w:sz w:val="20"/>
                <w:szCs w:val="20"/>
                <w:color w:val="auto"/>
              </w:rPr>
            </w:pPr>
            <w:r>
              <w:rPr>
                <w:rFonts w:ascii="Arial" w:cs="Arial" w:eastAsia="Arial" w:hAnsi="Arial"/>
                <w:sz w:val="22"/>
                <w:szCs w:val="22"/>
                <w:b w:val="1"/>
                <w:bCs w:val="1"/>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3,826</w:t>
            </w:r>
          </w:p>
        </w:tc>
        <w:tc>
          <w:tcPr>
            <w:tcW w:w="112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4,178</w:t>
            </w:r>
          </w:p>
        </w:tc>
      </w:tr>
      <w:tr>
        <w:trPr>
          <w:trHeight w:val="243"/>
        </w:trPr>
        <w:tc>
          <w:tcPr>
            <w:tcW w:w="37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Lease liability</w:t>
            </w:r>
          </w:p>
        </w:tc>
        <w:tc>
          <w:tcPr>
            <w:tcW w:w="3300" w:type="dxa"/>
            <w:vAlign w:val="bottom"/>
            <w:shd w:val="clear" w:color="auto" w:fill="CCEEFF"/>
          </w:tcPr>
          <w:p>
            <w:pPr>
              <w:spacing w:after="0"/>
              <w:rPr>
                <w:sz w:val="21"/>
                <w:szCs w:val="21"/>
                <w:color w:val="auto"/>
              </w:rPr>
            </w:pPr>
          </w:p>
        </w:tc>
        <w:tc>
          <w:tcPr>
            <w:tcW w:w="700" w:type="dxa"/>
            <w:vAlign w:val="bottom"/>
            <w:shd w:val="clear" w:color="auto" w:fill="CCEEFF"/>
          </w:tcPr>
          <w:p>
            <w:pPr>
              <w:ind w:left="380"/>
              <w:spacing w:after="0" w:line="243" w:lineRule="exact"/>
              <w:rPr>
                <w:sz w:val="20"/>
                <w:szCs w:val="20"/>
                <w:color w:val="auto"/>
              </w:rPr>
            </w:pPr>
            <w:r>
              <w:rPr>
                <w:rFonts w:ascii="Arial" w:cs="Arial" w:eastAsia="Arial" w:hAnsi="Arial"/>
                <w:sz w:val="22"/>
                <w:szCs w:val="22"/>
                <w:b w:val="1"/>
                <w:bCs w:val="1"/>
                <w:color w:val="auto"/>
              </w:rPr>
              <w:t>—</w:t>
            </w:r>
          </w:p>
        </w:tc>
        <w:tc>
          <w:tcPr>
            <w:tcW w:w="3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380"/>
              <w:spacing w:after="0" w:line="243" w:lineRule="exact"/>
              <w:rPr>
                <w:sz w:val="20"/>
                <w:szCs w:val="20"/>
                <w:color w:val="auto"/>
              </w:rPr>
            </w:pPr>
            <w:r>
              <w:rPr>
                <w:rFonts w:ascii="Arial" w:cs="Arial" w:eastAsia="Arial" w:hAnsi="Arial"/>
                <w:sz w:val="22"/>
                <w:szCs w:val="22"/>
                <w:b w:val="1"/>
                <w:bCs w:val="1"/>
                <w:color w:val="auto"/>
              </w:rPr>
              <w:t>—</w:t>
            </w:r>
          </w:p>
        </w:tc>
        <w:tc>
          <w:tcPr>
            <w:tcW w:w="7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2,376</w:t>
            </w:r>
          </w:p>
        </w:tc>
        <w:tc>
          <w:tcPr>
            <w:tcW w:w="1120" w:type="dxa"/>
            <w:vAlign w:val="bottom"/>
            <w:gridSpan w:val="3"/>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1,794</w:t>
            </w:r>
          </w:p>
        </w:tc>
      </w:tr>
      <w:tr>
        <w:trPr>
          <w:trHeight w:val="250"/>
        </w:trPr>
        <w:tc>
          <w:tcPr>
            <w:tcW w:w="3760" w:type="dxa"/>
            <w:vAlign w:val="bottom"/>
          </w:tcPr>
          <w:p>
            <w:pPr>
              <w:spacing w:after="0" w:line="250" w:lineRule="exact"/>
              <w:rPr>
                <w:sz w:val="20"/>
                <w:szCs w:val="20"/>
                <w:color w:val="auto"/>
              </w:rPr>
            </w:pPr>
            <w:r>
              <w:rPr>
                <w:rFonts w:ascii="Arial" w:cs="Arial" w:eastAsia="Arial" w:hAnsi="Arial"/>
                <w:sz w:val="22"/>
                <w:szCs w:val="22"/>
                <w:b w:val="1"/>
                <w:bCs w:val="1"/>
                <w:color w:val="auto"/>
              </w:rPr>
              <w:t>Total financial liabilities</w:t>
            </w:r>
          </w:p>
        </w:tc>
        <w:tc>
          <w:tcPr>
            <w:tcW w:w="33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12,459</w:t>
            </w:r>
          </w:p>
        </w:tc>
        <w:tc>
          <w:tcPr>
            <w:tcW w:w="36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52,409</w:t>
            </w:r>
          </w:p>
        </w:tc>
        <w:tc>
          <w:tcPr>
            <w:tcW w:w="36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22,895</w:t>
            </w:r>
          </w:p>
        </w:tc>
        <w:tc>
          <w:tcPr>
            <w:tcW w:w="36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25,301</w:t>
            </w:r>
          </w:p>
        </w:tc>
        <w:tc>
          <w:tcPr>
            <w:tcW w:w="6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6"/>
        </w:trPr>
        <w:tc>
          <w:tcPr>
            <w:tcW w:w="3760" w:type="dxa"/>
            <w:vAlign w:val="bottom"/>
          </w:tcPr>
          <w:p>
            <w:pPr>
              <w:spacing w:after="0"/>
              <w:rPr>
                <w:sz w:val="24"/>
                <w:szCs w:val="24"/>
                <w:color w:val="auto"/>
              </w:rPr>
            </w:pPr>
          </w:p>
        </w:tc>
        <w:tc>
          <w:tcPr>
            <w:tcW w:w="4000" w:type="dxa"/>
            <w:vAlign w:val="bottom"/>
            <w:gridSpan w:val="2"/>
          </w:tcPr>
          <w:p>
            <w:pPr>
              <w:jc w:val="right"/>
              <w:ind w:right="1952"/>
              <w:spacing w:after="0"/>
              <w:rPr>
                <w:sz w:val="20"/>
                <w:szCs w:val="20"/>
                <w:color w:val="auto"/>
              </w:rPr>
            </w:pPr>
            <w:r>
              <w:rPr>
                <w:rFonts w:ascii="Arial" w:cs="Arial" w:eastAsia="Arial" w:hAnsi="Arial"/>
                <w:sz w:val="22"/>
                <w:szCs w:val="22"/>
                <w:color w:val="auto"/>
              </w:rPr>
              <w:t>F-35</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130"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280" w:firstLine="551"/>
        <w:spacing w:after="0" w:line="250" w:lineRule="auto"/>
        <w:rPr>
          <w:sz w:val="20"/>
          <w:szCs w:val="20"/>
          <w:color w:val="auto"/>
        </w:rPr>
      </w:pPr>
      <w:r>
        <w:rPr>
          <w:rFonts w:ascii="Arial" w:cs="Arial" w:eastAsia="Arial" w:hAnsi="Arial"/>
          <w:sz w:val="22"/>
          <w:szCs w:val="22"/>
          <w:color w:val="auto"/>
        </w:rPr>
        <w:t>The carrying values of financial assets and financial liabilities recorded at amortized cost in the consolidated financial statements are approximately equal to their fair values.</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3500" w:type="dxa"/>
            <w:vAlign w:val="bottom"/>
            <w:gridSpan w:val="2"/>
          </w:tcPr>
          <w:p>
            <w:pPr>
              <w:spacing w:after="0"/>
              <w:rPr>
                <w:sz w:val="20"/>
                <w:szCs w:val="20"/>
                <w:color w:val="auto"/>
              </w:rPr>
            </w:pPr>
            <w:r>
              <w:rPr>
                <w:rFonts w:ascii="Arial" w:cs="Arial" w:eastAsia="Arial" w:hAnsi="Arial"/>
                <w:sz w:val="22"/>
                <w:szCs w:val="22"/>
                <w:i w:val="1"/>
                <w:iCs w:val="1"/>
                <w:color w:val="auto"/>
              </w:rPr>
              <w:t>Fair value hierarchy</w:t>
            </w: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9"/>
          </w:tcPr>
          <w:p>
            <w:pPr>
              <w:ind w:left="680"/>
              <w:spacing w:after="0"/>
              <w:rPr>
                <w:sz w:val="20"/>
                <w:szCs w:val="20"/>
                <w:color w:val="auto"/>
              </w:rPr>
            </w:pPr>
            <w:r>
              <w:rPr>
                <w:rFonts w:ascii="Arial" w:cs="Arial" w:eastAsia="Arial" w:hAnsi="Arial"/>
                <w:sz w:val="22"/>
                <w:szCs w:val="22"/>
                <w:b w:val="1"/>
                <w:bCs w:val="1"/>
                <w:color w:val="auto"/>
              </w:rPr>
              <w:t>Fair value measurement using</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Borders>
              <w:top w:val="single" w:sz="8" w:color="auto"/>
            </w:tcBorders>
            <w:gridSpan w:val="4"/>
          </w:tcPr>
          <w:p>
            <w:pPr>
              <w:jc w:val="center"/>
              <w:ind w:right="400"/>
              <w:spacing w:after="0" w:line="209" w:lineRule="exact"/>
              <w:rPr>
                <w:sz w:val="20"/>
                <w:szCs w:val="20"/>
                <w:color w:val="auto"/>
              </w:rPr>
            </w:pPr>
            <w:r>
              <w:rPr>
                <w:rFonts w:ascii="Arial" w:cs="Arial" w:eastAsia="Arial" w:hAnsi="Arial"/>
                <w:sz w:val="22"/>
                <w:szCs w:val="22"/>
                <w:b w:val="1"/>
                <w:bCs w:val="1"/>
                <w:color w:val="auto"/>
                <w:w w:val="87"/>
              </w:rPr>
              <w:t>Quoted prices</w:t>
            </w:r>
          </w:p>
        </w:tc>
        <w:tc>
          <w:tcPr>
            <w:tcW w:w="1400" w:type="dxa"/>
            <w:vAlign w:val="bottom"/>
            <w:tcBorders>
              <w:top w:val="single" w:sz="8" w:color="auto"/>
            </w:tcBorders>
            <w:gridSpan w:val="4"/>
          </w:tcPr>
          <w:p>
            <w:pPr>
              <w:jc w:val="center"/>
              <w:ind w:right="420"/>
              <w:spacing w:after="0" w:line="209" w:lineRule="exact"/>
              <w:rPr>
                <w:sz w:val="20"/>
                <w:szCs w:val="20"/>
                <w:color w:val="auto"/>
              </w:rPr>
            </w:pPr>
            <w:r>
              <w:rPr>
                <w:rFonts w:ascii="Arial" w:cs="Arial" w:eastAsia="Arial" w:hAnsi="Arial"/>
                <w:sz w:val="22"/>
                <w:szCs w:val="22"/>
                <w:b w:val="1"/>
                <w:bCs w:val="1"/>
                <w:color w:val="auto"/>
                <w:w w:val="87"/>
              </w:rPr>
              <w:t>Significant</w:t>
            </w:r>
          </w:p>
        </w:tc>
        <w:tc>
          <w:tcPr>
            <w:tcW w:w="1240" w:type="dxa"/>
            <w:vAlign w:val="bottom"/>
            <w:tcBorders>
              <w:top w:val="single" w:sz="8" w:color="auto"/>
            </w:tcBorders>
          </w:tcPr>
          <w:p>
            <w:pPr>
              <w:jc w:val="center"/>
              <w:spacing w:after="0" w:line="209" w:lineRule="exact"/>
              <w:rPr>
                <w:sz w:val="20"/>
                <w:szCs w:val="20"/>
                <w:color w:val="auto"/>
              </w:rPr>
            </w:pPr>
            <w:r>
              <w:rPr>
                <w:rFonts w:ascii="Arial" w:cs="Arial" w:eastAsia="Arial" w:hAnsi="Arial"/>
                <w:sz w:val="22"/>
                <w:szCs w:val="22"/>
                <w:b w:val="1"/>
                <w:bCs w:val="1"/>
                <w:color w:val="auto"/>
                <w:w w:val="88"/>
              </w:rPr>
              <w:t>Significant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Liabilities measured at fair</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3"/>
          </w:tcPr>
          <w:p>
            <w:pPr>
              <w:jc w:val="center"/>
              <w:ind w:right="500"/>
              <w:spacing w:after="0" w:line="243" w:lineRule="exact"/>
              <w:rPr>
                <w:sz w:val="20"/>
                <w:szCs w:val="20"/>
                <w:color w:val="auto"/>
              </w:rPr>
            </w:pPr>
            <w:r>
              <w:rPr>
                <w:rFonts w:ascii="Arial" w:cs="Arial" w:eastAsia="Arial" w:hAnsi="Arial"/>
                <w:sz w:val="22"/>
                <w:szCs w:val="22"/>
                <w:b w:val="1"/>
                <w:bCs w:val="1"/>
                <w:color w:val="auto"/>
                <w:w w:val="88"/>
              </w:rPr>
              <w:t>in active</w:t>
            </w:r>
          </w:p>
        </w:tc>
        <w:tc>
          <w:tcPr>
            <w:tcW w:w="1400" w:type="dxa"/>
            <w:vAlign w:val="bottom"/>
            <w:gridSpan w:val="4"/>
          </w:tcPr>
          <w:p>
            <w:pPr>
              <w:jc w:val="center"/>
              <w:ind w:right="420"/>
              <w:spacing w:after="0" w:line="243" w:lineRule="exact"/>
              <w:rPr>
                <w:sz w:val="20"/>
                <w:szCs w:val="20"/>
                <w:color w:val="auto"/>
              </w:rPr>
            </w:pPr>
            <w:r>
              <w:rPr>
                <w:rFonts w:ascii="Arial" w:cs="Arial" w:eastAsia="Arial" w:hAnsi="Arial"/>
                <w:sz w:val="22"/>
                <w:szCs w:val="22"/>
                <w:b w:val="1"/>
                <w:bCs w:val="1"/>
                <w:color w:val="auto"/>
                <w:w w:val="84"/>
              </w:rPr>
              <w:t>observable</w:t>
            </w:r>
          </w:p>
        </w:tc>
        <w:tc>
          <w:tcPr>
            <w:tcW w:w="1300" w:type="dxa"/>
            <w:vAlign w:val="bottom"/>
            <w:gridSpan w:val="2"/>
          </w:tcPr>
          <w:p>
            <w:pPr>
              <w:jc w:val="center"/>
              <w:ind w:right="60"/>
              <w:spacing w:after="0" w:line="243" w:lineRule="exact"/>
              <w:rPr>
                <w:sz w:val="20"/>
                <w:szCs w:val="20"/>
                <w:color w:val="auto"/>
              </w:rPr>
            </w:pPr>
            <w:r>
              <w:rPr>
                <w:rFonts w:ascii="Arial" w:cs="Arial" w:eastAsia="Arial" w:hAnsi="Arial"/>
                <w:sz w:val="22"/>
                <w:szCs w:val="22"/>
                <w:b w:val="1"/>
                <w:bCs w:val="1"/>
                <w:color w:val="auto"/>
                <w:w w:val="86"/>
              </w:rPr>
              <w:t>unobservable</w:t>
            </w:r>
          </w:p>
        </w:tc>
        <w:tc>
          <w:tcPr>
            <w:tcW w:w="0" w:type="dxa"/>
            <w:vAlign w:val="bottom"/>
          </w:tcPr>
          <w:p>
            <w:pPr>
              <w:spacing w:after="0"/>
              <w:rPr>
                <w:sz w:val="1"/>
                <w:szCs w:val="1"/>
                <w:color w:val="auto"/>
              </w:rPr>
            </w:pPr>
          </w:p>
        </w:tc>
      </w:tr>
      <w:tr>
        <w:trPr>
          <w:trHeight w:val="230"/>
        </w:trPr>
        <w:tc>
          <w:tcPr>
            <w:tcW w:w="3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center"/>
              <w:ind w:right="480"/>
              <w:spacing w:after="0" w:line="229" w:lineRule="exact"/>
              <w:rPr>
                <w:sz w:val="20"/>
                <w:szCs w:val="20"/>
                <w:color w:val="auto"/>
              </w:rPr>
            </w:pPr>
            <w:r>
              <w:rPr>
                <w:rFonts w:ascii="Arial" w:cs="Arial" w:eastAsia="Arial" w:hAnsi="Arial"/>
                <w:sz w:val="22"/>
                <w:szCs w:val="22"/>
                <w:b w:val="1"/>
                <w:bCs w:val="1"/>
                <w:color w:val="auto"/>
                <w:w w:val="90"/>
              </w:rPr>
              <w:t>markets</w:t>
            </w:r>
          </w:p>
        </w:tc>
        <w:tc>
          <w:tcPr>
            <w:tcW w:w="40" w:type="dxa"/>
            <w:vAlign w:val="bottom"/>
          </w:tcPr>
          <w:p>
            <w:pPr>
              <w:spacing w:after="0"/>
              <w:rPr>
                <w:sz w:val="19"/>
                <w:szCs w:val="19"/>
                <w:color w:val="auto"/>
              </w:rPr>
            </w:pPr>
          </w:p>
        </w:tc>
        <w:tc>
          <w:tcPr>
            <w:tcW w:w="1360" w:type="dxa"/>
            <w:vAlign w:val="bottom"/>
            <w:gridSpan w:val="3"/>
          </w:tcPr>
          <w:p>
            <w:pPr>
              <w:jc w:val="center"/>
              <w:ind w:right="460"/>
              <w:spacing w:after="0" w:line="229" w:lineRule="exact"/>
              <w:rPr>
                <w:sz w:val="20"/>
                <w:szCs w:val="20"/>
                <w:color w:val="auto"/>
              </w:rPr>
            </w:pPr>
            <w:r>
              <w:rPr>
                <w:rFonts w:ascii="Arial" w:cs="Arial" w:eastAsia="Arial" w:hAnsi="Arial"/>
                <w:sz w:val="22"/>
                <w:szCs w:val="22"/>
                <w:b w:val="1"/>
                <w:bCs w:val="1"/>
                <w:color w:val="auto"/>
                <w:w w:val="87"/>
              </w:rPr>
              <w:t>inputs</w:t>
            </w:r>
          </w:p>
        </w:tc>
        <w:tc>
          <w:tcPr>
            <w:tcW w:w="1300" w:type="dxa"/>
            <w:vAlign w:val="bottom"/>
            <w:gridSpan w:val="2"/>
          </w:tcPr>
          <w:p>
            <w:pPr>
              <w:jc w:val="center"/>
              <w:ind w:right="80"/>
              <w:spacing w:after="0" w:line="229" w:lineRule="exact"/>
              <w:rPr>
                <w:sz w:val="20"/>
                <w:szCs w:val="20"/>
                <w:color w:val="auto"/>
              </w:rPr>
            </w:pPr>
            <w:r>
              <w:rPr>
                <w:rFonts w:ascii="Arial" w:cs="Arial" w:eastAsia="Arial" w:hAnsi="Arial"/>
                <w:sz w:val="22"/>
                <w:szCs w:val="22"/>
                <w:b w:val="1"/>
                <w:bCs w:val="1"/>
                <w:color w:val="auto"/>
                <w:w w:val="87"/>
              </w:rPr>
              <w:t>inputs</w:t>
            </w:r>
          </w:p>
        </w:tc>
        <w:tc>
          <w:tcPr>
            <w:tcW w:w="0" w:type="dxa"/>
            <w:vAlign w:val="bottom"/>
          </w:tcPr>
          <w:p>
            <w:pPr>
              <w:spacing w:after="0"/>
              <w:rPr>
                <w:sz w:val="1"/>
                <w:szCs w:val="1"/>
                <w:color w:val="auto"/>
              </w:rPr>
            </w:pPr>
          </w:p>
        </w:tc>
      </w:tr>
      <w:tr>
        <w:trPr>
          <w:trHeight w:val="277"/>
        </w:trPr>
        <w:tc>
          <w:tcPr>
            <w:tcW w:w="3500" w:type="dxa"/>
            <w:vAlign w:val="bottom"/>
            <w:gridSpan w:val="2"/>
          </w:tcPr>
          <w:p>
            <w:pPr>
              <w:spacing w:after="0"/>
              <w:rPr>
                <w:sz w:val="20"/>
                <w:szCs w:val="20"/>
                <w:color w:val="auto"/>
              </w:rPr>
            </w:pPr>
            <w:r>
              <w:rPr>
                <w:rFonts w:ascii="Arial" w:cs="Arial" w:eastAsia="Arial" w:hAnsi="Arial"/>
                <w:sz w:val="22"/>
                <w:szCs w:val="22"/>
                <w:b w:val="1"/>
                <w:bCs w:val="1"/>
                <w:color w:val="auto"/>
              </w:rPr>
              <w:t>value</w:t>
            </w:r>
          </w:p>
        </w:tc>
        <w:tc>
          <w:tcPr>
            <w:tcW w:w="2140" w:type="dxa"/>
            <w:vAlign w:val="bottom"/>
            <w:gridSpan w:val="4"/>
          </w:tcPr>
          <w:p>
            <w:pPr>
              <w:ind w:left="80"/>
              <w:spacing w:after="0"/>
              <w:rPr>
                <w:sz w:val="20"/>
                <w:szCs w:val="20"/>
                <w:color w:val="auto"/>
              </w:rPr>
            </w:pPr>
            <w:r>
              <w:rPr>
                <w:rFonts w:ascii="Arial" w:cs="Arial" w:eastAsia="Arial" w:hAnsi="Arial"/>
                <w:sz w:val="22"/>
                <w:szCs w:val="22"/>
                <w:b w:val="1"/>
                <w:bCs w:val="1"/>
                <w:color w:val="auto"/>
              </w:rPr>
              <w:t>Date of valuation</w:t>
            </w:r>
          </w:p>
        </w:tc>
        <w:tc>
          <w:tcPr>
            <w:tcW w:w="980" w:type="dxa"/>
            <w:vAlign w:val="bottom"/>
            <w:gridSpan w:val="4"/>
          </w:tcPr>
          <w:p>
            <w:pPr>
              <w:jc w:val="right"/>
              <w:ind w:right="440"/>
              <w:spacing w:after="0"/>
              <w:rPr>
                <w:sz w:val="20"/>
                <w:szCs w:val="20"/>
                <w:color w:val="auto"/>
              </w:rPr>
            </w:pPr>
            <w:r>
              <w:rPr>
                <w:rFonts w:ascii="Arial" w:cs="Arial" w:eastAsia="Arial" w:hAnsi="Arial"/>
                <w:sz w:val="22"/>
                <w:szCs w:val="22"/>
                <w:b w:val="1"/>
                <w:bCs w:val="1"/>
                <w:color w:val="auto"/>
                <w:w w:val="98"/>
              </w:rPr>
              <w:t>Total</w:t>
            </w:r>
          </w:p>
        </w:tc>
        <w:tc>
          <w:tcPr>
            <w:tcW w:w="100" w:type="dxa"/>
            <w:vAlign w:val="bottom"/>
          </w:tcPr>
          <w:p>
            <w:pPr>
              <w:spacing w:after="0"/>
              <w:rPr>
                <w:sz w:val="24"/>
                <w:szCs w:val="24"/>
                <w:color w:val="auto"/>
              </w:rPr>
            </w:pPr>
          </w:p>
        </w:tc>
        <w:tc>
          <w:tcPr>
            <w:tcW w:w="1600" w:type="dxa"/>
            <w:vAlign w:val="bottom"/>
            <w:gridSpan w:val="3"/>
          </w:tcPr>
          <w:p>
            <w:pPr>
              <w:jc w:val="center"/>
              <w:ind w:right="500"/>
              <w:spacing w:after="0"/>
              <w:rPr>
                <w:sz w:val="20"/>
                <w:szCs w:val="20"/>
                <w:color w:val="auto"/>
              </w:rPr>
            </w:pPr>
            <w:r>
              <w:rPr>
                <w:rFonts w:ascii="Arial" w:cs="Arial" w:eastAsia="Arial" w:hAnsi="Arial"/>
                <w:sz w:val="22"/>
                <w:szCs w:val="22"/>
                <w:b w:val="1"/>
                <w:bCs w:val="1"/>
                <w:color w:val="auto"/>
                <w:w w:val="90"/>
              </w:rPr>
              <w:t>(level 1)</w:t>
            </w:r>
          </w:p>
        </w:tc>
        <w:tc>
          <w:tcPr>
            <w:tcW w:w="40" w:type="dxa"/>
            <w:vAlign w:val="bottom"/>
          </w:tcPr>
          <w:p>
            <w:pPr>
              <w:spacing w:after="0"/>
              <w:rPr>
                <w:sz w:val="24"/>
                <w:szCs w:val="24"/>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22"/>
                <w:szCs w:val="22"/>
                <w:b w:val="1"/>
                <w:bCs w:val="1"/>
                <w:color w:val="auto"/>
                <w:w w:val="91"/>
              </w:rPr>
              <w:t>(Level 2)</w:t>
            </w:r>
          </w:p>
        </w:tc>
        <w:tc>
          <w:tcPr>
            <w:tcW w:w="1300" w:type="dxa"/>
            <w:vAlign w:val="bottom"/>
            <w:gridSpan w:val="2"/>
          </w:tcPr>
          <w:p>
            <w:pPr>
              <w:jc w:val="center"/>
              <w:ind w:right="60"/>
              <w:spacing w:after="0"/>
              <w:rPr>
                <w:sz w:val="20"/>
                <w:szCs w:val="20"/>
                <w:color w:val="auto"/>
              </w:rPr>
            </w:pPr>
            <w:r>
              <w:rPr>
                <w:rFonts w:ascii="Arial" w:cs="Arial" w:eastAsia="Arial" w:hAnsi="Arial"/>
                <w:sz w:val="22"/>
                <w:szCs w:val="22"/>
                <w:b w:val="1"/>
                <w:bCs w:val="1"/>
                <w:color w:val="auto"/>
                <w:w w:val="89"/>
              </w:rPr>
              <w:t>(Level 3)</w:t>
            </w:r>
          </w:p>
        </w:tc>
        <w:tc>
          <w:tcPr>
            <w:tcW w:w="0" w:type="dxa"/>
            <w:vAlign w:val="bottom"/>
          </w:tcPr>
          <w:p>
            <w:pPr>
              <w:spacing w:after="0"/>
              <w:rPr>
                <w:sz w:val="1"/>
                <w:szCs w:val="1"/>
                <w:color w:val="auto"/>
              </w:rPr>
            </w:pPr>
          </w:p>
        </w:tc>
      </w:tr>
      <w:tr>
        <w:trPr>
          <w:trHeight w:val="243"/>
        </w:trPr>
        <w:tc>
          <w:tcPr>
            <w:tcW w:w="2500" w:type="dxa"/>
            <w:vAlign w:val="bottom"/>
            <w:tcBorders>
              <w:top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Borders>
              <w:top w:val="single" w:sz="8" w:color="auto"/>
            </w:tcBorders>
            <w:gridSpan w:val="2"/>
          </w:tcPr>
          <w:p>
            <w:pPr>
              <w:jc w:val="right"/>
              <w:spacing w:after="0" w:line="243" w:lineRule="exact"/>
              <w:rPr>
                <w:sz w:val="20"/>
                <w:szCs w:val="20"/>
                <w:color w:val="auto"/>
              </w:rPr>
            </w:pPr>
            <w:r>
              <w:rPr>
                <w:rFonts w:ascii="Arial" w:cs="Arial" w:eastAsia="Arial" w:hAnsi="Arial"/>
                <w:sz w:val="22"/>
                <w:szCs w:val="22"/>
                <w:b w:val="1"/>
                <w:bCs w:val="1"/>
                <w:color w:val="auto"/>
                <w:w w:val="86"/>
              </w:rPr>
              <w:t>£’000s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6"/>
              </w:rPr>
              <w:t>£’000s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6"/>
              </w:rPr>
              <w:t>£’000s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£’000s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50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Provision for deferred consideration</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(Note 18)</w:t>
            </w:r>
          </w:p>
        </w:tc>
        <w:tc>
          <w:tcPr>
            <w:tcW w:w="2140" w:type="dxa"/>
            <w:vAlign w:val="bottom"/>
            <w:gridSpan w:val="4"/>
            <w:shd w:val="clear" w:color="auto" w:fill="CCEEFF"/>
          </w:tcPr>
          <w:p>
            <w:pPr>
              <w:ind w:left="60"/>
              <w:spacing w:after="0"/>
              <w:rPr>
                <w:sz w:val="20"/>
                <w:szCs w:val="20"/>
                <w:color w:val="auto"/>
              </w:rPr>
            </w:pPr>
            <w:r>
              <w:rPr>
                <w:rFonts w:ascii="Arial" w:cs="Arial" w:eastAsia="Arial" w:hAnsi="Arial"/>
                <w:sz w:val="22"/>
                <w:szCs w:val="22"/>
                <w:color w:val="auto"/>
              </w:rPr>
              <w:t>December 31, 2021</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22"/>
                <w:szCs w:val="22"/>
                <w:color w:val="auto"/>
              </w:rPr>
              <w:t>4,123</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ind w:left="880"/>
              <w:spacing w:after="0"/>
              <w:rPr>
                <w:sz w:val="20"/>
                <w:szCs w:val="20"/>
                <w:color w:val="auto"/>
              </w:rPr>
            </w:pPr>
            <w:r>
              <w:rPr>
                <w:rFonts w:ascii="Arial" w:cs="Arial" w:eastAsia="Arial" w:hAnsi="Arial"/>
                <w:sz w:val="22"/>
                <w:szCs w:val="22"/>
                <w:color w:val="auto"/>
              </w:rPr>
              <w:t>—</w:t>
            </w:r>
          </w:p>
        </w:tc>
        <w:tc>
          <w:tcPr>
            <w:tcW w:w="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ind w:left="620"/>
              <w:spacing w:after="0"/>
              <w:rPr>
                <w:sz w:val="20"/>
                <w:szCs w:val="20"/>
                <w:color w:val="auto"/>
              </w:rPr>
            </w:pPr>
            <w:r>
              <w:rPr>
                <w:rFonts w:ascii="Arial" w:cs="Arial" w:eastAsia="Arial" w:hAnsi="Arial"/>
                <w:sz w:val="22"/>
                <w:szCs w:val="22"/>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4,123</w:t>
            </w:r>
          </w:p>
        </w:tc>
        <w:tc>
          <w:tcPr>
            <w:tcW w:w="0" w:type="dxa"/>
            <w:vAlign w:val="bottom"/>
          </w:tcPr>
          <w:p>
            <w:pPr>
              <w:spacing w:after="0"/>
              <w:rPr>
                <w:sz w:val="1"/>
                <w:szCs w:val="1"/>
                <w:color w:val="auto"/>
              </w:rPr>
            </w:pPr>
          </w:p>
        </w:tc>
      </w:tr>
      <w:tr>
        <w:trPr>
          <w:trHeight w:val="274"/>
        </w:trPr>
        <w:tc>
          <w:tcPr>
            <w:tcW w:w="3500" w:type="dxa"/>
            <w:vAlign w:val="bottom"/>
            <w:gridSpan w:val="2"/>
          </w:tcPr>
          <w:p>
            <w:pPr>
              <w:spacing w:after="0"/>
              <w:rPr>
                <w:sz w:val="20"/>
                <w:szCs w:val="20"/>
                <w:color w:val="auto"/>
              </w:rPr>
            </w:pPr>
            <w:r>
              <w:rPr>
                <w:rFonts w:ascii="Arial" w:cs="Arial" w:eastAsia="Arial" w:hAnsi="Arial"/>
                <w:sz w:val="22"/>
                <w:szCs w:val="22"/>
                <w:color w:val="auto"/>
              </w:rPr>
              <w:t>Warrant liability (Note 20)</w:t>
            </w:r>
          </w:p>
        </w:tc>
        <w:tc>
          <w:tcPr>
            <w:tcW w:w="2140" w:type="dxa"/>
            <w:vAlign w:val="bottom"/>
            <w:gridSpan w:val="4"/>
          </w:tcPr>
          <w:p>
            <w:pPr>
              <w:ind w:left="60"/>
              <w:spacing w:after="0"/>
              <w:rPr>
                <w:sz w:val="20"/>
                <w:szCs w:val="20"/>
                <w:color w:val="auto"/>
              </w:rPr>
            </w:pPr>
            <w:r>
              <w:rPr>
                <w:rFonts w:ascii="Arial" w:cs="Arial" w:eastAsia="Arial" w:hAnsi="Arial"/>
                <w:sz w:val="22"/>
                <w:szCs w:val="22"/>
                <w:color w:val="auto"/>
              </w:rPr>
              <w:t>December 31, 2021</w:t>
            </w:r>
          </w:p>
        </w:tc>
        <w:tc>
          <w:tcPr>
            <w:tcW w:w="720" w:type="dxa"/>
            <w:vAlign w:val="bottom"/>
            <w:gridSpan w:val="3"/>
          </w:tcPr>
          <w:p>
            <w:pPr>
              <w:jc w:val="right"/>
              <w:ind w:right="120"/>
              <w:spacing w:after="0"/>
              <w:rPr>
                <w:sz w:val="20"/>
                <w:szCs w:val="20"/>
                <w:color w:val="auto"/>
              </w:rPr>
            </w:pPr>
            <w:r>
              <w:rPr>
                <w:rFonts w:ascii="Arial" w:cs="Arial" w:eastAsia="Arial" w:hAnsi="Arial"/>
                <w:sz w:val="22"/>
                <w:szCs w:val="22"/>
                <w:color w:val="auto"/>
              </w:rPr>
              <w:t>8,336</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3"/>
          </w:tcPr>
          <w:p>
            <w:pPr>
              <w:ind w:left="880"/>
              <w:spacing w:after="0"/>
              <w:rPr>
                <w:sz w:val="20"/>
                <w:szCs w:val="20"/>
                <w:color w:val="auto"/>
              </w:rPr>
            </w:pPr>
            <w:r>
              <w:rPr>
                <w:rFonts w:ascii="Arial" w:cs="Arial" w:eastAsia="Arial" w:hAnsi="Arial"/>
                <w:sz w:val="22"/>
                <w:szCs w:val="22"/>
                <w:color w:val="auto"/>
              </w:rPr>
              <w:t>—</w:t>
            </w:r>
          </w:p>
        </w:tc>
        <w:tc>
          <w:tcPr>
            <w:tcW w:w="1040" w:type="dxa"/>
            <w:vAlign w:val="bottom"/>
            <w:gridSpan w:val="3"/>
          </w:tcPr>
          <w:p>
            <w:pPr>
              <w:ind w:left="660"/>
              <w:spacing w:after="0"/>
              <w:rPr>
                <w:sz w:val="20"/>
                <w:szCs w:val="20"/>
                <w:color w:val="auto"/>
              </w:rPr>
            </w:pPr>
            <w:r>
              <w:rPr>
                <w:rFonts w:ascii="Arial" w:cs="Arial" w:eastAsia="Arial" w:hAnsi="Arial"/>
                <w:sz w:val="22"/>
                <w:szCs w:val="22"/>
                <w:color w:val="auto"/>
                <w:w w:val="97"/>
              </w:rPr>
              <w:t>341</w:t>
            </w:r>
          </w:p>
        </w:tc>
        <w:tc>
          <w:tcPr>
            <w:tcW w:w="36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2"/>
                <w:szCs w:val="22"/>
                <w:color w:val="auto"/>
              </w:rPr>
              <w:t>7,995</w:t>
            </w:r>
          </w:p>
        </w:tc>
        <w:tc>
          <w:tcPr>
            <w:tcW w:w="0" w:type="dxa"/>
            <w:vAlign w:val="bottom"/>
          </w:tcPr>
          <w:p>
            <w:pPr>
              <w:spacing w:after="0"/>
              <w:rPr>
                <w:sz w:val="1"/>
                <w:szCs w:val="1"/>
                <w:color w:val="auto"/>
              </w:rPr>
            </w:pPr>
          </w:p>
        </w:tc>
      </w:tr>
      <w:tr>
        <w:trPr>
          <w:trHeight w:val="455"/>
        </w:trPr>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9"/>
          </w:tcPr>
          <w:p>
            <w:pPr>
              <w:jc w:val="center"/>
              <w:ind w:right="60"/>
              <w:spacing w:after="0"/>
              <w:rPr>
                <w:sz w:val="20"/>
                <w:szCs w:val="20"/>
                <w:color w:val="auto"/>
              </w:rPr>
            </w:pPr>
            <w:r>
              <w:rPr>
                <w:rFonts w:ascii="Arial" w:cs="Arial" w:eastAsia="Arial" w:hAnsi="Arial"/>
                <w:sz w:val="22"/>
                <w:szCs w:val="22"/>
                <w:b w:val="1"/>
                <w:bCs w:val="1"/>
                <w:color w:val="auto"/>
                <w:w w:val="88"/>
              </w:rPr>
              <w:t>Fair value measurement using</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gridSpan w:val="3"/>
          </w:tcPr>
          <w:p>
            <w:pPr>
              <w:jc w:val="center"/>
              <w:ind w:right="300"/>
              <w:spacing w:after="0" w:line="209" w:lineRule="exact"/>
              <w:rPr>
                <w:sz w:val="20"/>
                <w:szCs w:val="20"/>
                <w:color w:val="auto"/>
              </w:rPr>
            </w:pPr>
            <w:r>
              <w:rPr>
                <w:rFonts w:ascii="Arial" w:cs="Arial" w:eastAsia="Arial" w:hAnsi="Arial"/>
                <w:sz w:val="22"/>
                <w:szCs w:val="22"/>
                <w:b w:val="1"/>
                <w:bCs w:val="1"/>
                <w:color w:val="auto"/>
                <w:w w:val="87"/>
              </w:rPr>
              <w:t>Quoted prices</w:t>
            </w:r>
          </w:p>
        </w:tc>
        <w:tc>
          <w:tcPr>
            <w:tcW w:w="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center"/>
              <w:ind w:right="360"/>
              <w:spacing w:after="0" w:line="209" w:lineRule="exact"/>
              <w:rPr>
                <w:sz w:val="20"/>
                <w:szCs w:val="20"/>
                <w:color w:val="auto"/>
              </w:rPr>
            </w:pPr>
            <w:r>
              <w:rPr>
                <w:rFonts w:ascii="Arial" w:cs="Arial" w:eastAsia="Arial" w:hAnsi="Arial"/>
                <w:sz w:val="22"/>
                <w:szCs w:val="22"/>
                <w:b w:val="1"/>
                <w:bCs w:val="1"/>
                <w:color w:val="auto"/>
                <w:w w:val="88"/>
              </w:rPr>
              <w:t>Significant</w:t>
            </w:r>
          </w:p>
        </w:tc>
        <w:tc>
          <w:tcPr>
            <w:tcW w:w="1240" w:type="dxa"/>
            <w:vAlign w:val="bottom"/>
            <w:tcBorders>
              <w:top w:val="single" w:sz="8" w:color="auto"/>
            </w:tcBorders>
          </w:tcPr>
          <w:p>
            <w:pPr>
              <w:jc w:val="center"/>
              <w:spacing w:after="0" w:line="209" w:lineRule="exact"/>
              <w:rPr>
                <w:sz w:val="20"/>
                <w:szCs w:val="20"/>
                <w:color w:val="auto"/>
              </w:rPr>
            </w:pPr>
            <w:r>
              <w:rPr>
                <w:rFonts w:ascii="Arial" w:cs="Arial" w:eastAsia="Arial" w:hAnsi="Arial"/>
                <w:sz w:val="22"/>
                <w:szCs w:val="22"/>
                <w:b w:val="1"/>
                <w:bCs w:val="1"/>
                <w:color w:val="auto"/>
                <w:w w:val="88"/>
              </w:rPr>
              <w:t>Significant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Liabilities measured at fair</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3"/>
          </w:tcPr>
          <w:p>
            <w:pPr>
              <w:jc w:val="center"/>
              <w:ind w:right="300"/>
              <w:spacing w:after="0" w:line="243" w:lineRule="exact"/>
              <w:rPr>
                <w:sz w:val="20"/>
                <w:szCs w:val="20"/>
                <w:color w:val="auto"/>
              </w:rPr>
            </w:pPr>
            <w:r>
              <w:rPr>
                <w:rFonts w:ascii="Arial" w:cs="Arial" w:eastAsia="Arial" w:hAnsi="Arial"/>
                <w:sz w:val="22"/>
                <w:szCs w:val="22"/>
                <w:b w:val="1"/>
                <w:bCs w:val="1"/>
                <w:color w:val="auto"/>
                <w:w w:val="88"/>
              </w:rPr>
              <w:t>in active</w:t>
            </w:r>
          </w:p>
        </w:tc>
        <w:tc>
          <w:tcPr>
            <w:tcW w:w="40" w:type="dxa"/>
            <w:vAlign w:val="bottom"/>
          </w:tcPr>
          <w:p>
            <w:pPr>
              <w:spacing w:after="0"/>
              <w:rPr>
                <w:sz w:val="21"/>
                <w:szCs w:val="21"/>
                <w:color w:val="auto"/>
              </w:rPr>
            </w:pPr>
          </w:p>
        </w:tc>
        <w:tc>
          <w:tcPr>
            <w:tcW w:w="1360" w:type="dxa"/>
            <w:vAlign w:val="bottom"/>
            <w:gridSpan w:val="3"/>
          </w:tcPr>
          <w:p>
            <w:pPr>
              <w:jc w:val="center"/>
              <w:ind w:right="360"/>
              <w:spacing w:after="0" w:line="243" w:lineRule="exact"/>
              <w:rPr>
                <w:sz w:val="20"/>
                <w:szCs w:val="20"/>
                <w:color w:val="auto"/>
              </w:rPr>
            </w:pPr>
            <w:r>
              <w:rPr>
                <w:rFonts w:ascii="Arial" w:cs="Arial" w:eastAsia="Arial" w:hAnsi="Arial"/>
                <w:sz w:val="22"/>
                <w:szCs w:val="22"/>
                <w:b w:val="1"/>
                <w:bCs w:val="1"/>
                <w:color w:val="auto"/>
                <w:w w:val="86"/>
              </w:rPr>
              <w:t>observable</w:t>
            </w:r>
          </w:p>
        </w:tc>
        <w:tc>
          <w:tcPr>
            <w:tcW w:w="1300" w:type="dxa"/>
            <w:vAlign w:val="bottom"/>
            <w:gridSpan w:val="2"/>
          </w:tcPr>
          <w:p>
            <w:pPr>
              <w:jc w:val="center"/>
              <w:ind w:right="60"/>
              <w:spacing w:after="0" w:line="243" w:lineRule="exact"/>
              <w:rPr>
                <w:sz w:val="20"/>
                <w:szCs w:val="20"/>
                <w:color w:val="auto"/>
              </w:rPr>
            </w:pPr>
            <w:r>
              <w:rPr>
                <w:rFonts w:ascii="Arial" w:cs="Arial" w:eastAsia="Arial" w:hAnsi="Arial"/>
                <w:sz w:val="22"/>
                <w:szCs w:val="22"/>
                <w:b w:val="1"/>
                <w:bCs w:val="1"/>
                <w:color w:val="auto"/>
                <w:w w:val="86"/>
              </w:rPr>
              <w:t>unobservable</w:t>
            </w:r>
          </w:p>
        </w:tc>
        <w:tc>
          <w:tcPr>
            <w:tcW w:w="0" w:type="dxa"/>
            <w:vAlign w:val="bottom"/>
          </w:tcPr>
          <w:p>
            <w:pPr>
              <w:spacing w:after="0"/>
              <w:rPr>
                <w:sz w:val="1"/>
                <w:szCs w:val="1"/>
                <w:color w:val="auto"/>
              </w:rPr>
            </w:pPr>
          </w:p>
        </w:tc>
      </w:tr>
      <w:tr>
        <w:trPr>
          <w:trHeight w:val="230"/>
        </w:trPr>
        <w:tc>
          <w:tcPr>
            <w:tcW w:w="3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center"/>
              <w:ind w:right="320"/>
              <w:spacing w:after="0" w:line="229" w:lineRule="exact"/>
              <w:rPr>
                <w:sz w:val="20"/>
                <w:szCs w:val="20"/>
                <w:color w:val="auto"/>
              </w:rPr>
            </w:pPr>
            <w:r>
              <w:rPr>
                <w:rFonts w:ascii="Arial" w:cs="Arial" w:eastAsia="Arial" w:hAnsi="Arial"/>
                <w:sz w:val="22"/>
                <w:szCs w:val="22"/>
                <w:b w:val="1"/>
                <w:bCs w:val="1"/>
                <w:color w:val="auto"/>
                <w:w w:val="90"/>
              </w:rPr>
              <w:t>markets</w:t>
            </w:r>
          </w:p>
        </w:tc>
        <w:tc>
          <w:tcPr>
            <w:tcW w:w="40" w:type="dxa"/>
            <w:vAlign w:val="bottom"/>
          </w:tcPr>
          <w:p>
            <w:pPr>
              <w:spacing w:after="0"/>
              <w:rPr>
                <w:sz w:val="19"/>
                <w:szCs w:val="19"/>
                <w:color w:val="auto"/>
              </w:rPr>
            </w:pPr>
          </w:p>
        </w:tc>
        <w:tc>
          <w:tcPr>
            <w:tcW w:w="1360" w:type="dxa"/>
            <w:vAlign w:val="bottom"/>
            <w:gridSpan w:val="3"/>
          </w:tcPr>
          <w:p>
            <w:pPr>
              <w:jc w:val="center"/>
              <w:ind w:right="340"/>
              <w:spacing w:after="0" w:line="229" w:lineRule="exact"/>
              <w:rPr>
                <w:sz w:val="20"/>
                <w:szCs w:val="20"/>
                <w:color w:val="auto"/>
              </w:rPr>
            </w:pPr>
            <w:r>
              <w:rPr>
                <w:rFonts w:ascii="Arial" w:cs="Arial" w:eastAsia="Arial" w:hAnsi="Arial"/>
                <w:sz w:val="22"/>
                <w:szCs w:val="22"/>
                <w:b w:val="1"/>
                <w:bCs w:val="1"/>
                <w:color w:val="auto"/>
                <w:w w:val="87"/>
              </w:rPr>
              <w:t>inputs</w:t>
            </w:r>
          </w:p>
        </w:tc>
        <w:tc>
          <w:tcPr>
            <w:tcW w:w="1300" w:type="dxa"/>
            <w:vAlign w:val="bottom"/>
            <w:gridSpan w:val="2"/>
          </w:tcPr>
          <w:p>
            <w:pPr>
              <w:jc w:val="center"/>
              <w:ind w:right="80"/>
              <w:spacing w:after="0" w:line="229" w:lineRule="exact"/>
              <w:rPr>
                <w:sz w:val="20"/>
                <w:szCs w:val="20"/>
                <w:color w:val="auto"/>
              </w:rPr>
            </w:pPr>
            <w:r>
              <w:rPr>
                <w:rFonts w:ascii="Arial" w:cs="Arial" w:eastAsia="Arial" w:hAnsi="Arial"/>
                <w:sz w:val="22"/>
                <w:szCs w:val="22"/>
                <w:b w:val="1"/>
                <w:bCs w:val="1"/>
                <w:color w:val="auto"/>
                <w:w w:val="87"/>
              </w:rPr>
              <w:t>inputs</w:t>
            </w:r>
          </w:p>
        </w:tc>
        <w:tc>
          <w:tcPr>
            <w:tcW w:w="0" w:type="dxa"/>
            <w:vAlign w:val="bottom"/>
          </w:tcPr>
          <w:p>
            <w:pPr>
              <w:spacing w:after="0"/>
              <w:rPr>
                <w:sz w:val="1"/>
                <w:szCs w:val="1"/>
                <w:color w:val="auto"/>
              </w:rPr>
            </w:pPr>
          </w:p>
        </w:tc>
      </w:tr>
      <w:tr>
        <w:trPr>
          <w:trHeight w:val="277"/>
        </w:trPr>
        <w:tc>
          <w:tcPr>
            <w:tcW w:w="3500" w:type="dxa"/>
            <w:vAlign w:val="bottom"/>
            <w:gridSpan w:val="2"/>
          </w:tcPr>
          <w:p>
            <w:pPr>
              <w:spacing w:after="0"/>
              <w:rPr>
                <w:sz w:val="20"/>
                <w:szCs w:val="20"/>
                <w:color w:val="auto"/>
              </w:rPr>
            </w:pPr>
            <w:r>
              <w:rPr>
                <w:rFonts w:ascii="Arial" w:cs="Arial" w:eastAsia="Arial" w:hAnsi="Arial"/>
                <w:sz w:val="22"/>
                <w:szCs w:val="22"/>
                <w:b w:val="1"/>
                <w:bCs w:val="1"/>
                <w:color w:val="auto"/>
              </w:rPr>
              <w:t>value</w:t>
            </w:r>
          </w:p>
        </w:tc>
        <w:tc>
          <w:tcPr>
            <w:tcW w:w="120" w:type="dxa"/>
            <w:vAlign w:val="bottom"/>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22"/>
                <w:szCs w:val="22"/>
                <w:b w:val="1"/>
                <w:bCs w:val="1"/>
                <w:color w:val="auto"/>
              </w:rPr>
              <w:t>Date of valuation</w:t>
            </w:r>
          </w:p>
        </w:tc>
        <w:tc>
          <w:tcPr>
            <w:tcW w:w="80" w:type="dxa"/>
            <w:vAlign w:val="bottom"/>
          </w:tcPr>
          <w:p>
            <w:pPr>
              <w:spacing w:after="0"/>
              <w:rPr>
                <w:sz w:val="24"/>
                <w:szCs w:val="2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22"/>
                <w:szCs w:val="22"/>
                <w:b w:val="1"/>
                <w:bCs w:val="1"/>
                <w:color w:val="auto"/>
                <w:w w:val="91"/>
              </w:rPr>
              <w:t>Total</w:t>
            </w:r>
          </w:p>
        </w:tc>
        <w:tc>
          <w:tcPr>
            <w:tcW w:w="100" w:type="dxa"/>
            <w:vAlign w:val="bottom"/>
          </w:tcPr>
          <w:p>
            <w:pPr>
              <w:spacing w:after="0"/>
              <w:rPr>
                <w:sz w:val="24"/>
                <w:szCs w:val="2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22"/>
                <w:szCs w:val="22"/>
                <w:b w:val="1"/>
                <w:bCs w:val="1"/>
                <w:color w:val="auto"/>
                <w:w w:val="90"/>
              </w:rPr>
              <w:t>(level 1)</w:t>
            </w:r>
          </w:p>
        </w:tc>
        <w:tc>
          <w:tcPr>
            <w:tcW w:w="40" w:type="dxa"/>
            <w:vAlign w:val="bottom"/>
          </w:tcPr>
          <w:p>
            <w:pPr>
              <w:spacing w:after="0"/>
              <w:rPr>
                <w:sz w:val="24"/>
                <w:szCs w:val="2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22"/>
                <w:szCs w:val="22"/>
                <w:b w:val="1"/>
                <w:bCs w:val="1"/>
                <w:color w:val="auto"/>
                <w:w w:val="91"/>
              </w:rPr>
              <w:t>(Level 2)</w:t>
            </w:r>
          </w:p>
        </w:tc>
        <w:tc>
          <w:tcPr>
            <w:tcW w:w="1300" w:type="dxa"/>
            <w:vAlign w:val="bottom"/>
            <w:gridSpan w:val="2"/>
          </w:tcPr>
          <w:p>
            <w:pPr>
              <w:jc w:val="center"/>
              <w:ind w:right="60"/>
              <w:spacing w:after="0"/>
              <w:rPr>
                <w:sz w:val="20"/>
                <w:szCs w:val="20"/>
                <w:color w:val="auto"/>
              </w:rPr>
            </w:pPr>
            <w:r>
              <w:rPr>
                <w:rFonts w:ascii="Arial" w:cs="Arial" w:eastAsia="Arial" w:hAnsi="Arial"/>
                <w:sz w:val="22"/>
                <w:szCs w:val="22"/>
                <w:b w:val="1"/>
                <w:bCs w:val="1"/>
                <w:color w:val="auto"/>
                <w:w w:val="89"/>
              </w:rPr>
              <w:t>(Level 3)</w:t>
            </w:r>
          </w:p>
        </w:tc>
        <w:tc>
          <w:tcPr>
            <w:tcW w:w="0" w:type="dxa"/>
            <w:vAlign w:val="bottom"/>
          </w:tcPr>
          <w:p>
            <w:pPr>
              <w:spacing w:after="0"/>
              <w:rPr>
                <w:sz w:val="1"/>
                <w:szCs w:val="1"/>
                <w:color w:val="auto"/>
              </w:rPr>
            </w:pPr>
          </w:p>
        </w:tc>
      </w:tr>
      <w:tr>
        <w:trPr>
          <w:trHeight w:val="243"/>
        </w:trPr>
        <w:tc>
          <w:tcPr>
            <w:tcW w:w="2500" w:type="dxa"/>
            <w:vAlign w:val="bottom"/>
            <w:tcBorders>
              <w:top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top w:val="single" w:sz="8" w:color="auto"/>
            </w:tcBorders>
            <w:gridSpan w:val="2"/>
          </w:tcPr>
          <w:p>
            <w:pPr>
              <w:jc w:val="center"/>
              <w:spacing w:after="0" w:line="243" w:lineRule="exact"/>
              <w:rPr>
                <w:sz w:val="20"/>
                <w:szCs w:val="20"/>
                <w:color w:val="auto"/>
              </w:rPr>
            </w:pPr>
            <w:r>
              <w:rPr>
                <w:rFonts w:ascii="Arial" w:cs="Arial" w:eastAsia="Arial" w:hAnsi="Arial"/>
                <w:sz w:val="22"/>
                <w:szCs w:val="22"/>
                <w:b w:val="1"/>
                <w:bCs w:val="1"/>
                <w:color w:val="auto"/>
                <w:w w:val="86"/>
              </w:rPr>
              <w:t>£’000s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gridSpan w:val="2"/>
          </w:tcPr>
          <w:p>
            <w:pPr>
              <w:jc w:val="center"/>
              <w:spacing w:after="0" w:line="243" w:lineRule="exact"/>
              <w:rPr>
                <w:sz w:val="20"/>
                <w:szCs w:val="20"/>
                <w:color w:val="auto"/>
              </w:rPr>
            </w:pPr>
            <w:r>
              <w:rPr>
                <w:rFonts w:ascii="Arial" w:cs="Arial" w:eastAsia="Arial" w:hAnsi="Arial"/>
                <w:sz w:val="22"/>
                <w:szCs w:val="22"/>
                <w:b w:val="1"/>
                <w:bCs w:val="1"/>
                <w:color w:val="auto"/>
                <w:w w:val="86"/>
              </w:rPr>
              <w:t>£’000s</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Borders>
              <w:top w:val="single" w:sz="8" w:color="auto"/>
            </w:tcBorders>
            <w:gridSpan w:val="2"/>
          </w:tcPr>
          <w:p>
            <w:pPr>
              <w:jc w:val="center"/>
              <w:spacing w:after="0" w:line="243" w:lineRule="exact"/>
              <w:rPr>
                <w:sz w:val="20"/>
                <w:szCs w:val="20"/>
                <w:color w:val="auto"/>
              </w:rPr>
            </w:pPr>
            <w:r>
              <w:rPr>
                <w:rFonts w:ascii="Arial" w:cs="Arial" w:eastAsia="Arial" w:hAnsi="Arial"/>
                <w:sz w:val="22"/>
                <w:szCs w:val="22"/>
                <w:b w:val="1"/>
                <w:bCs w:val="1"/>
                <w:color w:val="auto"/>
                <w:w w:val="86"/>
              </w:rPr>
              <w:t>£’000s</w:t>
            </w:r>
          </w:p>
        </w:tc>
        <w:tc>
          <w:tcPr>
            <w:tcW w:w="360" w:type="dxa"/>
            <w:vAlign w:val="bottom"/>
          </w:tcPr>
          <w:p>
            <w:pPr>
              <w:spacing w:after="0"/>
              <w:rPr>
                <w:sz w:val="21"/>
                <w:szCs w:val="21"/>
                <w:color w:val="auto"/>
              </w:rPr>
            </w:pPr>
          </w:p>
        </w:tc>
        <w:tc>
          <w:tcPr>
            <w:tcW w:w="124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£’000s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500" w:type="dxa"/>
            <w:vAlign w:val="bottom"/>
            <w:gridSpan w:val="2"/>
            <w:shd w:val="clear" w:color="auto" w:fill="CCEEFF"/>
          </w:tcPr>
          <w:p>
            <w:pPr>
              <w:spacing w:after="0" w:line="222" w:lineRule="exact"/>
              <w:rPr>
                <w:sz w:val="20"/>
                <w:szCs w:val="20"/>
                <w:color w:val="auto"/>
              </w:rPr>
            </w:pPr>
            <w:r>
              <w:rPr>
                <w:rFonts w:ascii="Arial" w:cs="Arial" w:eastAsia="Arial" w:hAnsi="Arial"/>
                <w:sz w:val="22"/>
                <w:szCs w:val="22"/>
                <w:color w:val="auto"/>
              </w:rPr>
              <w:t>Provision for deferred consideration</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CEEFF"/>
          </w:tcPr>
          <w:p>
            <w:pPr>
              <w:ind w:left="220"/>
              <w:spacing w:after="0"/>
              <w:rPr>
                <w:sz w:val="20"/>
                <w:szCs w:val="20"/>
                <w:color w:val="auto"/>
              </w:rPr>
            </w:pPr>
            <w:r>
              <w:rPr>
                <w:rFonts w:ascii="Arial" w:cs="Arial" w:eastAsia="Arial" w:hAnsi="Arial"/>
                <w:sz w:val="22"/>
                <w:szCs w:val="22"/>
                <w:color w:val="auto"/>
              </w:rPr>
              <w:t>(Note 18)</w:t>
            </w:r>
          </w:p>
        </w:tc>
        <w:tc>
          <w:tcPr>
            <w:tcW w:w="120" w:type="dxa"/>
            <w:vAlign w:val="bottom"/>
            <w:shd w:val="clear" w:color="auto" w:fill="CCEEFF"/>
          </w:tcPr>
          <w:p>
            <w:pPr>
              <w:spacing w:after="0"/>
              <w:rPr>
                <w:sz w:val="22"/>
                <w:szCs w:val="22"/>
                <w:color w:val="auto"/>
              </w:rPr>
            </w:pPr>
          </w:p>
        </w:tc>
        <w:tc>
          <w:tcPr>
            <w:tcW w:w="2020" w:type="dxa"/>
            <w:vAlign w:val="bottom"/>
            <w:gridSpan w:val="3"/>
            <w:shd w:val="clear" w:color="auto" w:fill="CCEEFF"/>
          </w:tcPr>
          <w:p>
            <w:pPr>
              <w:ind w:left="60"/>
              <w:spacing w:after="0"/>
              <w:rPr>
                <w:sz w:val="20"/>
                <w:szCs w:val="20"/>
                <w:color w:val="auto"/>
              </w:rPr>
            </w:pPr>
            <w:r>
              <w:rPr>
                <w:rFonts w:ascii="Arial" w:cs="Arial" w:eastAsia="Arial" w:hAnsi="Arial"/>
                <w:sz w:val="22"/>
                <w:szCs w:val="22"/>
                <w:color w:val="auto"/>
              </w:rPr>
              <w:t>December 31, 2020</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22"/>
                <w:szCs w:val="22"/>
                <w:color w:val="auto"/>
              </w:rPr>
              <w:t>1,525</w:t>
            </w:r>
          </w:p>
        </w:tc>
        <w:tc>
          <w:tcPr>
            <w:tcW w:w="10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ind w:left="980"/>
              <w:spacing w:after="0"/>
              <w:rPr>
                <w:sz w:val="20"/>
                <w:szCs w:val="20"/>
                <w:color w:val="auto"/>
              </w:rPr>
            </w:pPr>
            <w:r>
              <w:rPr>
                <w:rFonts w:ascii="Arial" w:cs="Arial" w:eastAsia="Arial" w:hAnsi="Arial"/>
                <w:sz w:val="22"/>
                <w:szCs w:val="22"/>
                <w:color w:val="auto"/>
              </w:rPr>
              <w:t>—</w:t>
            </w:r>
          </w:p>
        </w:tc>
        <w:tc>
          <w:tcPr>
            <w:tcW w:w="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ind w:left="680"/>
              <w:spacing w:after="0"/>
              <w:rPr>
                <w:sz w:val="20"/>
                <w:szCs w:val="20"/>
                <w:color w:val="auto"/>
              </w:rPr>
            </w:pPr>
            <w:r>
              <w:rPr>
                <w:rFonts w:ascii="Arial" w:cs="Arial" w:eastAsia="Arial" w:hAnsi="Arial"/>
                <w:sz w:val="22"/>
                <w:szCs w:val="22"/>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1,525</w:t>
            </w:r>
          </w:p>
        </w:tc>
        <w:tc>
          <w:tcPr>
            <w:tcW w:w="0" w:type="dxa"/>
            <w:vAlign w:val="bottom"/>
          </w:tcPr>
          <w:p>
            <w:pPr>
              <w:spacing w:after="0"/>
              <w:rPr>
                <w:sz w:val="1"/>
                <w:szCs w:val="1"/>
                <w:color w:val="auto"/>
              </w:rPr>
            </w:pPr>
          </w:p>
        </w:tc>
      </w:tr>
      <w:tr>
        <w:trPr>
          <w:trHeight w:val="274"/>
        </w:trPr>
        <w:tc>
          <w:tcPr>
            <w:tcW w:w="3500" w:type="dxa"/>
            <w:vAlign w:val="bottom"/>
            <w:gridSpan w:val="2"/>
          </w:tcPr>
          <w:p>
            <w:pPr>
              <w:spacing w:after="0"/>
              <w:rPr>
                <w:sz w:val="20"/>
                <w:szCs w:val="20"/>
                <w:color w:val="auto"/>
              </w:rPr>
            </w:pPr>
            <w:r>
              <w:rPr>
                <w:rFonts w:ascii="Arial" w:cs="Arial" w:eastAsia="Arial" w:hAnsi="Arial"/>
                <w:sz w:val="22"/>
                <w:szCs w:val="22"/>
                <w:color w:val="auto"/>
              </w:rPr>
              <w:t>Warrant liability (Note 20)</w:t>
            </w:r>
          </w:p>
        </w:tc>
        <w:tc>
          <w:tcPr>
            <w:tcW w:w="120" w:type="dxa"/>
            <w:vAlign w:val="bottom"/>
          </w:tcPr>
          <w:p>
            <w:pPr>
              <w:spacing w:after="0"/>
              <w:rPr>
                <w:sz w:val="23"/>
                <w:szCs w:val="23"/>
                <w:color w:val="auto"/>
              </w:rPr>
            </w:pPr>
          </w:p>
        </w:tc>
        <w:tc>
          <w:tcPr>
            <w:tcW w:w="2020" w:type="dxa"/>
            <w:vAlign w:val="bottom"/>
            <w:gridSpan w:val="3"/>
          </w:tcPr>
          <w:p>
            <w:pPr>
              <w:ind w:left="60"/>
              <w:spacing w:after="0"/>
              <w:rPr>
                <w:sz w:val="20"/>
                <w:szCs w:val="20"/>
                <w:color w:val="auto"/>
              </w:rPr>
            </w:pPr>
            <w:r>
              <w:rPr>
                <w:rFonts w:ascii="Arial" w:cs="Arial" w:eastAsia="Arial" w:hAnsi="Arial"/>
                <w:sz w:val="22"/>
                <w:szCs w:val="22"/>
                <w:color w:val="auto"/>
              </w:rPr>
              <w:t>December 31, 2020</w:t>
            </w:r>
          </w:p>
        </w:tc>
        <w:tc>
          <w:tcPr>
            <w:tcW w:w="980" w:type="dxa"/>
            <w:vAlign w:val="bottom"/>
            <w:gridSpan w:val="4"/>
          </w:tcPr>
          <w:p>
            <w:pPr>
              <w:jc w:val="right"/>
              <w:ind w:right="260"/>
              <w:spacing w:after="0"/>
              <w:rPr>
                <w:sz w:val="20"/>
                <w:szCs w:val="20"/>
                <w:color w:val="auto"/>
              </w:rPr>
            </w:pPr>
            <w:r>
              <w:rPr>
                <w:rFonts w:ascii="Arial" w:cs="Arial" w:eastAsia="Arial" w:hAnsi="Arial"/>
                <w:sz w:val="22"/>
                <w:szCs w:val="22"/>
                <w:color w:val="auto"/>
              </w:rPr>
              <w:t>50,775</w:t>
            </w:r>
          </w:p>
        </w:tc>
        <w:tc>
          <w:tcPr>
            <w:tcW w:w="100" w:type="dxa"/>
            <w:vAlign w:val="bottom"/>
          </w:tcPr>
          <w:p>
            <w:pPr>
              <w:spacing w:after="0"/>
              <w:rPr>
                <w:sz w:val="23"/>
                <w:szCs w:val="23"/>
                <w:color w:val="auto"/>
              </w:rPr>
            </w:pPr>
          </w:p>
        </w:tc>
        <w:tc>
          <w:tcPr>
            <w:tcW w:w="1600" w:type="dxa"/>
            <w:vAlign w:val="bottom"/>
            <w:gridSpan w:val="3"/>
          </w:tcPr>
          <w:p>
            <w:pPr>
              <w:ind w:left="980"/>
              <w:spacing w:after="0"/>
              <w:rPr>
                <w:sz w:val="20"/>
                <w:szCs w:val="20"/>
                <w:color w:val="auto"/>
              </w:rPr>
            </w:pPr>
            <w:r>
              <w:rPr>
                <w:rFonts w:ascii="Arial" w:cs="Arial" w:eastAsia="Arial" w:hAnsi="Arial"/>
                <w:sz w:val="22"/>
                <w:szCs w:val="22"/>
                <w:color w:val="auto"/>
              </w:rPr>
              <w:t>—</w:t>
            </w:r>
          </w:p>
        </w:tc>
        <w:tc>
          <w:tcPr>
            <w:tcW w:w="1400" w:type="dxa"/>
            <w:vAlign w:val="bottom"/>
            <w:gridSpan w:val="4"/>
          </w:tcPr>
          <w:p>
            <w:pPr>
              <w:ind w:left="720"/>
              <w:spacing w:after="0"/>
              <w:rPr>
                <w:sz w:val="20"/>
                <w:szCs w:val="20"/>
                <w:color w:val="auto"/>
              </w:rPr>
            </w:pPr>
            <w:r>
              <w:rPr>
                <w:rFonts w:ascii="Arial" w:cs="Arial" w:eastAsia="Arial" w:hAnsi="Arial"/>
                <w:sz w:val="22"/>
                <w:szCs w:val="22"/>
                <w:color w:val="auto"/>
              </w:rPr>
              <w:t>845</w:t>
            </w:r>
          </w:p>
        </w:tc>
        <w:tc>
          <w:tcPr>
            <w:tcW w:w="1300" w:type="dxa"/>
            <w:vAlign w:val="bottom"/>
            <w:gridSpan w:val="2"/>
          </w:tcPr>
          <w:p>
            <w:pPr>
              <w:jc w:val="right"/>
              <w:ind w:right="60"/>
              <w:spacing w:after="0"/>
              <w:rPr>
                <w:sz w:val="20"/>
                <w:szCs w:val="20"/>
                <w:color w:val="auto"/>
              </w:rPr>
            </w:pPr>
            <w:r>
              <w:rPr>
                <w:rFonts w:ascii="Arial" w:cs="Arial" w:eastAsia="Arial" w:hAnsi="Arial"/>
                <w:sz w:val="22"/>
                <w:szCs w:val="22"/>
                <w:color w:val="auto"/>
              </w:rPr>
              <w:t>49,930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There were no transfers between Level 1 and Level 2 during the years ended December 31, 2021 and 2020.</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presents the changes in Level 3 items for the periods ended December 31, 2021 and December 31,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2020:</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20"/>
                <w:szCs w:val="20"/>
                <w:color w:val="auto"/>
                <w:w w:val="93"/>
              </w:rPr>
              <w:t>Provision for</w:t>
            </w:r>
          </w:p>
        </w:tc>
        <w:tc>
          <w:tcPr>
            <w:tcW w:w="280" w:type="dxa"/>
            <w:vAlign w:val="bottom"/>
          </w:tcPr>
          <w:p>
            <w:pPr>
              <w:spacing w:after="0"/>
              <w:rPr>
                <w:sz w:val="19"/>
                <w:szCs w:val="19"/>
                <w:color w:val="auto"/>
              </w:rPr>
            </w:pPr>
          </w:p>
        </w:tc>
        <w:tc>
          <w:tcPr>
            <w:tcW w:w="1720" w:type="dxa"/>
            <w:vAlign w:val="bottom"/>
            <w:gridSpan w:val="2"/>
          </w:tcPr>
          <w:p>
            <w:pPr>
              <w:jc w:val="center"/>
              <w:ind w:right="640"/>
              <w:spacing w:after="0"/>
              <w:rPr>
                <w:sz w:val="20"/>
                <w:szCs w:val="20"/>
                <w:color w:val="auto"/>
              </w:rPr>
            </w:pPr>
            <w:r>
              <w:rPr>
                <w:rFonts w:ascii="Arial" w:cs="Arial" w:eastAsia="Arial" w:hAnsi="Arial"/>
                <w:sz w:val="20"/>
                <w:szCs w:val="20"/>
                <w:color w:val="auto"/>
                <w:w w:val="93"/>
              </w:rPr>
              <w:t>Provision for</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20" w:type="dxa"/>
            <w:vAlign w:val="bottom"/>
            <w:gridSpan w:val="3"/>
          </w:tcPr>
          <w:p>
            <w:pPr>
              <w:jc w:val="center"/>
              <w:ind w:left="135"/>
              <w:spacing w:after="0"/>
              <w:rPr>
                <w:sz w:val="20"/>
                <w:szCs w:val="20"/>
                <w:color w:val="auto"/>
              </w:rPr>
            </w:pPr>
            <w:r>
              <w:rPr>
                <w:rFonts w:ascii="Arial" w:cs="Arial" w:eastAsia="Arial" w:hAnsi="Arial"/>
                <w:sz w:val="20"/>
                <w:szCs w:val="20"/>
                <w:color w:val="auto"/>
                <w:w w:val="86"/>
              </w:rPr>
              <w:t>deferred cash</w:t>
            </w:r>
          </w:p>
        </w:tc>
        <w:tc>
          <w:tcPr>
            <w:tcW w:w="280" w:type="dxa"/>
            <w:vAlign w:val="bottom"/>
          </w:tcPr>
          <w:p>
            <w:pPr>
              <w:spacing w:after="0"/>
              <w:rPr>
                <w:sz w:val="19"/>
                <w:szCs w:val="19"/>
                <w:color w:val="auto"/>
              </w:rPr>
            </w:pPr>
          </w:p>
        </w:tc>
        <w:tc>
          <w:tcPr>
            <w:tcW w:w="1720" w:type="dxa"/>
            <w:vAlign w:val="bottom"/>
            <w:gridSpan w:val="2"/>
          </w:tcPr>
          <w:p>
            <w:pPr>
              <w:jc w:val="center"/>
              <w:ind w:right="640"/>
              <w:spacing w:after="0"/>
              <w:rPr>
                <w:sz w:val="20"/>
                <w:szCs w:val="20"/>
                <w:color w:val="auto"/>
              </w:rPr>
            </w:pPr>
            <w:r>
              <w:rPr>
                <w:rFonts w:ascii="Arial" w:cs="Arial" w:eastAsia="Arial" w:hAnsi="Arial"/>
                <w:sz w:val="20"/>
                <w:szCs w:val="20"/>
                <w:color w:val="auto"/>
                <w:w w:val="90"/>
              </w:rPr>
              <w:t>contingent</w:t>
            </w:r>
          </w:p>
        </w:tc>
        <w:tc>
          <w:tcPr>
            <w:tcW w:w="860" w:type="dxa"/>
            <w:vAlign w:val="bottom"/>
            <w:gridSpan w:val="2"/>
          </w:tcPr>
          <w:p>
            <w:pPr>
              <w:ind w:left="40"/>
              <w:spacing w:after="0"/>
              <w:rPr>
                <w:sz w:val="20"/>
                <w:szCs w:val="20"/>
                <w:color w:val="auto"/>
              </w:rPr>
            </w:pPr>
            <w:r>
              <w:rPr>
                <w:rFonts w:ascii="Arial" w:cs="Arial" w:eastAsia="Arial" w:hAnsi="Arial"/>
                <w:sz w:val="20"/>
                <w:szCs w:val="20"/>
                <w:color w:val="auto"/>
              </w:rPr>
              <w:t>Warrant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020" w:type="dxa"/>
            <w:vAlign w:val="bottom"/>
            <w:gridSpan w:val="3"/>
          </w:tcPr>
          <w:p>
            <w:pPr>
              <w:jc w:val="center"/>
              <w:ind w:left="135"/>
              <w:spacing w:after="0"/>
              <w:rPr>
                <w:sz w:val="20"/>
                <w:szCs w:val="20"/>
                <w:color w:val="auto"/>
              </w:rPr>
            </w:pPr>
            <w:r>
              <w:rPr>
                <w:rFonts w:ascii="Arial" w:cs="Arial" w:eastAsia="Arial" w:hAnsi="Arial"/>
                <w:sz w:val="20"/>
                <w:szCs w:val="20"/>
                <w:color w:val="auto"/>
                <w:w w:val="89"/>
              </w:rPr>
              <w:t>consideration</w:t>
            </w:r>
          </w:p>
        </w:tc>
        <w:tc>
          <w:tcPr>
            <w:tcW w:w="2000" w:type="dxa"/>
            <w:vAlign w:val="bottom"/>
            <w:gridSpan w:val="3"/>
          </w:tcPr>
          <w:p>
            <w:pPr>
              <w:jc w:val="center"/>
              <w:ind w:right="380"/>
              <w:spacing w:after="0"/>
              <w:rPr>
                <w:sz w:val="20"/>
                <w:szCs w:val="20"/>
                <w:color w:val="auto"/>
              </w:rPr>
            </w:pPr>
            <w:r>
              <w:rPr>
                <w:rFonts w:ascii="Arial" w:cs="Arial" w:eastAsia="Arial" w:hAnsi="Arial"/>
                <w:sz w:val="20"/>
                <w:szCs w:val="20"/>
                <w:color w:val="auto"/>
                <w:w w:val="89"/>
              </w:rPr>
              <w:t>consideration</w:t>
            </w:r>
          </w:p>
        </w:tc>
        <w:tc>
          <w:tcPr>
            <w:tcW w:w="860" w:type="dxa"/>
            <w:vAlign w:val="bottom"/>
            <w:gridSpan w:val="2"/>
          </w:tcPr>
          <w:p>
            <w:pPr>
              <w:ind w:left="40"/>
              <w:spacing w:after="0"/>
              <w:rPr>
                <w:sz w:val="20"/>
                <w:szCs w:val="20"/>
                <w:color w:val="auto"/>
              </w:rPr>
            </w:pPr>
            <w:r>
              <w:rPr>
                <w:rFonts w:ascii="Arial" w:cs="Arial" w:eastAsia="Arial" w:hAnsi="Arial"/>
                <w:sz w:val="20"/>
                <w:szCs w:val="20"/>
                <w:color w:val="auto"/>
              </w:rPr>
              <w:t>liability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9"/>
              </w:rPr>
              <w:t>£’000s</w:t>
            </w:r>
          </w:p>
        </w:tc>
        <w:tc>
          <w:tcPr>
            <w:tcW w:w="640" w:type="dxa"/>
            <w:vAlign w:val="bottom"/>
          </w:tcPr>
          <w:p>
            <w:pPr>
              <w:spacing w:after="0"/>
              <w:rPr>
                <w:sz w:val="20"/>
                <w:szCs w:val="20"/>
                <w:color w:val="auto"/>
              </w:rPr>
            </w:pPr>
          </w:p>
        </w:tc>
        <w:tc>
          <w:tcPr>
            <w:tcW w:w="720" w:type="dxa"/>
            <w:vAlign w:val="bottom"/>
            <w:tcBorders>
              <w:top w:val="single" w:sz="8" w:color="auto"/>
            </w:tcBorders>
          </w:tcPr>
          <w:p>
            <w:pPr>
              <w:ind w:left="60"/>
              <w:spacing w:after="0" w:line="237" w:lineRule="exact"/>
              <w:rPr>
                <w:sz w:val="20"/>
                <w:szCs w:val="20"/>
                <w:color w:val="auto"/>
              </w:rPr>
            </w:pPr>
            <w:r>
              <w:rPr>
                <w:rFonts w:ascii="Arial" w:cs="Arial" w:eastAsia="Arial" w:hAnsi="Arial"/>
                <w:sz w:val="22"/>
                <w:szCs w:val="22"/>
                <w:b w:val="1"/>
                <w:bCs w:val="1"/>
                <w:color w:val="auto"/>
                <w:w w:val="95"/>
              </w:rPr>
              <w:t>£’000s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January 1, 2020</w:t>
            </w:r>
          </w:p>
        </w:tc>
        <w:tc>
          <w:tcPr>
            <w:tcW w:w="16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1,654</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1020"/>
              <w:spacing w:after="0" w:line="243" w:lineRule="exact"/>
              <w:rPr>
                <w:sz w:val="20"/>
                <w:szCs w:val="20"/>
                <w:color w:val="auto"/>
              </w:rPr>
            </w:pPr>
            <w:r>
              <w:rPr>
                <w:rFonts w:ascii="Arial" w:cs="Arial" w:eastAsia="Arial" w:hAnsi="Arial"/>
                <w:sz w:val="22"/>
                <w:szCs w:val="22"/>
                <w:color w:val="auto"/>
                <w:w w:val="87"/>
              </w:rPr>
              <w:t>354</w:t>
            </w:r>
          </w:p>
        </w:tc>
        <w:tc>
          <w:tcPr>
            <w:tcW w:w="6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line="243" w:lineRule="exact"/>
              <w:rPr>
                <w:sz w:val="20"/>
                <w:szCs w:val="20"/>
                <w:color w:val="auto"/>
              </w:rPr>
            </w:pPr>
            <w:r>
              <w:rPr>
                <w:rFonts w:ascii="Arial" w:cs="Arial" w:eastAsia="Arial" w:hAnsi="Arial"/>
                <w:sz w:val="22"/>
                <w:szCs w:val="22"/>
                <w:color w:val="auto"/>
              </w:rPr>
              <w:t>Issued during the year</w:t>
            </w:r>
          </w:p>
        </w:tc>
        <w:tc>
          <w:tcPr>
            <w:tcW w:w="600" w:type="dxa"/>
            <w:vAlign w:val="bottom"/>
          </w:tcPr>
          <w:p>
            <w:pPr>
              <w:spacing w:after="0"/>
              <w:rPr>
                <w:sz w:val="21"/>
                <w:szCs w:val="21"/>
                <w:color w:val="auto"/>
              </w:rPr>
            </w:pPr>
          </w:p>
        </w:tc>
        <w:tc>
          <w:tcPr>
            <w:tcW w:w="1420" w:type="dxa"/>
            <w:vAlign w:val="bottom"/>
            <w:gridSpan w:val="2"/>
          </w:tcPr>
          <w:p>
            <w:pPr>
              <w:jc w:val="right"/>
              <w:ind w:right="460"/>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1720" w:type="dxa"/>
            <w:vAlign w:val="bottom"/>
            <w:gridSpan w:val="2"/>
          </w:tcPr>
          <w:p>
            <w:pPr>
              <w:ind w:left="740"/>
              <w:spacing w:after="0" w:line="243" w:lineRule="exact"/>
              <w:rPr>
                <w:sz w:val="20"/>
                <w:szCs w:val="20"/>
                <w:color w:val="auto"/>
              </w:rPr>
            </w:pPr>
            <w:r>
              <w:rPr>
                <w:rFonts w:ascii="Arial" w:cs="Arial" w:eastAsia="Arial" w:hAnsi="Arial"/>
                <w:sz w:val="22"/>
                <w:szCs w:val="22"/>
                <w:color w:val="auto"/>
              </w:rPr>
              <w: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4,080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Settled during the year</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60"/>
              <w:spacing w:after="0" w:line="243" w:lineRule="exact"/>
              <w:rPr>
                <w:sz w:val="20"/>
                <w:szCs w:val="20"/>
                <w:color w:val="auto"/>
              </w:rPr>
            </w:pPr>
            <w:r>
              <w:rPr>
                <w:rFonts w:ascii="Arial" w:cs="Arial" w:eastAsia="Arial" w:hAnsi="Arial"/>
                <w:sz w:val="22"/>
                <w:szCs w:val="22"/>
                <w:color w:val="auto"/>
              </w:rPr>
              <w:t>—</w:t>
            </w:r>
          </w:p>
        </w:tc>
        <w:tc>
          <w:tcPr>
            <w:tcW w:w="2000" w:type="dxa"/>
            <w:vAlign w:val="bottom"/>
            <w:gridSpan w:val="3"/>
            <w:shd w:val="clear" w:color="auto" w:fill="CCEEFF"/>
          </w:tcPr>
          <w:p>
            <w:pPr>
              <w:jc w:val="right"/>
              <w:ind w:right="580"/>
              <w:spacing w:after="0" w:line="243" w:lineRule="exact"/>
              <w:rPr>
                <w:sz w:val="20"/>
                <w:szCs w:val="20"/>
                <w:color w:val="auto"/>
              </w:rPr>
            </w:pPr>
            <w:r>
              <w:rPr>
                <w:rFonts w:ascii="Arial" w:cs="Arial" w:eastAsia="Arial" w:hAnsi="Arial"/>
                <w:sz w:val="22"/>
                <w:szCs w:val="22"/>
                <w:color w:val="auto"/>
              </w:rPr>
              <w:t>(354)</w:t>
            </w:r>
          </w:p>
        </w:tc>
        <w:tc>
          <w:tcPr>
            <w:tcW w:w="8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Unwinding of the time value of money</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tcPr>
          <w:p>
            <w:pPr>
              <w:ind w:left="200"/>
              <w:spacing w:after="0"/>
              <w:rPr>
                <w:sz w:val="20"/>
                <w:szCs w:val="20"/>
                <w:color w:val="auto"/>
              </w:rPr>
            </w:pPr>
            <w:r>
              <w:rPr>
                <w:rFonts w:ascii="Arial" w:cs="Arial" w:eastAsia="Arial" w:hAnsi="Arial"/>
                <w:sz w:val="22"/>
                <w:szCs w:val="22"/>
                <w:color w:val="auto"/>
              </w:rPr>
              <w:t>(recognized as a finance cost)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157</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22"/>
                <w:szCs w:val="22"/>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Change in estimate relating to probabilities</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(revision to intangible asset, see Note 13)</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22"/>
                <w:szCs w:val="22"/>
                <w:color w:val="auto"/>
              </w:rPr>
              <w:t>(286)</w:t>
            </w:r>
          </w:p>
        </w:tc>
        <w:tc>
          <w:tcPr>
            <w:tcW w:w="2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740"/>
              <w:spacing w:after="0"/>
              <w:rPr>
                <w:sz w:val="20"/>
                <w:szCs w:val="20"/>
                <w:color w:val="auto"/>
              </w:rPr>
            </w:pPr>
            <w:r>
              <w:rPr>
                <w:rFonts w:ascii="Arial" w:cs="Arial" w:eastAsia="Arial" w:hAnsi="Arial"/>
                <w:sz w:val="22"/>
                <w:szCs w:val="22"/>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spacing w:after="0" w:line="243" w:lineRule="exact"/>
              <w:rPr>
                <w:sz w:val="20"/>
                <w:szCs w:val="20"/>
                <w:color w:val="auto"/>
              </w:rPr>
            </w:pPr>
            <w:r>
              <w:rPr>
                <w:rFonts w:ascii="Arial" w:cs="Arial" w:eastAsia="Arial" w:hAnsi="Arial"/>
                <w:sz w:val="22"/>
                <w:szCs w:val="22"/>
                <w:color w:val="auto"/>
              </w:rPr>
              <w:t>Change in fair value</w:t>
            </w:r>
          </w:p>
        </w:tc>
        <w:tc>
          <w:tcPr>
            <w:tcW w:w="600" w:type="dxa"/>
            <w:vAlign w:val="bottom"/>
          </w:tcPr>
          <w:p>
            <w:pPr>
              <w:spacing w:after="0"/>
              <w:rPr>
                <w:sz w:val="21"/>
                <w:szCs w:val="21"/>
                <w:color w:val="auto"/>
              </w:rPr>
            </w:pPr>
          </w:p>
        </w:tc>
        <w:tc>
          <w:tcPr>
            <w:tcW w:w="1080" w:type="dxa"/>
            <w:vAlign w:val="bottom"/>
            <w:tcBorders>
              <w:bottom w:val="single" w:sz="8" w:color="auto"/>
            </w:tcBorders>
          </w:tcPr>
          <w:p>
            <w:pPr>
              <w:jc w:val="right"/>
              <w:ind w:right="13"/>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bottom w:val="single" w:sz="8" w:color="auto"/>
            </w:tcBorders>
          </w:tcPr>
          <w:p>
            <w:pPr>
              <w:ind w:left="740"/>
              <w:spacing w:after="0" w:line="243" w:lineRule="exact"/>
              <w:rPr>
                <w:sz w:val="20"/>
                <w:szCs w:val="20"/>
                <w:color w:val="auto"/>
              </w:rPr>
            </w:pPr>
            <w:r>
              <w:rPr>
                <w:rFonts w:ascii="Arial" w:cs="Arial" w:eastAsia="Arial" w:hAnsi="Arial"/>
                <w:sz w:val="22"/>
                <w:szCs w:val="22"/>
                <w:color w:val="auto"/>
              </w:rPr>
              <w:t>—</w:t>
            </w:r>
          </w:p>
        </w:tc>
        <w:tc>
          <w:tcPr>
            <w:tcW w:w="640" w:type="dxa"/>
            <w:vAlign w:val="bottom"/>
          </w:tcPr>
          <w:p>
            <w:pPr>
              <w:spacing w:after="0"/>
              <w:rPr>
                <w:sz w:val="21"/>
                <w:szCs w:val="21"/>
                <w:color w:val="auto"/>
              </w:rPr>
            </w:pPr>
          </w:p>
        </w:tc>
        <w:tc>
          <w:tcPr>
            <w:tcW w:w="7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45,977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December 31, 2020</w:t>
            </w:r>
          </w:p>
        </w:tc>
        <w:tc>
          <w:tcPr>
            <w:tcW w:w="6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1,525</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740"/>
              <w:spacing w:after="0" w:line="243" w:lineRule="exact"/>
              <w:rPr>
                <w:sz w:val="20"/>
                <w:szCs w:val="20"/>
                <w:color w:val="auto"/>
              </w:rPr>
            </w:pPr>
            <w:r>
              <w:rPr>
                <w:rFonts w:ascii="Arial" w:cs="Arial" w:eastAsia="Arial" w:hAnsi="Arial"/>
                <w:sz w:val="22"/>
                <w:szCs w:val="22"/>
                <w:b w:val="1"/>
                <w:bCs w:val="1"/>
                <w:color w:val="auto"/>
              </w:rPr>
              <w:t>—</w:t>
            </w:r>
          </w:p>
        </w:tc>
        <w:tc>
          <w:tcPr>
            <w:tcW w:w="6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b w:val="1"/>
                <w:bCs w:val="1"/>
                <w:color w:val="auto"/>
              </w:rPr>
              <w:t>49,930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22"/>
                <w:szCs w:val="22"/>
                <w:color w:val="auto"/>
              </w:rPr>
              <w:t>Settled during the year</w:t>
            </w:r>
          </w:p>
        </w:tc>
        <w:tc>
          <w:tcPr>
            <w:tcW w:w="6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Borders>
              <w:top w:val="single" w:sz="8" w:color="auto"/>
            </w:tcBorders>
          </w:tcPr>
          <w:p>
            <w:pPr>
              <w:jc w:val="right"/>
              <w:ind w:right="13"/>
              <w:spacing w:after="0" w:line="237"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top w:val="single" w:sz="8" w:color="auto"/>
            </w:tcBorders>
          </w:tcPr>
          <w:p>
            <w:pPr>
              <w:ind w:left="740"/>
              <w:spacing w:after="0" w:line="237" w:lineRule="exact"/>
              <w:rPr>
                <w:sz w:val="20"/>
                <w:szCs w:val="20"/>
                <w:color w:val="auto"/>
              </w:rPr>
            </w:pPr>
            <w:r>
              <w:rPr>
                <w:rFonts w:ascii="Arial" w:cs="Arial" w:eastAsia="Arial" w:hAnsi="Arial"/>
                <w:sz w:val="22"/>
                <w:szCs w:val="22"/>
                <w:color w:val="auto"/>
              </w:rPr>
              <w:t>—</w:t>
            </w:r>
          </w:p>
        </w:tc>
        <w:tc>
          <w:tcPr>
            <w:tcW w:w="640" w:type="dxa"/>
            <w:vAlign w:val="bottom"/>
          </w:tcPr>
          <w:p>
            <w:pPr>
              <w:spacing w:after="0"/>
              <w:rPr>
                <w:sz w:val="20"/>
                <w:szCs w:val="20"/>
                <w:color w:val="auto"/>
              </w:rPr>
            </w:pPr>
          </w:p>
        </w:tc>
        <w:tc>
          <w:tcPr>
            <w:tcW w:w="72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(2,400)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Unwinding of the time value of money</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(recognized as a finance cost)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225</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740"/>
              <w:spacing w:after="0"/>
              <w:rPr>
                <w:sz w:val="20"/>
                <w:szCs w:val="20"/>
                <w:color w:val="auto"/>
              </w:rPr>
            </w:pPr>
            <w:r>
              <w:rPr>
                <w:rFonts w:ascii="Arial" w:cs="Arial" w:eastAsia="Arial" w:hAnsi="Arial"/>
                <w:sz w:val="22"/>
                <w:szCs w:val="22"/>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Change in estimate relating to probabilities</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tcPr>
          <w:p>
            <w:pPr>
              <w:ind w:left="200"/>
              <w:spacing w:after="0"/>
              <w:rPr>
                <w:sz w:val="20"/>
                <w:szCs w:val="20"/>
                <w:color w:val="auto"/>
              </w:rPr>
            </w:pPr>
            <w:r>
              <w:rPr>
                <w:rFonts w:ascii="Arial" w:cs="Arial" w:eastAsia="Arial" w:hAnsi="Arial"/>
                <w:sz w:val="22"/>
                <w:szCs w:val="22"/>
                <w:color w:val="auto"/>
              </w:rPr>
              <w:t>(revision to intangible asset, see Note 13)</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2,373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22"/>
                <w:szCs w:val="22"/>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Change in fair value</w:t>
            </w:r>
          </w:p>
        </w:tc>
        <w:tc>
          <w:tcPr>
            <w:tcW w:w="6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60"/>
              <w:spacing w:after="0" w:line="24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740"/>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w w:val="92"/>
              </w:rPr>
              <w:t>(39,535)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spacing w:after="0" w:line="250" w:lineRule="exact"/>
              <w:rPr>
                <w:sz w:val="20"/>
                <w:szCs w:val="20"/>
                <w:color w:val="auto"/>
              </w:rPr>
            </w:pPr>
            <w:r>
              <w:rPr>
                <w:rFonts w:ascii="Arial" w:cs="Arial" w:eastAsia="Arial" w:hAnsi="Arial"/>
                <w:sz w:val="22"/>
                <w:szCs w:val="22"/>
                <w:b w:val="1"/>
                <w:bCs w:val="1"/>
                <w:color w:val="auto"/>
              </w:rPr>
              <w:t>December 31, 2021</w:t>
            </w:r>
          </w:p>
        </w:tc>
        <w:tc>
          <w:tcPr>
            <w:tcW w:w="6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4,123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bottom w:val="single" w:sz="8" w:color="auto"/>
            </w:tcBorders>
          </w:tcPr>
          <w:p>
            <w:pPr>
              <w:ind w:left="740"/>
              <w:spacing w:after="0" w:line="250" w:lineRule="exact"/>
              <w:rPr>
                <w:sz w:val="20"/>
                <w:szCs w:val="20"/>
                <w:color w:val="auto"/>
              </w:rPr>
            </w:pPr>
            <w:r>
              <w:rPr>
                <w:rFonts w:ascii="Arial" w:cs="Arial" w:eastAsia="Arial" w:hAnsi="Arial"/>
                <w:sz w:val="22"/>
                <w:szCs w:val="22"/>
                <w:color w:val="auto"/>
              </w:rPr>
              <w:t>—</w:t>
            </w:r>
          </w:p>
        </w:tc>
        <w:tc>
          <w:tcPr>
            <w:tcW w:w="6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7,995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methods and assumptions were used to estimate the fair values:</w:t>
      </w:r>
    </w:p>
    <w:p>
      <w:pPr>
        <w:spacing w:after="0" w:line="112" w:lineRule="exact"/>
        <w:rPr>
          <w:sz w:val="20"/>
          <w:szCs w:val="20"/>
          <w:color w:val="auto"/>
        </w:rPr>
      </w:pPr>
    </w:p>
    <w:p>
      <w:pPr>
        <w:ind w:left="1420" w:right="380" w:hanging="535"/>
        <w:spacing w:after="0" w:line="287" w:lineRule="auto"/>
        <w:tabs>
          <w:tab w:leader="none" w:pos="14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F-36</w:t>
      </w:r>
    </w:p>
    <w:p>
      <w:pPr>
        <w:sectPr>
          <w:pgSz w:w="11900" w:h="16838" w:orient="portrait"/>
          <w:cols w:equalWidth="0" w:num="1">
            <w:col w:w="11140"/>
          </w:cols>
          <w:pgMar w:left="320" w:top="486" w:right="439" w:bottom="323"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NOTES TO THE CONSOLIDATED FINANCIAL STATEMENTS</w:t>
      </w:r>
    </w:p>
    <w:p>
      <w:pPr>
        <w:spacing w:after="0" w:line="125" w:lineRule="exact"/>
        <w:rPr>
          <w:sz w:val="20"/>
          <w:szCs w:val="20"/>
          <w:color w:val="auto"/>
        </w:rPr>
      </w:pPr>
    </w:p>
    <w:p>
      <w:pPr>
        <w:ind w:left="1320" w:right="600"/>
        <w:spacing w:after="0" w:line="291" w:lineRule="auto"/>
        <w:rPr>
          <w:sz w:val="20"/>
          <w:szCs w:val="20"/>
          <w:color w:val="auto"/>
        </w:rPr>
      </w:pPr>
      <w:r>
        <w:rPr>
          <w:rFonts w:ascii="Arial" w:cs="Arial" w:eastAsia="Arial" w:hAnsi="Arial"/>
          <w:sz w:val="18"/>
          <w:szCs w:val="18"/>
          <w:color w:val="auto"/>
        </w:rPr>
        <w:t>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2" w:lineRule="exact"/>
        <w:rPr>
          <w:sz w:val="20"/>
          <w:szCs w:val="20"/>
          <w:color w:val="auto"/>
        </w:rPr>
      </w:pPr>
    </w:p>
    <w:p>
      <w:pPr>
        <w:ind w:left="1420" w:hanging="535"/>
        <w:spacing w:after="0" w:line="248" w:lineRule="auto"/>
        <w:tabs>
          <w:tab w:leader="none" w:pos="1420" w:val="left"/>
        </w:tabs>
        <w:numPr>
          <w:ilvl w:val="0"/>
          <w:numId w:val="99"/>
        </w:numPr>
        <w:rPr>
          <w:rFonts w:ascii="Arial" w:cs="Arial" w:eastAsia="Arial" w:hAnsi="Arial"/>
          <w:sz w:val="21"/>
          <w:szCs w:val="21"/>
          <w:color w:val="auto"/>
        </w:rPr>
      </w:pPr>
      <w:r>
        <w:rPr>
          <w:rFonts w:ascii="Arial" w:cs="Arial" w:eastAsia="Arial" w:hAnsi="Arial"/>
          <w:sz w:val="21"/>
          <w:szCs w:val="21"/>
          <w:color w:val="auto"/>
        </w:rPr>
        <w:t>At December 31, 2021, the Company estimates the fair value of the contingent consideration liability to be £nil. An amount of £0.4 million was paid in 2020 relating to the Navi milestone received. The estimated contingent consideration payable is based on a risk adjusted, probability-based scenario. Under this approach the likelihood of future payments being made to the former shareholders of Mereo BioPharma 5, Inc. under the CVR arrangement is considered. The estimate could materially change over time as the development plan and subsequent commercialization of the Navi product progresses.</w:t>
      </w:r>
    </w:p>
    <w:p>
      <w:pPr>
        <w:spacing w:after="0" w:line="41" w:lineRule="exact"/>
        <w:rPr>
          <w:rFonts w:ascii="Arial" w:cs="Arial" w:eastAsia="Arial" w:hAnsi="Arial"/>
          <w:sz w:val="21"/>
          <w:szCs w:val="21"/>
          <w:color w:val="auto"/>
        </w:rPr>
      </w:pPr>
    </w:p>
    <w:p>
      <w:pPr>
        <w:ind w:left="1420" w:right="20" w:hanging="535"/>
        <w:spacing w:after="0" w:line="328" w:lineRule="auto"/>
        <w:tabs>
          <w:tab w:leader="none" w:pos="14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warrant liability is estimated using a Black-Scholes model, taking into account appropriate amendments to inputs in respect of volatility, remaining expected life of the warrants and rates of interest at each reporting date.</w:t>
      </w:r>
    </w:p>
    <w:p>
      <w:pPr>
        <w:spacing w:after="0" w:line="78" w:lineRule="exact"/>
        <w:rPr>
          <w:sz w:val="20"/>
          <w:szCs w:val="20"/>
          <w:color w:val="auto"/>
        </w:rPr>
      </w:pPr>
    </w:p>
    <w:p>
      <w:pPr>
        <w:ind w:left="120" w:right="440" w:firstLine="551"/>
        <w:spacing w:after="0" w:line="328" w:lineRule="auto"/>
        <w:rPr>
          <w:sz w:val="20"/>
          <w:szCs w:val="20"/>
          <w:color w:val="auto"/>
        </w:rPr>
      </w:pPr>
      <w:r>
        <w:rPr>
          <w:rFonts w:ascii="Arial" w:cs="Arial" w:eastAsia="Arial" w:hAnsi="Arial"/>
          <w:sz w:val="19"/>
          <w:szCs w:val="19"/>
          <w:color w:val="auto"/>
        </w:rPr>
        <w:t>The significant unobservable inputs used in the fair value measurements categorized within Level 3 of the fair value hierarchy, together with a quantitative sensitivity analysis as at December 31, 2021 and 2020 are as follows:</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w w:val="87"/>
              </w:rPr>
              <w:t>Significant</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w w:val="91"/>
              </w:rPr>
              <w:t>Input range</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20"/>
                <w:szCs w:val="20"/>
                <w:b w:val="1"/>
                <w:bCs w:val="1"/>
                <w:color w:val="auto"/>
              </w:rPr>
              <w:t>Valuation</w:t>
            </w: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w w:val="87"/>
              </w:rPr>
              <w:t>unobservable</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w w:val="87"/>
              </w:rPr>
              <w:t>(weighted</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61"/>
        </w:trPr>
        <w:tc>
          <w:tcPr>
            <w:tcW w:w="2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w w:val="88"/>
              </w:rPr>
              <w:t>technique</w:t>
            </w:r>
          </w:p>
        </w:tc>
        <w:tc>
          <w:tcPr>
            <w:tcW w:w="120" w:type="dxa"/>
            <w:vAlign w:val="bottom"/>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inputs</w:t>
            </w:r>
          </w:p>
        </w:tc>
        <w:tc>
          <w:tcPr>
            <w:tcW w:w="12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average)</w:t>
            </w:r>
          </w:p>
        </w:tc>
        <w:tc>
          <w:tcPr>
            <w:tcW w:w="100" w:type="dxa"/>
            <w:vAlign w:val="bottom"/>
          </w:tcPr>
          <w:p>
            <w:pPr>
              <w:spacing w:after="0"/>
              <w:rPr>
                <w:sz w:val="22"/>
                <w:szCs w:val="22"/>
                <w:color w:val="auto"/>
              </w:rPr>
            </w:pP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w w:val="89"/>
              </w:rPr>
              <w:t>Sensitivity of the input to fair value</w:t>
            </w:r>
          </w:p>
        </w:tc>
      </w:tr>
      <w:tr>
        <w:trPr>
          <w:trHeight w:val="305"/>
        </w:trPr>
        <w:tc>
          <w:tcPr>
            <w:tcW w:w="2760" w:type="dxa"/>
            <w:vAlign w:val="bottom"/>
          </w:tcPr>
          <w:p>
            <w:pPr>
              <w:spacing w:after="0"/>
              <w:rPr>
                <w:sz w:val="20"/>
                <w:szCs w:val="20"/>
                <w:color w:val="auto"/>
              </w:rPr>
            </w:pPr>
            <w:r>
              <w:rPr>
                <w:rFonts w:ascii="Arial" w:cs="Arial" w:eastAsia="Arial" w:hAnsi="Arial"/>
                <w:sz w:val="20"/>
                <w:szCs w:val="20"/>
                <w:color w:val="auto"/>
              </w:rPr>
              <w:t>Provision for deferred cash</w:t>
            </w:r>
          </w:p>
        </w:tc>
        <w:tc>
          <w:tcPr>
            <w:tcW w:w="1100" w:type="dxa"/>
            <w:vAlign w:val="bottom"/>
            <w:gridSpan w:val="3"/>
          </w:tcPr>
          <w:p>
            <w:pPr>
              <w:ind w:left="80"/>
              <w:spacing w:after="0"/>
              <w:rPr>
                <w:sz w:val="20"/>
                <w:szCs w:val="20"/>
                <w:color w:val="auto"/>
              </w:rPr>
            </w:pPr>
            <w:r>
              <w:rPr>
                <w:rFonts w:ascii="Arial" w:cs="Arial" w:eastAsia="Arial" w:hAnsi="Arial"/>
                <w:sz w:val="20"/>
                <w:szCs w:val="20"/>
                <w:color w:val="auto"/>
                <w:w w:val="99"/>
              </w:rPr>
              <w:t>Discounted</w:t>
            </w:r>
          </w:p>
        </w:tc>
        <w:tc>
          <w:tcPr>
            <w:tcW w:w="2300" w:type="dxa"/>
            <w:vAlign w:val="bottom"/>
          </w:tcPr>
          <w:p>
            <w:pPr>
              <w:spacing w:after="0"/>
              <w:rPr>
                <w:sz w:val="20"/>
                <w:szCs w:val="20"/>
                <w:color w:val="auto"/>
              </w:rPr>
            </w:pPr>
            <w:r>
              <w:rPr>
                <w:rFonts w:ascii="Arial" w:cs="Arial" w:eastAsia="Arial" w:hAnsi="Arial"/>
                <w:sz w:val="20"/>
                <w:szCs w:val="20"/>
                <w:color w:val="auto"/>
              </w:rPr>
              <w:t>WACC</w:t>
            </w:r>
          </w:p>
        </w:tc>
        <w:tc>
          <w:tcPr>
            <w:tcW w:w="1760" w:type="dxa"/>
            <w:vAlign w:val="bottom"/>
            <w:gridSpan w:val="2"/>
          </w:tcPr>
          <w:p>
            <w:pPr>
              <w:ind w:left="120"/>
              <w:spacing w:after="0"/>
              <w:rPr>
                <w:sz w:val="20"/>
                <w:szCs w:val="20"/>
                <w:color w:val="auto"/>
              </w:rPr>
            </w:pPr>
            <w:r>
              <w:rPr>
                <w:rFonts w:ascii="Arial" w:cs="Arial" w:eastAsia="Arial" w:hAnsi="Arial"/>
                <w:sz w:val="20"/>
                <w:szCs w:val="20"/>
                <w:color w:val="auto"/>
              </w:rPr>
              <w:t>2021: 12%</w:t>
            </w: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89"/>
              </w:rPr>
              <w:t>1% increase/decrease would result in</w:t>
            </w:r>
          </w:p>
        </w:tc>
      </w:tr>
      <w:tr>
        <w:trPr>
          <w:trHeight w:val="229"/>
        </w:trPr>
        <w:tc>
          <w:tcPr>
            <w:tcW w:w="2760" w:type="dxa"/>
            <w:vAlign w:val="bottom"/>
          </w:tcPr>
          <w:p>
            <w:pPr>
              <w:spacing w:after="0"/>
              <w:rPr>
                <w:sz w:val="20"/>
                <w:szCs w:val="20"/>
                <w:color w:val="auto"/>
              </w:rPr>
            </w:pPr>
            <w:r>
              <w:rPr>
                <w:rFonts w:ascii="Arial" w:cs="Arial" w:eastAsia="Arial" w:hAnsi="Arial"/>
                <w:sz w:val="20"/>
                <w:szCs w:val="20"/>
                <w:color w:val="auto"/>
              </w:rPr>
              <w:t>consideration</w:t>
            </w:r>
          </w:p>
        </w:tc>
        <w:tc>
          <w:tcPr>
            <w:tcW w:w="1100" w:type="dxa"/>
            <w:vAlign w:val="bottom"/>
            <w:gridSpan w:val="3"/>
          </w:tcPr>
          <w:p>
            <w:pPr>
              <w:ind w:left="80"/>
              <w:spacing w:after="0"/>
              <w:rPr>
                <w:sz w:val="20"/>
                <w:szCs w:val="20"/>
                <w:color w:val="auto"/>
              </w:rPr>
            </w:pPr>
            <w:r>
              <w:rPr>
                <w:rFonts w:ascii="Arial" w:cs="Arial" w:eastAsia="Arial" w:hAnsi="Arial"/>
                <w:sz w:val="20"/>
                <w:szCs w:val="20"/>
                <w:color w:val="auto"/>
              </w:rPr>
              <w:t>cash flow</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4"/>
              </w:rPr>
              <w:t>a decrease/increase in fair value by</w:t>
            </w:r>
          </w:p>
        </w:tc>
      </w:tr>
      <w:tr>
        <w:trPr>
          <w:trHeight w:val="250"/>
        </w:trPr>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£31,000</w:t>
            </w:r>
          </w:p>
        </w:tc>
      </w:tr>
      <w:tr>
        <w:trPr>
          <w:trHeight w:val="317"/>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20"/>
                <w:szCs w:val="20"/>
                <w:color w:val="auto"/>
              </w:rPr>
              <w:t>WACC</w:t>
            </w:r>
          </w:p>
        </w:tc>
        <w:tc>
          <w:tcPr>
            <w:tcW w:w="1760" w:type="dxa"/>
            <w:vAlign w:val="bottom"/>
            <w:gridSpan w:val="2"/>
          </w:tcPr>
          <w:p>
            <w:pPr>
              <w:ind w:left="120"/>
              <w:spacing w:after="0"/>
              <w:rPr>
                <w:sz w:val="20"/>
                <w:szCs w:val="20"/>
                <w:color w:val="auto"/>
              </w:rPr>
            </w:pPr>
            <w:r>
              <w:rPr>
                <w:rFonts w:ascii="Arial" w:cs="Arial" w:eastAsia="Arial" w:hAnsi="Arial"/>
                <w:sz w:val="20"/>
                <w:szCs w:val="20"/>
                <w:color w:val="auto"/>
              </w:rPr>
              <w:t>2020: 12%</w:t>
            </w: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89"/>
              </w:rPr>
              <w:t>1% increase/decrease would result in</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4"/>
              </w:rPr>
              <w:t>a decrease/increase in fair value by</w:t>
            </w:r>
          </w:p>
        </w:tc>
      </w:tr>
      <w:tr>
        <w:trPr>
          <w:trHeight w:val="250"/>
        </w:trPr>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£25,000</w:t>
            </w:r>
          </w:p>
        </w:tc>
      </w:tr>
      <w:tr>
        <w:trPr>
          <w:trHeight w:val="317"/>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20"/>
                <w:szCs w:val="20"/>
                <w:color w:val="auto"/>
              </w:rPr>
              <w:t>Probability of success</w:t>
            </w:r>
          </w:p>
        </w:tc>
        <w:tc>
          <w:tcPr>
            <w:tcW w:w="1760" w:type="dxa"/>
            <w:vAlign w:val="bottom"/>
            <w:gridSpan w:val="2"/>
          </w:tcPr>
          <w:p>
            <w:pPr>
              <w:ind w:left="120"/>
              <w:spacing w:after="0"/>
              <w:rPr>
                <w:sz w:val="20"/>
                <w:szCs w:val="20"/>
                <w:color w:val="auto"/>
              </w:rPr>
            </w:pPr>
            <w:r>
              <w:rPr>
                <w:rFonts w:ascii="Arial" w:cs="Arial" w:eastAsia="Arial" w:hAnsi="Arial"/>
                <w:sz w:val="20"/>
                <w:szCs w:val="20"/>
                <w:color w:val="auto"/>
                <w:w w:val="89"/>
              </w:rPr>
              <w:t>2021:40.6% - 81.2%</w:t>
            </w: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2"/>
              </w:rPr>
              <w:t>10% increase/decrease would result</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3"/>
              </w:rPr>
              <w:t>in an increase/decrease in fair value</w:t>
            </w:r>
          </w:p>
        </w:tc>
      </w:tr>
      <w:tr>
        <w:trPr>
          <w:trHeight w:val="250"/>
        </w:trPr>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by £0.5 million</w:t>
            </w:r>
          </w:p>
        </w:tc>
      </w:tr>
      <w:tr>
        <w:trPr>
          <w:trHeight w:val="317"/>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20"/>
                <w:szCs w:val="20"/>
                <w:color w:val="auto"/>
              </w:rPr>
              <w:t>Probability of success</w:t>
            </w:r>
          </w:p>
        </w:tc>
        <w:tc>
          <w:tcPr>
            <w:tcW w:w="1760" w:type="dxa"/>
            <w:vAlign w:val="bottom"/>
            <w:gridSpan w:val="2"/>
          </w:tcPr>
          <w:p>
            <w:pPr>
              <w:ind w:left="120"/>
              <w:spacing w:after="0"/>
              <w:rPr>
                <w:sz w:val="20"/>
                <w:szCs w:val="20"/>
                <w:color w:val="auto"/>
              </w:rPr>
            </w:pPr>
            <w:r>
              <w:rPr>
                <w:rFonts w:ascii="Arial" w:cs="Arial" w:eastAsia="Arial" w:hAnsi="Arial"/>
                <w:sz w:val="20"/>
                <w:szCs w:val="20"/>
                <w:color w:val="auto"/>
                <w:w w:val="99"/>
              </w:rPr>
              <w:t>2020: 13.8%–95%</w:t>
            </w: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2"/>
              </w:rPr>
              <w:t>10% increase/decrease would result</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3"/>
              </w:rPr>
              <w:t>in an increase/decrease in fair value</w:t>
            </w:r>
          </w:p>
        </w:tc>
      </w:tr>
      <w:tr>
        <w:trPr>
          <w:trHeight w:val="250"/>
        </w:trPr>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by £0.4 million</w:t>
            </w:r>
          </w:p>
        </w:tc>
      </w:tr>
      <w:tr>
        <w:trPr>
          <w:trHeight w:val="317"/>
        </w:trPr>
        <w:tc>
          <w:tcPr>
            <w:tcW w:w="2760" w:type="dxa"/>
            <w:vAlign w:val="bottom"/>
          </w:tcPr>
          <w:p>
            <w:pPr>
              <w:spacing w:after="0"/>
              <w:rPr>
                <w:sz w:val="20"/>
                <w:szCs w:val="20"/>
                <w:color w:val="auto"/>
              </w:rPr>
            </w:pPr>
            <w:r>
              <w:rPr>
                <w:rFonts w:ascii="Arial" w:cs="Arial" w:eastAsia="Arial" w:hAnsi="Arial"/>
                <w:sz w:val="20"/>
                <w:szCs w:val="20"/>
                <w:color w:val="auto"/>
                <w:w w:val="95"/>
              </w:rPr>
              <w:t>Contingent consideration liability</w:t>
            </w:r>
          </w:p>
        </w:tc>
        <w:tc>
          <w:tcPr>
            <w:tcW w:w="1100" w:type="dxa"/>
            <w:vAlign w:val="bottom"/>
            <w:gridSpan w:val="3"/>
          </w:tcPr>
          <w:p>
            <w:pPr>
              <w:ind w:left="80"/>
              <w:spacing w:after="0"/>
              <w:rPr>
                <w:sz w:val="20"/>
                <w:szCs w:val="20"/>
                <w:color w:val="auto"/>
              </w:rPr>
            </w:pPr>
            <w:r>
              <w:rPr>
                <w:rFonts w:ascii="Arial" w:cs="Arial" w:eastAsia="Arial" w:hAnsi="Arial"/>
                <w:sz w:val="20"/>
                <w:szCs w:val="20"/>
                <w:color w:val="auto"/>
                <w:w w:val="99"/>
              </w:rPr>
              <w:t>Discounted</w:t>
            </w:r>
          </w:p>
        </w:tc>
        <w:tc>
          <w:tcPr>
            <w:tcW w:w="2300" w:type="dxa"/>
            <w:vAlign w:val="bottom"/>
          </w:tcPr>
          <w:p>
            <w:pPr>
              <w:spacing w:after="0"/>
              <w:rPr>
                <w:sz w:val="20"/>
                <w:szCs w:val="20"/>
                <w:color w:val="auto"/>
              </w:rPr>
            </w:pPr>
            <w:r>
              <w:rPr>
                <w:rFonts w:ascii="Arial" w:cs="Arial" w:eastAsia="Arial" w:hAnsi="Arial"/>
                <w:sz w:val="20"/>
                <w:szCs w:val="20"/>
                <w:color w:val="auto"/>
                <w:w w:val="97"/>
              </w:rPr>
              <w:t>Ongoing uncertainty in the</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Total potential payments future</w:t>
            </w:r>
          </w:p>
        </w:tc>
      </w:tr>
      <w:tr>
        <w:trPr>
          <w:trHeight w:val="230"/>
        </w:trPr>
        <w:tc>
          <w:tcPr>
            <w:tcW w:w="2760" w:type="dxa"/>
            <w:vAlign w:val="bottom"/>
          </w:tcPr>
          <w:p>
            <w:pPr>
              <w:spacing w:after="0"/>
              <w:rPr>
                <w:sz w:val="19"/>
                <w:szCs w:val="19"/>
                <w:color w:val="auto"/>
              </w:rPr>
            </w:pPr>
          </w:p>
        </w:tc>
        <w:tc>
          <w:tcPr>
            <w:tcW w:w="1100" w:type="dxa"/>
            <w:vAlign w:val="bottom"/>
            <w:gridSpan w:val="3"/>
          </w:tcPr>
          <w:p>
            <w:pPr>
              <w:ind w:left="80"/>
              <w:spacing w:after="0"/>
              <w:rPr>
                <w:sz w:val="20"/>
                <w:szCs w:val="20"/>
                <w:color w:val="auto"/>
              </w:rPr>
            </w:pPr>
            <w:r>
              <w:rPr>
                <w:rFonts w:ascii="Arial" w:cs="Arial" w:eastAsia="Arial" w:hAnsi="Arial"/>
                <w:sz w:val="20"/>
                <w:szCs w:val="20"/>
                <w:color w:val="auto"/>
              </w:rPr>
              <w:t>cash flow</w:t>
            </w:r>
          </w:p>
        </w:tc>
        <w:tc>
          <w:tcPr>
            <w:tcW w:w="2300" w:type="dxa"/>
            <w:vAlign w:val="bottom"/>
          </w:tcPr>
          <w:p>
            <w:pPr>
              <w:spacing w:after="0"/>
              <w:rPr>
                <w:sz w:val="20"/>
                <w:szCs w:val="20"/>
                <w:color w:val="auto"/>
              </w:rPr>
            </w:pPr>
            <w:r>
              <w:rPr>
                <w:rFonts w:ascii="Arial" w:cs="Arial" w:eastAsia="Arial" w:hAnsi="Arial"/>
                <w:sz w:val="20"/>
                <w:szCs w:val="20"/>
                <w:color w:val="auto"/>
                <w:w w:val="96"/>
              </w:rPr>
              <w:t>clinical development of the</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5"/>
              </w:rPr>
              <w:t>payments relating to the contingent</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20"/>
                <w:szCs w:val="20"/>
                <w:color w:val="auto"/>
              </w:rPr>
              <w:t>Navi product</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consideration liability on a gross,</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undiscounted basis</w:t>
            </w:r>
          </w:p>
        </w:tc>
      </w:tr>
      <w:tr>
        <w:trPr>
          <w:trHeight w:val="250"/>
        </w:trPr>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are approximately $80 million.</w:t>
            </w:r>
          </w:p>
        </w:tc>
      </w:tr>
      <w:tr>
        <w:trPr>
          <w:trHeight w:val="330"/>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20"/>
                <w:szCs w:val="20"/>
                <w:color w:val="auto"/>
              </w:rPr>
              <w:t>Regulatory approval and</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8"/>
              </w:rPr>
              <w:t>Sensitivity of the input to fair value</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20"/>
                <w:szCs w:val="20"/>
                <w:color w:val="auto"/>
              </w:rPr>
              <w:t>commercialization risks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7"/>
              </w:rPr>
              <w:t>is primarily driven by uncertainty in</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4"/>
              </w:rPr>
              <w:t>the clinical development of the Navi</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6"/>
              </w:rPr>
              <w:t>product. Future potential payments</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under the CVR arrangement are</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5"/>
              </w:rPr>
              <w:t>contingent on i) future development</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3"/>
              </w:rPr>
              <w:t>milestones and ii) future sales of the</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Navi product, following regulatory</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6"/>
              </w:rPr>
              <w:t>approval and commercialization. In</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1"/>
              </w:rPr>
              <w:t>January 2020, the Company entered</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into the license</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9"/>
              </w:rPr>
              <w:t>agreement as detailed in Note 13.</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Although pursuant to the license</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agreement the Company is</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3"/>
              </w:rPr>
              <w:t>entitled to additional payments of up</w:t>
            </w:r>
          </w:p>
        </w:tc>
      </w:tr>
      <w:tr>
        <w:trPr>
          <w:trHeight w:val="230"/>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1"/>
              </w:rPr>
              <w:t>to $302 million, there continues to be</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7"/>
              </w:rPr>
              <w:t>significant uncertainty in respect of</w:t>
            </w:r>
          </w:p>
        </w:tc>
      </w:tr>
      <w:tr>
        <w:trPr>
          <w:trHeight w:val="229"/>
        </w:trPr>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w w:val="93"/>
              </w:rPr>
              <w:t>any milestone and royalty payments</w:t>
            </w:r>
          </w:p>
        </w:tc>
      </w:tr>
      <w:tr>
        <w:trPr>
          <w:trHeight w:val="250"/>
        </w:trPr>
        <w:tc>
          <w:tcPr>
            <w:tcW w:w="2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20"/>
                <w:szCs w:val="20"/>
                <w:color w:val="auto"/>
              </w:rPr>
              <w:t>under the license agreement.</w:t>
            </w:r>
          </w:p>
        </w:tc>
      </w:tr>
    </w:tbl>
    <w:p>
      <w:pPr>
        <w:spacing w:after="0" w:line="137" w:lineRule="exact"/>
        <w:rPr>
          <w:sz w:val="20"/>
          <w:szCs w:val="20"/>
          <w:color w:val="auto"/>
        </w:rPr>
      </w:pPr>
    </w:p>
    <w:p>
      <w:pPr>
        <w:sectPr>
          <w:pgSz w:w="11900" w:h="16838" w:orient="portrait"/>
          <w:cols w:equalWidth="0" w:num="1">
            <w:col w:w="11140"/>
          </w:cols>
          <w:pgMar w:left="320" w:top="486" w:right="439" w:bottom="952" w:gutter="0" w:footer="0" w:header="0"/>
        </w:sectPr>
      </w:pPr>
    </w:p>
    <w:p>
      <w:pPr>
        <w:jc w:val="center"/>
        <w:ind w:right="-99"/>
        <w:spacing w:after="0"/>
        <w:rPr>
          <w:sz w:val="20"/>
          <w:szCs w:val="20"/>
          <w:color w:val="auto"/>
        </w:rPr>
      </w:pPr>
      <w:r>
        <w:rPr>
          <w:rFonts w:ascii="Arial" w:cs="Arial" w:eastAsia="Arial" w:hAnsi="Arial"/>
          <w:sz w:val="19"/>
          <w:szCs w:val="19"/>
          <w:color w:val="auto"/>
        </w:rPr>
        <w:t>F-37</w:t>
      </w:r>
    </w:p>
    <w:p>
      <w:pPr>
        <w:sectPr>
          <w:pgSz w:w="11900" w:h="16838" w:orient="portrait"/>
          <w:cols w:equalWidth="0" w:num="1">
            <w:col w:w="11140"/>
          </w:cols>
          <w:pgMar w:left="320" w:top="486" w:right="439" w:bottom="952"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THE CONSOLIDATED FINANCIAL STATEMENTS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20"/>
                <w:szCs w:val="20"/>
                <w:color w:val="auto"/>
                <w:w w:val="96"/>
              </w:rPr>
              <w:t>Warrant liability related to the private</w:t>
            </w:r>
          </w:p>
        </w:tc>
        <w:tc>
          <w:tcPr>
            <w:tcW w:w="3100" w:type="dxa"/>
            <w:vAlign w:val="bottom"/>
          </w:tcPr>
          <w:p>
            <w:pPr>
              <w:ind w:left="160"/>
              <w:spacing w:after="0"/>
              <w:rPr>
                <w:sz w:val="20"/>
                <w:szCs w:val="20"/>
                <w:color w:val="auto"/>
              </w:rPr>
            </w:pPr>
            <w:r>
              <w:rPr>
                <w:rFonts w:ascii="Arial" w:cs="Arial" w:eastAsia="Arial" w:hAnsi="Arial"/>
                <w:sz w:val="20"/>
                <w:szCs w:val="20"/>
                <w:color w:val="auto"/>
              </w:rPr>
              <w:t>Black-  Expected volatility</w:t>
            </w:r>
          </w:p>
        </w:tc>
        <w:tc>
          <w:tcPr>
            <w:tcW w:w="2040" w:type="dxa"/>
            <w:vAlign w:val="bottom"/>
          </w:tcPr>
          <w:p>
            <w:pPr>
              <w:ind w:left="700"/>
              <w:spacing w:after="0"/>
              <w:rPr>
                <w:sz w:val="20"/>
                <w:szCs w:val="20"/>
                <w:color w:val="auto"/>
              </w:rPr>
            </w:pPr>
            <w:r>
              <w:rPr>
                <w:rFonts w:ascii="Arial" w:cs="Arial" w:eastAsia="Arial" w:hAnsi="Arial"/>
                <w:sz w:val="20"/>
                <w:szCs w:val="20"/>
                <w:color w:val="auto"/>
              </w:rPr>
              <w:t>2021:75.1%</w:t>
            </w:r>
          </w:p>
        </w:tc>
        <w:tc>
          <w:tcPr>
            <w:tcW w:w="2680" w:type="dxa"/>
            <w:vAlign w:val="bottom"/>
          </w:tcPr>
          <w:p>
            <w:pPr>
              <w:ind w:left="320"/>
              <w:spacing w:after="0"/>
              <w:rPr>
                <w:sz w:val="20"/>
                <w:szCs w:val="20"/>
                <w:color w:val="auto"/>
              </w:rPr>
            </w:pPr>
            <w:r>
              <w:rPr>
                <w:rFonts w:ascii="Arial" w:cs="Arial" w:eastAsia="Arial" w:hAnsi="Arial"/>
                <w:sz w:val="20"/>
                <w:szCs w:val="20"/>
                <w:color w:val="auto"/>
                <w:w w:val="99"/>
              </w:rPr>
              <w:t>Volatility was estimated by</w:t>
            </w:r>
          </w:p>
        </w:tc>
      </w:tr>
      <w:tr>
        <w:trPr>
          <w:trHeight w:val="229"/>
        </w:trPr>
        <w:tc>
          <w:tcPr>
            <w:tcW w:w="3140" w:type="dxa"/>
            <w:vAlign w:val="bottom"/>
          </w:tcPr>
          <w:p>
            <w:pPr>
              <w:spacing w:after="0"/>
              <w:rPr>
                <w:sz w:val="20"/>
                <w:szCs w:val="20"/>
                <w:color w:val="auto"/>
              </w:rPr>
            </w:pPr>
            <w:r>
              <w:rPr>
                <w:rFonts w:ascii="Arial" w:cs="Arial" w:eastAsia="Arial" w:hAnsi="Arial"/>
                <w:sz w:val="20"/>
                <w:szCs w:val="20"/>
                <w:color w:val="auto"/>
              </w:rPr>
              <w:t>placement</w:t>
            </w:r>
          </w:p>
        </w:tc>
        <w:tc>
          <w:tcPr>
            <w:tcW w:w="3100" w:type="dxa"/>
            <w:vAlign w:val="bottom"/>
          </w:tcPr>
          <w:p>
            <w:pPr>
              <w:ind w:left="160"/>
              <w:spacing w:after="0"/>
              <w:rPr>
                <w:sz w:val="20"/>
                <w:szCs w:val="20"/>
                <w:color w:val="auto"/>
              </w:rPr>
            </w:pPr>
            <w:r>
              <w:rPr>
                <w:rFonts w:ascii="Arial" w:cs="Arial" w:eastAsia="Arial" w:hAnsi="Arial"/>
                <w:sz w:val="20"/>
                <w:szCs w:val="20"/>
                <w:color w:val="auto"/>
              </w:rPr>
              <w:t>Scholes</w:t>
            </w: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reference to the 1.4</w:t>
            </w:r>
          </w:p>
        </w:tc>
      </w:tr>
      <w:tr>
        <w:trPr>
          <w:trHeight w:val="230"/>
        </w:trPr>
        <w:tc>
          <w:tcPr>
            <w:tcW w:w="314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20"/>
                <w:szCs w:val="20"/>
                <w:color w:val="auto"/>
              </w:rPr>
              <w:t>model</w:t>
            </w: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years historical volatility of</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w w:val="97"/>
              </w:rPr>
              <w:t>the historical share price of</w:t>
            </w:r>
          </w:p>
        </w:tc>
      </w:tr>
      <w:tr>
        <w:trPr>
          <w:trHeight w:val="230"/>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w w:val="95"/>
              </w:rPr>
              <w:t>the Company, matching the</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w w:val="94"/>
              </w:rPr>
              <w:t>maturity of the instrument. If</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w w:val="95"/>
              </w:rPr>
              <w:t>the volatility is decreased to</w:t>
            </w:r>
          </w:p>
        </w:tc>
      </w:tr>
      <w:tr>
        <w:trPr>
          <w:trHeight w:val="230"/>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67.4% based on 1-year</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historical volatility, the</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w w:val="89"/>
              </w:rPr>
              <w:t>carrying value of the warrants</w:t>
            </w:r>
          </w:p>
        </w:tc>
      </w:tr>
      <w:tr>
        <w:trPr>
          <w:trHeight w:val="230"/>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as of December 31, 2021</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would decrease to</w:t>
            </w:r>
          </w:p>
        </w:tc>
      </w:tr>
      <w:tr>
        <w:trPr>
          <w:trHeight w:val="250"/>
        </w:trPr>
        <w:tc>
          <w:tcPr>
            <w:tcW w:w="31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£6.7 million.</w:t>
            </w:r>
          </w:p>
        </w:tc>
      </w:tr>
      <w:tr>
        <w:trPr>
          <w:trHeight w:val="317"/>
        </w:trPr>
        <w:tc>
          <w:tcPr>
            <w:tcW w:w="3140" w:type="dxa"/>
            <w:vAlign w:val="bottom"/>
          </w:tcPr>
          <w:p>
            <w:pPr>
              <w:spacing w:after="0"/>
              <w:rPr>
                <w:sz w:val="24"/>
                <w:szCs w:val="24"/>
                <w:color w:val="auto"/>
              </w:rPr>
            </w:pPr>
          </w:p>
        </w:tc>
        <w:tc>
          <w:tcPr>
            <w:tcW w:w="3100" w:type="dxa"/>
            <w:vAlign w:val="bottom"/>
          </w:tcPr>
          <w:p>
            <w:pPr>
              <w:ind w:left="900"/>
              <w:spacing w:after="0"/>
              <w:rPr>
                <w:sz w:val="20"/>
                <w:szCs w:val="20"/>
                <w:color w:val="auto"/>
              </w:rPr>
            </w:pPr>
            <w:r>
              <w:rPr>
                <w:rFonts w:ascii="Arial" w:cs="Arial" w:eastAsia="Arial" w:hAnsi="Arial"/>
                <w:sz w:val="20"/>
                <w:szCs w:val="20"/>
                <w:color w:val="auto"/>
              </w:rPr>
              <w:t>Expected volatility</w:t>
            </w:r>
          </w:p>
        </w:tc>
        <w:tc>
          <w:tcPr>
            <w:tcW w:w="2040" w:type="dxa"/>
            <w:vAlign w:val="bottom"/>
          </w:tcPr>
          <w:p>
            <w:pPr>
              <w:ind w:left="700"/>
              <w:spacing w:after="0"/>
              <w:rPr>
                <w:sz w:val="20"/>
                <w:szCs w:val="20"/>
                <w:color w:val="auto"/>
              </w:rPr>
            </w:pPr>
            <w:r>
              <w:rPr>
                <w:rFonts w:ascii="Arial" w:cs="Arial" w:eastAsia="Arial" w:hAnsi="Arial"/>
                <w:sz w:val="20"/>
                <w:szCs w:val="20"/>
                <w:color w:val="auto"/>
              </w:rPr>
              <w:t>2020: 85.1%</w:t>
            </w:r>
          </w:p>
        </w:tc>
        <w:tc>
          <w:tcPr>
            <w:tcW w:w="2680" w:type="dxa"/>
            <w:vAlign w:val="bottom"/>
          </w:tcPr>
          <w:p>
            <w:pPr>
              <w:ind w:left="320"/>
              <w:spacing w:after="0"/>
              <w:rPr>
                <w:sz w:val="20"/>
                <w:szCs w:val="20"/>
                <w:color w:val="auto"/>
              </w:rPr>
            </w:pPr>
            <w:r>
              <w:rPr>
                <w:rFonts w:ascii="Arial" w:cs="Arial" w:eastAsia="Arial" w:hAnsi="Arial"/>
                <w:sz w:val="20"/>
                <w:szCs w:val="20"/>
                <w:color w:val="auto"/>
                <w:w w:val="99"/>
              </w:rPr>
              <w:t>Volatility was estimated by</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reference to</w:t>
            </w:r>
          </w:p>
        </w:tc>
      </w:tr>
      <w:tr>
        <w:trPr>
          <w:trHeight w:val="229"/>
        </w:trPr>
        <w:tc>
          <w:tcPr>
            <w:tcW w:w="3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the six-month historical</w:t>
            </w:r>
          </w:p>
        </w:tc>
      </w:tr>
      <w:tr>
        <w:trPr>
          <w:trHeight w:val="246"/>
        </w:trPr>
        <w:tc>
          <w:tcPr>
            <w:tcW w:w="31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80" w:type="dxa"/>
            <w:vAlign w:val="bottom"/>
          </w:tcPr>
          <w:p>
            <w:pPr>
              <w:ind w:left="320"/>
              <w:spacing w:after="0"/>
              <w:rPr>
                <w:sz w:val="20"/>
                <w:szCs w:val="20"/>
                <w:color w:val="auto"/>
              </w:rPr>
            </w:pPr>
            <w:r>
              <w:rPr>
                <w:rFonts w:ascii="Arial" w:cs="Arial" w:eastAsia="Arial" w:hAnsi="Arial"/>
                <w:sz w:val="20"/>
                <w:szCs w:val="20"/>
                <w:color w:val="auto"/>
              </w:rPr>
              <w:t>volatility of the historical</w:t>
            </w:r>
          </w:p>
        </w:tc>
      </w:tr>
    </w:tbl>
    <w:p>
      <w:pPr>
        <w:ind w:left="8720"/>
        <w:spacing w:after="0"/>
        <w:rPr>
          <w:sz w:val="20"/>
          <w:szCs w:val="20"/>
          <w:color w:val="auto"/>
        </w:rPr>
      </w:pPr>
      <w:r>
        <w:rPr>
          <w:rFonts w:ascii="Arial" w:cs="Arial" w:eastAsia="Arial" w:hAnsi="Arial"/>
          <w:sz w:val="19"/>
          <w:szCs w:val="19"/>
          <w:color w:val="auto"/>
        </w:rPr>
        <w:t>share price of the Company.</w:t>
      </w:r>
    </w:p>
    <w:p>
      <w:pPr>
        <w:spacing w:after="0" w:line="1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If the volatility is increased to</w:t>
      </w:r>
    </w:p>
    <w:p>
      <w:pPr>
        <w:spacing w:after="0" w:line="2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93.8% based on three-month</w:t>
      </w:r>
    </w:p>
    <w:p>
      <w:pPr>
        <w:spacing w:after="0" w:line="22" w:lineRule="exact"/>
        <w:rPr>
          <w:sz w:val="20"/>
          <w:szCs w:val="20"/>
          <w:color w:val="auto"/>
        </w:rPr>
      </w:pPr>
    </w:p>
    <w:p>
      <w:pPr>
        <w:ind w:left="8720"/>
        <w:spacing w:after="0"/>
        <w:rPr>
          <w:sz w:val="20"/>
          <w:szCs w:val="20"/>
          <w:color w:val="auto"/>
        </w:rPr>
      </w:pPr>
      <w:r>
        <w:rPr>
          <w:rFonts w:ascii="Arial" w:cs="Arial" w:eastAsia="Arial" w:hAnsi="Arial"/>
          <w:sz w:val="20"/>
          <w:szCs w:val="20"/>
          <w:color w:val="auto"/>
        </w:rPr>
        <w:t>historical volatility, the</w:t>
      </w:r>
    </w:p>
    <w:p>
      <w:pPr>
        <w:ind w:left="8720"/>
        <w:spacing w:after="0"/>
        <w:rPr>
          <w:sz w:val="20"/>
          <w:szCs w:val="20"/>
          <w:color w:val="auto"/>
        </w:rPr>
      </w:pPr>
      <w:r>
        <w:rPr>
          <w:rFonts w:ascii="Arial" w:cs="Arial" w:eastAsia="Arial" w:hAnsi="Arial"/>
          <w:sz w:val="18"/>
          <w:szCs w:val="18"/>
          <w:color w:val="auto"/>
        </w:rPr>
        <w:t>carrying value of the warrants</w:t>
      </w:r>
    </w:p>
    <w:p>
      <w:pPr>
        <w:spacing w:after="0" w:line="22" w:lineRule="exact"/>
        <w:rPr>
          <w:sz w:val="20"/>
          <w:szCs w:val="20"/>
          <w:color w:val="auto"/>
        </w:rPr>
      </w:pPr>
    </w:p>
    <w:p>
      <w:pPr>
        <w:ind w:left="8720"/>
        <w:spacing w:after="0"/>
        <w:rPr>
          <w:sz w:val="20"/>
          <w:szCs w:val="20"/>
          <w:color w:val="auto"/>
        </w:rPr>
      </w:pPr>
      <w:r>
        <w:rPr>
          <w:rFonts w:ascii="Arial" w:cs="Arial" w:eastAsia="Arial" w:hAnsi="Arial"/>
          <w:sz w:val="20"/>
          <w:szCs w:val="20"/>
          <w:color w:val="auto"/>
        </w:rPr>
        <w:t>as of December 31, 2020</w:t>
      </w:r>
    </w:p>
    <w:p>
      <w:pPr>
        <w:ind w:left="8720"/>
        <w:spacing w:after="0"/>
        <w:rPr>
          <w:sz w:val="20"/>
          <w:szCs w:val="20"/>
          <w:color w:val="auto"/>
        </w:rPr>
      </w:pPr>
      <w:r>
        <w:rPr>
          <w:rFonts w:ascii="Arial" w:cs="Arial" w:eastAsia="Arial" w:hAnsi="Arial"/>
          <w:sz w:val="20"/>
          <w:szCs w:val="20"/>
          <w:color w:val="auto"/>
        </w:rPr>
        <w:t>would have increased to</w:t>
      </w:r>
    </w:p>
    <w:p>
      <w:pPr>
        <w:ind w:left="8720"/>
        <w:spacing w:after="0"/>
        <w:rPr>
          <w:sz w:val="20"/>
          <w:szCs w:val="20"/>
          <w:color w:val="auto"/>
        </w:rPr>
      </w:pPr>
      <w:r>
        <w:rPr>
          <w:rFonts w:ascii="Arial" w:cs="Arial" w:eastAsia="Arial" w:hAnsi="Arial"/>
          <w:sz w:val="20"/>
          <w:szCs w:val="20"/>
          <w:color w:val="auto"/>
        </w:rPr>
        <w:t>£52.9 million.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25. Commitments and contingencies</w:t>
      </w:r>
    </w:p>
    <w:p>
      <w:pPr>
        <w:spacing w:after="0" w:line="114"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Each of Mereo BioPharma 1 Limited, Mereo BioPharma 2 Limited and Mereo BioPharma 3 Limited (together, the “Subsidiaries”) issued to Novartis loan notes (which were assigned by Novartis to the Company in exchange for ordinary shares pursuant to the Subscription Agreement) and each of the Subsidiaries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Subsidiary under the respective Purchase Agreements.</w:t>
      </w:r>
    </w:p>
    <w:p>
      <w:pPr>
        <w:spacing w:after="0" w:line="160" w:lineRule="exact"/>
        <w:rPr>
          <w:sz w:val="20"/>
          <w:szCs w:val="20"/>
          <w:color w:val="auto"/>
        </w:rPr>
      </w:pPr>
    </w:p>
    <w:p>
      <w:pPr>
        <w:ind w:left="120" w:firstLine="551"/>
        <w:spacing w:after="0" w:line="235" w:lineRule="auto"/>
        <w:rPr>
          <w:sz w:val="20"/>
          <w:szCs w:val="20"/>
          <w:color w:val="auto"/>
        </w:rPr>
      </w:pPr>
      <w:r>
        <w:rPr>
          <w:rFonts w:ascii="Arial" w:cs="Arial" w:eastAsia="Arial" w:hAnsi="Arial"/>
          <w:sz w:val="22"/>
          <w:szCs w:val="22"/>
          <w:color w:val="auto"/>
        </w:rPr>
        <w:t>Each Subsidiary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Subsidiary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88" w:lineRule="exact"/>
        <w:rPr>
          <w:sz w:val="20"/>
          <w:szCs w:val="20"/>
          <w:color w:val="auto"/>
        </w:rPr>
      </w:pPr>
    </w:p>
    <w:p>
      <w:pPr>
        <w:ind w:left="120" w:firstLine="551"/>
        <w:spacing w:after="0" w:line="271" w:lineRule="auto"/>
        <w:rPr>
          <w:sz w:val="20"/>
          <w:szCs w:val="20"/>
          <w:color w:val="auto"/>
        </w:rPr>
      </w:pPr>
      <w:r>
        <w:rPr>
          <w:rFonts w:ascii="Arial" w:cs="Arial" w:eastAsia="Arial" w:hAnsi="Arial"/>
          <w:sz w:val="19"/>
          <w:szCs w:val="19"/>
          <w:color w:val="auto"/>
        </w:rPr>
        <w:t>In October 2017, the Company’s wholly owned subsidiary Mereo BioPharma 4 Limited entered into an exclusive license and option agreement (“the License Agreement”), to obtain from AstraZeneca an exclusive worldwide, sub-licensable license under AstraZeneca’s intellectual property rights relating to alvelestat, with an option to acquire such intellectual property rights following commencement of a pivotal trial and payment of related milestone payments (“the Option”), together with the acquisition of certain related assets. Upon entering into the License Agreement, the Company made a payment of $3.0 million and issued 490,798 ordinary shares to AstraZeneca, for an aggregate upfront payment equal to $5.0 million. In connection with certain development and regulatory milestones, the Company has agreed to make payments of up to $115.5 million in the aggregate and issue additional ordinary shares to AstraZeneca for licensed products containing alvelestat.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200" w:lineRule="exact"/>
        <w:rPr>
          <w:sz w:val="20"/>
          <w:szCs w:val="20"/>
          <w:color w:val="auto"/>
        </w:rPr>
      </w:pPr>
    </w:p>
    <w:p>
      <w:pPr>
        <w:spacing w:after="0" w:line="203" w:lineRule="exact"/>
        <w:rPr>
          <w:sz w:val="20"/>
          <w:szCs w:val="20"/>
          <w:color w:val="auto"/>
        </w:rPr>
      </w:pPr>
    </w:p>
    <w:p>
      <w:pPr>
        <w:ind w:left="120" w:right="120" w:firstLine="551"/>
        <w:spacing w:after="0" w:line="297" w:lineRule="auto"/>
        <w:rPr>
          <w:sz w:val="20"/>
          <w:szCs w:val="20"/>
          <w:color w:val="auto"/>
        </w:rPr>
      </w:pPr>
      <w:r>
        <w:rPr>
          <w:rFonts w:ascii="Arial" w:cs="Arial" w:eastAsia="Arial" w:hAnsi="Arial"/>
          <w:sz w:val="19"/>
          <w:szCs w:val="19"/>
          <w:color w:val="auto"/>
        </w:rPr>
        <w:t>The License Agreement will expire on the expiry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w:t>
      </w:r>
    </w:p>
    <w:p>
      <w:pPr>
        <w:sectPr>
          <w:pgSz w:w="11900" w:h="16838" w:orient="portrait"/>
          <w:cols w:equalWidth="0" w:num="1">
            <w:col w:w="11120"/>
          </w:cols>
          <w:pgMar w:left="320" w:top="486" w:right="459" w:bottom="0" w:gutter="0" w:footer="0" w:header="0"/>
        </w:sectPr>
      </w:pPr>
    </w:p>
    <w:bookmarkStart w:id="219" w:name="page220"/>
    <w:bookmarkEnd w:id="219"/>
    <w:p>
      <w:pPr>
        <w:spacing w:after="0" w:line="274" w:lineRule="auto"/>
        <w:rPr>
          <w:sz w:val="20"/>
          <w:szCs w:val="20"/>
          <w:color w:val="auto"/>
        </w:rPr>
      </w:pPr>
      <w:r>
        <w:rPr>
          <w:rFonts w:ascii="Arial" w:cs="Arial" w:eastAsia="Arial" w:hAnsi="Arial"/>
          <w:sz w:val="21"/>
          <w:szCs w:val="21"/>
          <w:color w:val="auto"/>
        </w:rPr>
        <w:t>terminate the License Agreement upon prior written notice. Either party may terminate the agreement upon prior written notice for the other party’s material breach that remains uncured for a specified period of time or insolvency.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F-38</w:t>
      </w:r>
    </w:p>
    <w:p>
      <w:pPr>
        <w:sectPr>
          <w:pgSz w:w="11900" w:h="16838" w:orient="portrait"/>
          <w:cols w:equalWidth="0" w:num="1">
            <w:col w:w="10980"/>
          </w:cols>
          <w:pgMar w:left="440" w:top="118"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NOTES TO THE CONSOLIDATED FINANCIAL STATEMENTS</w:t>
      </w:r>
    </w:p>
    <w:p>
      <w:pPr>
        <w:spacing w:after="0" w:line="125"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20"/>
          <w:szCs w:val="20"/>
          <w:color w:val="auto"/>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£1.4 million as of December 31, 2021.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26. Share-based payments</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274"/>
        </w:trPr>
        <w:tc>
          <w:tcPr>
            <w:tcW w:w="6620" w:type="dxa"/>
            <w:vAlign w:val="bottom"/>
            <w:gridSpan w:val="2"/>
          </w:tcPr>
          <w:p>
            <w:pPr>
              <w:spacing w:after="0"/>
              <w:rPr>
                <w:sz w:val="20"/>
                <w:szCs w:val="20"/>
                <w:color w:val="auto"/>
              </w:rPr>
            </w:pPr>
            <w:r>
              <w:rPr>
                <w:rFonts w:ascii="Arial" w:cs="Arial" w:eastAsia="Arial" w:hAnsi="Arial"/>
                <w:sz w:val="22"/>
                <w:szCs w:val="22"/>
                <w:color w:val="auto"/>
                <w:w w:val="89"/>
              </w:rPr>
              <w:t>The charge for share-based payments arises across the following schemes:</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49"/>
        </w:trPr>
        <w:tc>
          <w:tcPr>
            <w:tcW w:w="3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22"/>
                <w:szCs w:val="22"/>
                <w:b w:val="1"/>
                <w:bCs w:val="1"/>
                <w:color w:val="auto"/>
                <w:w w:val="87"/>
              </w:rPr>
              <w:t>Year ended</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88"/>
              </w:rPr>
              <w:t>December 31,</w:t>
            </w: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37"/>
        </w:trPr>
        <w:tc>
          <w:tcPr>
            <w:tcW w:w="3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w w:val="98"/>
              </w:rPr>
              <w:t>2021</w:t>
            </w:r>
          </w:p>
        </w:tc>
        <w:tc>
          <w:tcPr>
            <w:tcW w:w="100" w:type="dxa"/>
            <w:vAlign w:val="bottom"/>
          </w:tcPr>
          <w:p>
            <w:pPr>
              <w:spacing w:after="0"/>
              <w:rPr>
                <w:sz w:val="20"/>
                <w:szCs w:val="20"/>
                <w:color w:val="auto"/>
              </w:rPr>
            </w:pPr>
          </w:p>
        </w:tc>
        <w:tc>
          <w:tcPr>
            <w:tcW w:w="960" w:type="dxa"/>
            <w:vAlign w:val="bottom"/>
            <w:gridSpan w:val="2"/>
          </w:tcPr>
          <w:p>
            <w:pPr>
              <w:jc w:val="center"/>
              <w:ind w:left="252"/>
              <w:spacing w:after="0" w:line="237" w:lineRule="exact"/>
              <w:rPr>
                <w:sz w:val="20"/>
                <w:szCs w:val="20"/>
                <w:color w:val="auto"/>
              </w:rPr>
            </w:pPr>
            <w:r>
              <w:rPr>
                <w:rFonts w:ascii="Arial" w:cs="Arial" w:eastAsia="Arial" w:hAnsi="Arial"/>
                <w:sz w:val="22"/>
                <w:szCs w:val="22"/>
                <w:b w:val="1"/>
                <w:bCs w:val="1"/>
                <w:color w:val="auto"/>
                <w:w w:val="89"/>
              </w:rPr>
              <w:t>2020</w:t>
            </w:r>
          </w:p>
        </w:tc>
        <w:tc>
          <w:tcPr>
            <w:tcW w:w="400" w:type="dxa"/>
            <w:vAlign w:val="bottom"/>
          </w:tcPr>
          <w:p>
            <w:pPr>
              <w:spacing w:after="0"/>
              <w:rPr>
                <w:sz w:val="20"/>
                <w:szCs w:val="20"/>
                <w:color w:val="auto"/>
              </w:rPr>
            </w:pPr>
          </w:p>
        </w:tc>
        <w:tc>
          <w:tcPr>
            <w:tcW w:w="680" w:type="dxa"/>
            <w:vAlign w:val="bottom"/>
            <w:gridSpan w:val="2"/>
          </w:tcPr>
          <w:p>
            <w:pPr>
              <w:jc w:val="right"/>
              <w:spacing w:after="0" w:line="237" w:lineRule="exact"/>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3"/>
              </w:rPr>
              <w:t>£’000s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b w:val="1"/>
                <w:bCs w:val="1"/>
                <w:color w:val="auto"/>
                <w:w w:val="86"/>
              </w:rPr>
              <w:t>£’000s</w:t>
            </w:r>
          </w:p>
        </w:tc>
        <w:tc>
          <w:tcPr>
            <w:tcW w:w="6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62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2019 Equity Incentive Plan</w:t>
            </w:r>
          </w:p>
        </w:tc>
        <w:tc>
          <w:tcPr>
            <w:tcW w:w="7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2,860</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922</w:t>
            </w:r>
          </w:p>
        </w:tc>
        <w:tc>
          <w:tcPr>
            <w:tcW w:w="4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635</w:t>
            </w:r>
          </w:p>
        </w:tc>
        <w:tc>
          <w:tcPr>
            <w:tcW w:w="60" w:type="dxa"/>
            <w:vAlign w:val="bottom"/>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280" w:type="dxa"/>
            <w:vAlign w:val="bottom"/>
          </w:tcPr>
          <w:p>
            <w:pPr>
              <w:spacing w:after="0" w:line="243" w:lineRule="exact"/>
              <w:rPr>
                <w:sz w:val="20"/>
                <w:szCs w:val="20"/>
                <w:color w:val="auto"/>
              </w:rPr>
            </w:pPr>
            <w:r>
              <w:rPr>
                <w:rFonts w:ascii="Arial" w:cs="Arial" w:eastAsia="Arial" w:hAnsi="Arial"/>
                <w:sz w:val="22"/>
                <w:szCs w:val="22"/>
                <w:color w:val="auto"/>
              </w:rPr>
              <w:t>2019 NED Equity Incentive Plan</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499</w:t>
            </w:r>
          </w:p>
        </w:tc>
        <w:tc>
          <w:tcPr>
            <w:tcW w:w="100" w:type="dxa"/>
            <w:vAlign w:val="bottom"/>
          </w:tcPr>
          <w:p>
            <w:pPr>
              <w:spacing w:after="0"/>
              <w:rPr>
                <w:sz w:val="21"/>
                <w:szCs w:val="21"/>
                <w:color w:val="auto"/>
              </w:rPr>
            </w:pPr>
          </w:p>
        </w:tc>
        <w:tc>
          <w:tcPr>
            <w:tcW w:w="9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167</w:t>
            </w:r>
          </w:p>
        </w:tc>
        <w:tc>
          <w:tcPr>
            <w:tcW w:w="400" w:type="dxa"/>
            <w:vAlign w:val="bottom"/>
          </w:tcPr>
          <w:p>
            <w:pPr>
              <w:spacing w:after="0"/>
              <w:rPr>
                <w:sz w:val="21"/>
                <w:szCs w:val="21"/>
                <w:color w:val="auto"/>
              </w:rPr>
            </w:pP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160</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2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2015 Plan</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w:t>
            </w:r>
          </w:p>
        </w:tc>
        <w:tc>
          <w:tcPr>
            <w:tcW w:w="4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63</w:t>
            </w:r>
          </w:p>
        </w:tc>
        <w:tc>
          <w:tcPr>
            <w:tcW w:w="60" w:type="dxa"/>
            <w:vAlign w:val="bottom"/>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280" w:type="dxa"/>
            <w:vAlign w:val="bottom"/>
          </w:tcPr>
          <w:p>
            <w:pPr>
              <w:spacing w:after="0" w:line="243" w:lineRule="exact"/>
              <w:rPr>
                <w:sz w:val="20"/>
                <w:szCs w:val="20"/>
                <w:color w:val="auto"/>
              </w:rPr>
            </w:pPr>
            <w:r>
              <w:rPr>
                <w:rFonts w:ascii="Arial" w:cs="Arial" w:eastAsia="Arial" w:hAnsi="Arial"/>
                <w:sz w:val="22"/>
                <w:szCs w:val="22"/>
                <w:color w:val="auto"/>
              </w:rPr>
              <w:t>Mereo BioPharma Group plc Share Option Plan</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68</w:t>
            </w:r>
          </w:p>
        </w:tc>
        <w:tc>
          <w:tcPr>
            <w:tcW w:w="100" w:type="dxa"/>
            <w:vAlign w:val="bottom"/>
          </w:tcPr>
          <w:p>
            <w:pPr>
              <w:spacing w:after="0"/>
              <w:rPr>
                <w:sz w:val="21"/>
                <w:szCs w:val="21"/>
                <w:color w:val="auto"/>
              </w:rPr>
            </w:pPr>
          </w:p>
        </w:tc>
        <w:tc>
          <w:tcPr>
            <w:tcW w:w="9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376</w:t>
            </w:r>
          </w:p>
        </w:tc>
        <w:tc>
          <w:tcPr>
            <w:tcW w:w="400" w:type="dxa"/>
            <w:vAlign w:val="bottom"/>
          </w:tcPr>
          <w:p>
            <w:pPr>
              <w:spacing w:after="0"/>
              <w:rPr>
                <w:sz w:val="21"/>
                <w:szCs w:val="21"/>
                <w:color w:val="auto"/>
              </w:rPr>
            </w:pP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685</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2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 Term Incentive Plan</w:t>
            </w:r>
          </w:p>
        </w:tc>
        <w:tc>
          <w:tcPr>
            <w:tcW w:w="880" w:type="dxa"/>
            <w:vAlign w:val="bottom"/>
            <w:gridSpan w:val="3"/>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(125)</w:t>
            </w:r>
          </w:p>
        </w:tc>
        <w:tc>
          <w:tcPr>
            <w:tcW w:w="9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90</w:t>
            </w:r>
          </w:p>
        </w:tc>
        <w:tc>
          <w:tcPr>
            <w:tcW w:w="4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93</w:t>
            </w:r>
          </w:p>
        </w:tc>
        <w:tc>
          <w:tcPr>
            <w:tcW w:w="60" w:type="dxa"/>
            <w:vAlign w:val="bottom"/>
            <w:shd w:val="clear" w:color="auto" w:fill="CCEEFF"/>
          </w:tcPr>
          <w:p>
            <w:pPr>
              <w:spacing w:after="0"/>
              <w:rPr>
                <w:sz w:val="21"/>
                <w:szCs w:val="21"/>
                <w:color w:val="auto"/>
              </w:rPr>
            </w:pPr>
          </w:p>
        </w:tc>
      </w:tr>
      <w:tr>
        <w:trPr>
          <w:trHeight w:val="250"/>
        </w:trPr>
        <w:tc>
          <w:tcPr>
            <w:tcW w:w="6620" w:type="dxa"/>
            <w:vAlign w:val="bottom"/>
            <w:gridSpan w:val="2"/>
          </w:tcPr>
          <w:p>
            <w:pPr>
              <w:ind w:left="340"/>
              <w:spacing w:after="0"/>
              <w:rPr>
                <w:sz w:val="20"/>
                <w:szCs w:val="20"/>
                <w:color w:val="auto"/>
              </w:rPr>
            </w:pPr>
            <w:r>
              <w:rPr>
                <w:rFonts w:ascii="Arial" w:cs="Arial" w:eastAsia="Arial" w:hAnsi="Arial"/>
                <w:sz w:val="20"/>
                <w:szCs w:val="20"/>
                <w:b w:val="1"/>
                <w:bCs w:val="1"/>
                <w:color w:val="auto"/>
              </w:rPr>
              <w:t>Total</w:t>
            </w:r>
          </w:p>
        </w:tc>
        <w:tc>
          <w:tcPr>
            <w:tcW w:w="18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3,302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1,558</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b w:val="1"/>
                <w:bCs w:val="1"/>
                <w:color w:val="auto"/>
              </w:rPr>
              <w:t>1,636</w:t>
            </w:r>
          </w:p>
        </w:tc>
        <w:tc>
          <w:tcPr>
            <w:tcW w:w="6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2019 Equity Incentive Plan (“EIP”) and 2019 Non-Executive Director Equity Incentive Plan (“NED EIP”)</w:t>
      </w:r>
    </w:p>
    <w:p>
      <w:pPr>
        <w:spacing w:after="0" w:line="103"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The 2019 EIP and 2019 NED EIP were adopted on April 4, 2019, and subsequently amended on February 3, 2020 and January 15, 2021. The 2019 EIP provides for the grant of market value options over ADSs (each ADS is represented by 5 ordinary shares) to executive directors and employees. The 2019 NED EIP provides for the grant of market value options over ADSs to non-executive directors.</w:t>
      </w:r>
    </w:p>
    <w:p>
      <w:pPr>
        <w:spacing w:after="0" w:line="18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22"/>
          <w:szCs w:val="22"/>
          <w:color w:val="auto"/>
        </w:rPr>
        <w:t>During the years ended December 31, 2021, 2020 and 2019, market value options were granted to executive directors and employees under the 2019 EIP. Subject to the executive director or employees continued employment, one-fourth of each such market value option grant shall vest on the first anniversary of the grant date and the remainder shall vest in equal monthly installments over the three-year period following the first anniversary. No performance conditions apply to such market value options.</w:t>
      </w:r>
    </w:p>
    <w:p>
      <w:pPr>
        <w:spacing w:after="0" w:line="187" w:lineRule="exact"/>
        <w:rPr>
          <w:sz w:val="20"/>
          <w:szCs w:val="20"/>
          <w:color w:val="auto"/>
        </w:rPr>
      </w:pPr>
    </w:p>
    <w:p>
      <w:pPr>
        <w:ind w:left="120" w:right="80" w:firstLine="551"/>
        <w:spacing w:after="0" w:line="252" w:lineRule="auto"/>
        <w:rPr>
          <w:sz w:val="20"/>
          <w:szCs w:val="20"/>
          <w:color w:val="auto"/>
        </w:rPr>
      </w:pPr>
      <w:r>
        <w:rPr>
          <w:rFonts w:ascii="Arial" w:cs="Arial" w:eastAsia="Arial" w:hAnsi="Arial"/>
          <w:sz w:val="21"/>
          <w:szCs w:val="21"/>
          <w:color w:val="auto"/>
        </w:rPr>
        <w:t>During the years ended December 31, 2021, 2020 and 2019, market value options were granted to non-executive directors (“NEDs”) under the 2019 NED EIP. Subject to the NEDs holding their current office (or being otherwise employed) through each applicable vesting date, such awards shall vest in equal monthly installments over a one-year period following the grant date. No performance conditions apply to such market value options.</w:t>
      </w:r>
    </w:p>
    <w:p>
      <w:pPr>
        <w:spacing w:after="0" w:line="174" w:lineRule="exact"/>
        <w:rPr>
          <w:sz w:val="20"/>
          <w:szCs w:val="20"/>
          <w:color w:val="auto"/>
        </w:rPr>
      </w:pPr>
    </w:p>
    <w:p>
      <w:pPr>
        <w:jc w:val="both"/>
        <w:ind w:left="120" w:right="120" w:firstLine="551"/>
        <w:spacing w:after="0" w:line="257" w:lineRule="auto"/>
        <w:rPr>
          <w:sz w:val="20"/>
          <w:szCs w:val="20"/>
          <w:color w:val="auto"/>
        </w:rPr>
      </w:pPr>
      <w:r>
        <w:rPr>
          <w:rFonts w:ascii="Arial" w:cs="Arial" w:eastAsia="Arial" w:hAnsi="Arial"/>
          <w:sz w:val="21"/>
          <w:szCs w:val="21"/>
          <w:color w:val="auto"/>
        </w:rPr>
        <w:t>The fair value of share options granted were estimated at the date of grant using a Black-Scholes pricing model, taking into account the terms and conditions upon which the share options were granted. The fair value calculation does not include any allowance for dividends as the Company has no available profits for distribution.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exercise price of the share options will be equal to the market price of the underlying shares on the date of grant.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contractual term of the share options is 10 years.</w:t>
      </w:r>
    </w:p>
    <w:p>
      <w:pPr>
        <w:spacing w:after="0" w:line="188"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22"/>
          <w:szCs w:val="22"/>
          <w:color w:val="auto"/>
        </w:rPr>
        <w:t>The following table illustrates the number and weighted average exercise prices (WAEP) of, and movements in, options for the 2019 EIP and 2019 NED EIP during the year-ended December 31, 2021:</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4160" w:type="dxa"/>
            <w:vAlign w:val="bottom"/>
          </w:tcPr>
          <w:p>
            <w:pPr>
              <w:spacing w:after="0"/>
              <w:rPr>
                <w:sz w:val="23"/>
                <w:szCs w:val="23"/>
                <w:color w:val="auto"/>
              </w:rPr>
            </w:pPr>
          </w:p>
        </w:tc>
        <w:tc>
          <w:tcPr>
            <w:tcW w:w="2340" w:type="dxa"/>
            <w:vAlign w:val="bottom"/>
            <w:gridSpan w:val="4"/>
          </w:tcPr>
          <w:p>
            <w:pPr>
              <w:ind w:left="540"/>
              <w:spacing w:after="0"/>
              <w:rPr>
                <w:sz w:val="20"/>
                <w:szCs w:val="20"/>
                <w:color w:val="auto"/>
              </w:rPr>
            </w:pPr>
            <w:r>
              <w:rPr>
                <w:rFonts w:ascii="Arial" w:cs="Arial" w:eastAsia="Arial" w:hAnsi="Arial"/>
                <w:sz w:val="22"/>
                <w:szCs w:val="22"/>
                <w:b w:val="1"/>
                <w:bCs w:val="1"/>
                <w:color w:val="auto"/>
              </w:rPr>
              <w:t>2019 EIP</w:t>
            </w:r>
          </w:p>
        </w:tc>
        <w:tc>
          <w:tcPr>
            <w:tcW w:w="1860" w:type="dxa"/>
            <w:vAlign w:val="bottom"/>
            <w:gridSpan w:val="4"/>
          </w:tcPr>
          <w:p>
            <w:pPr>
              <w:ind w:left="220"/>
              <w:spacing w:after="0"/>
              <w:rPr>
                <w:sz w:val="20"/>
                <w:szCs w:val="20"/>
                <w:color w:val="auto"/>
              </w:rPr>
            </w:pPr>
            <w:r>
              <w:rPr>
                <w:rFonts w:ascii="Arial" w:cs="Arial" w:eastAsia="Arial" w:hAnsi="Arial"/>
                <w:sz w:val="22"/>
                <w:szCs w:val="22"/>
                <w:b w:val="1"/>
                <w:bCs w:val="1"/>
                <w:color w:val="auto"/>
              </w:rPr>
              <w:t>2019 NED EIP</w:t>
            </w:r>
          </w:p>
        </w:tc>
      </w:tr>
      <w:tr>
        <w:trPr>
          <w:trHeight w:val="209"/>
        </w:trPr>
        <w:tc>
          <w:tcPr>
            <w:tcW w:w="4160" w:type="dxa"/>
            <w:vAlign w:val="bottom"/>
          </w:tcPr>
          <w:p>
            <w:pPr>
              <w:spacing w:after="0"/>
              <w:rPr>
                <w:sz w:val="18"/>
                <w:szCs w:val="18"/>
                <w:color w:val="auto"/>
              </w:rPr>
            </w:pPr>
          </w:p>
        </w:tc>
        <w:tc>
          <w:tcPr>
            <w:tcW w:w="1340" w:type="dxa"/>
            <w:vAlign w:val="bottom"/>
            <w:tcBorders>
              <w:top w:val="single" w:sz="8" w:color="auto"/>
            </w:tcBorders>
            <w:gridSpan w:val="2"/>
          </w:tcPr>
          <w:p>
            <w:pPr>
              <w:jc w:val="center"/>
              <w:ind w:right="440"/>
              <w:spacing w:after="0" w:line="209" w:lineRule="exact"/>
              <w:rPr>
                <w:sz w:val="20"/>
                <w:szCs w:val="20"/>
                <w:color w:val="auto"/>
              </w:rPr>
            </w:pPr>
            <w:r>
              <w:rPr>
                <w:rFonts w:ascii="Arial" w:cs="Arial" w:eastAsia="Arial" w:hAnsi="Arial"/>
                <w:sz w:val="22"/>
                <w:szCs w:val="22"/>
                <w:b w:val="1"/>
                <w:bCs w:val="1"/>
                <w:color w:val="auto"/>
                <w:w w:val="88"/>
              </w:rPr>
              <w:t>Options</w:t>
            </w:r>
          </w:p>
        </w:tc>
        <w:tc>
          <w:tcPr>
            <w:tcW w:w="5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Borders>
              <w:top w:val="single" w:sz="8" w:color="auto"/>
            </w:tcBorders>
            <w:gridSpan w:val="2"/>
          </w:tcPr>
          <w:p>
            <w:pPr>
              <w:jc w:val="center"/>
              <w:ind w:right="440"/>
              <w:spacing w:after="0" w:line="209" w:lineRule="exact"/>
              <w:rPr>
                <w:sz w:val="20"/>
                <w:szCs w:val="20"/>
                <w:color w:val="auto"/>
              </w:rPr>
            </w:pPr>
            <w:r>
              <w:rPr>
                <w:rFonts w:ascii="Arial" w:cs="Arial" w:eastAsia="Arial" w:hAnsi="Arial"/>
                <w:sz w:val="20"/>
                <w:szCs w:val="20"/>
                <w:b w:val="1"/>
                <w:bCs w:val="1"/>
                <w:color w:val="auto"/>
                <w:w w:val="89"/>
              </w:rPr>
              <w:t>Options</w:t>
            </w: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4160" w:type="dxa"/>
            <w:vAlign w:val="bottom"/>
          </w:tcPr>
          <w:p>
            <w:pPr>
              <w:spacing w:after="0"/>
              <w:rPr>
                <w:sz w:val="21"/>
                <w:szCs w:val="21"/>
                <w:color w:val="auto"/>
              </w:rPr>
            </w:pPr>
          </w:p>
        </w:tc>
        <w:tc>
          <w:tcPr>
            <w:tcW w:w="1340" w:type="dxa"/>
            <w:vAlign w:val="bottom"/>
            <w:gridSpan w:val="2"/>
          </w:tcPr>
          <w:p>
            <w:pPr>
              <w:jc w:val="center"/>
              <w:ind w:right="420"/>
              <w:spacing w:after="0" w:line="243" w:lineRule="exact"/>
              <w:rPr>
                <w:sz w:val="20"/>
                <w:szCs w:val="20"/>
                <w:color w:val="auto"/>
              </w:rPr>
            </w:pPr>
            <w:r>
              <w:rPr>
                <w:rFonts w:ascii="Arial" w:cs="Arial" w:eastAsia="Arial" w:hAnsi="Arial"/>
                <w:sz w:val="22"/>
                <w:szCs w:val="22"/>
                <w:b w:val="1"/>
                <w:bCs w:val="1"/>
                <w:color w:val="auto"/>
                <w:w w:val="88"/>
              </w:rPr>
              <w:t>over ADS</w:t>
            </w:r>
          </w:p>
        </w:tc>
        <w:tc>
          <w:tcPr>
            <w:tcW w:w="1000" w:type="dxa"/>
            <w:vAlign w:val="bottom"/>
            <w:gridSpan w:val="2"/>
          </w:tcPr>
          <w:p>
            <w:pPr>
              <w:spacing w:after="0"/>
              <w:rPr>
                <w:sz w:val="20"/>
                <w:szCs w:val="20"/>
                <w:color w:val="auto"/>
              </w:rPr>
            </w:pPr>
            <w:r>
              <w:rPr>
                <w:rFonts w:ascii="Arial" w:cs="Arial" w:eastAsia="Arial" w:hAnsi="Arial"/>
                <w:sz w:val="20"/>
                <w:szCs w:val="20"/>
                <w:b w:val="1"/>
                <w:bCs w:val="1"/>
                <w:color w:val="auto"/>
              </w:rPr>
              <w:t>WAEP</w:t>
            </w:r>
          </w:p>
        </w:tc>
        <w:tc>
          <w:tcPr>
            <w:tcW w:w="12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88"/>
              </w:rPr>
              <w:t>over ADS</w:t>
            </w:r>
          </w:p>
        </w:tc>
        <w:tc>
          <w:tcPr>
            <w:tcW w:w="620" w:type="dxa"/>
            <w:vAlign w:val="bottom"/>
            <w:gridSpan w:val="2"/>
          </w:tcPr>
          <w:p>
            <w:pPr>
              <w:spacing w:after="0"/>
              <w:rPr>
                <w:sz w:val="20"/>
                <w:szCs w:val="20"/>
                <w:color w:val="auto"/>
              </w:rPr>
            </w:pPr>
            <w:r>
              <w:rPr>
                <w:rFonts w:ascii="Arial" w:cs="Arial" w:eastAsia="Arial" w:hAnsi="Arial"/>
                <w:sz w:val="20"/>
                <w:szCs w:val="20"/>
                <w:b w:val="1"/>
                <w:bCs w:val="1"/>
                <w:color w:val="auto"/>
                <w:w w:val="99"/>
              </w:rPr>
              <w:t>WAEP</w:t>
            </w:r>
          </w:p>
        </w:tc>
      </w:tr>
      <w:tr>
        <w:trPr>
          <w:trHeight w:val="270"/>
        </w:trPr>
        <w:tc>
          <w:tcPr>
            <w:tcW w:w="4160" w:type="dxa"/>
            <w:vAlign w:val="bottom"/>
          </w:tcPr>
          <w:p>
            <w:pPr>
              <w:spacing w:after="0"/>
              <w:rPr>
                <w:sz w:val="23"/>
                <w:szCs w:val="2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22"/>
                <w:szCs w:val="22"/>
                <w:b w:val="1"/>
                <w:bCs w:val="1"/>
                <w:color w:val="auto"/>
                <w:w w:val="91"/>
              </w:rPr>
              <w:t>Number</w:t>
            </w:r>
          </w:p>
        </w:tc>
        <w:tc>
          <w:tcPr>
            <w:tcW w:w="100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rPr>
              <w:t>$</w:t>
            </w:r>
          </w:p>
        </w:tc>
        <w:tc>
          <w:tcPr>
            <w:tcW w:w="124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2"/>
              </w:rPr>
              <w:t>Number</w:t>
            </w:r>
          </w:p>
        </w:tc>
        <w:tc>
          <w:tcPr>
            <w:tcW w:w="62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r>
      <w:tr>
        <w:trPr>
          <w:trHeight w:val="237"/>
        </w:trPr>
        <w:tc>
          <w:tcPr>
            <w:tcW w:w="41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Outstanding at January 1, 2021</w:t>
            </w:r>
          </w:p>
        </w:tc>
        <w:tc>
          <w:tcPr>
            <w:tcW w:w="9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1"/>
              </w:rPr>
              <w:t>1,567,873</w:t>
            </w:r>
          </w:p>
        </w:tc>
        <w:tc>
          <w:tcPr>
            <w:tcW w:w="4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2.94</w:t>
            </w:r>
          </w:p>
        </w:tc>
        <w:tc>
          <w:tcPr>
            <w:tcW w:w="4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8"/>
              </w:rPr>
              <w:t>149,416</w:t>
            </w:r>
          </w:p>
        </w:tc>
        <w:tc>
          <w:tcPr>
            <w:tcW w:w="44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3.06</w:t>
            </w:r>
          </w:p>
        </w:tc>
        <w:tc>
          <w:tcPr>
            <w:tcW w:w="40" w:type="dxa"/>
            <w:vAlign w:val="bottom"/>
            <w:tcBorders>
              <w:top w:val="single" w:sz="8" w:color="CCEEFF"/>
            </w:tcBorders>
            <w:shd w:val="clear" w:color="auto" w:fill="CCEEFF"/>
          </w:tcPr>
          <w:p>
            <w:pPr>
              <w:spacing w:after="0"/>
              <w:rPr>
                <w:sz w:val="20"/>
                <w:szCs w:val="20"/>
                <w:color w:val="auto"/>
              </w:rPr>
            </w:pPr>
          </w:p>
        </w:tc>
      </w:tr>
      <w:tr>
        <w:trPr>
          <w:trHeight w:val="243"/>
        </w:trPr>
        <w:tc>
          <w:tcPr>
            <w:tcW w:w="4160" w:type="dxa"/>
            <w:vAlign w:val="bottom"/>
          </w:tcPr>
          <w:p>
            <w:pPr>
              <w:spacing w:after="0" w:line="243" w:lineRule="exact"/>
              <w:rPr>
                <w:sz w:val="20"/>
                <w:szCs w:val="20"/>
                <w:color w:val="auto"/>
              </w:rPr>
            </w:pPr>
            <w:r>
              <w:rPr>
                <w:rFonts w:ascii="Arial" w:cs="Arial" w:eastAsia="Arial" w:hAnsi="Arial"/>
                <w:sz w:val="22"/>
                <w:szCs w:val="22"/>
                <w:color w:val="auto"/>
              </w:rPr>
              <w:t>Granted during the year</w:t>
            </w:r>
          </w:p>
        </w:tc>
        <w:tc>
          <w:tcPr>
            <w:tcW w:w="13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w w:val="91"/>
              </w:rPr>
              <w:t>2,696,960</w:t>
            </w:r>
          </w:p>
        </w:tc>
        <w:tc>
          <w:tcPr>
            <w:tcW w:w="100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2.83</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w w:val="98"/>
              </w:rPr>
              <w:t>296,000</w:t>
            </w:r>
          </w:p>
        </w:tc>
        <w:tc>
          <w:tcPr>
            <w:tcW w:w="440" w:type="dxa"/>
            <w:vAlign w:val="bottom"/>
          </w:tcPr>
          <w:p>
            <w:pPr>
              <w:spacing w:after="0"/>
              <w:rPr>
                <w:sz w:val="21"/>
                <w:szCs w:val="21"/>
                <w:color w:val="auto"/>
              </w:rPr>
            </w:pPr>
          </w:p>
        </w:tc>
        <w:tc>
          <w:tcPr>
            <w:tcW w:w="6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2.81</w:t>
            </w:r>
          </w:p>
        </w:tc>
      </w:tr>
      <w:tr>
        <w:trPr>
          <w:trHeight w:val="243"/>
        </w:trPr>
        <w:tc>
          <w:tcPr>
            <w:tcW w:w="4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Cancelled during the year</w:t>
            </w:r>
          </w:p>
        </w:tc>
        <w:tc>
          <w:tcPr>
            <w:tcW w:w="134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(253,277)</w:t>
            </w:r>
          </w:p>
        </w:tc>
        <w:tc>
          <w:tcPr>
            <w:tcW w:w="100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2.66</w:t>
            </w:r>
          </w:p>
        </w:tc>
        <w:tc>
          <w:tcPr>
            <w:tcW w:w="124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(23,625)</w:t>
            </w:r>
          </w:p>
        </w:tc>
        <w:tc>
          <w:tcPr>
            <w:tcW w:w="6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2.72</w:t>
            </w:r>
          </w:p>
        </w:tc>
      </w:tr>
      <w:tr>
        <w:trPr>
          <w:trHeight w:val="243"/>
        </w:trPr>
        <w:tc>
          <w:tcPr>
            <w:tcW w:w="4160" w:type="dxa"/>
            <w:vAlign w:val="bottom"/>
          </w:tcPr>
          <w:p>
            <w:pPr>
              <w:spacing w:after="0" w:line="243" w:lineRule="exact"/>
              <w:rPr>
                <w:sz w:val="20"/>
                <w:szCs w:val="20"/>
                <w:color w:val="auto"/>
              </w:rPr>
            </w:pPr>
            <w:r>
              <w:rPr>
                <w:rFonts w:ascii="Arial" w:cs="Arial" w:eastAsia="Arial" w:hAnsi="Arial"/>
                <w:sz w:val="22"/>
                <w:szCs w:val="22"/>
                <w:color w:val="auto"/>
              </w:rPr>
              <w:t>Forfeited during the year</w:t>
            </w:r>
          </w:p>
        </w:tc>
        <w:tc>
          <w:tcPr>
            <w:tcW w:w="13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(28,521)</w:t>
            </w:r>
          </w:p>
        </w:tc>
        <w:tc>
          <w:tcPr>
            <w:tcW w:w="100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5.37</w:t>
            </w:r>
          </w:p>
        </w:tc>
        <w:tc>
          <w:tcPr>
            <w:tcW w:w="1240" w:type="dxa"/>
            <w:vAlign w:val="bottom"/>
            <w:gridSpan w:val="2"/>
          </w:tcPr>
          <w:p>
            <w:pPr>
              <w:jc w:val="right"/>
              <w:ind w:right="540"/>
              <w:spacing w:after="0" w:line="243" w:lineRule="exact"/>
              <w:rPr>
                <w:sz w:val="20"/>
                <w:szCs w:val="20"/>
                <w:color w:val="auto"/>
              </w:rPr>
            </w:pPr>
            <w:r>
              <w:rPr>
                <w:rFonts w:ascii="Arial" w:cs="Arial" w:eastAsia="Arial" w:hAnsi="Arial"/>
                <w:sz w:val="22"/>
                <w:szCs w:val="22"/>
                <w:color w:val="auto"/>
              </w:rPr>
              <w:t>—</w:t>
            </w:r>
          </w:p>
        </w:tc>
        <w:tc>
          <w:tcPr>
            <w:tcW w:w="62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w:t>
            </w:r>
          </w:p>
        </w:tc>
      </w:tr>
      <w:tr>
        <w:trPr>
          <w:trHeight w:val="243"/>
        </w:trPr>
        <w:tc>
          <w:tcPr>
            <w:tcW w:w="41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Exercised during the year</w:t>
            </w:r>
          </w:p>
        </w:tc>
        <w:tc>
          <w:tcPr>
            <w:tcW w:w="134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(39,333)</w:t>
            </w:r>
          </w:p>
        </w:tc>
        <w:tc>
          <w:tcPr>
            <w:tcW w:w="1000" w:type="dxa"/>
            <w:vAlign w:val="bottom"/>
            <w:gridSpan w:val="2"/>
            <w:shd w:val="clear" w:color="auto" w:fill="CCEEFF"/>
          </w:tcPr>
          <w:p>
            <w:pPr>
              <w:jc w:val="right"/>
              <w:ind w:right="420"/>
              <w:spacing w:after="0" w:line="243" w:lineRule="exact"/>
              <w:rPr>
                <w:sz w:val="20"/>
                <w:szCs w:val="20"/>
                <w:color w:val="auto"/>
              </w:rPr>
            </w:pPr>
            <w:r>
              <w:rPr>
                <w:rFonts w:ascii="Arial" w:cs="Arial" w:eastAsia="Arial" w:hAnsi="Arial"/>
                <w:sz w:val="22"/>
                <w:szCs w:val="22"/>
                <w:color w:val="auto"/>
              </w:rPr>
              <w:t>2.11</w:t>
            </w:r>
          </w:p>
        </w:tc>
        <w:tc>
          <w:tcPr>
            <w:tcW w:w="1240" w:type="dxa"/>
            <w:vAlign w:val="bottom"/>
            <w:gridSpan w:val="2"/>
            <w:shd w:val="clear" w:color="auto" w:fill="CCEEFF"/>
          </w:tcPr>
          <w:p>
            <w:pPr>
              <w:jc w:val="right"/>
              <w:ind w:right="540"/>
              <w:spacing w:after="0" w:line="243" w:lineRule="exact"/>
              <w:rPr>
                <w:sz w:val="20"/>
                <w:szCs w:val="20"/>
                <w:color w:val="auto"/>
              </w:rPr>
            </w:pPr>
            <w:r>
              <w:rPr>
                <w:rFonts w:ascii="Arial" w:cs="Arial" w:eastAsia="Arial" w:hAnsi="Arial"/>
                <w:sz w:val="22"/>
                <w:szCs w:val="22"/>
                <w:color w:val="auto"/>
              </w:rPr>
              <w:t>—</w:t>
            </w:r>
          </w:p>
        </w:tc>
        <w:tc>
          <w:tcPr>
            <w:tcW w:w="620" w:type="dxa"/>
            <w:vAlign w:val="bottom"/>
            <w:gridSpan w:val="2"/>
            <w:shd w:val="clear" w:color="auto" w:fill="CCEEFF"/>
          </w:tcPr>
          <w:p>
            <w:pPr>
              <w:ind w:left="260"/>
              <w:spacing w:after="0" w:line="243" w:lineRule="exact"/>
              <w:rPr>
                <w:sz w:val="20"/>
                <w:szCs w:val="20"/>
                <w:color w:val="auto"/>
              </w:rPr>
            </w:pPr>
            <w:r>
              <w:rPr>
                <w:rFonts w:ascii="Arial" w:cs="Arial" w:eastAsia="Arial" w:hAnsi="Arial"/>
                <w:sz w:val="22"/>
                <w:szCs w:val="22"/>
                <w:color w:val="auto"/>
              </w:rPr>
              <w:t>—</w:t>
            </w:r>
          </w:p>
        </w:tc>
      </w:tr>
      <w:tr>
        <w:trPr>
          <w:trHeight w:val="236"/>
        </w:trPr>
        <w:tc>
          <w:tcPr>
            <w:tcW w:w="4160" w:type="dxa"/>
            <w:vAlign w:val="bottom"/>
          </w:tcPr>
          <w:p>
            <w:pPr>
              <w:spacing w:after="0"/>
              <w:rPr>
                <w:sz w:val="20"/>
                <w:szCs w:val="20"/>
                <w:color w:val="auto"/>
              </w:rPr>
            </w:pPr>
            <w:r>
              <w:rPr>
                <w:rFonts w:ascii="Arial" w:cs="Arial" w:eastAsia="Arial" w:hAnsi="Arial"/>
                <w:sz w:val="20"/>
                <w:szCs w:val="20"/>
                <w:b w:val="1"/>
                <w:bCs w:val="1"/>
                <w:color w:val="auto"/>
              </w:rPr>
              <w:t>Outstanding at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3,943,702</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2.88</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421,791</w:t>
            </w:r>
          </w:p>
        </w:tc>
        <w:tc>
          <w:tcPr>
            <w:tcW w:w="4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2.90</w:t>
            </w:r>
          </w:p>
        </w:tc>
        <w:tc>
          <w:tcPr>
            <w:tcW w:w="4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Exercisable at December 31, 2021</w:t>
            </w:r>
          </w:p>
        </w:tc>
        <w:tc>
          <w:tcPr>
            <w:tcW w:w="1340" w:type="dxa"/>
            <w:vAlign w:val="bottom"/>
            <w:gridSpan w:val="2"/>
            <w:shd w:val="clear" w:color="auto" w:fill="CCEEFF"/>
          </w:tcPr>
          <w:p>
            <w:pPr>
              <w:jc w:val="right"/>
              <w:ind w:right="420"/>
              <w:spacing w:after="0" w:line="237" w:lineRule="exact"/>
              <w:rPr>
                <w:sz w:val="20"/>
                <w:szCs w:val="20"/>
                <w:color w:val="auto"/>
              </w:rPr>
            </w:pPr>
            <w:r>
              <w:rPr>
                <w:rFonts w:ascii="Arial" w:cs="Arial" w:eastAsia="Arial" w:hAnsi="Arial"/>
                <w:sz w:val="22"/>
                <w:szCs w:val="22"/>
                <w:color w:val="auto"/>
              </w:rPr>
              <w:t>727,698</w:t>
            </w:r>
          </w:p>
        </w:tc>
        <w:tc>
          <w:tcPr>
            <w:tcW w:w="1000" w:type="dxa"/>
            <w:vAlign w:val="bottom"/>
            <w:gridSpan w:val="2"/>
            <w:shd w:val="clear" w:color="auto" w:fill="CCEEFF"/>
          </w:tcPr>
          <w:p>
            <w:pPr>
              <w:jc w:val="right"/>
              <w:ind w:right="420"/>
              <w:spacing w:after="0" w:line="237" w:lineRule="exact"/>
              <w:rPr>
                <w:sz w:val="20"/>
                <w:szCs w:val="20"/>
                <w:color w:val="auto"/>
              </w:rPr>
            </w:pPr>
            <w:r>
              <w:rPr>
                <w:rFonts w:ascii="Arial" w:cs="Arial" w:eastAsia="Arial" w:hAnsi="Arial"/>
                <w:sz w:val="22"/>
                <w:szCs w:val="22"/>
                <w:color w:val="auto"/>
              </w:rPr>
              <w:t>3.16</w:t>
            </w:r>
          </w:p>
        </w:tc>
        <w:tc>
          <w:tcPr>
            <w:tcW w:w="8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w w:val="98"/>
              </w:rPr>
              <w:t>386,623</w:t>
            </w:r>
          </w:p>
        </w:tc>
        <w:tc>
          <w:tcPr>
            <w:tcW w:w="4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line="237" w:lineRule="exact"/>
              <w:rPr>
                <w:sz w:val="20"/>
                <w:szCs w:val="20"/>
                <w:color w:val="auto"/>
              </w:rPr>
            </w:pPr>
            <w:r>
              <w:rPr>
                <w:rFonts w:ascii="Arial" w:cs="Arial" w:eastAsia="Arial" w:hAnsi="Arial"/>
                <w:sz w:val="22"/>
                <w:szCs w:val="22"/>
                <w:color w:val="auto"/>
              </w:rPr>
              <w:t>2.91</w:t>
            </w:r>
          </w:p>
        </w:tc>
      </w:tr>
      <w:tr>
        <w:trPr>
          <w:trHeight w:val="20"/>
        </w:trPr>
        <w:tc>
          <w:tcPr>
            <w:tcW w:w="4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040"/>
          </w:cols>
          <w:pgMar w:left="320" w:top="486" w:right="539" w:bottom="0" w:gutter="0" w:footer="0" w:header="0"/>
        </w:sectPr>
      </w:pPr>
    </w:p>
    <w:p>
      <w:pPr>
        <w:jc w:val="center"/>
        <w:ind w:right="-199"/>
        <w:spacing w:after="0"/>
        <w:rPr>
          <w:sz w:val="20"/>
          <w:szCs w:val="20"/>
          <w:color w:val="auto"/>
        </w:rPr>
      </w:pPr>
      <w:r>
        <w:rPr>
          <w:rFonts w:ascii="Arial" w:cs="Arial" w:eastAsia="Arial" w:hAnsi="Arial"/>
          <w:sz w:val="19"/>
          <w:szCs w:val="19"/>
          <w:color w:val="auto"/>
        </w:rPr>
        <w:t>F-39</w:t>
      </w:r>
    </w:p>
    <w:p>
      <w:pPr>
        <w:sectPr>
          <w:pgSz w:w="11900" w:h="16838" w:orient="portrait"/>
          <w:cols w:equalWidth="0" w:num="1">
            <w:col w:w="11040"/>
          </w:cols>
          <w:pgMar w:left="320" w:top="486" w:right="539" w:bottom="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CONSOLIDATED FINANCIAL STATEMENTS</w:t>
      </w:r>
    </w:p>
    <w:p>
      <w:pPr>
        <w:spacing w:after="0" w:line="125" w:lineRule="exact"/>
        <w:rPr>
          <w:sz w:val="20"/>
          <w:szCs w:val="20"/>
          <w:color w:val="auto"/>
        </w:rPr>
      </w:pPr>
    </w:p>
    <w:p>
      <w:pPr>
        <w:ind w:left="120" w:right="380" w:firstLine="551"/>
        <w:spacing w:after="0" w:line="260" w:lineRule="auto"/>
        <w:rPr>
          <w:sz w:val="20"/>
          <w:szCs w:val="20"/>
          <w:color w:val="auto"/>
        </w:rPr>
      </w:pPr>
      <w:r>
        <w:rPr>
          <w:rFonts w:ascii="Arial" w:cs="Arial" w:eastAsia="Arial" w:hAnsi="Arial"/>
          <w:sz w:val="20"/>
          <w:szCs w:val="20"/>
          <w:color w:val="auto"/>
        </w:rPr>
        <w:t>The following table illustrates the number and weighted average exercise prices (WAEP) of, and movements in, options for the 2019 EIP and 2019 NED EIP during the year-ended December 31, 2020:</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4400" w:type="dxa"/>
            <w:vAlign w:val="bottom"/>
          </w:tcPr>
          <w:p>
            <w:pPr>
              <w:spacing w:after="0"/>
              <w:rPr>
                <w:sz w:val="23"/>
                <w:szCs w:val="23"/>
                <w:color w:val="auto"/>
              </w:rPr>
            </w:pPr>
          </w:p>
        </w:tc>
        <w:tc>
          <w:tcPr>
            <w:tcW w:w="2220" w:type="dxa"/>
            <w:vAlign w:val="bottom"/>
            <w:gridSpan w:val="4"/>
          </w:tcPr>
          <w:p>
            <w:pPr>
              <w:jc w:val="right"/>
              <w:ind w:right="860"/>
              <w:spacing w:after="0"/>
              <w:rPr>
                <w:sz w:val="20"/>
                <w:szCs w:val="20"/>
                <w:color w:val="auto"/>
              </w:rPr>
            </w:pPr>
            <w:r>
              <w:rPr>
                <w:rFonts w:ascii="Arial" w:cs="Arial" w:eastAsia="Arial" w:hAnsi="Arial"/>
                <w:sz w:val="22"/>
                <w:szCs w:val="22"/>
                <w:b w:val="1"/>
                <w:bCs w:val="1"/>
                <w:color w:val="auto"/>
              </w:rPr>
              <w:t>2019 EIP</w:t>
            </w:r>
          </w:p>
        </w:tc>
        <w:tc>
          <w:tcPr>
            <w:tcW w:w="1740" w:type="dxa"/>
            <w:vAlign w:val="bottom"/>
            <w:gridSpan w:val="4"/>
          </w:tcPr>
          <w:p>
            <w:pPr>
              <w:ind w:left="160"/>
              <w:spacing w:after="0"/>
              <w:rPr>
                <w:sz w:val="20"/>
                <w:szCs w:val="20"/>
                <w:color w:val="auto"/>
              </w:rPr>
            </w:pPr>
            <w:r>
              <w:rPr>
                <w:rFonts w:ascii="Arial" w:cs="Arial" w:eastAsia="Arial" w:hAnsi="Arial"/>
                <w:sz w:val="22"/>
                <w:szCs w:val="22"/>
                <w:b w:val="1"/>
                <w:bCs w:val="1"/>
                <w:color w:val="auto"/>
              </w:rPr>
              <w:t>2019 NED EIP</w:t>
            </w:r>
          </w:p>
        </w:tc>
      </w:tr>
      <w:tr>
        <w:trPr>
          <w:trHeight w:val="223"/>
        </w:trPr>
        <w:tc>
          <w:tcPr>
            <w:tcW w:w="4400" w:type="dxa"/>
            <w:vAlign w:val="bottom"/>
          </w:tcPr>
          <w:p>
            <w:pPr>
              <w:spacing w:after="0"/>
              <w:rPr>
                <w:sz w:val="19"/>
                <w:szCs w:val="19"/>
                <w:color w:val="auto"/>
              </w:rPr>
            </w:pPr>
          </w:p>
        </w:tc>
        <w:tc>
          <w:tcPr>
            <w:tcW w:w="1280" w:type="dxa"/>
            <w:vAlign w:val="bottom"/>
            <w:tcBorders>
              <w:top w:val="single" w:sz="8" w:color="auto"/>
            </w:tcBorders>
            <w:gridSpan w:val="2"/>
          </w:tcPr>
          <w:p>
            <w:pPr>
              <w:jc w:val="center"/>
              <w:ind w:right="360"/>
              <w:spacing w:after="0" w:line="223" w:lineRule="exact"/>
              <w:rPr>
                <w:sz w:val="20"/>
                <w:szCs w:val="20"/>
                <w:color w:val="auto"/>
              </w:rPr>
            </w:pPr>
            <w:r>
              <w:rPr>
                <w:rFonts w:ascii="Arial" w:cs="Arial" w:eastAsia="Arial" w:hAnsi="Arial"/>
                <w:sz w:val="22"/>
                <w:szCs w:val="22"/>
                <w:b w:val="1"/>
                <w:bCs w:val="1"/>
                <w:color w:val="auto"/>
                <w:w w:val="86"/>
              </w:rPr>
              <w:t>Options</w:t>
            </w: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Borders>
              <w:top w:val="single" w:sz="8" w:color="auto"/>
            </w:tcBorders>
            <w:gridSpan w:val="2"/>
          </w:tcPr>
          <w:p>
            <w:pPr>
              <w:jc w:val="center"/>
              <w:ind w:right="380"/>
              <w:spacing w:after="0" w:line="223" w:lineRule="exact"/>
              <w:rPr>
                <w:sz w:val="20"/>
                <w:szCs w:val="20"/>
                <w:color w:val="auto"/>
              </w:rPr>
            </w:pPr>
            <w:r>
              <w:rPr>
                <w:rFonts w:ascii="Arial" w:cs="Arial" w:eastAsia="Arial" w:hAnsi="Arial"/>
                <w:sz w:val="20"/>
                <w:szCs w:val="20"/>
                <w:b w:val="1"/>
                <w:bCs w:val="1"/>
                <w:color w:val="auto"/>
                <w:w w:val="87"/>
              </w:rPr>
              <w:t>Options</w:t>
            </w: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400" w:type="dxa"/>
            <w:vAlign w:val="bottom"/>
          </w:tcPr>
          <w:p>
            <w:pPr>
              <w:spacing w:after="0"/>
              <w:rPr>
                <w:sz w:val="19"/>
                <w:szCs w:val="19"/>
                <w:color w:val="auto"/>
              </w:rPr>
            </w:pPr>
          </w:p>
        </w:tc>
        <w:tc>
          <w:tcPr>
            <w:tcW w:w="1280" w:type="dxa"/>
            <w:vAlign w:val="bottom"/>
            <w:gridSpan w:val="2"/>
          </w:tcPr>
          <w:p>
            <w:pPr>
              <w:jc w:val="center"/>
              <w:ind w:right="360"/>
              <w:spacing w:after="0" w:line="229" w:lineRule="exact"/>
              <w:rPr>
                <w:sz w:val="20"/>
                <w:szCs w:val="20"/>
                <w:color w:val="auto"/>
              </w:rPr>
            </w:pPr>
            <w:r>
              <w:rPr>
                <w:rFonts w:ascii="Arial" w:cs="Arial" w:eastAsia="Arial" w:hAnsi="Arial"/>
                <w:sz w:val="22"/>
                <w:szCs w:val="22"/>
                <w:b w:val="1"/>
                <w:bCs w:val="1"/>
                <w:color w:val="auto"/>
                <w:w w:val="85"/>
              </w:rPr>
              <w:t>over</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89"/>
              </w:rPr>
              <w:t>over</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400" w:type="dxa"/>
            <w:vAlign w:val="bottom"/>
          </w:tcPr>
          <w:p>
            <w:pPr>
              <w:spacing w:after="0"/>
              <w:rPr>
                <w:sz w:val="21"/>
                <w:szCs w:val="21"/>
                <w:color w:val="auto"/>
              </w:rPr>
            </w:pPr>
          </w:p>
        </w:tc>
        <w:tc>
          <w:tcPr>
            <w:tcW w:w="1280" w:type="dxa"/>
            <w:vAlign w:val="bottom"/>
            <w:gridSpan w:val="2"/>
          </w:tcPr>
          <w:p>
            <w:pPr>
              <w:jc w:val="center"/>
              <w:ind w:right="360"/>
              <w:spacing w:after="0" w:line="243" w:lineRule="exact"/>
              <w:rPr>
                <w:sz w:val="20"/>
                <w:szCs w:val="20"/>
                <w:color w:val="auto"/>
              </w:rPr>
            </w:pPr>
            <w:r>
              <w:rPr>
                <w:rFonts w:ascii="Arial" w:cs="Arial" w:eastAsia="Arial" w:hAnsi="Arial"/>
                <w:sz w:val="22"/>
                <w:szCs w:val="22"/>
                <w:b w:val="1"/>
                <w:bCs w:val="1"/>
                <w:color w:val="auto"/>
                <w:w w:val="94"/>
              </w:rPr>
              <w:t>ADS</w:t>
            </w:r>
          </w:p>
        </w:tc>
        <w:tc>
          <w:tcPr>
            <w:tcW w:w="94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w w:val="93"/>
              </w:rPr>
              <w:t>WAEP</w:t>
            </w: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4"/>
              </w:rPr>
              <w:t>ADS</w:t>
            </w:r>
          </w:p>
        </w:tc>
        <w:tc>
          <w:tcPr>
            <w:tcW w:w="620" w:type="dxa"/>
            <w:vAlign w:val="bottom"/>
            <w:gridSpan w:val="2"/>
          </w:tcPr>
          <w:p>
            <w:pPr>
              <w:spacing w:after="0"/>
              <w:rPr>
                <w:sz w:val="20"/>
                <w:szCs w:val="20"/>
                <w:color w:val="auto"/>
              </w:rPr>
            </w:pPr>
            <w:r>
              <w:rPr>
                <w:rFonts w:ascii="Arial" w:cs="Arial" w:eastAsia="Arial" w:hAnsi="Arial"/>
                <w:sz w:val="20"/>
                <w:szCs w:val="20"/>
                <w:b w:val="1"/>
                <w:bCs w:val="1"/>
                <w:color w:val="auto"/>
                <w:w w:val="99"/>
              </w:rPr>
              <w:t>WAEP</w:t>
            </w:r>
          </w:p>
        </w:tc>
      </w:tr>
      <w:tr>
        <w:trPr>
          <w:trHeight w:val="270"/>
        </w:trPr>
        <w:tc>
          <w:tcPr>
            <w:tcW w:w="4400" w:type="dxa"/>
            <w:vAlign w:val="bottom"/>
          </w:tcPr>
          <w:p>
            <w:pPr>
              <w:spacing w:after="0"/>
              <w:rPr>
                <w:sz w:val="23"/>
                <w:szCs w:val="2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1"/>
              </w:rPr>
              <w:t>Number</w:t>
            </w:r>
          </w:p>
        </w:tc>
        <w:tc>
          <w:tcPr>
            <w:tcW w:w="94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2"/>
              </w:rPr>
              <w:t>Number</w:t>
            </w:r>
          </w:p>
        </w:tc>
        <w:tc>
          <w:tcPr>
            <w:tcW w:w="62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r>
      <w:tr>
        <w:trPr>
          <w:trHeight w:val="237"/>
        </w:trPr>
        <w:tc>
          <w:tcPr>
            <w:tcW w:w="440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Outstanding at January 1, 2020</w:t>
            </w:r>
          </w:p>
        </w:tc>
        <w:tc>
          <w:tcPr>
            <w:tcW w:w="9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798,050</w:t>
            </w:r>
          </w:p>
        </w:tc>
        <w:tc>
          <w:tcPr>
            <w:tcW w:w="36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4.29</w:t>
            </w:r>
          </w:p>
        </w:tc>
        <w:tc>
          <w:tcPr>
            <w:tcW w:w="36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77,000</w:t>
            </w:r>
          </w:p>
        </w:tc>
        <w:tc>
          <w:tcPr>
            <w:tcW w:w="3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4.20</w:t>
            </w:r>
          </w:p>
        </w:tc>
        <w:tc>
          <w:tcPr>
            <w:tcW w:w="40" w:type="dxa"/>
            <w:vAlign w:val="bottom"/>
            <w:tcBorders>
              <w:top w:val="single" w:sz="8" w:color="CCEEFF"/>
            </w:tcBorders>
            <w:shd w:val="clear" w:color="auto" w:fill="CCEEFF"/>
          </w:tcPr>
          <w:p>
            <w:pPr>
              <w:spacing w:after="0"/>
              <w:rPr>
                <w:sz w:val="20"/>
                <w:szCs w:val="20"/>
                <w:color w:val="auto"/>
              </w:rPr>
            </w:pPr>
          </w:p>
        </w:tc>
      </w:tr>
      <w:tr>
        <w:trPr>
          <w:trHeight w:val="243"/>
        </w:trPr>
        <w:tc>
          <w:tcPr>
            <w:tcW w:w="4400" w:type="dxa"/>
            <w:vAlign w:val="bottom"/>
          </w:tcPr>
          <w:p>
            <w:pPr>
              <w:spacing w:after="0" w:line="243" w:lineRule="exact"/>
              <w:rPr>
                <w:sz w:val="20"/>
                <w:szCs w:val="20"/>
                <w:color w:val="auto"/>
              </w:rPr>
            </w:pPr>
            <w:r>
              <w:rPr>
                <w:rFonts w:ascii="Arial" w:cs="Arial" w:eastAsia="Arial" w:hAnsi="Arial"/>
                <w:sz w:val="22"/>
                <w:szCs w:val="22"/>
                <w:color w:val="auto"/>
              </w:rPr>
              <w:t>Granted during the year</w:t>
            </w:r>
          </w:p>
        </w:tc>
        <w:tc>
          <w:tcPr>
            <w:tcW w:w="128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w w:val="91"/>
              </w:rPr>
              <w:t>1,167,836</w:t>
            </w:r>
          </w:p>
        </w:tc>
        <w:tc>
          <w:tcPr>
            <w:tcW w:w="9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2.00</w:t>
            </w:r>
          </w:p>
        </w:tc>
        <w:tc>
          <w:tcPr>
            <w:tcW w:w="112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77,000</w:t>
            </w:r>
          </w:p>
        </w:tc>
        <w:tc>
          <w:tcPr>
            <w:tcW w:w="6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1.84</w:t>
            </w:r>
          </w:p>
        </w:tc>
      </w:tr>
      <w:tr>
        <w:trPr>
          <w:trHeight w:val="243"/>
        </w:trPr>
        <w:tc>
          <w:tcPr>
            <w:tcW w:w="44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Cancelled during the year</w:t>
            </w:r>
          </w:p>
        </w:tc>
        <w:tc>
          <w:tcPr>
            <w:tcW w:w="1280" w:type="dxa"/>
            <w:vAlign w:val="bottom"/>
            <w:gridSpan w:val="2"/>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(406)</w:t>
            </w:r>
          </w:p>
        </w:tc>
        <w:tc>
          <w:tcPr>
            <w:tcW w:w="940" w:type="dxa"/>
            <w:vAlign w:val="bottom"/>
            <w:gridSpan w:val="2"/>
            <w:shd w:val="clear" w:color="auto" w:fill="CCEEFF"/>
          </w:tcPr>
          <w:p>
            <w:pPr>
              <w:jc w:val="right"/>
              <w:ind w:right="360"/>
              <w:spacing w:after="0" w:line="243" w:lineRule="exact"/>
              <w:rPr>
                <w:sz w:val="20"/>
                <w:szCs w:val="20"/>
                <w:color w:val="auto"/>
              </w:rPr>
            </w:pPr>
            <w:r>
              <w:rPr>
                <w:rFonts w:ascii="Arial" w:cs="Arial" w:eastAsia="Arial" w:hAnsi="Arial"/>
                <w:sz w:val="22"/>
                <w:szCs w:val="22"/>
                <w:color w:val="auto"/>
              </w:rPr>
              <w:t>5.40</w:t>
            </w:r>
          </w:p>
        </w:tc>
        <w:tc>
          <w:tcPr>
            <w:tcW w:w="1120" w:type="dxa"/>
            <w:vAlign w:val="bottom"/>
            <w:gridSpan w:val="2"/>
            <w:shd w:val="clear" w:color="auto" w:fill="CCEEFF"/>
          </w:tcPr>
          <w:p>
            <w:pPr>
              <w:jc w:val="right"/>
              <w:ind w:right="480"/>
              <w:spacing w:after="0" w:line="243" w:lineRule="exact"/>
              <w:rPr>
                <w:sz w:val="20"/>
                <w:szCs w:val="20"/>
                <w:color w:val="auto"/>
              </w:rPr>
            </w:pPr>
            <w:r>
              <w:rPr>
                <w:rFonts w:ascii="Arial" w:cs="Arial" w:eastAsia="Arial" w:hAnsi="Arial"/>
                <w:sz w:val="22"/>
                <w:szCs w:val="22"/>
                <w:color w:val="auto"/>
              </w:rPr>
              <w:t>—</w:t>
            </w:r>
          </w:p>
        </w:tc>
        <w:tc>
          <w:tcPr>
            <w:tcW w:w="620" w:type="dxa"/>
            <w:vAlign w:val="bottom"/>
            <w:gridSpan w:val="2"/>
            <w:shd w:val="clear" w:color="auto" w:fill="CCEEFF"/>
          </w:tcPr>
          <w:p>
            <w:pPr>
              <w:ind w:left="260"/>
              <w:spacing w:after="0" w:line="243" w:lineRule="exact"/>
              <w:rPr>
                <w:sz w:val="20"/>
                <w:szCs w:val="20"/>
                <w:color w:val="auto"/>
              </w:rPr>
            </w:pPr>
            <w:r>
              <w:rPr>
                <w:rFonts w:ascii="Arial" w:cs="Arial" w:eastAsia="Arial" w:hAnsi="Arial"/>
                <w:sz w:val="22"/>
                <w:szCs w:val="22"/>
                <w:color w:val="auto"/>
              </w:rPr>
              <w:t>—</w:t>
            </w:r>
          </w:p>
        </w:tc>
      </w:tr>
      <w:tr>
        <w:trPr>
          <w:trHeight w:val="243"/>
        </w:trPr>
        <w:tc>
          <w:tcPr>
            <w:tcW w:w="4400" w:type="dxa"/>
            <w:vAlign w:val="bottom"/>
          </w:tcPr>
          <w:p>
            <w:pPr>
              <w:spacing w:after="0" w:line="243" w:lineRule="exact"/>
              <w:rPr>
                <w:sz w:val="20"/>
                <w:szCs w:val="20"/>
                <w:color w:val="auto"/>
              </w:rPr>
            </w:pPr>
            <w:r>
              <w:rPr>
                <w:rFonts w:ascii="Arial" w:cs="Arial" w:eastAsia="Arial" w:hAnsi="Arial"/>
                <w:sz w:val="22"/>
                <w:szCs w:val="22"/>
                <w:color w:val="auto"/>
              </w:rPr>
              <w:t>Forfeited during the year</w:t>
            </w:r>
          </w:p>
        </w:tc>
        <w:tc>
          <w:tcPr>
            <w:tcW w:w="128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(397,607)</w:t>
            </w:r>
          </w:p>
        </w:tc>
        <w:tc>
          <w:tcPr>
            <w:tcW w:w="9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2.87</w:t>
            </w:r>
          </w:p>
        </w:tc>
        <w:tc>
          <w:tcPr>
            <w:tcW w:w="11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(4,584)</w:t>
            </w:r>
          </w:p>
        </w:tc>
        <w:tc>
          <w:tcPr>
            <w:tcW w:w="6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1.84</w:t>
            </w:r>
          </w:p>
        </w:tc>
      </w:tr>
      <w:tr>
        <w:trPr>
          <w:trHeight w:val="243"/>
        </w:trPr>
        <w:tc>
          <w:tcPr>
            <w:tcW w:w="44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Exercised during the year</w:t>
            </w:r>
          </w:p>
        </w:tc>
        <w:tc>
          <w:tcPr>
            <w:tcW w:w="1280" w:type="dxa"/>
            <w:vAlign w:val="bottom"/>
            <w:gridSpan w:val="2"/>
            <w:shd w:val="clear" w:color="auto" w:fill="CCEEFF"/>
          </w:tcPr>
          <w:p>
            <w:pPr>
              <w:jc w:val="right"/>
              <w:ind w:right="460"/>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jc w:val="right"/>
              <w:ind w:right="4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480"/>
              <w:spacing w:after="0" w:line="243" w:lineRule="exact"/>
              <w:rPr>
                <w:sz w:val="20"/>
                <w:szCs w:val="20"/>
                <w:color w:val="auto"/>
              </w:rPr>
            </w:pPr>
            <w:r>
              <w:rPr>
                <w:rFonts w:ascii="Arial" w:cs="Arial" w:eastAsia="Arial" w:hAnsi="Arial"/>
                <w:sz w:val="22"/>
                <w:szCs w:val="22"/>
                <w:color w:val="auto"/>
              </w:rPr>
              <w:t>—</w:t>
            </w:r>
          </w:p>
        </w:tc>
        <w:tc>
          <w:tcPr>
            <w:tcW w:w="620" w:type="dxa"/>
            <w:vAlign w:val="bottom"/>
            <w:gridSpan w:val="2"/>
            <w:shd w:val="clear" w:color="auto" w:fill="CCEEFF"/>
          </w:tcPr>
          <w:p>
            <w:pPr>
              <w:ind w:left="260"/>
              <w:spacing w:after="0" w:line="243" w:lineRule="exact"/>
              <w:rPr>
                <w:sz w:val="20"/>
                <w:szCs w:val="20"/>
                <w:color w:val="auto"/>
              </w:rPr>
            </w:pPr>
            <w:r>
              <w:rPr>
                <w:rFonts w:ascii="Arial" w:cs="Arial" w:eastAsia="Arial" w:hAnsi="Arial"/>
                <w:sz w:val="22"/>
                <w:szCs w:val="22"/>
                <w:color w:val="auto"/>
              </w:rPr>
              <w:t>—</w:t>
            </w:r>
          </w:p>
        </w:tc>
      </w:tr>
      <w:tr>
        <w:trPr>
          <w:trHeight w:val="237"/>
        </w:trPr>
        <w:tc>
          <w:tcPr>
            <w:tcW w:w="4400" w:type="dxa"/>
            <w:vAlign w:val="bottom"/>
          </w:tcPr>
          <w:p>
            <w:pPr>
              <w:spacing w:after="0"/>
              <w:rPr>
                <w:sz w:val="20"/>
                <w:szCs w:val="20"/>
                <w:color w:val="auto"/>
              </w:rPr>
            </w:pPr>
            <w:r>
              <w:rPr>
                <w:rFonts w:ascii="Arial" w:cs="Arial" w:eastAsia="Arial" w:hAnsi="Arial"/>
                <w:sz w:val="20"/>
                <w:szCs w:val="20"/>
                <w:b w:val="1"/>
                <w:bCs w:val="1"/>
                <w:color w:val="auto"/>
              </w:rPr>
              <w:t>Outstanding at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1,567,873</w:t>
            </w:r>
          </w:p>
        </w:tc>
        <w:tc>
          <w:tcPr>
            <w:tcW w:w="3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2.94</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w w:val="99"/>
              </w:rPr>
              <w:t>149,416</w:t>
            </w:r>
          </w:p>
        </w:tc>
        <w:tc>
          <w:tcPr>
            <w:tcW w:w="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3.06</w:t>
            </w:r>
          </w:p>
        </w:tc>
        <w:tc>
          <w:tcPr>
            <w:tcW w:w="4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4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Exercisable at December 31, 2020</w:t>
            </w:r>
          </w:p>
        </w:tc>
        <w:tc>
          <w:tcPr>
            <w:tcW w:w="1280" w:type="dxa"/>
            <w:vAlign w:val="bottom"/>
            <w:gridSpan w:val="2"/>
            <w:shd w:val="clear" w:color="auto" w:fill="CCEEFF"/>
          </w:tcPr>
          <w:p>
            <w:pPr>
              <w:jc w:val="right"/>
              <w:ind w:right="360"/>
              <w:spacing w:after="0" w:line="237" w:lineRule="exact"/>
              <w:rPr>
                <w:sz w:val="20"/>
                <w:szCs w:val="20"/>
                <w:color w:val="auto"/>
              </w:rPr>
            </w:pPr>
            <w:r>
              <w:rPr>
                <w:rFonts w:ascii="Arial" w:cs="Arial" w:eastAsia="Arial" w:hAnsi="Arial"/>
                <w:sz w:val="22"/>
                <w:szCs w:val="22"/>
                <w:color w:val="auto"/>
              </w:rPr>
              <w:t>259,829</w:t>
            </w:r>
          </w:p>
        </w:tc>
        <w:tc>
          <w:tcPr>
            <w:tcW w:w="940" w:type="dxa"/>
            <w:vAlign w:val="bottom"/>
            <w:gridSpan w:val="2"/>
            <w:shd w:val="clear" w:color="auto" w:fill="CCEEFF"/>
          </w:tcPr>
          <w:p>
            <w:pPr>
              <w:jc w:val="right"/>
              <w:ind w:right="360"/>
              <w:spacing w:after="0" w:line="237" w:lineRule="exact"/>
              <w:rPr>
                <w:sz w:val="20"/>
                <w:szCs w:val="20"/>
                <w:color w:val="auto"/>
              </w:rPr>
            </w:pPr>
            <w:r>
              <w:rPr>
                <w:rFonts w:ascii="Arial" w:cs="Arial" w:eastAsia="Arial" w:hAnsi="Arial"/>
                <w:sz w:val="22"/>
                <w:szCs w:val="22"/>
                <w:color w:val="auto"/>
              </w:rPr>
              <w:t>4.42</w:t>
            </w:r>
          </w:p>
        </w:tc>
        <w:tc>
          <w:tcPr>
            <w:tcW w:w="1120" w:type="dxa"/>
            <w:vAlign w:val="bottom"/>
            <w:gridSpan w:val="2"/>
            <w:shd w:val="clear" w:color="auto" w:fill="CCEEFF"/>
          </w:tcPr>
          <w:p>
            <w:pPr>
              <w:jc w:val="right"/>
              <w:ind w:right="360"/>
              <w:spacing w:after="0" w:line="237" w:lineRule="exact"/>
              <w:rPr>
                <w:sz w:val="20"/>
                <w:szCs w:val="20"/>
                <w:color w:val="auto"/>
              </w:rPr>
            </w:pPr>
            <w:r>
              <w:rPr>
                <w:rFonts w:ascii="Arial" w:cs="Arial" w:eastAsia="Arial" w:hAnsi="Arial"/>
                <w:sz w:val="22"/>
                <w:szCs w:val="22"/>
                <w:color w:val="auto"/>
                <w:w w:val="93"/>
              </w:rPr>
              <w:t>138,412</w:t>
            </w:r>
          </w:p>
        </w:tc>
        <w:tc>
          <w:tcPr>
            <w:tcW w:w="620" w:type="dxa"/>
            <w:vAlign w:val="bottom"/>
            <w:gridSpan w:val="2"/>
            <w:shd w:val="clear" w:color="auto" w:fill="CCEEFF"/>
          </w:tcPr>
          <w:p>
            <w:pPr>
              <w:jc w:val="right"/>
              <w:ind w:right="40"/>
              <w:spacing w:after="0" w:line="237" w:lineRule="exact"/>
              <w:rPr>
                <w:sz w:val="20"/>
                <w:szCs w:val="20"/>
                <w:color w:val="auto"/>
              </w:rPr>
            </w:pPr>
            <w:r>
              <w:rPr>
                <w:rFonts w:ascii="Arial" w:cs="Arial" w:eastAsia="Arial" w:hAnsi="Arial"/>
                <w:sz w:val="22"/>
                <w:szCs w:val="22"/>
                <w:color w:val="auto"/>
              </w:rPr>
              <w:t>3.15</w:t>
            </w:r>
          </w:p>
        </w:tc>
      </w:tr>
      <w:tr>
        <w:trPr>
          <w:trHeight w:val="20"/>
        </w:trPr>
        <w:tc>
          <w:tcPr>
            <w:tcW w:w="4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20" w:right="220" w:firstLine="551"/>
        <w:spacing w:after="0" w:line="260" w:lineRule="auto"/>
        <w:rPr>
          <w:sz w:val="20"/>
          <w:szCs w:val="20"/>
          <w:color w:val="auto"/>
        </w:rPr>
      </w:pPr>
      <w:r>
        <w:rPr>
          <w:rFonts w:ascii="Arial" w:cs="Arial" w:eastAsia="Arial" w:hAnsi="Arial"/>
          <w:sz w:val="20"/>
          <w:szCs w:val="20"/>
          <w:color w:val="auto"/>
        </w:rPr>
        <w:t>The weighted average remaining contractual life for the share options outstanding as at December 31, 2021 for the 2019 EIP was 8.7 years (2020: 8.9 years) and for the 2019 NED EIP was 8.6 years (2020: 8.9 years).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weighted average fair value of options granted during the year was $2.50 per ADS (2020: $2.23 per ADS).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Options outstanding at the end of the year had an exercise price of between $1.76 and $5.40.</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The 2015 Plan</w:t>
      </w:r>
    </w:p>
    <w:p>
      <w:pPr>
        <w:spacing w:after="0" w:line="98" w:lineRule="exact"/>
        <w:rPr>
          <w:sz w:val="20"/>
          <w:szCs w:val="20"/>
          <w:color w:val="auto"/>
        </w:rPr>
      </w:pPr>
    </w:p>
    <w:p>
      <w:pPr>
        <w:ind w:left="120" w:firstLine="551"/>
        <w:spacing w:after="0" w:line="238" w:lineRule="auto"/>
        <w:rPr>
          <w:sz w:val="20"/>
          <w:szCs w:val="20"/>
          <w:color w:val="auto"/>
        </w:rPr>
      </w:pPr>
      <w:r>
        <w:rPr>
          <w:rFonts w:ascii="Arial" w:cs="Arial" w:eastAsia="Arial" w:hAnsi="Arial"/>
          <w:sz w:val="22"/>
          <w:szCs w:val="22"/>
          <w:color w:val="auto"/>
        </w:rPr>
        <w:t>Under the Mereo BioPharma Group Limited Share Option Plan (the “2015 Plan”), the Company, at its discretion, granted share options to employees, including executive management and NEDs. Share options vest over four years for executive management and employees and over three years for NEDs. No share options were granted during the year under the 2015 Plan and no further share option grants are envisaged.</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b w:val="1"/>
                <w:bCs w:val="1"/>
                <w:color w:val="auto"/>
              </w:rPr>
              <w:t>2021</w:t>
            </w:r>
          </w:p>
        </w:tc>
        <w:tc>
          <w:tcPr>
            <w:tcW w:w="62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Borders>
              <w:bottom w:val="single" w:sz="8" w:color="auto"/>
            </w:tcBorders>
            <w:gridSpan w:val="2"/>
          </w:tcPr>
          <w:p>
            <w:pPr>
              <w:ind w:left="740"/>
              <w:spacing w:after="0"/>
              <w:rPr>
                <w:sz w:val="20"/>
                <w:szCs w:val="20"/>
                <w:color w:val="auto"/>
              </w:rPr>
            </w:pPr>
            <w:r>
              <w:rPr>
                <w:rFonts w:ascii="Arial" w:cs="Arial" w:eastAsia="Arial" w:hAnsi="Arial"/>
                <w:sz w:val="22"/>
                <w:szCs w:val="22"/>
                <w:b w:val="1"/>
                <w:bCs w:val="1"/>
                <w:color w:val="auto"/>
              </w:rPr>
              <w:t>2020</w:t>
            </w:r>
          </w:p>
        </w:tc>
        <w:tc>
          <w:tcPr>
            <w:tcW w:w="6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line="209" w:lineRule="exact"/>
              <w:rPr>
                <w:sz w:val="20"/>
                <w:szCs w:val="20"/>
                <w:color w:val="auto"/>
              </w:rPr>
            </w:pPr>
            <w:r>
              <w:rPr>
                <w:rFonts w:ascii="Arial" w:cs="Arial" w:eastAsia="Arial" w:hAnsi="Arial"/>
                <w:sz w:val="22"/>
                <w:szCs w:val="22"/>
                <w:b w:val="1"/>
                <w:bCs w:val="1"/>
                <w:color w:val="auto"/>
                <w:w w:val="90"/>
              </w:rPr>
              <w:t>WAEP</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line="209" w:lineRule="exact"/>
              <w:rPr>
                <w:sz w:val="20"/>
                <w:szCs w:val="20"/>
                <w:color w:val="auto"/>
              </w:rPr>
            </w:pPr>
            <w:r>
              <w:rPr>
                <w:rFonts w:ascii="Arial" w:cs="Arial" w:eastAsia="Arial" w:hAnsi="Arial"/>
                <w:sz w:val="22"/>
                <w:szCs w:val="22"/>
                <w:b w:val="1"/>
                <w:bCs w:val="1"/>
                <w:color w:val="auto"/>
                <w:w w:val="93"/>
              </w:rPr>
              <w:t>WAEP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22"/>
                <w:szCs w:val="22"/>
                <w:b w:val="1"/>
                <w:bCs w:val="1"/>
                <w:color w:val="auto"/>
                <w:w w:val="98"/>
              </w:rPr>
              <w:t>Number</w:t>
            </w:r>
          </w:p>
        </w:tc>
        <w:tc>
          <w:tcPr>
            <w:tcW w:w="620" w:type="dxa"/>
            <w:vAlign w:val="bottom"/>
          </w:tcPr>
          <w:p>
            <w:pPr>
              <w:ind w:left="260"/>
              <w:spacing w:after="0"/>
              <w:rPr>
                <w:sz w:val="20"/>
                <w:szCs w:val="20"/>
                <w:color w:val="auto"/>
              </w:rPr>
            </w:pPr>
            <w:r>
              <w:rPr>
                <w:rFonts w:ascii="Arial" w:cs="Arial" w:eastAsia="Arial" w:hAnsi="Arial"/>
                <w:sz w:val="22"/>
                <w:szCs w:val="22"/>
                <w:b w:val="1"/>
                <w:bCs w:val="1"/>
                <w:color w:val="auto"/>
              </w:rPr>
              <w:t>£</w:t>
            </w:r>
          </w:p>
        </w:tc>
        <w:tc>
          <w:tcPr>
            <w:tcW w:w="34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22"/>
                <w:szCs w:val="22"/>
                <w:b w:val="1"/>
                <w:bCs w:val="1"/>
                <w:color w:val="auto"/>
              </w:rPr>
              <w:t>Number</w:t>
            </w:r>
          </w:p>
        </w:tc>
        <w:tc>
          <w:tcPr>
            <w:tcW w:w="640" w:type="dxa"/>
            <w:vAlign w:val="bottom"/>
          </w:tcPr>
          <w:p>
            <w:pPr>
              <w:ind w:left="260"/>
              <w:spacing w:after="0"/>
              <w:rPr>
                <w:sz w:val="20"/>
                <w:szCs w:val="20"/>
                <w:color w:val="auto"/>
              </w:rPr>
            </w:pPr>
            <w:r>
              <w:rPr>
                <w:rFonts w:ascii="Arial" w:cs="Arial" w:eastAsia="Arial" w:hAnsi="Arial"/>
                <w:sz w:val="22"/>
                <w:szCs w:val="22"/>
                <w:b w:val="1"/>
                <w:bCs w:val="1"/>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Outstanding at January 1, 2021</w:t>
            </w:r>
          </w:p>
        </w:tc>
        <w:tc>
          <w:tcPr>
            <w:tcW w:w="9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1"/>
              </w:rPr>
              <w:t>8,923,600</w:t>
            </w: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ind w:left="240"/>
              <w:spacing w:after="0" w:line="237" w:lineRule="exact"/>
              <w:rPr>
                <w:sz w:val="20"/>
                <w:szCs w:val="20"/>
                <w:color w:val="auto"/>
              </w:rPr>
            </w:pPr>
            <w:r>
              <w:rPr>
                <w:rFonts w:ascii="Arial" w:cs="Arial" w:eastAsia="Arial" w:hAnsi="Arial"/>
                <w:sz w:val="22"/>
                <w:szCs w:val="22"/>
                <w:color w:val="auto"/>
                <w:w w:val="83"/>
              </w:rPr>
              <w:t>1.32</w:t>
            </w:r>
          </w:p>
        </w:tc>
        <w:tc>
          <w:tcPr>
            <w:tcW w:w="3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ind w:left="60"/>
              <w:spacing w:after="0" w:line="237" w:lineRule="exact"/>
              <w:rPr>
                <w:sz w:val="20"/>
                <w:szCs w:val="20"/>
                <w:color w:val="auto"/>
              </w:rPr>
            </w:pPr>
            <w:r>
              <w:rPr>
                <w:rFonts w:ascii="Arial" w:cs="Arial" w:eastAsia="Arial" w:hAnsi="Arial"/>
                <w:sz w:val="22"/>
                <w:szCs w:val="22"/>
                <w:color w:val="auto"/>
                <w:w w:val="85"/>
              </w:rPr>
              <w:t>8,923,600</w:t>
            </w:r>
          </w:p>
        </w:tc>
        <w:tc>
          <w:tcPr>
            <w:tcW w:w="3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ind w:left="260"/>
              <w:spacing w:after="0" w:line="237" w:lineRule="exact"/>
              <w:rPr>
                <w:sz w:val="20"/>
                <w:szCs w:val="20"/>
                <w:color w:val="auto"/>
              </w:rPr>
            </w:pPr>
            <w:r>
              <w:rPr>
                <w:rFonts w:ascii="Arial" w:cs="Arial" w:eastAsia="Arial" w:hAnsi="Arial"/>
                <w:sz w:val="22"/>
                <w:szCs w:val="22"/>
                <w:color w:val="auto"/>
                <w:w w:val="83"/>
              </w:rPr>
              <w:t>1.32</w:t>
            </w:r>
          </w:p>
        </w:tc>
        <w:tc>
          <w:tcPr>
            <w:tcW w:w="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line="243" w:lineRule="exact"/>
              <w:rPr>
                <w:sz w:val="20"/>
                <w:szCs w:val="20"/>
                <w:color w:val="auto"/>
              </w:rPr>
            </w:pPr>
            <w:r>
              <w:rPr>
                <w:rFonts w:ascii="Arial" w:cs="Arial" w:eastAsia="Arial" w:hAnsi="Arial"/>
                <w:sz w:val="22"/>
                <w:szCs w:val="22"/>
                <w:color w:val="auto"/>
              </w:rPr>
              <w:t>Forfeited during the year</w:t>
            </w:r>
          </w:p>
        </w:tc>
        <w:tc>
          <w:tcPr>
            <w:tcW w:w="1260" w:type="dxa"/>
            <w:vAlign w:val="bottom"/>
            <w:gridSpan w:val="3"/>
          </w:tcPr>
          <w:p>
            <w:pPr>
              <w:jc w:val="right"/>
              <w:ind w:right="280"/>
              <w:spacing w:after="0" w:line="243" w:lineRule="exact"/>
              <w:rPr>
                <w:sz w:val="20"/>
                <w:szCs w:val="20"/>
                <w:color w:val="auto"/>
              </w:rPr>
            </w:pPr>
            <w:r>
              <w:rPr>
                <w:rFonts w:ascii="Arial" w:cs="Arial" w:eastAsia="Arial" w:hAnsi="Arial"/>
                <w:sz w:val="22"/>
                <w:szCs w:val="22"/>
                <w:color w:val="auto"/>
              </w:rPr>
              <w:t>(625,906)</w:t>
            </w:r>
          </w:p>
        </w:tc>
        <w:tc>
          <w:tcPr>
            <w:tcW w:w="96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1.29</w:t>
            </w:r>
          </w:p>
        </w:tc>
        <w:tc>
          <w:tcPr>
            <w:tcW w:w="1260" w:type="dxa"/>
            <w:vAlign w:val="bottom"/>
            <w:gridSpan w:val="2"/>
          </w:tcPr>
          <w:p>
            <w:pPr>
              <w:ind w:left="600"/>
              <w:spacing w:after="0" w:line="243" w:lineRule="exact"/>
              <w:rPr>
                <w:sz w:val="20"/>
                <w:szCs w:val="20"/>
                <w:color w:val="auto"/>
              </w:rPr>
            </w:pPr>
            <w:r>
              <w:rPr>
                <w:rFonts w:ascii="Arial" w:cs="Arial" w:eastAsia="Arial" w:hAnsi="Arial"/>
                <w:sz w:val="22"/>
                <w:szCs w:val="22"/>
                <w:color w:val="auto"/>
              </w:rPr>
              <w:t>—</w:t>
            </w:r>
          </w:p>
        </w:tc>
        <w:tc>
          <w:tcPr>
            <w:tcW w:w="680" w:type="dxa"/>
            <w:vAlign w:val="bottom"/>
            <w:gridSpan w:val="2"/>
          </w:tcPr>
          <w:p>
            <w:pPr>
              <w:ind w:left="3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Outstanding at December 31, 2021</w:t>
            </w:r>
          </w:p>
        </w:tc>
        <w:tc>
          <w:tcPr>
            <w:tcW w:w="9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91"/>
              </w:rPr>
              <w:t>8,297,694</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240"/>
              <w:spacing w:after="0" w:line="243" w:lineRule="exact"/>
              <w:rPr>
                <w:sz w:val="20"/>
                <w:szCs w:val="20"/>
                <w:color w:val="auto"/>
              </w:rPr>
            </w:pPr>
            <w:r>
              <w:rPr>
                <w:rFonts w:ascii="Arial" w:cs="Arial" w:eastAsia="Arial" w:hAnsi="Arial"/>
                <w:sz w:val="22"/>
                <w:szCs w:val="22"/>
                <w:color w:val="auto"/>
              </w:rPr>
              <w:t>1.31</w:t>
            </w:r>
          </w:p>
        </w:tc>
        <w:tc>
          <w:tcPr>
            <w:tcW w:w="920" w:type="dxa"/>
            <w:vAlign w:val="bottom"/>
            <w:shd w:val="clear" w:color="auto" w:fill="CCEEFF"/>
          </w:tcPr>
          <w:p>
            <w:pPr>
              <w:ind w:left="60"/>
              <w:spacing w:after="0" w:line="243" w:lineRule="exact"/>
              <w:rPr>
                <w:sz w:val="20"/>
                <w:szCs w:val="20"/>
                <w:color w:val="auto"/>
              </w:rPr>
            </w:pPr>
            <w:r>
              <w:rPr>
                <w:rFonts w:ascii="Arial" w:cs="Arial" w:eastAsia="Arial" w:hAnsi="Arial"/>
                <w:sz w:val="22"/>
                <w:szCs w:val="22"/>
                <w:color w:val="auto"/>
                <w:w w:val="85"/>
              </w:rPr>
              <w:t>8,923,600</w:t>
            </w: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ind w:left="260"/>
              <w:spacing w:after="0" w:line="243" w:lineRule="exact"/>
              <w:rPr>
                <w:sz w:val="20"/>
                <w:szCs w:val="20"/>
                <w:color w:val="auto"/>
              </w:rPr>
            </w:pPr>
            <w:r>
              <w:rPr>
                <w:rFonts w:ascii="Arial" w:cs="Arial" w:eastAsia="Arial" w:hAnsi="Arial"/>
                <w:sz w:val="22"/>
                <w:szCs w:val="22"/>
                <w:color w:val="auto"/>
                <w:w w:val="83"/>
              </w:rPr>
              <w:t>1.32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22"/>
                <w:szCs w:val="22"/>
                <w:color w:val="auto"/>
              </w:rPr>
              <w:t>Exercisable at December 31, 2021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9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1"/>
              </w:rPr>
              <w:t>8,297,694</w:t>
            </w:r>
          </w:p>
        </w:tc>
        <w:tc>
          <w:tcPr>
            <w:tcW w:w="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bottom w:val="single" w:sz="8" w:color="auto"/>
            </w:tcBorders>
          </w:tcPr>
          <w:p>
            <w:pPr>
              <w:ind w:left="240"/>
              <w:spacing w:after="0" w:line="237" w:lineRule="exact"/>
              <w:rPr>
                <w:sz w:val="20"/>
                <w:szCs w:val="20"/>
                <w:color w:val="auto"/>
              </w:rPr>
            </w:pPr>
            <w:r>
              <w:rPr>
                <w:rFonts w:ascii="Arial" w:cs="Arial" w:eastAsia="Arial" w:hAnsi="Arial"/>
                <w:sz w:val="22"/>
                <w:szCs w:val="22"/>
                <w:color w:val="auto"/>
                <w:w w:val="83"/>
              </w:rPr>
              <w:t>1.31</w:t>
            </w:r>
          </w:p>
        </w:tc>
        <w:tc>
          <w:tcPr>
            <w:tcW w:w="340" w:type="dxa"/>
            <w:vAlign w:val="bottom"/>
          </w:tcPr>
          <w:p>
            <w:pPr>
              <w:spacing w:after="0"/>
              <w:rPr>
                <w:sz w:val="20"/>
                <w:szCs w:val="20"/>
                <w:color w:val="auto"/>
              </w:rPr>
            </w:pPr>
          </w:p>
        </w:tc>
        <w:tc>
          <w:tcPr>
            <w:tcW w:w="920" w:type="dxa"/>
            <w:vAlign w:val="bottom"/>
            <w:tcBorders>
              <w:bottom w:val="single" w:sz="8" w:color="auto"/>
            </w:tcBorders>
          </w:tcPr>
          <w:p>
            <w:pPr>
              <w:ind w:left="60"/>
              <w:spacing w:after="0" w:line="237" w:lineRule="exact"/>
              <w:rPr>
                <w:sz w:val="20"/>
                <w:szCs w:val="20"/>
                <w:color w:val="auto"/>
              </w:rPr>
            </w:pPr>
            <w:r>
              <w:rPr>
                <w:rFonts w:ascii="Arial" w:cs="Arial" w:eastAsia="Arial" w:hAnsi="Arial"/>
                <w:sz w:val="22"/>
                <w:szCs w:val="22"/>
                <w:color w:val="auto"/>
                <w:w w:val="85"/>
              </w:rPr>
              <w:t>8,923,600</w:t>
            </w:r>
          </w:p>
        </w:tc>
        <w:tc>
          <w:tcPr>
            <w:tcW w:w="340" w:type="dxa"/>
            <w:vAlign w:val="bottom"/>
          </w:tcPr>
          <w:p>
            <w:pPr>
              <w:spacing w:after="0"/>
              <w:rPr>
                <w:sz w:val="20"/>
                <w:szCs w:val="20"/>
                <w:color w:val="auto"/>
              </w:rPr>
            </w:pPr>
          </w:p>
        </w:tc>
        <w:tc>
          <w:tcPr>
            <w:tcW w:w="640" w:type="dxa"/>
            <w:vAlign w:val="bottom"/>
            <w:tcBorders>
              <w:bottom w:val="single" w:sz="8" w:color="auto"/>
            </w:tcBorders>
          </w:tcPr>
          <w:p>
            <w:pPr>
              <w:ind w:left="260"/>
              <w:spacing w:after="0" w:line="237" w:lineRule="exact"/>
              <w:rPr>
                <w:sz w:val="20"/>
                <w:szCs w:val="20"/>
                <w:color w:val="auto"/>
              </w:rPr>
            </w:pPr>
            <w:r>
              <w:rPr>
                <w:rFonts w:ascii="Arial" w:cs="Arial" w:eastAsia="Arial" w:hAnsi="Arial"/>
                <w:sz w:val="22"/>
                <w:szCs w:val="22"/>
                <w:color w:val="auto"/>
                <w:w w:val="83"/>
              </w:rPr>
              <w:t>1.32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2021 was 3.6 years (2020:</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4.6 years). Options outstanding at the end of the year had an exercise price of between £1.28 and £2.19.</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Mereo BioPharma Group plc Share Option Plan</w:t>
      </w:r>
    </w:p>
    <w:p>
      <w:pPr>
        <w:spacing w:after="0" w:line="108" w:lineRule="exact"/>
        <w:rPr>
          <w:sz w:val="20"/>
          <w:szCs w:val="20"/>
          <w:color w:val="auto"/>
        </w:rPr>
      </w:pPr>
    </w:p>
    <w:p>
      <w:pPr>
        <w:jc w:val="both"/>
        <w:ind w:left="120" w:right="80" w:firstLine="551"/>
        <w:spacing w:after="0" w:line="260" w:lineRule="auto"/>
        <w:rPr>
          <w:sz w:val="20"/>
          <w:szCs w:val="20"/>
          <w:color w:val="auto"/>
        </w:rPr>
      </w:pPr>
      <w:r>
        <w:rPr>
          <w:rFonts w:ascii="Arial" w:cs="Arial" w:eastAsia="Arial" w:hAnsi="Arial"/>
          <w:sz w:val="19"/>
          <w:szCs w:val="19"/>
          <w:color w:val="auto"/>
        </w:rPr>
        <w:t>The Mereo BioPharma Group plc Share Option Plan (“Share Option Plan”) provides for the grant of options to acquire ordinary shares to employees, executive directors and executive officers. Options may be granted to all eligible employees on commencement of employment and may be granted on a periodic basis after that. Under the Share Option Plan, the Board of Directors may determine if the vesting of an option will be subject to the satisfaction of a performance condition. Following the introduction of the EIP and NED EIP, no further share option grants under the Share Option Plan are envisaged.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Option Plan during the year:</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2021</w:t>
            </w:r>
          </w:p>
        </w:tc>
        <w:tc>
          <w:tcPr>
            <w:tcW w:w="620" w:type="dxa"/>
            <w:vAlign w:val="bottom"/>
          </w:tcPr>
          <w:p>
            <w:pPr>
              <w:spacing w:after="0"/>
              <w:rPr>
                <w:sz w:val="23"/>
                <w:szCs w:val="23"/>
                <w:color w:val="auto"/>
              </w:rPr>
            </w:pPr>
          </w:p>
        </w:tc>
        <w:tc>
          <w:tcPr>
            <w:tcW w:w="1780" w:type="dxa"/>
            <w:vAlign w:val="bottom"/>
            <w:gridSpan w:val="3"/>
          </w:tcPr>
          <w:p>
            <w:pPr>
              <w:jc w:val="right"/>
              <w:ind w:right="140"/>
              <w:spacing w:after="0"/>
              <w:rPr>
                <w:sz w:val="20"/>
                <w:szCs w:val="20"/>
                <w:color w:val="auto"/>
              </w:rPr>
            </w:pPr>
            <w:r>
              <w:rPr>
                <w:rFonts w:ascii="Arial" w:cs="Arial" w:eastAsia="Arial" w:hAnsi="Arial"/>
                <w:sz w:val="22"/>
                <w:szCs w:val="22"/>
                <w:b w:val="1"/>
                <w:bCs w:val="1"/>
                <w:color w:val="auto"/>
              </w:rPr>
              <w:t>2020</w:t>
            </w: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line="209" w:lineRule="exact"/>
              <w:rPr>
                <w:sz w:val="20"/>
                <w:szCs w:val="20"/>
                <w:color w:val="auto"/>
              </w:rPr>
            </w:pPr>
            <w:r>
              <w:rPr>
                <w:rFonts w:ascii="Arial" w:cs="Arial" w:eastAsia="Arial" w:hAnsi="Arial"/>
                <w:sz w:val="22"/>
                <w:szCs w:val="22"/>
                <w:b w:val="1"/>
                <w:bCs w:val="1"/>
                <w:color w:val="auto"/>
                <w:w w:val="90"/>
              </w:rPr>
              <w:t>WAEP</w:t>
            </w:r>
          </w:p>
        </w:tc>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line="209" w:lineRule="exact"/>
              <w:rPr>
                <w:sz w:val="20"/>
                <w:szCs w:val="20"/>
                <w:color w:val="auto"/>
              </w:rPr>
            </w:pPr>
            <w:r>
              <w:rPr>
                <w:rFonts w:ascii="Arial" w:cs="Arial" w:eastAsia="Arial" w:hAnsi="Arial"/>
                <w:sz w:val="22"/>
                <w:szCs w:val="22"/>
                <w:b w:val="1"/>
                <w:bCs w:val="1"/>
                <w:color w:val="auto"/>
                <w:w w:val="93"/>
              </w:rPr>
              <w:t>WAEP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22"/>
                <w:szCs w:val="22"/>
                <w:b w:val="1"/>
                <w:bCs w:val="1"/>
                <w:color w:val="auto"/>
                <w:w w:val="98"/>
              </w:rPr>
              <w:t>Number</w:t>
            </w:r>
          </w:p>
        </w:tc>
        <w:tc>
          <w:tcPr>
            <w:tcW w:w="620" w:type="dxa"/>
            <w:vAlign w:val="bottom"/>
          </w:tcPr>
          <w:p>
            <w:pPr>
              <w:ind w:left="260"/>
              <w:spacing w:after="0"/>
              <w:rPr>
                <w:sz w:val="20"/>
                <w:szCs w:val="20"/>
                <w:color w:val="auto"/>
              </w:rPr>
            </w:pPr>
            <w:r>
              <w:rPr>
                <w:rFonts w:ascii="Arial" w:cs="Arial" w:eastAsia="Arial" w:hAnsi="Arial"/>
                <w:sz w:val="22"/>
                <w:szCs w:val="22"/>
                <w:b w:val="1"/>
                <w:bCs w:val="1"/>
                <w:color w:val="auto"/>
              </w:rPr>
              <w:t>£</w:t>
            </w:r>
          </w:p>
        </w:tc>
        <w:tc>
          <w:tcPr>
            <w:tcW w:w="440" w:type="dxa"/>
            <w:vAlign w:val="bottom"/>
          </w:tcPr>
          <w:p>
            <w:pPr>
              <w:spacing w:after="0"/>
              <w:rPr>
                <w:sz w:val="23"/>
                <w:szCs w:val="23"/>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22"/>
                <w:szCs w:val="22"/>
                <w:b w:val="1"/>
                <w:bCs w:val="1"/>
                <w:color w:val="auto"/>
                <w:w w:val="98"/>
              </w:rPr>
              <w:t>Number</w:t>
            </w:r>
          </w:p>
        </w:tc>
        <w:tc>
          <w:tcPr>
            <w:tcW w:w="640" w:type="dxa"/>
            <w:vAlign w:val="bottom"/>
          </w:tcPr>
          <w:p>
            <w:pPr>
              <w:ind w:left="260"/>
              <w:spacing w:after="0"/>
              <w:rPr>
                <w:sz w:val="20"/>
                <w:szCs w:val="20"/>
                <w:color w:val="auto"/>
              </w:rPr>
            </w:pPr>
            <w:r>
              <w:rPr>
                <w:rFonts w:ascii="Arial" w:cs="Arial" w:eastAsia="Arial" w:hAnsi="Arial"/>
                <w:sz w:val="22"/>
                <w:szCs w:val="22"/>
                <w:b w:val="1"/>
                <w:bCs w:val="1"/>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Outstanding at January 1, 2021</w:t>
            </w:r>
          </w:p>
        </w:tc>
        <w:tc>
          <w:tcPr>
            <w:tcW w:w="9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1"/>
              </w:rPr>
              <w:t>1,411,395</w:t>
            </w:r>
          </w:p>
        </w:tc>
        <w:tc>
          <w:tcPr>
            <w:tcW w:w="4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ind w:left="260"/>
              <w:spacing w:after="0" w:line="237" w:lineRule="exact"/>
              <w:rPr>
                <w:sz w:val="20"/>
                <w:szCs w:val="20"/>
                <w:color w:val="auto"/>
              </w:rPr>
            </w:pPr>
            <w:r>
              <w:rPr>
                <w:rFonts w:ascii="Arial" w:cs="Arial" w:eastAsia="Arial" w:hAnsi="Arial"/>
                <w:sz w:val="22"/>
                <w:szCs w:val="22"/>
                <w:color w:val="auto"/>
                <w:w w:val="79"/>
              </w:rPr>
              <w:t>3.14</w:t>
            </w:r>
          </w:p>
        </w:tc>
        <w:tc>
          <w:tcPr>
            <w:tcW w:w="4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1"/>
              </w:rPr>
              <w:t>1,524,065</w:t>
            </w:r>
          </w:p>
        </w:tc>
        <w:tc>
          <w:tcPr>
            <w:tcW w:w="4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ind w:left="260"/>
              <w:spacing w:after="0" w:line="237" w:lineRule="exact"/>
              <w:rPr>
                <w:sz w:val="20"/>
                <w:szCs w:val="20"/>
                <w:color w:val="auto"/>
              </w:rPr>
            </w:pPr>
            <w:r>
              <w:rPr>
                <w:rFonts w:ascii="Arial" w:cs="Arial" w:eastAsia="Arial" w:hAnsi="Arial"/>
                <w:sz w:val="22"/>
                <w:szCs w:val="22"/>
                <w:color w:val="auto"/>
                <w:w w:val="83"/>
              </w:rPr>
              <w:t>3.07</w:t>
            </w:r>
          </w:p>
        </w:tc>
        <w:tc>
          <w:tcPr>
            <w:tcW w:w="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Pr>
          <w:p>
            <w:pPr>
              <w:spacing w:after="0" w:line="243" w:lineRule="exact"/>
              <w:rPr>
                <w:sz w:val="20"/>
                <w:szCs w:val="20"/>
                <w:color w:val="auto"/>
              </w:rPr>
            </w:pPr>
            <w:r>
              <w:rPr>
                <w:rFonts w:ascii="Arial" w:cs="Arial" w:eastAsia="Arial" w:hAnsi="Arial"/>
                <w:sz w:val="22"/>
                <w:szCs w:val="22"/>
                <w:color w:val="auto"/>
              </w:rPr>
              <w:t>Forfeited during the year</w:t>
            </w:r>
          </w:p>
        </w:tc>
        <w:tc>
          <w:tcPr>
            <w:tcW w:w="134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(87,430)</w:t>
            </w:r>
          </w:p>
        </w:tc>
        <w:tc>
          <w:tcPr>
            <w:tcW w:w="620" w:type="dxa"/>
            <w:vAlign w:val="bottom"/>
          </w:tcPr>
          <w:p>
            <w:pPr>
              <w:ind w:left="260"/>
              <w:spacing w:after="0" w:line="243" w:lineRule="exact"/>
              <w:rPr>
                <w:sz w:val="20"/>
                <w:szCs w:val="20"/>
                <w:color w:val="auto"/>
              </w:rPr>
            </w:pPr>
            <w:r>
              <w:rPr>
                <w:rFonts w:ascii="Arial" w:cs="Arial" w:eastAsia="Arial" w:hAnsi="Arial"/>
                <w:sz w:val="22"/>
                <w:szCs w:val="22"/>
                <w:color w:val="auto"/>
                <w:w w:val="79"/>
              </w:rPr>
              <w:t>3.11</w:t>
            </w:r>
          </w:p>
        </w:tc>
        <w:tc>
          <w:tcPr>
            <w:tcW w:w="178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(112,670)</w:t>
            </w:r>
          </w:p>
        </w:tc>
        <w:tc>
          <w:tcPr>
            <w:tcW w:w="640" w:type="dxa"/>
            <w:vAlign w:val="bottom"/>
          </w:tcPr>
          <w:p>
            <w:pPr>
              <w:ind w:left="260"/>
              <w:spacing w:after="0" w:line="243" w:lineRule="exact"/>
              <w:rPr>
                <w:sz w:val="20"/>
                <w:szCs w:val="20"/>
                <w:color w:val="auto"/>
              </w:rPr>
            </w:pPr>
            <w:r>
              <w:rPr>
                <w:rFonts w:ascii="Arial" w:cs="Arial" w:eastAsia="Arial" w:hAnsi="Arial"/>
                <w:sz w:val="22"/>
                <w:szCs w:val="22"/>
                <w:color w:val="auto"/>
                <w:w w:val="83"/>
              </w:rPr>
              <w:t>3.03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Outstanding at December 31, 2021</w:t>
            </w:r>
          </w:p>
        </w:tc>
        <w:tc>
          <w:tcPr>
            <w:tcW w:w="9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91"/>
              </w:rPr>
              <w:t>1,323,965</w:t>
            </w:r>
          </w:p>
        </w:tc>
        <w:tc>
          <w:tcPr>
            <w:tcW w:w="420" w:type="dxa"/>
            <w:vAlign w:val="bottom"/>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ind w:left="260"/>
              <w:spacing w:after="0" w:line="243" w:lineRule="exact"/>
              <w:rPr>
                <w:sz w:val="20"/>
                <w:szCs w:val="20"/>
                <w:color w:val="auto"/>
              </w:rPr>
            </w:pPr>
            <w:r>
              <w:rPr>
                <w:rFonts w:ascii="Arial" w:cs="Arial" w:eastAsia="Arial" w:hAnsi="Arial"/>
                <w:sz w:val="22"/>
                <w:szCs w:val="22"/>
                <w:color w:val="auto"/>
                <w:w w:val="79"/>
              </w:rPr>
              <w:t>3.04</w:t>
            </w:r>
          </w:p>
        </w:tc>
        <w:tc>
          <w:tcPr>
            <w:tcW w:w="440" w:type="dxa"/>
            <w:vAlign w:val="bottom"/>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w w:val="91"/>
              </w:rPr>
              <w:t>1,411,395</w:t>
            </w:r>
          </w:p>
        </w:tc>
        <w:tc>
          <w:tcPr>
            <w:tcW w:w="420" w:type="dxa"/>
            <w:vAlign w:val="bottom"/>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60"/>
              <w:spacing w:after="0" w:line="243" w:lineRule="exact"/>
              <w:rPr>
                <w:sz w:val="20"/>
                <w:szCs w:val="20"/>
                <w:color w:val="auto"/>
              </w:rPr>
            </w:pPr>
            <w:r>
              <w:rPr>
                <w:rFonts w:ascii="Arial" w:cs="Arial" w:eastAsia="Arial" w:hAnsi="Arial"/>
                <w:sz w:val="22"/>
                <w:szCs w:val="22"/>
                <w:color w:val="auto"/>
                <w:w w:val="83"/>
              </w:rPr>
              <w:t>3.14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22"/>
                <w:szCs w:val="22"/>
                <w:color w:val="auto"/>
              </w:rPr>
              <w:t>Exercisable at December 31, 2021</w:t>
            </w: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gridSpan w:val="2"/>
            <w:vMerge w:val="continue"/>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1"/>
              </w:rPr>
              <w:t>1,323,965</w:t>
            </w:r>
          </w:p>
        </w:tc>
        <w:tc>
          <w:tcPr>
            <w:tcW w:w="42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260"/>
              <w:spacing w:after="0" w:line="237" w:lineRule="exact"/>
              <w:rPr>
                <w:sz w:val="20"/>
                <w:szCs w:val="20"/>
                <w:color w:val="auto"/>
              </w:rPr>
            </w:pPr>
            <w:r>
              <w:rPr>
                <w:rFonts w:ascii="Arial" w:cs="Arial" w:eastAsia="Arial" w:hAnsi="Arial"/>
                <w:sz w:val="22"/>
                <w:szCs w:val="22"/>
                <w:color w:val="auto"/>
                <w:w w:val="79"/>
              </w:rPr>
              <w:t>3.04</w:t>
            </w:r>
          </w:p>
        </w:tc>
        <w:tc>
          <w:tcPr>
            <w:tcW w:w="4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1"/>
              </w:rPr>
              <w:t>1,210,410</w:t>
            </w: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ind w:left="260"/>
              <w:spacing w:after="0" w:line="237" w:lineRule="exact"/>
              <w:rPr>
                <w:sz w:val="20"/>
                <w:szCs w:val="20"/>
                <w:color w:val="auto"/>
              </w:rPr>
            </w:pPr>
            <w:r>
              <w:rPr>
                <w:rFonts w:ascii="Arial" w:cs="Arial" w:eastAsia="Arial" w:hAnsi="Arial"/>
                <w:sz w:val="22"/>
                <w:szCs w:val="22"/>
                <w:color w:val="auto"/>
                <w:w w:val="83"/>
              </w:rPr>
              <w:t>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100"/>
          </w:cols>
          <w:pgMar w:left="320" w:top="486" w:right="479" w:bottom="0" w:gutter="0" w:footer="0" w:header="0"/>
        </w:sectPr>
      </w:pPr>
    </w:p>
    <w:p>
      <w:pPr>
        <w:jc w:val="center"/>
        <w:ind w:right="-139"/>
        <w:spacing w:after="0"/>
        <w:rPr>
          <w:sz w:val="20"/>
          <w:szCs w:val="20"/>
          <w:color w:val="auto"/>
        </w:rPr>
      </w:pPr>
      <w:r>
        <w:rPr>
          <w:rFonts w:ascii="Arial" w:cs="Arial" w:eastAsia="Arial" w:hAnsi="Arial"/>
          <w:sz w:val="19"/>
          <w:szCs w:val="19"/>
          <w:color w:val="auto"/>
        </w:rPr>
        <w:t>F-40</w:t>
      </w:r>
    </w:p>
    <w:p>
      <w:pPr>
        <w:sectPr>
          <w:pgSz w:w="11900" w:h="16838" w:orient="portrait"/>
          <w:cols w:equalWidth="0" w:num="1">
            <w:col w:w="11100"/>
          </w:cols>
          <w:pgMar w:left="320" w:top="486" w:right="479" w:bottom="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THE CONSOLIDATED FINANCIAL STATEMENTS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2021 was 5.6 years (2020:</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6.6 years). Options outstanding at the end of the year had an exercise price of between £2.73 and £3.22.</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Long Term Incentive Plan</w:t>
      </w:r>
    </w:p>
    <w:p>
      <w:pPr>
        <w:spacing w:after="0" w:line="98" w:lineRule="exact"/>
        <w:rPr>
          <w:sz w:val="20"/>
          <w:szCs w:val="20"/>
          <w:color w:val="auto"/>
        </w:rPr>
      </w:pPr>
    </w:p>
    <w:p>
      <w:pPr>
        <w:ind w:left="120" w:right="380" w:firstLine="551"/>
        <w:spacing w:after="0" w:line="249" w:lineRule="auto"/>
        <w:rPr>
          <w:sz w:val="20"/>
          <w:szCs w:val="20"/>
          <w:color w:val="auto"/>
        </w:rPr>
      </w:pPr>
      <w:r>
        <w:rPr>
          <w:rFonts w:ascii="Arial" w:cs="Arial" w:eastAsia="Arial" w:hAnsi="Arial"/>
          <w:sz w:val="21"/>
          <w:szCs w:val="21"/>
          <w:color w:val="auto"/>
        </w:rPr>
        <w:t>Under the Company’s Long Term Incentive Plan (LTIP), initiated in 2016, the Company,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178" w:lineRule="exact"/>
        <w:rPr>
          <w:sz w:val="20"/>
          <w:szCs w:val="20"/>
          <w:color w:val="auto"/>
        </w:rPr>
      </w:pPr>
    </w:p>
    <w:p>
      <w:pPr>
        <w:ind w:left="120" w:right="240" w:firstLine="551"/>
        <w:spacing w:after="0" w:line="249" w:lineRule="auto"/>
        <w:rPr>
          <w:sz w:val="20"/>
          <w:szCs w:val="20"/>
          <w:color w:val="auto"/>
        </w:rPr>
      </w:pPr>
      <w:r>
        <w:rPr>
          <w:rFonts w:ascii="Arial" w:cs="Arial" w:eastAsia="Arial" w:hAnsi="Arial"/>
          <w:sz w:val="21"/>
          <w:szCs w:val="21"/>
          <w:color w:val="auto"/>
        </w:rPr>
        <w:t>The fair value of the LTIP Share Price Element is estimated at the date of grant using a Monte Carlo pricing model, taking into account the terms and conditions upon which the share options were granted. The fair value of the LTIP Strategic Element is estimated at the date of grant using a Black- Scholes pricing model, taking into account the terms and conditions upon which the share options were granted, and the expense recorded is based upon the expected level of achievement of non-market based performance measures (strategic targets).</w:t>
      </w:r>
    </w:p>
    <w:p>
      <w:pPr>
        <w:spacing w:after="0" w:line="178" w:lineRule="exact"/>
        <w:rPr>
          <w:sz w:val="20"/>
          <w:szCs w:val="20"/>
          <w:color w:val="auto"/>
        </w:rPr>
      </w:pPr>
    </w:p>
    <w:p>
      <w:pPr>
        <w:ind w:left="120" w:right="560" w:firstLine="551"/>
        <w:spacing w:after="0" w:line="250" w:lineRule="auto"/>
        <w:rPr>
          <w:sz w:val="20"/>
          <w:szCs w:val="20"/>
          <w:color w:val="auto"/>
        </w:rPr>
      </w:pPr>
      <w:r>
        <w:rPr>
          <w:rFonts w:ascii="Arial" w:cs="Arial" w:eastAsia="Arial" w:hAnsi="Arial"/>
          <w:sz w:val="22"/>
          <w:szCs w:val="22"/>
          <w:color w:val="auto"/>
        </w:rPr>
        <w:t>The fair value calculations do not include any allowance for dividends as the Company has no available profits for distribution. The contractual term of the LTIP options is five years.</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253"/>
        </w:trPr>
        <w:tc>
          <w:tcPr>
            <w:tcW w:w="626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22"/>
                <w:szCs w:val="22"/>
                <w:b w:val="1"/>
                <w:bCs w:val="1"/>
                <w:color w:val="auto"/>
              </w:rPr>
              <w:t>2021</w:t>
            </w:r>
          </w:p>
        </w:tc>
        <w:tc>
          <w:tcPr>
            <w:tcW w:w="300" w:type="dxa"/>
            <w:vAlign w:val="bottom"/>
          </w:tcPr>
          <w:p>
            <w:pPr>
              <w:spacing w:after="0"/>
              <w:rPr>
                <w:sz w:val="21"/>
                <w:szCs w:val="21"/>
                <w:color w:val="auto"/>
              </w:rPr>
            </w:pPr>
          </w:p>
        </w:tc>
        <w:tc>
          <w:tcPr>
            <w:tcW w:w="840" w:type="dxa"/>
            <w:vAlign w:val="bottom"/>
          </w:tcPr>
          <w:p>
            <w:pPr>
              <w:jc w:val="right"/>
              <w:ind w:right="92"/>
              <w:spacing w:after="0"/>
              <w:rPr>
                <w:sz w:val="20"/>
                <w:szCs w:val="20"/>
                <w:color w:val="auto"/>
              </w:rPr>
            </w:pPr>
            <w:r>
              <w:rPr>
                <w:rFonts w:ascii="Arial" w:cs="Arial" w:eastAsia="Arial" w:hAnsi="Arial"/>
                <w:sz w:val="22"/>
                <w:szCs w:val="22"/>
                <w:b w:val="1"/>
                <w:bCs w:val="1"/>
                <w:color w:val="auto"/>
              </w:rPr>
              <w:t>2020</w:t>
            </w:r>
          </w:p>
        </w:tc>
        <w:tc>
          <w:tcPr>
            <w:tcW w:w="120" w:type="dxa"/>
            <w:vAlign w:val="bottom"/>
          </w:tcPr>
          <w:p>
            <w:pPr>
              <w:spacing w:after="0"/>
              <w:rPr>
                <w:sz w:val="21"/>
                <w:szCs w:val="21"/>
                <w:color w:val="auto"/>
              </w:rPr>
            </w:pPr>
          </w:p>
        </w:tc>
      </w:tr>
      <w:tr>
        <w:trPr>
          <w:trHeight w:val="270"/>
        </w:trPr>
        <w:tc>
          <w:tcPr>
            <w:tcW w:w="626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22"/>
                <w:szCs w:val="22"/>
                <w:b w:val="1"/>
                <w:bCs w:val="1"/>
                <w:color w:val="auto"/>
                <w:w w:val="93"/>
              </w:rPr>
              <w:t>Number</w:t>
            </w:r>
          </w:p>
        </w:tc>
        <w:tc>
          <w:tcPr>
            <w:tcW w:w="96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w w:val="93"/>
              </w:rPr>
              <w:t>Number</w:t>
            </w:r>
          </w:p>
        </w:tc>
      </w:tr>
      <w:tr>
        <w:trPr>
          <w:trHeight w:val="236"/>
        </w:trPr>
        <w:tc>
          <w:tcPr>
            <w:tcW w:w="62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Outstanding at January 1</w:t>
            </w:r>
          </w:p>
        </w:tc>
        <w:tc>
          <w:tcPr>
            <w:tcW w:w="8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482,748</w:t>
            </w:r>
          </w:p>
        </w:tc>
        <w:tc>
          <w:tcPr>
            <w:tcW w:w="3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910,072</w:t>
            </w: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6260" w:type="dxa"/>
            <w:vAlign w:val="bottom"/>
          </w:tcPr>
          <w:p>
            <w:pPr>
              <w:spacing w:after="0" w:line="243" w:lineRule="exact"/>
              <w:rPr>
                <w:sz w:val="20"/>
                <w:szCs w:val="20"/>
                <w:color w:val="auto"/>
              </w:rPr>
            </w:pPr>
            <w:r>
              <w:rPr>
                <w:rFonts w:ascii="Arial" w:cs="Arial" w:eastAsia="Arial" w:hAnsi="Arial"/>
                <w:sz w:val="22"/>
                <w:szCs w:val="22"/>
                <w:color w:val="auto"/>
              </w:rPr>
              <w:t>Lapsed during the year</w:t>
            </w:r>
          </w:p>
        </w:tc>
        <w:tc>
          <w:tcPr>
            <w:tcW w:w="11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95"/>
              </w:rPr>
              <w:t>(482,748)</w:t>
            </w:r>
          </w:p>
        </w:tc>
        <w:tc>
          <w:tcPr>
            <w:tcW w:w="9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w w:val="93"/>
              </w:rPr>
              <w:t>(427,324)</w:t>
            </w:r>
          </w:p>
        </w:tc>
      </w:tr>
      <w:tr>
        <w:trPr>
          <w:trHeight w:val="243"/>
        </w:trPr>
        <w:tc>
          <w:tcPr>
            <w:tcW w:w="62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Outstanding at December 31</w:t>
            </w:r>
          </w:p>
        </w:tc>
        <w:tc>
          <w:tcPr>
            <w:tcW w:w="1140" w:type="dxa"/>
            <w:vAlign w:val="bottom"/>
            <w:gridSpan w:val="2"/>
            <w:shd w:val="clear" w:color="auto" w:fill="CCEEFF"/>
          </w:tcPr>
          <w:p>
            <w:pPr>
              <w:jc w:val="right"/>
              <w:ind w:right="400"/>
              <w:spacing w:after="0" w:line="243" w:lineRule="exact"/>
              <w:rPr>
                <w:sz w:val="20"/>
                <w:szCs w:val="20"/>
                <w:color w:val="auto"/>
              </w:rPr>
            </w:pPr>
            <w:r>
              <w:rPr>
                <w:rFonts w:ascii="Arial" w:cs="Arial" w:eastAsia="Arial" w:hAnsi="Arial"/>
                <w:sz w:val="22"/>
                <w:szCs w:val="22"/>
                <w:color w:val="auto"/>
              </w:rPr>
              <w:t>—</w:t>
            </w:r>
          </w:p>
        </w:tc>
        <w:tc>
          <w:tcPr>
            <w:tcW w:w="96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482,748</w:t>
            </w:r>
          </w:p>
        </w:tc>
      </w:tr>
      <w:tr>
        <w:trPr>
          <w:trHeight w:val="250"/>
        </w:trPr>
        <w:tc>
          <w:tcPr>
            <w:tcW w:w="6260" w:type="dxa"/>
            <w:vAlign w:val="bottom"/>
          </w:tcPr>
          <w:p>
            <w:pPr>
              <w:spacing w:after="0" w:line="250" w:lineRule="exact"/>
              <w:rPr>
                <w:sz w:val="20"/>
                <w:szCs w:val="20"/>
                <w:color w:val="auto"/>
              </w:rPr>
            </w:pPr>
            <w:r>
              <w:rPr>
                <w:rFonts w:ascii="Arial" w:cs="Arial" w:eastAsia="Arial" w:hAnsi="Arial"/>
                <w:sz w:val="22"/>
                <w:szCs w:val="22"/>
                <w:color w:val="auto"/>
              </w:rPr>
              <w:t>Exercisable at December 31</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r>
      <w:tr>
        <w:trPr>
          <w:trHeight w:val="20"/>
        </w:trPr>
        <w:tc>
          <w:tcPr>
            <w:tcW w:w="6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ind w:left="120" w:right="240" w:firstLine="551"/>
        <w:spacing w:after="0" w:line="260" w:lineRule="auto"/>
        <w:rPr>
          <w:sz w:val="20"/>
          <w:szCs w:val="20"/>
          <w:color w:val="auto"/>
        </w:rPr>
      </w:pPr>
      <w:r>
        <w:rPr>
          <w:rFonts w:ascii="Arial" w:cs="Arial" w:eastAsia="Arial" w:hAnsi="Arial"/>
          <w:sz w:val="20"/>
          <w:szCs w:val="20"/>
          <w:color w:val="auto"/>
        </w:rPr>
        <w:t>All LTIP options lapsed during the year ended December 31, 2021. The weighted average remaining contractual life for the LTIP options outstanding as at December 31, 2020 was 0.5 years.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 LTIP options were granted during the years ended December 31, 2020 and 2021 and no further grants are envisaged.</w:t>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Deferred Bonus Share Plan</w:t>
      </w:r>
    </w:p>
    <w:p>
      <w:pPr>
        <w:spacing w:after="0" w:line="98" w:lineRule="exact"/>
        <w:rPr>
          <w:sz w:val="20"/>
          <w:szCs w:val="20"/>
          <w:color w:val="auto"/>
        </w:rPr>
      </w:pPr>
    </w:p>
    <w:p>
      <w:pPr>
        <w:ind w:left="120" w:right="140" w:firstLine="551"/>
        <w:spacing w:after="0" w:line="282" w:lineRule="auto"/>
        <w:rPr>
          <w:sz w:val="20"/>
          <w:szCs w:val="20"/>
          <w:color w:val="auto"/>
        </w:rPr>
      </w:pPr>
      <w:r>
        <w:rPr>
          <w:rFonts w:ascii="Arial" w:cs="Arial" w:eastAsia="Arial" w:hAnsi="Arial"/>
          <w:sz w:val="19"/>
          <w:szCs w:val="19"/>
          <w:color w:val="auto"/>
        </w:rPr>
        <w:t>Under the previous terms of the Company’s Deferred Bonus Share Plan (DBSP), 30% of the annual bonus for 2017 for the senior management team was payable in deferred shares, which are governed by the DBSP plan rules. At the date of grant of the awards, the monetary bonus amount was divided by the closing share price to give the number of shares issued to the employee under the DBSP. The number of shares is fixed and not subject to adjustment between the issue date and vesting date. Under the DBSP, awards vest after three years from the date of the award.</w:t>
      </w:r>
    </w:p>
    <w:p>
      <w:pPr>
        <w:spacing w:after="0" w:line="147" w:lineRule="exact"/>
        <w:rPr>
          <w:sz w:val="20"/>
          <w:szCs w:val="20"/>
          <w:color w:val="auto"/>
        </w:rPr>
      </w:pPr>
    </w:p>
    <w:p>
      <w:pPr>
        <w:ind w:left="120" w:right="40" w:firstLine="551"/>
        <w:spacing w:after="0" w:line="250" w:lineRule="auto"/>
        <w:rPr>
          <w:sz w:val="20"/>
          <w:szCs w:val="20"/>
          <w:color w:val="auto"/>
        </w:rPr>
      </w:pPr>
      <w:r>
        <w:rPr>
          <w:rFonts w:ascii="Arial" w:cs="Arial" w:eastAsia="Arial" w:hAnsi="Arial"/>
          <w:sz w:val="22"/>
          <w:szCs w:val="22"/>
          <w:color w:val="auto"/>
        </w:rPr>
        <w:t>There are no further performance conditions attached to the award, nor any service conditions (including no requirement for continued employment once the awards have been made).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Since the awards are issued at nil cost, they will be satisfied by the issue of ADSs from the Employee Benefit Trust.</w:t>
      </w:r>
    </w:p>
    <w:p>
      <w:pPr>
        <w:spacing w:after="0" w:line="241" w:lineRule="exact"/>
        <w:rPr>
          <w:sz w:val="20"/>
          <w:szCs w:val="20"/>
          <w:color w:val="auto"/>
        </w:rPr>
      </w:pPr>
    </w:p>
    <w:p>
      <w:pPr>
        <w:ind w:left="120" w:right="20" w:firstLine="551"/>
        <w:spacing w:after="0"/>
        <w:rPr>
          <w:sz w:val="20"/>
          <w:szCs w:val="20"/>
          <w:color w:val="auto"/>
        </w:rPr>
      </w:pPr>
      <w:r>
        <w:rPr>
          <w:rFonts w:ascii="Arial" w:cs="Arial" w:eastAsia="Arial" w:hAnsi="Arial"/>
          <w:sz w:val="22"/>
          <w:szCs w:val="22"/>
          <w:color w:val="auto"/>
        </w:rPr>
        <w:t>62,183 options lapsed during the year ended December 31, 2021. The outstanding number of options as at December 31, 2021 is 100,817 all of which were exercisable. The outstanding number of options as at December 31, 2020 was 163,000, of which 62,170 were exercisable.</w:t>
      </w:r>
    </w:p>
    <w:p>
      <w:pPr>
        <w:spacing w:after="0" w:line="186" w:lineRule="exact"/>
        <w:rPr>
          <w:sz w:val="20"/>
          <w:szCs w:val="20"/>
          <w:color w:val="auto"/>
        </w:rPr>
      </w:pPr>
    </w:p>
    <w:p>
      <w:pPr>
        <w:ind w:left="120" w:right="380" w:firstLine="551"/>
        <w:spacing w:after="0" w:line="250" w:lineRule="auto"/>
        <w:rPr>
          <w:sz w:val="20"/>
          <w:szCs w:val="20"/>
          <w:color w:val="auto"/>
        </w:rPr>
      </w:pPr>
      <w:r>
        <w:rPr>
          <w:rFonts w:ascii="Arial" w:cs="Arial" w:eastAsia="Arial" w:hAnsi="Arial"/>
          <w:sz w:val="22"/>
          <w:szCs w:val="22"/>
          <w:color w:val="auto"/>
        </w:rPr>
        <w:t>The weighted average remaining contractual life for the DBSP options outstanding as at December 31, 2021 was 0.1 years (2020: 0.6 years).</w:t>
      </w:r>
    </w:p>
    <w:p>
      <w:pPr>
        <w:spacing w:after="0" w:line="175" w:lineRule="exact"/>
        <w:rPr>
          <w:sz w:val="20"/>
          <w:szCs w:val="20"/>
          <w:color w:val="auto"/>
        </w:rPr>
      </w:pPr>
    </w:p>
    <w:p>
      <w:pPr>
        <w:ind w:left="120" w:right="80" w:firstLine="551"/>
        <w:spacing w:after="0" w:line="287" w:lineRule="auto"/>
        <w:rPr>
          <w:sz w:val="20"/>
          <w:szCs w:val="20"/>
          <w:color w:val="auto"/>
        </w:rPr>
      </w:pPr>
      <w:r>
        <w:rPr>
          <w:rFonts w:ascii="Arial" w:cs="Arial" w:eastAsia="Arial" w:hAnsi="Arial"/>
          <w:sz w:val="19"/>
          <w:szCs w:val="19"/>
          <w:color w:val="auto"/>
        </w:rPr>
        <w:t>For the 2018 and 2019 financial years, under the Deferred Bonus Plan (“2019 DBP”), 100% of the annual bonus was paid in cash, of which 30% of amounts granted to the senior management team (after deduction of income tax and the relevant employee’s national insurance contributions) was required to be utilized to acquire shares in the Company in the open market within 12 months of the grant of the award. No further grants under the DBSP are envisaged.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Deferred equity consideration</w:t>
      </w:r>
    </w:p>
    <w:p>
      <w:pPr>
        <w:spacing w:after="0" w:line="98" w:lineRule="exact"/>
        <w:rPr>
          <w:sz w:val="20"/>
          <w:szCs w:val="20"/>
          <w:color w:val="auto"/>
        </w:rPr>
      </w:pPr>
    </w:p>
    <w:p>
      <w:pPr>
        <w:ind w:left="120" w:firstLine="551"/>
        <w:spacing w:after="0" w:line="297" w:lineRule="auto"/>
        <w:rPr>
          <w:sz w:val="20"/>
          <w:szCs w:val="20"/>
          <w:color w:val="auto"/>
        </w:rPr>
      </w:pPr>
      <w:r>
        <w:rPr>
          <w:rFonts w:ascii="Arial" w:cs="Arial" w:eastAsia="Arial" w:hAnsi="Arial"/>
          <w:sz w:val="19"/>
          <w:szCs w:val="19"/>
          <w:color w:val="auto"/>
        </w:rPr>
        <w:t>In October 2017, the Company’s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w:t>
      </w:r>
    </w:p>
    <w:p>
      <w:pPr>
        <w:sectPr>
          <w:pgSz w:w="11900" w:h="16838" w:orient="portrait"/>
          <w:cols w:equalWidth="0" w:num="1">
            <w:col w:w="11120"/>
          </w:cols>
          <w:pgMar w:left="320" w:top="486" w:right="459" w:bottom="0" w:gutter="0" w:footer="0" w:header="0"/>
        </w:sectPr>
      </w:pPr>
    </w:p>
    <w:bookmarkStart w:id="223" w:name="page224"/>
    <w:bookmarkEnd w:id="223"/>
    <w:p>
      <w:pPr>
        <w:spacing w:after="0" w:line="251" w:lineRule="auto"/>
        <w:rPr>
          <w:sz w:val="20"/>
          <w:szCs w:val="20"/>
          <w:color w:val="auto"/>
        </w:rPr>
      </w:pPr>
      <w:r>
        <w:rPr>
          <w:rFonts w:ascii="Arial" w:cs="Arial" w:eastAsia="Arial" w:hAnsi="Arial"/>
          <w:sz w:val="22"/>
          <w:szCs w:val="22"/>
          <w:color w:val="auto"/>
        </w:rPr>
        <w:t>rights following commencement of a pivotal trial and payment of related milestone payments (the “Option”), together with the acquisition of certain related assets.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F-41</w:t>
      </w:r>
    </w:p>
    <w:p>
      <w:pPr>
        <w:sectPr>
          <w:pgSz w:w="11900" w:h="16838" w:orient="portrait"/>
          <w:cols w:equalWidth="0" w:num="1">
            <w:col w:w="10940"/>
          </w:cols>
          <w:pgMar w:left="440" w:top="118"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NOTES TO THE CONSOLIDATED FINANCIAL STATEMENTS</w:t>
      </w:r>
    </w:p>
    <w:p>
      <w:pPr>
        <w:spacing w:after="0" w:line="121" w:lineRule="exact"/>
        <w:rPr>
          <w:sz w:val="20"/>
          <w:szCs w:val="20"/>
          <w:color w:val="auto"/>
        </w:rPr>
      </w:pPr>
    </w:p>
    <w:p>
      <w:pPr>
        <w:ind w:left="120" w:right="200" w:firstLine="551"/>
        <w:spacing w:after="0" w:line="250" w:lineRule="auto"/>
        <w:rPr>
          <w:sz w:val="20"/>
          <w:szCs w:val="20"/>
          <w:color w:val="auto"/>
        </w:rPr>
      </w:pPr>
      <w:r>
        <w:rPr>
          <w:rFonts w:ascii="Arial" w:cs="Arial" w:eastAsia="Arial" w:hAnsi="Arial"/>
          <w:sz w:val="22"/>
          <w:szCs w:val="22"/>
          <w:color w:val="auto"/>
        </w:rPr>
        <w:t>Under the agreement with AstraZeneca, the Company may issue up to 1,349,693 ordinary shares which are dependent on achieving certain milestones.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Weighted average inputs</w:t>
      </w:r>
    </w:p>
    <w:p>
      <w:pPr>
        <w:spacing w:after="0" w:line="98"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22"/>
          <w:szCs w:val="22"/>
          <w:color w:val="auto"/>
        </w:rPr>
        <w:t>The following table includes the weighted average inputs to the models used for the fair value of share options granted during the year ended December 31, 2021:</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5260" w:type="dxa"/>
            <w:vAlign w:val="bottom"/>
          </w:tcPr>
          <w:p>
            <w:pPr>
              <w:spacing w:after="0"/>
              <w:rPr>
                <w:sz w:val="23"/>
                <w:szCs w:val="23"/>
                <w:color w:val="auto"/>
              </w:rPr>
            </w:pPr>
          </w:p>
        </w:tc>
        <w:tc>
          <w:tcPr>
            <w:tcW w:w="1640" w:type="dxa"/>
            <w:vAlign w:val="bottom"/>
            <w:gridSpan w:val="2"/>
          </w:tcPr>
          <w:p>
            <w:pPr>
              <w:ind w:left="240"/>
              <w:spacing w:after="0"/>
              <w:rPr>
                <w:sz w:val="20"/>
                <w:szCs w:val="20"/>
                <w:color w:val="auto"/>
              </w:rPr>
            </w:pPr>
            <w:r>
              <w:rPr>
                <w:rFonts w:ascii="Arial" w:cs="Arial" w:eastAsia="Arial" w:hAnsi="Arial"/>
                <w:sz w:val="22"/>
                <w:szCs w:val="22"/>
                <w:b w:val="1"/>
                <w:bCs w:val="1"/>
                <w:color w:val="auto"/>
              </w:rPr>
              <w:t>2019 EIP</w:t>
            </w: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w w:val="99"/>
              </w:rPr>
              <w:t>2019 NED EIP</w:t>
            </w:r>
          </w:p>
        </w:tc>
      </w:tr>
      <w:tr>
        <w:trPr>
          <w:trHeight w:val="236"/>
        </w:trPr>
        <w:tc>
          <w:tcPr>
            <w:tcW w:w="52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Expected volatility (%)</w:t>
            </w:r>
          </w:p>
        </w:tc>
        <w:tc>
          <w:tcPr>
            <w:tcW w:w="13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97</w:t>
            </w:r>
          </w:p>
        </w:tc>
        <w:tc>
          <w:tcPr>
            <w:tcW w:w="3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98</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Risk-free interest rate (%)</w:t>
            </w:r>
          </w:p>
        </w:tc>
        <w:tc>
          <w:tcPr>
            <w:tcW w:w="134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c>
          <w:tcPr>
            <w:tcW w:w="300" w:type="dxa"/>
            <w:vAlign w:val="bottom"/>
          </w:tcPr>
          <w:p>
            <w:pPr>
              <w:spacing w:after="0"/>
              <w:rPr>
                <w:sz w:val="21"/>
                <w:szCs w:val="21"/>
                <w:color w:val="auto"/>
              </w:rPr>
            </w:pP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c>
          <w:tcPr>
            <w:tcW w:w="60" w:type="dxa"/>
            <w:vAlign w:val="bottom"/>
          </w:tcPr>
          <w:p>
            <w:pPr>
              <w:spacing w:after="0"/>
              <w:rPr>
                <w:sz w:val="21"/>
                <w:szCs w:val="21"/>
                <w:color w:val="auto"/>
              </w:rPr>
            </w:pPr>
          </w:p>
        </w:tc>
      </w:tr>
      <w:tr>
        <w:trPr>
          <w:trHeight w:val="243"/>
        </w:trPr>
        <w:tc>
          <w:tcPr>
            <w:tcW w:w="52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Expected life of share options (years)</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c>
          <w:tcPr>
            <w:tcW w:w="60" w:type="dxa"/>
            <w:vAlign w:val="bottom"/>
            <w:shd w:val="clear" w:color="auto" w:fill="CCEEFF"/>
          </w:tcPr>
          <w:p>
            <w:pPr>
              <w:spacing w:after="0"/>
              <w:rPr>
                <w:sz w:val="21"/>
                <w:szCs w:val="21"/>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Market price of ADS’s ($)</w:t>
            </w:r>
          </w:p>
        </w:tc>
        <w:tc>
          <w:tcPr>
            <w:tcW w:w="1340" w:type="dxa"/>
            <w:vAlign w:val="bottom"/>
          </w:tcPr>
          <w:p>
            <w:pPr>
              <w:jc w:val="right"/>
              <w:spacing w:after="0" w:line="243" w:lineRule="exact"/>
              <w:rPr>
                <w:sz w:val="20"/>
                <w:szCs w:val="20"/>
                <w:color w:val="auto"/>
              </w:rPr>
            </w:pPr>
            <w:r>
              <w:rPr>
                <w:rFonts w:ascii="Arial" w:cs="Arial" w:eastAsia="Arial" w:hAnsi="Arial"/>
                <w:sz w:val="22"/>
                <w:szCs w:val="22"/>
                <w:color w:val="auto"/>
              </w:rPr>
              <w:t>2.83</w:t>
            </w:r>
          </w:p>
        </w:tc>
        <w:tc>
          <w:tcPr>
            <w:tcW w:w="300" w:type="dxa"/>
            <w:vAlign w:val="bottom"/>
          </w:tcPr>
          <w:p>
            <w:pPr>
              <w:spacing w:after="0"/>
              <w:rPr>
                <w:sz w:val="21"/>
                <w:szCs w:val="21"/>
                <w:color w:val="auto"/>
              </w:rPr>
            </w:pP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2.81</w:t>
            </w:r>
          </w:p>
        </w:tc>
        <w:tc>
          <w:tcPr>
            <w:tcW w:w="60" w:type="dxa"/>
            <w:vAlign w:val="bottom"/>
          </w:tcPr>
          <w:p>
            <w:pPr>
              <w:spacing w:after="0"/>
              <w:rPr>
                <w:sz w:val="21"/>
                <w:szCs w:val="21"/>
                <w:color w:val="auto"/>
              </w:rPr>
            </w:pPr>
          </w:p>
        </w:tc>
      </w:tr>
      <w:tr>
        <w:trPr>
          <w:trHeight w:val="243"/>
        </w:trPr>
        <w:tc>
          <w:tcPr>
            <w:tcW w:w="52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Model used</w:t>
            </w:r>
          </w:p>
        </w:tc>
        <w:tc>
          <w:tcPr>
            <w:tcW w:w="1640" w:type="dxa"/>
            <w:vAlign w:val="bottom"/>
            <w:gridSpan w:val="2"/>
            <w:shd w:val="clear" w:color="auto" w:fill="CCEEFF"/>
          </w:tcPr>
          <w:p>
            <w:pPr>
              <w:ind w:left="100"/>
              <w:spacing w:after="0" w:line="243" w:lineRule="exact"/>
              <w:rPr>
                <w:sz w:val="20"/>
                <w:szCs w:val="20"/>
                <w:color w:val="auto"/>
              </w:rPr>
            </w:pPr>
            <w:r>
              <w:rPr>
                <w:rFonts w:ascii="Arial" w:cs="Arial" w:eastAsia="Arial" w:hAnsi="Arial"/>
                <w:sz w:val="22"/>
                <w:szCs w:val="22"/>
                <w:color w:val="auto"/>
              </w:rPr>
              <w:t>Black-Scholes</w:t>
            </w:r>
          </w:p>
        </w:tc>
        <w:tc>
          <w:tcPr>
            <w:tcW w:w="1460" w:type="dxa"/>
            <w:vAlign w:val="bottom"/>
            <w:gridSpan w:val="2"/>
            <w:shd w:val="clear" w:color="auto" w:fill="CCEEFF"/>
          </w:tcPr>
          <w:p>
            <w:pPr>
              <w:ind w:left="160"/>
              <w:spacing w:after="0" w:line="243" w:lineRule="exact"/>
              <w:rPr>
                <w:sz w:val="20"/>
                <w:szCs w:val="20"/>
                <w:color w:val="auto"/>
              </w:rPr>
            </w:pPr>
            <w:r>
              <w:rPr>
                <w:rFonts w:ascii="Arial" w:cs="Arial" w:eastAsia="Arial" w:hAnsi="Arial"/>
                <w:sz w:val="22"/>
                <w:szCs w:val="22"/>
                <w:color w:val="auto"/>
                <w:w w:val="91"/>
              </w:rPr>
              <w:t>Black-Scholes</w:t>
            </w:r>
          </w:p>
        </w:tc>
      </w:tr>
    </w:tbl>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year ended December 31, 2021, no grants were issued under any other scheme.</w:t>
      </w:r>
    </w:p>
    <w:p>
      <w:pPr>
        <w:spacing w:after="0" w:line="166"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22"/>
          <w:szCs w:val="22"/>
          <w:color w:val="auto"/>
        </w:rPr>
        <w:t>The following table includes the weighted average inputs to the models used for the fair value of share options granted during the year ended December 31, 2020:</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270"/>
        </w:trPr>
        <w:tc>
          <w:tcPr>
            <w:tcW w:w="5260" w:type="dxa"/>
            <w:vAlign w:val="bottom"/>
          </w:tcPr>
          <w:p>
            <w:pPr>
              <w:spacing w:after="0"/>
              <w:rPr>
                <w:sz w:val="23"/>
                <w:szCs w:val="23"/>
                <w:color w:val="auto"/>
              </w:rPr>
            </w:pPr>
          </w:p>
        </w:tc>
        <w:tc>
          <w:tcPr>
            <w:tcW w:w="1640" w:type="dxa"/>
            <w:vAlign w:val="bottom"/>
            <w:gridSpan w:val="2"/>
          </w:tcPr>
          <w:p>
            <w:pPr>
              <w:ind w:left="240"/>
              <w:spacing w:after="0"/>
              <w:rPr>
                <w:sz w:val="20"/>
                <w:szCs w:val="20"/>
                <w:color w:val="auto"/>
              </w:rPr>
            </w:pPr>
            <w:r>
              <w:rPr>
                <w:rFonts w:ascii="Arial" w:cs="Arial" w:eastAsia="Arial" w:hAnsi="Arial"/>
                <w:sz w:val="22"/>
                <w:szCs w:val="22"/>
                <w:b w:val="1"/>
                <w:bCs w:val="1"/>
                <w:color w:val="auto"/>
              </w:rPr>
              <w:t>2019 EIP</w:t>
            </w: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w w:val="99"/>
              </w:rPr>
              <w:t>2019 NED EIP</w:t>
            </w:r>
          </w:p>
        </w:tc>
      </w:tr>
      <w:tr>
        <w:trPr>
          <w:trHeight w:val="236"/>
        </w:trPr>
        <w:tc>
          <w:tcPr>
            <w:tcW w:w="52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Expected volatility (%)</w:t>
            </w:r>
          </w:p>
        </w:tc>
        <w:tc>
          <w:tcPr>
            <w:tcW w:w="13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67</w:t>
            </w:r>
          </w:p>
        </w:tc>
        <w:tc>
          <w:tcPr>
            <w:tcW w:w="3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68</w:t>
            </w:r>
          </w:p>
        </w:tc>
        <w:tc>
          <w:tcPr>
            <w:tcW w:w="60" w:type="dxa"/>
            <w:vAlign w:val="bottom"/>
            <w:tcBorders>
              <w:top w:val="single" w:sz="8" w:color="CCEEFF"/>
            </w:tcBorders>
            <w:shd w:val="clear" w:color="auto" w:fill="CCEEFF"/>
          </w:tcPr>
          <w:p>
            <w:pPr>
              <w:spacing w:after="0"/>
              <w:rPr>
                <w:sz w:val="20"/>
                <w:szCs w:val="20"/>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Risk-free interest rate (%)</w:t>
            </w:r>
          </w:p>
        </w:tc>
        <w:tc>
          <w:tcPr>
            <w:tcW w:w="1340" w:type="dxa"/>
            <w:vAlign w:val="bottom"/>
          </w:tcPr>
          <w:p>
            <w:pPr>
              <w:jc w:val="right"/>
              <w:spacing w:after="0" w:line="243" w:lineRule="exact"/>
              <w:rPr>
                <w:sz w:val="20"/>
                <w:szCs w:val="20"/>
                <w:color w:val="auto"/>
              </w:rPr>
            </w:pPr>
            <w:r>
              <w:rPr>
                <w:rFonts w:ascii="Arial" w:cs="Arial" w:eastAsia="Arial" w:hAnsi="Arial"/>
                <w:sz w:val="22"/>
                <w:szCs w:val="22"/>
                <w:color w:val="auto"/>
              </w:rPr>
              <w:t>0.59</w:t>
            </w:r>
          </w:p>
        </w:tc>
        <w:tc>
          <w:tcPr>
            <w:tcW w:w="300" w:type="dxa"/>
            <w:vAlign w:val="bottom"/>
          </w:tcPr>
          <w:p>
            <w:pPr>
              <w:spacing w:after="0"/>
              <w:rPr>
                <w:sz w:val="21"/>
                <w:szCs w:val="21"/>
                <w:color w:val="auto"/>
              </w:rPr>
            </w:pP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0.64</w:t>
            </w:r>
          </w:p>
        </w:tc>
        <w:tc>
          <w:tcPr>
            <w:tcW w:w="60" w:type="dxa"/>
            <w:vAlign w:val="bottom"/>
          </w:tcPr>
          <w:p>
            <w:pPr>
              <w:spacing w:after="0"/>
              <w:rPr>
                <w:sz w:val="21"/>
                <w:szCs w:val="21"/>
                <w:color w:val="auto"/>
              </w:rPr>
            </w:pPr>
          </w:p>
        </w:tc>
      </w:tr>
      <w:tr>
        <w:trPr>
          <w:trHeight w:val="243"/>
        </w:trPr>
        <w:tc>
          <w:tcPr>
            <w:tcW w:w="52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Expected life of share options (years)</w:t>
            </w:r>
          </w:p>
        </w:tc>
        <w:tc>
          <w:tcPr>
            <w:tcW w:w="13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c>
          <w:tcPr>
            <w:tcW w:w="60" w:type="dxa"/>
            <w:vAlign w:val="bottom"/>
            <w:shd w:val="clear" w:color="auto" w:fill="CCEEFF"/>
          </w:tcPr>
          <w:p>
            <w:pPr>
              <w:spacing w:after="0"/>
              <w:rPr>
                <w:sz w:val="21"/>
                <w:szCs w:val="21"/>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22"/>
                <w:szCs w:val="22"/>
                <w:color w:val="auto"/>
              </w:rPr>
              <w:t>Market price of ADS’s ($)</w:t>
            </w:r>
          </w:p>
        </w:tc>
        <w:tc>
          <w:tcPr>
            <w:tcW w:w="1340" w:type="dxa"/>
            <w:vAlign w:val="bottom"/>
          </w:tcPr>
          <w:p>
            <w:pPr>
              <w:jc w:val="right"/>
              <w:spacing w:after="0" w:line="243" w:lineRule="exact"/>
              <w:rPr>
                <w:sz w:val="20"/>
                <w:szCs w:val="20"/>
                <w:color w:val="auto"/>
              </w:rPr>
            </w:pPr>
            <w:r>
              <w:rPr>
                <w:rFonts w:ascii="Arial" w:cs="Arial" w:eastAsia="Arial" w:hAnsi="Arial"/>
                <w:sz w:val="22"/>
                <w:szCs w:val="22"/>
                <w:color w:val="auto"/>
              </w:rPr>
              <w:t>1.99</w:t>
            </w:r>
          </w:p>
        </w:tc>
        <w:tc>
          <w:tcPr>
            <w:tcW w:w="300" w:type="dxa"/>
            <w:vAlign w:val="bottom"/>
          </w:tcPr>
          <w:p>
            <w:pPr>
              <w:spacing w:after="0"/>
              <w:rPr>
                <w:sz w:val="21"/>
                <w:szCs w:val="21"/>
                <w:color w:val="auto"/>
              </w:rPr>
            </w:pPr>
          </w:p>
        </w:tc>
        <w:tc>
          <w:tcPr>
            <w:tcW w:w="1400" w:type="dxa"/>
            <w:vAlign w:val="bottom"/>
          </w:tcPr>
          <w:p>
            <w:pPr>
              <w:jc w:val="right"/>
              <w:spacing w:after="0" w:line="243" w:lineRule="exact"/>
              <w:rPr>
                <w:sz w:val="20"/>
                <w:szCs w:val="20"/>
                <w:color w:val="auto"/>
              </w:rPr>
            </w:pPr>
            <w:r>
              <w:rPr>
                <w:rFonts w:ascii="Arial" w:cs="Arial" w:eastAsia="Arial" w:hAnsi="Arial"/>
                <w:sz w:val="22"/>
                <w:szCs w:val="22"/>
                <w:color w:val="auto"/>
              </w:rPr>
              <w:t>1.84</w:t>
            </w:r>
          </w:p>
        </w:tc>
        <w:tc>
          <w:tcPr>
            <w:tcW w:w="60" w:type="dxa"/>
            <w:vAlign w:val="bottom"/>
          </w:tcPr>
          <w:p>
            <w:pPr>
              <w:spacing w:after="0"/>
              <w:rPr>
                <w:sz w:val="21"/>
                <w:szCs w:val="21"/>
                <w:color w:val="auto"/>
              </w:rPr>
            </w:pPr>
          </w:p>
        </w:tc>
      </w:tr>
      <w:tr>
        <w:trPr>
          <w:trHeight w:val="243"/>
        </w:trPr>
        <w:tc>
          <w:tcPr>
            <w:tcW w:w="52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Model used</w:t>
            </w:r>
          </w:p>
        </w:tc>
        <w:tc>
          <w:tcPr>
            <w:tcW w:w="1640" w:type="dxa"/>
            <w:vAlign w:val="bottom"/>
            <w:gridSpan w:val="2"/>
            <w:shd w:val="clear" w:color="auto" w:fill="CCEEFF"/>
          </w:tcPr>
          <w:p>
            <w:pPr>
              <w:ind w:left="100"/>
              <w:spacing w:after="0" w:line="243" w:lineRule="exact"/>
              <w:rPr>
                <w:sz w:val="20"/>
                <w:szCs w:val="20"/>
                <w:color w:val="auto"/>
              </w:rPr>
            </w:pPr>
            <w:r>
              <w:rPr>
                <w:rFonts w:ascii="Arial" w:cs="Arial" w:eastAsia="Arial" w:hAnsi="Arial"/>
                <w:sz w:val="22"/>
                <w:szCs w:val="22"/>
                <w:color w:val="auto"/>
              </w:rPr>
              <w:t>Black-Scholes</w:t>
            </w:r>
          </w:p>
        </w:tc>
        <w:tc>
          <w:tcPr>
            <w:tcW w:w="1460" w:type="dxa"/>
            <w:vAlign w:val="bottom"/>
            <w:gridSpan w:val="2"/>
            <w:shd w:val="clear" w:color="auto" w:fill="CCEEFF"/>
          </w:tcPr>
          <w:p>
            <w:pPr>
              <w:ind w:left="160"/>
              <w:spacing w:after="0" w:line="243" w:lineRule="exact"/>
              <w:rPr>
                <w:sz w:val="20"/>
                <w:szCs w:val="20"/>
                <w:color w:val="auto"/>
              </w:rPr>
            </w:pPr>
            <w:r>
              <w:rPr>
                <w:rFonts w:ascii="Arial" w:cs="Arial" w:eastAsia="Arial" w:hAnsi="Arial"/>
                <w:sz w:val="22"/>
                <w:szCs w:val="22"/>
                <w:color w:val="auto"/>
                <w:w w:val="91"/>
              </w:rPr>
              <w:t>Black-Scholes</w:t>
            </w:r>
          </w:p>
        </w:tc>
      </w:tr>
    </w:tbl>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year ended December 31, 2020, no grants were issued under any other scheme.</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27. Related party disclosures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Compensation of key management personnel of the Company</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remuneration of key management personnel of the Company is set out below in aggregate:</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270"/>
        </w:trPr>
        <w:tc>
          <w:tcPr>
            <w:tcW w:w="6560" w:type="dxa"/>
            <w:vAlign w:val="bottom"/>
          </w:tcPr>
          <w:p>
            <w:pPr>
              <w:spacing w:after="0"/>
              <w:rPr>
                <w:sz w:val="23"/>
                <w:szCs w:val="23"/>
                <w:color w:val="auto"/>
              </w:rPr>
            </w:pPr>
          </w:p>
        </w:tc>
        <w:tc>
          <w:tcPr>
            <w:tcW w:w="2700" w:type="dxa"/>
            <w:vAlign w:val="bottom"/>
            <w:gridSpan w:val="6"/>
          </w:tcPr>
          <w:p>
            <w:pPr>
              <w:ind w:left="140"/>
              <w:spacing w:after="0"/>
              <w:rPr>
                <w:sz w:val="20"/>
                <w:szCs w:val="20"/>
                <w:color w:val="auto"/>
              </w:rPr>
            </w:pPr>
            <w:r>
              <w:rPr>
                <w:rFonts w:ascii="Arial" w:cs="Arial" w:eastAsia="Arial" w:hAnsi="Arial"/>
                <w:sz w:val="22"/>
                <w:szCs w:val="22"/>
                <w:b w:val="1"/>
                <w:bCs w:val="1"/>
                <w:color w:val="auto"/>
                <w:w w:val="94"/>
              </w:rPr>
              <w:t>Year ended December 31,</w:t>
            </w:r>
          </w:p>
        </w:tc>
      </w:tr>
      <w:tr>
        <w:trPr>
          <w:trHeight w:val="236"/>
        </w:trPr>
        <w:tc>
          <w:tcPr>
            <w:tcW w:w="6560" w:type="dxa"/>
            <w:vAlign w:val="bottom"/>
          </w:tcPr>
          <w:p>
            <w:pPr>
              <w:spacing w:after="0"/>
              <w:rPr>
                <w:sz w:val="20"/>
                <w:szCs w:val="20"/>
                <w:color w:val="auto"/>
              </w:rPr>
            </w:pPr>
          </w:p>
        </w:tc>
        <w:tc>
          <w:tcPr>
            <w:tcW w:w="640" w:type="dxa"/>
            <w:vAlign w:val="bottom"/>
            <w:tcBorders>
              <w:top w:val="single" w:sz="8" w:color="auto"/>
            </w:tcBorders>
          </w:tcPr>
          <w:p>
            <w:pPr>
              <w:jc w:val="right"/>
              <w:ind w:right="13"/>
              <w:spacing w:after="0" w:line="237" w:lineRule="exact"/>
              <w:rPr>
                <w:sz w:val="20"/>
                <w:szCs w:val="20"/>
                <w:color w:val="auto"/>
              </w:rPr>
            </w:pPr>
            <w:r>
              <w:rPr>
                <w:rFonts w:ascii="Arial" w:cs="Arial" w:eastAsia="Arial" w:hAnsi="Arial"/>
                <w:sz w:val="22"/>
                <w:szCs w:val="22"/>
                <w:b w:val="1"/>
                <w:bCs w:val="1"/>
                <w:color w:val="auto"/>
              </w:rPr>
              <w:t>2021</w:t>
            </w:r>
          </w:p>
        </w:tc>
        <w:tc>
          <w:tcPr>
            <w:tcW w:w="980" w:type="dxa"/>
            <w:vAlign w:val="bottom"/>
            <w:tcBorders>
              <w:top w:val="single" w:sz="8" w:color="auto"/>
            </w:tcBorders>
            <w:gridSpan w:val="2"/>
          </w:tcPr>
          <w:p>
            <w:pPr>
              <w:jc w:val="right"/>
              <w:ind w:right="17"/>
              <w:spacing w:after="0" w:line="237" w:lineRule="exact"/>
              <w:rPr>
                <w:sz w:val="20"/>
                <w:szCs w:val="20"/>
                <w:color w:val="auto"/>
              </w:rPr>
            </w:pPr>
            <w:r>
              <w:rPr>
                <w:rFonts w:ascii="Arial" w:cs="Arial" w:eastAsia="Arial" w:hAnsi="Arial"/>
                <w:sz w:val="22"/>
                <w:szCs w:val="22"/>
                <w:b w:val="1"/>
                <w:bCs w:val="1"/>
                <w:color w:val="auto"/>
              </w:rPr>
              <w:t>2020</w:t>
            </w:r>
          </w:p>
        </w:tc>
        <w:tc>
          <w:tcPr>
            <w:tcW w:w="1020" w:type="dxa"/>
            <w:vAlign w:val="bottom"/>
            <w:tcBorders>
              <w:top w:val="single" w:sz="8" w:color="auto"/>
            </w:tcBorders>
            <w:gridSpan w:val="2"/>
          </w:tcPr>
          <w:p>
            <w:pPr>
              <w:jc w:val="right"/>
              <w:ind w:right="37"/>
              <w:spacing w:after="0" w:line="237" w:lineRule="exact"/>
              <w:rPr>
                <w:sz w:val="20"/>
                <w:szCs w:val="20"/>
                <w:color w:val="auto"/>
              </w:rPr>
            </w:pPr>
            <w:r>
              <w:rPr>
                <w:rFonts w:ascii="Arial" w:cs="Arial" w:eastAsia="Arial" w:hAnsi="Arial"/>
                <w:sz w:val="22"/>
                <w:szCs w:val="22"/>
                <w:b w:val="1"/>
                <w:bCs w:val="1"/>
                <w:color w:val="auto"/>
              </w:rPr>
              <w:t>2019</w:t>
            </w:r>
          </w:p>
        </w:tc>
        <w:tc>
          <w:tcPr>
            <w:tcW w:w="60" w:type="dxa"/>
            <w:vAlign w:val="bottom"/>
          </w:tcPr>
          <w:p>
            <w:pPr>
              <w:spacing w:after="0"/>
              <w:rPr>
                <w:sz w:val="20"/>
                <w:szCs w:val="20"/>
                <w:color w:val="auto"/>
              </w:rPr>
            </w:pPr>
          </w:p>
        </w:tc>
      </w:tr>
      <w:tr>
        <w:trPr>
          <w:trHeight w:val="237"/>
        </w:trPr>
        <w:tc>
          <w:tcPr>
            <w:tcW w:w="6560" w:type="dxa"/>
            <w:vAlign w:val="bottom"/>
          </w:tcPr>
          <w:p>
            <w:pPr>
              <w:spacing w:after="0"/>
              <w:rPr>
                <w:sz w:val="20"/>
                <w:szCs w:val="20"/>
                <w:color w:val="auto"/>
              </w:rPr>
            </w:pPr>
          </w:p>
        </w:tc>
        <w:tc>
          <w:tcPr>
            <w:tcW w:w="64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20" w:type="dxa"/>
            <w:vAlign w:val="bottom"/>
          </w:tcPr>
          <w:p>
            <w:pPr>
              <w:spacing w:after="0"/>
              <w:rPr>
                <w:sz w:val="20"/>
                <w:szCs w:val="20"/>
                <w:color w:val="auto"/>
              </w:rPr>
            </w:pPr>
          </w:p>
        </w:tc>
        <w:tc>
          <w:tcPr>
            <w:tcW w:w="66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340" w:type="dxa"/>
            <w:vAlign w:val="bottom"/>
          </w:tcPr>
          <w:p>
            <w:pPr>
              <w:spacing w:after="0"/>
              <w:rPr>
                <w:sz w:val="20"/>
                <w:szCs w:val="20"/>
                <w:color w:val="auto"/>
              </w:rPr>
            </w:pPr>
          </w:p>
        </w:tc>
        <w:tc>
          <w:tcPr>
            <w:tcW w:w="680" w:type="dxa"/>
            <w:vAlign w:val="bottom"/>
            <w:tcBorders>
              <w:top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6"/>
              </w:rPr>
              <w:t>£’000s</w:t>
            </w:r>
          </w:p>
        </w:tc>
        <w:tc>
          <w:tcPr>
            <w:tcW w:w="60" w:type="dxa"/>
            <w:vAlign w:val="bottom"/>
          </w:tcPr>
          <w:p>
            <w:pPr>
              <w:spacing w:after="0"/>
              <w:rPr>
                <w:sz w:val="20"/>
                <w:szCs w:val="20"/>
                <w:color w:val="auto"/>
              </w:rPr>
            </w:pPr>
          </w:p>
        </w:tc>
      </w:tr>
      <w:tr>
        <w:trPr>
          <w:trHeight w:val="243"/>
        </w:trPr>
        <w:tc>
          <w:tcPr>
            <w:tcW w:w="65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Short-term benefits</w:t>
            </w:r>
          </w:p>
        </w:tc>
        <w:tc>
          <w:tcPr>
            <w:tcW w:w="6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4,018</w:t>
            </w:r>
          </w:p>
        </w:tc>
        <w:tc>
          <w:tcPr>
            <w:tcW w:w="9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4,479</w:t>
            </w:r>
          </w:p>
        </w:tc>
        <w:tc>
          <w:tcPr>
            <w:tcW w:w="10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3,488</w:t>
            </w:r>
          </w:p>
        </w:tc>
        <w:tc>
          <w:tcPr>
            <w:tcW w:w="60" w:type="dxa"/>
            <w:vAlign w:val="bottom"/>
            <w:shd w:val="clear" w:color="auto" w:fill="CCEEFF"/>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Post-employment benefits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173</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144</w:t>
            </w: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64</w:t>
            </w:r>
          </w:p>
        </w:tc>
        <w:tc>
          <w:tcPr>
            <w:tcW w:w="60" w:type="dxa"/>
            <w:vAlign w:val="bottom"/>
          </w:tcPr>
          <w:p>
            <w:pPr>
              <w:spacing w:after="0"/>
              <w:rPr>
                <w:sz w:val="21"/>
                <w:szCs w:val="21"/>
                <w:color w:val="auto"/>
              </w:rPr>
            </w:pPr>
          </w:p>
        </w:tc>
      </w:tr>
      <w:tr>
        <w:trPr>
          <w:trHeight w:val="243"/>
        </w:trPr>
        <w:tc>
          <w:tcPr>
            <w:tcW w:w="65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Share-based payment charge</w:t>
            </w:r>
          </w:p>
        </w:tc>
        <w:tc>
          <w:tcPr>
            <w:tcW w:w="6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2,559</w:t>
            </w:r>
          </w:p>
        </w:tc>
        <w:tc>
          <w:tcPr>
            <w:tcW w:w="9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875</w:t>
            </w:r>
          </w:p>
        </w:tc>
        <w:tc>
          <w:tcPr>
            <w:tcW w:w="10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1,152</w:t>
            </w:r>
          </w:p>
        </w:tc>
        <w:tc>
          <w:tcPr>
            <w:tcW w:w="60" w:type="dxa"/>
            <w:vAlign w:val="bottom"/>
            <w:shd w:val="clear" w:color="auto" w:fill="CCEEFF"/>
          </w:tcPr>
          <w:p>
            <w:pPr>
              <w:spacing w:after="0"/>
              <w:rPr>
                <w:sz w:val="21"/>
                <w:szCs w:val="21"/>
                <w:color w:val="auto"/>
              </w:rPr>
            </w:pPr>
          </w:p>
        </w:tc>
      </w:tr>
      <w:tr>
        <w:trPr>
          <w:trHeight w:val="237"/>
        </w:trPr>
        <w:tc>
          <w:tcPr>
            <w:tcW w:w="65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6,750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5,498</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4,704</w:t>
            </w:r>
          </w:p>
        </w:tc>
        <w:tc>
          <w:tcPr>
            <w:tcW w:w="6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0" w:right="140" w:firstLine="551"/>
        <w:spacing w:after="0" w:line="249" w:lineRule="auto"/>
        <w:rPr>
          <w:sz w:val="20"/>
          <w:szCs w:val="20"/>
          <w:color w:val="auto"/>
        </w:rPr>
      </w:pPr>
      <w:r>
        <w:rPr>
          <w:rFonts w:ascii="Arial" w:cs="Arial" w:eastAsia="Arial" w:hAnsi="Arial"/>
          <w:sz w:val="21"/>
          <w:szCs w:val="21"/>
          <w:color w:val="auto"/>
        </w:rPr>
        <w:t>The amounts disclosed in the table above are the amounts recognized as an expense during the reporting period related to key management personnel. In 2021, key management personnel of the Company consisted of the executive director (the Chief Executive Officer), non-executive directors, and other members of senior executive management (the Chief Financial Officer, the General Counsel, the Chief Portfolio Management and Pipeline Strategy, Chief Business Officer, Chief Scientific Officer and the Chief Patient Access and Commercial Planning).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auto"/>
        </w:rPr>
        <w:t>Employee Benefit Trust</w:t>
      </w:r>
    </w:p>
    <w:p>
      <w:pPr>
        <w:spacing w:after="0" w:line="98" w:lineRule="exact"/>
        <w:rPr>
          <w:sz w:val="20"/>
          <w:szCs w:val="20"/>
          <w:color w:val="auto"/>
        </w:rPr>
      </w:pPr>
    </w:p>
    <w:p>
      <w:pPr>
        <w:ind w:left="120" w:right="580" w:firstLine="551"/>
        <w:spacing w:after="0" w:line="250" w:lineRule="auto"/>
        <w:rPr>
          <w:sz w:val="20"/>
          <w:szCs w:val="20"/>
          <w:color w:val="auto"/>
        </w:rPr>
      </w:pPr>
      <w:r>
        <w:rPr>
          <w:rFonts w:ascii="Arial" w:cs="Arial" w:eastAsia="Arial" w:hAnsi="Arial"/>
          <w:sz w:val="22"/>
          <w:szCs w:val="22"/>
          <w:color w:val="auto"/>
        </w:rPr>
        <w:t>In 2016 the Company set up an Employee Benefit Trust (“EBT”). The EBT holds ADS’s to satisfy the exercise of options under the Company’s share-based incentive schemes (Note 26).</w:t>
      </w:r>
    </w:p>
    <w:p>
      <w:pPr>
        <w:spacing w:after="0" w:line="134" w:lineRule="exact"/>
        <w:rPr>
          <w:sz w:val="20"/>
          <w:szCs w:val="20"/>
          <w:color w:val="auto"/>
        </w:rPr>
      </w:pPr>
    </w:p>
    <w:p>
      <w:pPr>
        <w:ind w:left="120" w:firstLine="551"/>
        <w:spacing w:after="0" w:line="236" w:lineRule="auto"/>
        <w:rPr>
          <w:sz w:val="20"/>
          <w:szCs w:val="20"/>
          <w:color w:val="auto"/>
        </w:rPr>
      </w:pPr>
      <w:r>
        <w:rPr>
          <w:rFonts w:ascii="Arial" w:cs="Arial" w:eastAsia="Arial" w:hAnsi="Arial"/>
          <w:sz w:val="22"/>
          <w:szCs w:val="22"/>
          <w:color w:val="auto"/>
        </w:rPr>
        <w:t>No funding was loaned to the EBT by the Company during the year ended December 31, 2021 (2020: nil). During the year ended December 31, 2021, no ordinary shares were purchased by the EBT (2020: 7). A total of 31,205 ADSs (2020: nil) held by the EBT were used in the year-ended December 31, 2021 to satisfy the exercise of options under the Company’s share-based incentive schemes. As of December 31, 2021, the EBT holds 216,251 ADSs (2020: 247,456) along with £17,866 in cash (2020: £21,762).</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F-42</w:t>
      </w:r>
    </w:p>
    <w:p>
      <w:pPr>
        <w:sectPr>
          <w:pgSz w:w="11900" w:h="16838" w:orient="portrait"/>
          <w:cols w:equalWidth="0" w:num="1">
            <w:col w:w="11080"/>
          </w:cols>
          <w:pgMar w:left="320" w:top="486" w:right="499" w:bottom="472"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MEREO BIOPHARMA GROUP PLC</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NOTES TO THE CONSOLIDATED FINANCIAL STATEMENTS</w:t>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28. Events after the reporting period</w:t>
      </w:r>
    </w:p>
    <w:p>
      <w:pPr>
        <w:spacing w:after="0" w:line="114" w:lineRule="exact"/>
        <w:rPr>
          <w:sz w:val="20"/>
          <w:szCs w:val="20"/>
          <w:color w:val="auto"/>
        </w:rPr>
      </w:pPr>
    </w:p>
    <w:p>
      <w:pPr>
        <w:jc w:val="both"/>
        <w:ind w:left="120" w:firstLine="551"/>
        <w:spacing w:after="0" w:line="316" w:lineRule="auto"/>
        <w:rPr>
          <w:sz w:val="20"/>
          <w:szCs w:val="20"/>
          <w:color w:val="auto"/>
        </w:rPr>
      </w:pPr>
      <w:r>
        <w:rPr>
          <w:rFonts w:ascii="Arial" w:cs="Arial" w:eastAsia="Arial" w:hAnsi="Arial"/>
          <w:sz w:val="18"/>
          <w:szCs w:val="18"/>
          <w:color w:val="auto"/>
        </w:rPr>
        <w:t>In February 2022, the Company received a milestone payment of $2.0 million under the Navi License Agreement with OncXerna which resulted in a payment to CVR holders of a total of approximately $0.9 million, after deductions of costs, charges and expenditures.</w:t>
      </w:r>
    </w:p>
    <w:p>
      <w:pPr>
        <w:spacing w:after="0" w:line="58"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F-43</w:t>
      </w:r>
    </w:p>
    <w:p>
      <w:pPr>
        <w:sectPr>
          <w:pgSz w:w="11900" w:h="16838" w:orient="portrait"/>
          <w:cols w:equalWidth="0" w:num="1">
            <w:col w:w="10980"/>
          </w:cols>
          <w:pgMar w:left="320" w:top="486" w:right="59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4.17</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PRIVATE AND CONFIDENTIAL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w:t>
      </w:r>
      <w:r>
        <w:rPr>
          <w:rFonts w:ascii="Arial" w:cs="Arial" w:eastAsia="Arial" w:hAnsi="Arial"/>
          <w:sz w:val="18"/>
          <w:szCs w:val="18"/>
          <w:i w:val="1"/>
          <w:iCs w:val="1"/>
          <w:color w:val="auto"/>
        </w:rPr>
        <w:t>name</w:t>
      </w:r>
      <w:r>
        <w:rPr>
          <w:rFonts w:ascii="Arial" w:cs="Arial" w:eastAsia="Arial" w:hAnsi="Arial"/>
          <w:sz w:val="18"/>
          <w:szCs w:val="18"/>
          <w:color w:val="auto"/>
        </w:rPr>
        <w: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Restated Letter of Appointment</w:t>
      </w:r>
    </w:p>
    <w:p>
      <w:pPr>
        <w:spacing w:after="0" w:line="117" w:lineRule="exact"/>
        <w:rPr>
          <w:sz w:val="20"/>
          <w:szCs w:val="20"/>
          <w:color w:val="auto"/>
        </w:rPr>
      </w:pPr>
    </w:p>
    <w:p>
      <w:pPr>
        <w:ind w:left="4" w:right="200"/>
        <w:spacing w:after="0" w:line="347" w:lineRule="auto"/>
        <w:rPr>
          <w:sz w:val="20"/>
          <w:szCs w:val="20"/>
          <w:color w:val="auto"/>
        </w:rPr>
      </w:pPr>
      <w:r>
        <w:rPr>
          <w:rFonts w:ascii="Arial" w:cs="Arial" w:eastAsia="Arial" w:hAnsi="Arial"/>
          <w:sz w:val="16"/>
          <w:szCs w:val="16"/>
          <w:color w:val="auto"/>
        </w:rPr>
        <w:t>The Board of Directors (</w:t>
      </w:r>
      <w:r>
        <w:rPr>
          <w:rFonts w:ascii="Arial" w:cs="Arial" w:eastAsia="Arial" w:hAnsi="Arial"/>
          <w:sz w:val="16"/>
          <w:szCs w:val="16"/>
          <w:b w:val="1"/>
          <w:bCs w:val="1"/>
          <w:color w:val="auto"/>
        </w:rPr>
        <w:t>Board</w:t>
      </w:r>
      <w:r>
        <w:rPr>
          <w:rFonts w:ascii="Arial" w:cs="Arial" w:eastAsia="Arial" w:hAnsi="Arial"/>
          <w:sz w:val="16"/>
          <w:szCs w:val="16"/>
          <w:color w:val="auto"/>
        </w:rPr>
        <w:t>) of Mereo BioPharma Group plc (</w:t>
      </w:r>
      <w:r>
        <w:rPr>
          <w:rFonts w:ascii="Arial" w:cs="Arial" w:eastAsia="Arial" w:hAnsi="Arial"/>
          <w:sz w:val="16"/>
          <w:szCs w:val="16"/>
          <w:b w:val="1"/>
          <w:bCs w:val="1"/>
          <w:color w:val="auto"/>
        </w:rPr>
        <w:t>Company</w:t>
      </w:r>
      <w:r>
        <w:rPr>
          <w:rFonts w:ascii="Arial" w:cs="Arial" w:eastAsia="Arial" w:hAnsi="Arial"/>
          <w:sz w:val="16"/>
          <w:szCs w:val="16"/>
          <w:color w:val="auto"/>
        </w:rPr>
        <w:t>) is pleased to confirm your appointment as an independent non-executive [director][chairman] effective as of [</w:t>
      </w:r>
      <w:r>
        <w:rPr>
          <w:rFonts w:ascii="Arial" w:cs="Arial" w:eastAsia="Arial" w:hAnsi="Arial"/>
          <w:sz w:val="16"/>
          <w:szCs w:val="16"/>
          <w:i w:val="1"/>
          <w:iCs w:val="1"/>
          <w:color w:val="auto"/>
        </w:rPr>
        <w:t>date</w:t>
      </w:r>
      <w:r>
        <w:rPr>
          <w:rFonts w:ascii="Arial" w:cs="Arial" w:eastAsia="Arial" w:hAnsi="Arial"/>
          <w:sz w:val="16"/>
          <w:szCs w:val="16"/>
          <w:color w:val="auto"/>
        </w:rPr>
        <w:t>] (</w:t>
      </w:r>
      <w:r>
        <w:rPr>
          <w:rFonts w:ascii="Arial" w:cs="Arial" w:eastAsia="Arial" w:hAnsi="Arial"/>
          <w:sz w:val="16"/>
          <w:szCs w:val="16"/>
          <w:b w:val="1"/>
          <w:bCs w:val="1"/>
          <w:color w:val="auto"/>
        </w:rPr>
        <w:t>Effective Date</w:t>
      </w:r>
      <w:r>
        <w:rPr>
          <w:rFonts w:ascii="Arial" w:cs="Arial" w:eastAsia="Arial" w:hAnsi="Arial"/>
          <w:sz w:val="16"/>
          <w:szCs w:val="16"/>
          <w:color w:val="auto"/>
        </w:rPr>
        <w:t>). Your restated terms pursuant to this letter will become effective on the Effective Date.</w:t>
      </w:r>
    </w:p>
    <w:p>
      <w:pPr>
        <w:spacing w:after="0" w:line="12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This letter sets out the main terms of your appointment from the Effective Date. By accepting this appointment, you agree that this letter is a contract for services and is not a contract of employment and you confirm that you are not subject to any restrictions which prevent you from holding office as a director of the Company.</w:t>
      </w:r>
    </w:p>
    <w:p>
      <w:pPr>
        <w:spacing w:after="0" w:line="328" w:lineRule="exact"/>
        <w:rPr>
          <w:sz w:val="20"/>
          <w:szCs w:val="20"/>
          <w:color w:val="auto"/>
        </w:rPr>
      </w:pPr>
    </w:p>
    <w:p>
      <w:pPr>
        <w:ind w:left="544" w:hanging="544"/>
        <w:spacing w:after="0"/>
        <w:tabs>
          <w:tab w:leader="none" w:pos="54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35"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You shall be paid an annual fee of £[ ] gross, which shall be paid in equal instalments monthly in arrears through the payroll after deduction of any taxes and other amounts that are required by law. This fee covers all duties but does not include fees for service on any Board committee and any Boards of the Company’s subsidiaries which will be notified to you separately in writing.</w:t>
      </w:r>
    </w:p>
    <w:p>
      <w:pPr>
        <w:spacing w:after="0" w:line="89"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including travel and sundry expenses, in accordance with the Company’s expense reimbursement policies.</w:t>
      </w:r>
    </w:p>
    <w:p>
      <w:pPr>
        <w:spacing w:after="0" w:line="76" w:lineRule="exact"/>
        <w:rPr>
          <w:sz w:val="20"/>
          <w:szCs w:val="20"/>
          <w:color w:val="auto"/>
        </w:rPr>
      </w:pPr>
    </w:p>
    <w:p>
      <w:pPr>
        <w:ind w:left="544" w:right="620" w:hanging="539"/>
        <w:spacing w:after="0" w:line="277"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15" w:lineRule="exact"/>
        <w:rPr>
          <w:sz w:val="20"/>
          <w:szCs w:val="20"/>
          <w:color w:val="auto"/>
        </w:rPr>
      </w:pPr>
    </w:p>
    <w:p>
      <w:pPr>
        <w:ind w:left="544" w:hanging="544"/>
        <w:spacing w:after="0"/>
        <w:tabs>
          <w:tab w:leader="none" w:pos="54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UTIES</w:t>
      </w:r>
    </w:p>
    <w:p>
      <w:pPr>
        <w:spacing w:after="0" w:line="135" w:lineRule="exact"/>
        <w:rPr>
          <w:sz w:val="20"/>
          <w:szCs w:val="20"/>
          <w:color w:val="auto"/>
        </w:rPr>
      </w:pPr>
    </w:p>
    <w:p>
      <w:pPr>
        <w:jc w:val="center"/>
        <w:ind w:right="136"/>
        <w:spacing w:after="0" w:line="342" w:lineRule="auto"/>
        <w:rPr>
          <w:sz w:val="20"/>
          <w:szCs w:val="20"/>
          <w:color w:val="auto"/>
        </w:rPr>
      </w:pPr>
      <w:r>
        <w:rPr>
          <w:rFonts w:ascii="Arial" w:cs="Arial" w:eastAsia="Arial" w:hAnsi="Arial"/>
          <w:sz w:val="16"/>
          <w:szCs w:val="16"/>
          <w:color w:val="auto"/>
        </w:rPr>
        <w:t>2.1    The Board as a whole is collectively responsible for the success of the Company. Subject to and without limitation on the Company’s articles of incorporation, bylaws and any charter or similar authorisation to the Board or any committee of the Board, the Board’s role is to seek to:</w:t>
      </w:r>
    </w:p>
    <w:p>
      <w:pPr>
        <w:spacing w:after="0" w:line="29" w:lineRule="exact"/>
        <w:rPr>
          <w:sz w:val="20"/>
          <w:szCs w:val="20"/>
          <w:color w:val="auto"/>
        </w:rPr>
      </w:pPr>
    </w:p>
    <w:p>
      <w:pPr>
        <w:ind w:left="1184" w:hanging="644"/>
        <w:spacing w:after="0"/>
        <w:tabs>
          <w:tab w:leader="none" w:pos="118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promote the long-term sustainable success of the Company, generating value for shareholders and contributing to wider society;</w:t>
      </w:r>
    </w:p>
    <w:p>
      <w:pPr>
        <w:spacing w:after="0" w:line="142" w:lineRule="exact"/>
        <w:rPr>
          <w:rFonts w:ascii="Arial" w:cs="Arial" w:eastAsia="Arial" w:hAnsi="Arial"/>
          <w:sz w:val="17"/>
          <w:szCs w:val="17"/>
          <w:color w:val="auto"/>
        </w:rPr>
      </w:pPr>
    </w:p>
    <w:p>
      <w:pPr>
        <w:ind w:left="1184" w:hanging="644"/>
        <w:spacing w:after="0"/>
        <w:tabs>
          <w:tab w:leader="none" w:pos="118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act with integrity;</w:t>
      </w:r>
    </w:p>
    <w:p>
      <w:pPr>
        <w:sectPr>
          <w:pgSz w:w="11900" w:h="16838" w:orient="portrait"/>
          <w:cols w:equalWidth="0" w:num="1">
            <w:col w:w="11024"/>
          </w:cols>
          <w:pgMar w:left="436" w:top="121" w:right="439" w:bottom="1440" w:gutter="0" w:footer="0" w:header="0"/>
        </w:sectPr>
      </w:pPr>
    </w:p>
    <w:bookmarkStart w:id="227" w:name="page228"/>
    <w:bookmarkEnd w:id="227"/>
    <w:p>
      <w:pPr>
        <w:ind w:left="1184" w:hanging="644"/>
        <w:spacing w:after="0"/>
        <w:tabs>
          <w:tab w:leader="none" w:pos="1184" w:val="left"/>
        </w:tabs>
        <w:numPr>
          <w:ilvl w:val="0"/>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ensure that the necessary resources are in place for the Company to meet its objectives, and measure performance against them;</w:t>
      </w:r>
    </w:p>
    <w:p>
      <w:pPr>
        <w:spacing w:after="0" w:line="142" w:lineRule="exact"/>
        <w:rPr>
          <w:rFonts w:ascii="Arial" w:cs="Arial" w:eastAsia="Arial" w:hAnsi="Arial"/>
          <w:sz w:val="17"/>
          <w:szCs w:val="17"/>
          <w:color w:val="auto"/>
        </w:rPr>
      </w:pPr>
    </w:p>
    <w:p>
      <w:pPr>
        <w:ind w:left="1184" w:hanging="644"/>
        <w:spacing w:after="0"/>
        <w:tabs>
          <w:tab w:leader="none" w:pos="11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establish a framework of prudent and effective controls, which enable risk to be assessed and managed;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ensure that policies and practices are consistent with the Company’s values and support its long-term sustainable success.</w:t>
      </w:r>
    </w:p>
    <w:p>
      <w:pPr>
        <w:spacing w:after="0" w:line="131" w:lineRule="exact"/>
        <w:rPr>
          <w:sz w:val="20"/>
          <w:szCs w:val="20"/>
          <w:color w:val="auto"/>
        </w:rPr>
      </w:pPr>
    </w:p>
    <w:p>
      <w:pPr>
        <w:jc w:val="both"/>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9"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You shall exercise your powers in your role as a non-executive director having regard to relevant obligations under prevailing law and regulation, including the Companies Act 2006 and, where applicable, the Market Abuse Regulation (596/2014/EU), the rules of the Securities and Exchange Commission, the Nasdaq Stock Market and Delaware General Corporation Law.</w:t>
      </w:r>
    </w:p>
    <w:p>
      <w:pPr>
        <w:spacing w:after="0" w:line="89" w:lineRule="exact"/>
        <w:rPr>
          <w:sz w:val="20"/>
          <w:szCs w:val="20"/>
          <w:color w:val="auto"/>
        </w:rPr>
      </w:pPr>
    </w:p>
    <w:p>
      <w:pPr>
        <w:ind w:left="544" w:right="160" w:hanging="539"/>
        <w:spacing w:after="0" w:line="311" w:lineRule="auto"/>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You shall have particular regard to the general duties of directors in Part 10 of the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54" w:lineRule="exact"/>
        <w:rPr>
          <w:sz w:val="20"/>
          <w:szCs w:val="20"/>
          <w:color w:val="auto"/>
        </w:rPr>
      </w:pPr>
    </w:p>
    <w:p>
      <w:pPr>
        <w:ind w:left="1184" w:hanging="644"/>
        <w:spacing w:after="0"/>
        <w:tabs>
          <w:tab w:leader="none" w:pos="11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131" w:lineRule="exact"/>
        <w:rPr>
          <w:sz w:val="20"/>
          <w:szCs w:val="20"/>
          <w:color w:val="auto"/>
        </w:rPr>
      </w:pPr>
    </w:p>
    <w:p>
      <w:pPr>
        <w:ind w:left="544" w:right="420" w:hanging="539"/>
        <w:spacing w:after="0" w:line="308" w:lineRule="auto"/>
        <w:tabs>
          <w:tab w:leader="none" w:pos="52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If and when applicable, you shall have particular regard to the Nasdaq’s Listed Company Rules and the Delaware General Corporation Law provisions applicable to the board of directors and committees thereof and their respective members and advisers.</w:t>
      </w:r>
    </w:p>
    <w:p>
      <w:pPr>
        <w:spacing w:after="0" w:line="38" w:lineRule="exact"/>
        <w:rPr>
          <w:sz w:val="20"/>
          <w:szCs w:val="20"/>
          <w:color w:val="auto"/>
        </w:rPr>
      </w:pPr>
    </w:p>
    <w:p>
      <w:pPr>
        <w:ind w:left="4" w:right="20" w:hanging="4"/>
        <w:spacing w:after="0" w:line="277" w:lineRule="auto"/>
        <w:tabs>
          <w:tab w:leader="none" w:pos="1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[In addition to the general legal responsibilities to the Company as any other director, in your role as chairman, you should seek to fulfil the following list of responsibilities:</w:t>
      </w:r>
    </w:p>
    <w:p>
      <w:pPr>
        <w:spacing w:after="0" w:line="75" w:lineRule="exact"/>
        <w:rPr>
          <w:rFonts w:ascii="Arial" w:cs="Arial" w:eastAsia="Arial" w:hAnsi="Arial"/>
          <w:sz w:val="18"/>
          <w:szCs w:val="18"/>
          <w:color w:val="auto"/>
        </w:rPr>
      </w:pPr>
    </w:p>
    <w:p>
      <w:pPr>
        <w:ind w:left="1184" w:right="20" w:hanging="644"/>
        <w:spacing w:after="0" w:line="277" w:lineRule="auto"/>
        <w:tabs>
          <w:tab w:leader="none" w:pos="118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chair the Board and general meetings of the Company and relevant committees of the Board and relevant Board and general meetings of any subsidiaries of the Company;</w:t>
      </w:r>
    </w:p>
    <w:p>
      <w:pPr>
        <w:sectPr>
          <w:pgSz w:w="11900" w:h="16838" w:orient="portrait"/>
          <w:cols w:equalWidth="0" w:num="1">
            <w:col w:w="11024"/>
          </w:cols>
          <w:pgMar w:left="436" w:top="274" w:right="439" w:bottom="1440" w:gutter="0" w:footer="0" w:header="0"/>
        </w:sectPr>
      </w:pPr>
    </w:p>
    <w:bookmarkStart w:id="228" w:name="page229"/>
    <w:bookmarkEnd w:id="228"/>
    <w:p>
      <w:pPr>
        <w:ind w:left="644" w:right="140" w:hanging="644"/>
        <w:spacing w:after="0" w:line="263" w:lineRule="auto"/>
        <w:tabs>
          <w:tab w:leader="none" w:pos="644"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consultation with the Chief Executive, set the Board’s agenda (primarily focused on strategy, performance, value creation and accountability) and strive to ensure that issues relevant to these areas are reserved for board decision and adequate time is available for discussion of all agenda items, in particular strategic issues;</w:t>
      </w:r>
    </w:p>
    <w:p>
      <w:pPr>
        <w:sectPr>
          <w:pgSz w:w="11900" w:h="16838" w:orient="portrait"/>
          <w:cols w:equalWidth="0" w:num="1">
            <w:col w:w="10484"/>
          </w:cols>
          <w:pgMar w:left="976" w:top="274" w:right="439" w:bottom="1440" w:gutter="0" w:footer="0" w:header="0"/>
        </w:sectPr>
      </w:pPr>
    </w:p>
    <w:p>
      <w:pPr>
        <w:spacing w:after="0" w:line="89" w:lineRule="exact"/>
        <w:rPr>
          <w:sz w:val="20"/>
          <w:szCs w:val="20"/>
          <w:color w:val="auto"/>
        </w:rPr>
      </w:pPr>
    </w:p>
    <w:p>
      <w:pPr>
        <w:ind w:left="644" w:hanging="639"/>
        <w:spacing w:after="0" w:line="277" w:lineRule="auto"/>
        <w:tabs>
          <w:tab w:leader="none" w:pos="624"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create the conditions for overall board and individual director effectiveness, s of Board discussions;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etting clear expectations concerning the style and tone</w:t>
      </w:r>
    </w:p>
    <w:p>
      <w:pPr>
        <w:spacing w:after="0" w:line="369" w:lineRule="exact"/>
        <w:rPr>
          <w:sz w:val="20"/>
          <w:szCs w:val="20"/>
          <w:color w:val="auto"/>
        </w:rPr>
      </w:pPr>
    </w:p>
    <w:p>
      <w:pPr>
        <w:sectPr>
          <w:pgSz w:w="11900" w:h="16838" w:orient="portrait"/>
          <w:cols w:equalWidth="0" w:num="2">
            <w:col w:w="6224" w:space="180"/>
            <w:col w:w="4080"/>
          </w:cols>
          <w:pgMar w:left="976" w:top="274" w:right="439" w:bottom="1440" w:gutter="0" w:footer="0" w:header="0"/>
          <w:type w:val="continuous"/>
        </w:sectPr>
      </w:pPr>
    </w:p>
    <w:p>
      <w:pPr>
        <w:ind w:left="644" w:right="16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the Board determines the nature and extent of the significant risks that the Company is willing to embrace in implementing its strategy;</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the Board has effective decision-making processes and applies sufficient challenge to major proposals;</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all directors are aware of their responsibilities and are able to discharge their statutory duties;</w:t>
      </w:r>
    </w:p>
    <w:p>
      <w:pPr>
        <w:spacing w:after="0" w:line="130" w:lineRule="exact"/>
        <w:rPr>
          <w:rFonts w:ascii="Arial" w:cs="Arial" w:eastAsia="Arial" w:hAnsi="Arial"/>
          <w:sz w:val="18"/>
          <w:szCs w:val="18"/>
          <w:color w:val="auto"/>
        </w:rPr>
      </w:pPr>
    </w:p>
    <w:p>
      <w:pPr>
        <w:ind w:left="644" w:right="90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Board committees are properly structured with appropriate terms of reference and that committee membership is periodically refreshed;</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encourage all Board members to engage in Board and committee meetings by drawing on their skills, experience and knowledge;</w:t>
      </w:r>
    </w:p>
    <w:p>
      <w:pPr>
        <w:spacing w:after="0" w:line="142" w:lineRule="exact"/>
        <w:rPr>
          <w:rFonts w:ascii="Arial" w:cs="Arial" w:eastAsia="Arial" w:hAnsi="Arial"/>
          <w:sz w:val="17"/>
          <w:szCs w:val="17"/>
          <w:color w:val="auto"/>
        </w:rPr>
      </w:pPr>
    </w:p>
    <w:p>
      <w:pPr>
        <w:ind w:left="644" w:right="2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sufficient time is allowed at the board for committees to report on the nature and content of discussion, on recommendations, and on actions to be taken;</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hold meetings with the non-executive directors without the executives present to facilitate a full and frank airing of views;</w:t>
      </w:r>
    </w:p>
    <w:p>
      <w:pPr>
        <w:spacing w:after="0" w:line="130" w:lineRule="exact"/>
        <w:rPr>
          <w:rFonts w:ascii="Arial" w:cs="Arial" w:eastAsia="Arial" w:hAnsi="Arial"/>
          <w:sz w:val="18"/>
          <w:szCs w:val="18"/>
          <w:color w:val="auto"/>
        </w:rPr>
      </w:pPr>
    </w:p>
    <w:p>
      <w:pPr>
        <w:ind w:left="644" w:right="34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develop productive working relationships with all executive directors and the chief executive to gain a detailed understanding of the business;</w:t>
      </w:r>
    </w:p>
    <w:p>
      <w:pPr>
        <w:spacing w:after="0" w:line="75" w:lineRule="exact"/>
        <w:rPr>
          <w:rFonts w:ascii="Arial" w:cs="Arial" w:eastAsia="Arial" w:hAnsi="Arial"/>
          <w:sz w:val="18"/>
          <w:szCs w:val="18"/>
          <w:color w:val="auto"/>
        </w:rPr>
      </w:pPr>
    </w:p>
    <w:p>
      <w:pPr>
        <w:ind w:left="644" w:right="70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demonstrate ethical leadership and promote the highest standards of integrity, probity and corporate governance throughout the Company and particularly at Board level;</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the Board receives accurate, timely and clear information;</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demonstrate objective judgement and facilitate constructive board relations and the effective contribution of all non-executive directors;</w:t>
      </w:r>
    </w:p>
    <w:p>
      <w:pPr>
        <w:spacing w:after="0" w:line="153" w:lineRule="exact"/>
        <w:rPr>
          <w:rFonts w:ascii="Arial" w:cs="Arial" w:eastAsia="Arial" w:hAnsi="Arial"/>
          <w:sz w:val="16"/>
          <w:szCs w:val="16"/>
          <w:color w:val="auto"/>
        </w:rPr>
      </w:pPr>
    </w:p>
    <w:p>
      <w:pPr>
        <w:ind w:left="644" w:hanging="644"/>
        <w:spacing w:after="0"/>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the new directors participate in a full, formal and tailored induction programme;</w:t>
      </w:r>
    </w:p>
    <w:p>
      <w:pPr>
        <w:spacing w:after="0" w:line="130" w:lineRule="exact"/>
        <w:rPr>
          <w:rFonts w:ascii="Arial" w:cs="Arial" w:eastAsia="Arial" w:hAnsi="Arial"/>
          <w:sz w:val="18"/>
          <w:szCs w:val="18"/>
          <w:color w:val="auto"/>
        </w:rPr>
      </w:pPr>
    </w:p>
    <w:p>
      <w:pPr>
        <w:ind w:left="644" w:right="30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ensure that the performance of the Board, its committees and individual directors is evaluated at least once a year, select an effective approach and act on the results of such evaluation; and</w:t>
      </w:r>
    </w:p>
    <w:p>
      <w:pPr>
        <w:spacing w:after="0" w:line="75" w:lineRule="exact"/>
        <w:rPr>
          <w:rFonts w:ascii="Arial" w:cs="Arial" w:eastAsia="Arial" w:hAnsi="Arial"/>
          <w:sz w:val="18"/>
          <w:szCs w:val="18"/>
          <w:color w:val="auto"/>
        </w:rPr>
      </w:pPr>
    </w:p>
    <w:p>
      <w:pPr>
        <w:ind w:left="644" w:right="560" w:hanging="644"/>
        <w:spacing w:after="0" w:line="277"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periodically review, with the company secretary, whether the Board and Company’s governance processes are fit for purpose and consider any improvements and initiatives that could strengthen the governance.]</w:t>
      </w:r>
    </w:p>
    <w:p>
      <w:pPr>
        <w:spacing w:after="0" w:line="76" w:lineRule="exact"/>
        <w:rPr>
          <w:sz w:val="20"/>
          <w:szCs w:val="20"/>
          <w:color w:val="auto"/>
        </w:rPr>
      </w:pPr>
    </w:p>
    <w:p>
      <w:pPr>
        <w:ind w:left="4" w:hanging="539"/>
        <w:spacing w:after="0" w:line="277" w:lineRule="auto"/>
        <w:rPr>
          <w:sz w:val="20"/>
          <w:szCs w:val="20"/>
          <w:color w:val="auto"/>
        </w:rPr>
      </w:pPr>
      <w:r>
        <w:rPr>
          <w:rFonts w:ascii="Arial" w:cs="Arial" w:eastAsia="Arial" w:hAnsi="Arial"/>
          <w:sz w:val="18"/>
          <w:szCs w:val="18"/>
          <w:color w:val="auto"/>
        </w:rPr>
        <w:t>2.6</w:t>
      </w:r>
      <w:r>
        <w:rPr>
          <w:sz w:val="20"/>
          <w:szCs w:val="20"/>
          <w:color w:val="auto"/>
        </w:rPr>
        <w:t xml:space="preserve"> </w:t>
      </w:r>
      <w:r>
        <w:rPr>
          <w:rFonts w:ascii="Arial" w:cs="Arial" w:eastAsia="Arial" w:hAnsi="Arial"/>
          <w:sz w:val="18"/>
          <w:szCs w:val="18"/>
          <w:color w:val="auto"/>
        </w:rPr>
        <w:t>In your role as a non-executive director, it is expected that you shall also be required to fulfil the following list of responsibilities, in the course of your good faith performance of services to the Company and in the exercise of your reasonable business judgment:</w:t>
      </w:r>
    </w:p>
    <w:p>
      <w:pPr>
        <w:spacing w:after="0" w:line="76" w:lineRule="exact"/>
        <w:rPr>
          <w:sz w:val="20"/>
          <w:szCs w:val="20"/>
          <w:color w:val="auto"/>
        </w:rPr>
      </w:pPr>
    </w:p>
    <w:p>
      <w:pPr>
        <w:ind w:left="644" w:right="220" w:hanging="644"/>
        <w:spacing w:after="0" w:line="277" w:lineRule="auto"/>
        <w:tabs>
          <w:tab w:leader="none" w:pos="6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provide constructive challenge, strategic guidance, offer specialist advice hold management to account and help develop proposals on strategy;</w:t>
      </w:r>
    </w:p>
    <w:p>
      <w:pPr>
        <w:sectPr>
          <w:pgSz w:w="11900" w:h="16838" w:orient="portrait"/>
          <w:cols w:equalWidth="0" w:num="1">
            <w:col w:w="10484"/>
          </w:cols>
          <w:pgMar w:left="976" w:top="274" w:right="439" w:bottom="1440" w:gutter="0" w:footer="0" w:header="0"/>
          <w:type w:val="continuous"/>
        </w:sectPr>
      </w:pPr>
    </w:p>
    <w:bookmarkStart w:id="229" w:name="page230"/>
    <w:bookmarkEnd w:id="229"/>
    <w:p>
      <w:pPr>
        <w:ind w:left="644" w:hanging="644"/>
        <w:spacing w:after="0"/>
        <w:tabs>
          <w:tab w:leader="none" w:pos="644" w:val="left"/>
        </w:tabs>
        <w:numPr>
          <w:ilvl w:val="0"/>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monitor the performance of senior management in meeting agreed goals and objectives and monitor the reporting of performance;</w:t>
      </w:r>
    </w:p>
    <w:p>
      <w:pPr>
        <w:spacing w:after="0" w:line="142" w:lineRule="exact"/>
        <w:rPr>
          <w:rFonts w:ascii="Arial" w:cs="Arial" w:eastAsia="Arial" w:hAnsi="Arial"/>
          <w:sz w:val="17"/>
          <w:szCs w:val="17"/>
          <w:color w:val="auto"/>
        </w:rPr>
      </w:pPr>
    </w:p>
    <w:p>
      <w:pPr>
        <w:ind w:left="644" w:right="420" w:hanging="644"/>
        <w:spacing w:after="0" w:line="277" w:lineRule="auto"/>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75"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644" w:right="380" w:hanging="644"/>
        <w:spacing w:after="0" w:line="277" w:lineRule="auto"/>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 and seek clarification or amplification if you consider the information provided is inadequate or lacks clarity;</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ind w:left="644" w:hanging="644"/>
        <w:spacing w:after="0" w:line="263" w:lineRule="auto"/>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89" w:lineRule="exact"/>
        <w:rPr>
          <w:rFonts w:ascii="Arial" w:cs="Arial" w:eastAsia="Arial" w:hAnsi="Arial"/>
          <w:sz w:val="18"/>
          <w:szCs w:val="18"/>
          <w:color w:val="auto"/>
        </w:rPr>
      </w:pPr>
    </w:p>
    <w:p>
      <w:pPr>
        <w:ind w:left="644" w:right="700" w:hanging="644"/>
        <w:spacing w:after="0" w:line="277" w:lineRule="auto"/>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immediately report your own wrongdoing or the wrongdoing or proposed wrongdoing of any employee or other director of the Company of which you become aware to the Chair of the Audit Committee;</w:t>
      </w:r>
    </w:p>
    <w:p>
      <w:pPr>
        <w:spacing w:after="0" w:line="75" w:lineRule="exact"/>
        <w:rPr>
          <w:rFonts w:ascii="Arial" w:cs="Arial" w:eastAsia="Arial" w:hAnsi="Arial"/>
          <w:sz w:val="18"/>
          <w:szCs w:val="18"/>
          <w:color w:val="auto"/>
        </w:rPr>
      </w:pPr>
    </w:p>
    <w:p>
      <w:pPr>
        <w:ind w:left="644" w:hanging="644"/>
        <w:spacing w:after="0"/>
        <w:tabs>
          <w:tab w:leader="none" w:pos="64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exercise your powers as a director in accordance with the Company’s policies and procedures and the Bribery Act 2010; and</w:t>
      </w:r>
    </w:p>
    <w:p>
      <w:pPr>
        <w:spacing w:after="0" w:line="142" w:lineRule="exact"/>
        <w:rPr>
          <w:rFonts w:ascii="Arial" w:cs="Arial" w:eastAsia="Arial" w:hAnsi="Arial"/>
          <w:sz w:val="17"/>
          <w:szCs w:val="17"/>
          <w:color w:val="auto"/>
        </w:rPr>
      </w:pPr>
    </w:p>
    <w:p>
      <w:pPr>
        <w:ind w:left="644" w:hanging="644"/>
        <w:spacing w:after="0"/>
        <w:tabs>
          <w:tab w:leader="none" w:pos="6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4" w:right="80" w:hanging="539"/>
        <w:spacing w:after="0" w:line="277" w:lineRule="auto"/>
        <w:rPr>
          <w:sz w:val="20"/>
          <w:szCs w:val="20"/>
          <w:color w:val="auto"/>
        </w:rPr>
      </w:pPr>
      <w:r>
        <w:rPr>
          <w:rFonts w:ascii="Arial" w:cs="Arial" w:eastAsia="Arial" w:hAnsi="Arial"/>
          <w:sz w:val="18"/>
          <w:szCs w:val="18"/>
          <w:color w:val="auto"/>
        </w:rPr>
        <w:t>2.7</w:t>
      </w:r>
      <w:r>
        <w:rPr>
          <w:sz w:val="20"/>
          <w:szCs w:val="20"/>
          <w:color w:val="auto"/>
        </w:rPr>
        <w:t xml:space="preserve"> </w:t>
      </w:r>
      <w:r>
        <w:rPr>
          <w:rFonts w:ascii="Arial" w:cs="Arial" w:eastAsia="Arial" w:hAnsi="Arial"/>
          <w:sz w:val="18"/>
          <w:szCs w:val="18"/>
          <w:color w:val="auto"/>
        </w:rPr>
        <w:t>Unless the Board specifically authorises you to do so, you shall not enter into any legal or other commitment or contract on behalf of or with the Company.</w:t>
      </w:r>
    </w:p>
    <w:p>
      <w:pPr>
        <w:spacing w:after="0" w:line="76" w:lineRule="exact"/>
        <w:rPr>
          <w:sz w:val="20"/>
          <w:szCs w:val="20"/>
          <w:color w:val="auto"/>
        </w:rPr>
      </w:pPr>
    </w:p>
    <w:p>
      <w:pPr>
        <w:ind w:left="4" w:right="180" w:hanging="539"/>
        <w:spacing w:after="0" w:line="277" w:lineRule="auto"/>
        <w:rPr>
          <w:sz w:val="20"/>
          <w:szCs w:val="20"/>
          <w:color w:val="auto"/>
        </w:rPr>
      </w:pPr>
      <w:r>
        <w:rPr>
          <w:rFonts w:ascii="Arial" w:cs="Arial" w:eastAsia="Arial" w:hAnsi="Arial"/>
          <w:sz w:val="18"/>
          <w:szCs w:val="18"/>
          <w:color w:val="auto"/>
        </w:rPr>
        <w:t>2.8</w:t>
      </w:r>
      <w:r>
        <w:rPr>
          <w:sz w:val="20"/>
          <w:szCs w:val="20"/>
          <w:color w:val="auto"/>
        </w:rPr>
        <w:t xml:space="preserve"> </w:t>
      </w:r>
      <w:r>
        <w:rPr>
          <w:rFonts w:ascii="Arial" w:cs="Arial" w:eastAsia="Arial" w:hAnsi="Arial"/>
          <w:sz w:val="18"/>
          <w:szCs w:val="18"/>
          <w:color w:val="auto"/>
        </w:rPr>
        <w:t>You shall be entitled to request all relevant information about the Company’s affairs as is reasonably necessary to enable you to discharge your duties.</w:t>
      </w:r>
    </w:p>
    <w:p>
      <w:pPr>
        <w:spacing w:after="0" w:line="76" w:lineRule="exact"/>
        <w:rPr>
          <w:sz w:val="20"/>
          <w:szCs w:val="20"/>
          <w:color w:val="auto"/>
        </w:rPr>
      </w:pPr>
    </w:p>
    <w:p>
      <w:pPr>
        <w:ind w:left="4" w:right="340" w:hanging="539"/>
        <w:spacing w:after="0" w:line="279" w:lineRule="auto"/>
        <w:rPr>
          <w:sz w:val="20"/>
          <w:szCs w:val="20"/>
          <w:color w:val="auto"/>
        </w:rPr>
      </w:pPr>
      <w:r>
        <w:rPr>
          <w:rFonts w:ascii="Arial" w:cs="Arial" w:eastAsia="Arial" w:hAnsi="Arial"/>
          <w:sz w:val="18"/>
          <w:szCs w:val="18"/>
          <w:color w:val="auto"/>
        </w:rPr>
        <w:t>2.9</w:t>
      </w:r>
      <w:r>
        <w:rPr>
          <w:sz w:val="20"/>
          <w:szCs w:val="20"/>
          <w:color w:val="auto"/>
        </w:rPr>
        <w:t xml:space="preserve"> </w:t>
      </w:r>
      <w:r>
        <w:rPr>
          <w:rFonts w:ascii="Arial" w:cs="Arial" w:eastAsia="Arial" w:hAnsi="Arial"/>
          <w:sz w:val="17"/>
          <w:szCs w:val="17"/>
          <w:color w:val="auto"/>
        </w:rPr>
        <w:t>If you are required to register yourself or your personal service company with HM Revenue and Customs as a “Trust or Company Service Provider” under the Money Laundering, Terrorist Financing and Transfer of Funds (Information on the Payer) Regulations 2017, you will be responsible for effecting such registration and for compliance with other requirements of the Money Laundering, Terrorist Financing and Transfer of Funds (Information on the Payer) Regulations 2017 and applicable legislation.</w:t>
      </w:r>
    </w:p>
    <w:p>
      <w:pPr>
        <w:spacing w:after="0" w:line="77" w:lineRule="exact"/>
        <w:rPr>
          <w:sz w:val="20"/>
          <w:szCs w:val="20"/>
          <w:color w:val="auto"/>
        </w:rPr>
      </w:pPr>
    </w:p>
    <w:p>
      <w:pPr>
        <w:ind w:left="4" w:right="100" w:hanging="539"/>
        <w:spacing w:after="0" w:line="259" w:lineRule="auto"/>
        <w:rPr>
          <w:sz w:val="20"/>
          <w:szCs w:val="20"/>
          <w:color w:val="auto"/>
        </w:rPr>
      </w:pPr>
      <w:r>
        <w:rPr>
          <w:rFonts w:ascii="Arial" w:cs="Arial" w:eastAsia="Arial" w:hAnsi="Arial"/>
          <w:sz w:val="18"/>
          <w:szCs w:val="18"/>
          <w:color w:val="auto"/>
        </w:rPr>
        <w:t>2.10</w:t>
      </w:r>
      <w:r>
        <w:rPr>
          <w:sz w:val="20"/>
          <w:szCs w:val="20"/>
          <w:color w:val="auto"/>
        </w:rPr>
        <w:t xml:space="preserve"> </w:t>
      </w:r>
      <w:r>
        <w:rPr>
          <w:rFonts w:ascii="Arial" w:cs="Arial" w:eastAsia="Arial" w:hAnsi="Arial"/>
          <w:sz w:val="18"/>
          <w:szCs w:val="18"/>
          <w:color w:val="auto"/>
        </w:rPr>
        <w:t>Notwithstanding anything to the contrary in this Article 2, you acknowledge and agree that in your capacity as director, you will have such duties, authorities and responsibilities and other obligations as provided under the Company’s articles of incorporation and bylaws and charter documents, in each case, as in effect from time to time, and you will act in compliance with the applicable rules and regulations promulgated by the SEC and Nasdaq.</w:t>
      </w:r>
    </w:p>
    <w:p>
      <w:pPr>
        <w:sectPr>
          <w:pgSz w:w="11900" w:h="16838" w:orient="portrait"/>
          <w:cols w:equalWidth="0" w:num="1">
            <w:col w:w="10464"/>
          </w:cols>
          <w:pgMar w:left="976" w:top="274" w:right="459" w:bottom="1440" w:gutter="0" w:footer="0" w:header="0"/>
        </w:sectPr>
      </w:pPr>
    </w:p>
    <w:bookmarkStart w:id="230" w:name="page231"/>
    <w:bookmarkEnd w:id="230"/>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2.11</w:t>
        <w:tab/>
        <w:t>You acknowledge and agree that in your capacity as director, you are acting solely as an independent contractor and not as an employee, legal representative or agent of the Company.</w:t>
      </w:r>
    </w:p>
    <w:p>
      <w:pPr>
        <w:spacing w:after="0" w:line="315" w:lineRule="exact"/>
        <w:rPr>
          <w:sz w:val="20"/>
          <w:szCs w:val="20"/>
          <w:color w:val="auto"/>
        </w:rPr>
      </w:pPr>
    </w:p>
    <w:p>
      <w:pPr>
        <w:ind w:left="544" w:hanging="544"/>
        <w:spacing w:after="0"/>
        <w:tabs>
          <w:tab w:leader="none" w:pos="54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ONFIDENTIALITY</w:t>
      </w:r>
    </w:p>
    <w:p>
      <w:pPr>
        <w:spacing w:after="0" w:line="135"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You acknowledge that all information acquired during your appointment is confidential to the Company and should not be released, communicated or disclosed to third parties or used for any reason other than in the interests of the Company, either during your appointment or following termination (by whatever means), without prior clearance from the Board (or a committee thereof). This restriction shall cease to apply to any confidential information which may (other than by reason of your breach) become available to the public generally.</w:t>
      </w:r>
    </w:p>
    <w:p>
      <w:pPr>
        <w:spacing w:after="0" w:line="63" w:lineRule="exact"/>
        <w:rPr>
          <w:sz w:val="20"/>
          <w:szCs w:val="20"/>
          <w:color w:val="auto"/>
        </w:rPr>
      </w:pPr>
    </w:p>
    <w:p>
      <w:pPr>
        <w:ind w:left="544" w:right="700" w:hanging="539"/>
        <w:spacing w:after="0" w:line="277"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You acknowledge the need to hold and retain Company information (in whatever format you may receive it) under appropriately secure conditions.</w:t>
      </w:r>
    </w:p>
    <w:p>
      <w:pPr>
        <w:spacing w:after="0" w:line="76" w:lineRule="exact"/>
        <w:rPr>
          <w:sz w:val="20"/>
          <w:szCs w:val="20"/>
          <w:color w:val="auto"/>
        </w:rPr>
      </w:pPr>
    </w:p>
    <w:p>
      <w:pPr>
        <w:jc w:val="both"/>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Nothing in this paragraph 3 shall prevent you from disclosing information which you are entitled to disclose under the Public Interest Disclosure Act 1998, provided that the disclosure is made in accordance with the provisions of that Act and you have complied with the Company’s policy from time to time in force regarding such disclosures.</w:t>
      </w:r>
    </w:p>
    <w:p>
      <w:pPr>
        <w:spacing w:after="0" w:line="89" w:lineRule="exact"/>
        <w:rPr>
          <w:sz w:val="20"/>
          <w:szCs w:val="20"/>
          <w:color w:val="auto"/>
        </w:rPr>
      </w:pP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Nothing in this Agreement shall be construed to prohibit you from reporting or disclosing information or reporting possible violations of federal or state law or regulations to any governmental agency or self-regulatory organisation with oversight responsibility for the Company, or making other disclosures that are protected under whistleblower or other provisions of any applicable federal or state law or regulations (it being understood that prior authorisation of the Company is not required to make any such reports or disclosures, and you are not required to notify the Company that you have made such reports or disclosures).</w:t>
      </w:r>
    </w:p>
    <w:p>
      <w:pPr>
        <w:spacing w:after="0" w:line="332" w:lineRule="exact"/>
        <w:rPr>
          <w:sz w:val="20"/>
          <w:szCs w:val="20"/>
          <w:color w:val="auto"/>
        </w:rPr>
      </w:pPr>
    </w:p>
    <w:p>
      <w:pPr>
        <w:ind w:left="544" w:hanging="544"/>
        <w:spacing w:after="0"/>
        <w:tabs>
          <w:tab w:leader="none" w:pos="54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IME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w:t>
      </w:r>
    </w:p>
    <w:p>
      <w:pPr>
        <w:spacing w:after="0" w:line="135" w:lineRule="exact"/>
        <w:rPr>
          <w:sz w:val="20"/>
          <w:szCs w:val="20"/>
          <w:color w:val="auto"/>
        </w:rPr>
      </w:pPr>
    </w:p>
    <w:p>
      <w:pPr>
        <w:ind w:left="544" w:right="60" w:hanging="539"/>
        <w:spacing w:after="0" w:line="311"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You will be expected to devote such time as is necessary for the proper performance of your duties. This will include attendance at Board meetings, Board committee meetings, the AGM, meetings with the other non-executive directors, meetings with shareholders, meetings forming part of the Board evaluation process and updating. In addition, you will be required to consider all relevant papers before each meeting.</w:t>
      </w:r>
    </w:p>
    <w:p>
      <w:pPr>
        <w:spacing w:after="0" w:line="54"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ectPr>
          <w:pgSz w:w="11900" w:h="16838" w:orient="portrait"/>
          <w:cols w:equalWidth="0" w:num="1">
            <w:col w:w="11004"/>
          </w:cols>
          <w:pgMar w:left="436" w:top="274" w:right="459" w:bottom="1440" w:gutter="0" w:footer="0" w:header="0"/>
        </w:sectPr>
      </w:pPr>
    </w:p>
    <w:bookmarkStart w:id="231" w:name="page232"/>
    <w:bookmarkEnd w:id="231"/>
    <w:p>
      <w:pPr>
        <w:jc w:val="both"/>
        <w:ind w:left="544" w:right="220" w:hanging="539"/>
        <w:spacing w:after="0" w:line="311"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w:t>
      </w:r>
      <w:r>
        <w:rPr>
          <w:sz w:val="20"/>
          <w:szCs w:val="20"/>
          <w:color w:val="auto"/>
        </w:rPr>
        <w:tab/>
      </w:r>
      <w:r>
        <w:rPr>
          <w:rFonts w:ascii="Arial" w:cs="Arial" w:eastAsia="Arial" w:hAnsi="Arial"/>
          <w:sz w:val="16"/>
          <w:szCs w:val="16"/>
          <w:color w:val="auto"/>
        </w:rPr>
        <w:t>The overall time commitment stated in paragraph 4.1 will increase if you become a committee member or chair, or if you are given additional responsibilities, such as being appointed as non-executive director on the boards of any of the Company’s subsidiaries. Details of the expected increase in time commitment will be covered in any relevant communication confirming the additional responsibility.</w:t>
      </w:r>
    </w:p>
    <w:p>
      <w:pPr>
        <w:spacing w:after="0" w:line="54" w:lineRule="exact"/>
        <w:rPr>
          <w:sz w:val="20"/>
          <w:szCs w:val="20"/>
          <w:color w:val="auto"/>
        </w:rPr>
      </w:pPr>
    </w:p>
    <w:p>
      <w:pPr>
        <w:ind w:left="544" w:right="240" w:hanging="539"/>
        <w:spacing w:after="0" w:line="259" w:lineRule="auto"/>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and the Nomination Committee before accepting additional commitments that might affect the time you are able to devote to your role as a non-executive director of the Company.</w:t>
      </w:r>
    </w:p>
    <w:p>
      <w:pPr>
        <w:spacing w:after="0" w:line="331" w:lineRule="exact"/>
        <w:rPr>
          <w:sz w:val="20"/>
          <w:szCs w:val="20"/>
          <w:color w:val="auto"/>
        </w:rPr>
      </w:pPr>
    </w:p>
    <w:p>
      <w:pPr>
        <w:ind w:left="544" w:hanging="544"/>
        <w:spacing w:after="0"/>
        <w:tabs>
          <w:tab w:leader="none" w:pos="54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PPOINTMENT</w:t>
      </w:r>
    </w:p>
    <w:p>
      <w:pPr>
        <w:spacing w:after="0" w:line="135" w:lineRule="exact"/>
        <w:rPr>
          <w:sz w:val="20"/>
          <w:szCs w:val="20"/>
          <w:color w:val="auto"/>
        </w:rPr>
      </w:pPr>
    </w:p>
    <w:p>
      <w:pPr>
        <w:ind w:left="544" w:right="80" w:hanging="539"/>
        <w:spacing w:after="0" w:line="286"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Subject to the provisions of this letter, including but not limited to clauses 5.2 and 5.4 below, your appointment shall be for a term of three years commencing on the Effective Date until the conclusion of the Company’s annual general meeting (</w:t>
      </w:r>
      <w:r>
        <w:rPr>
          <w:rFonts w:ascii="Arial" w:cs="Arial" w:eastAsia="Arial" w:hAnsi="Arial"/>
          <w:sz w:val="17"/>
          <w:szCs w:val="17"/>
          <w:b w:val="1"/>
          <w:bCs w:val="1"/>
          <w:color w:val="auto"/>
        </w:rPr>
        <w:t>AGM</w:t>
      </w:r>
      <w:r>
        <w:rPr>
          <w:rFonts w:ascii="Arial" w:cs="Arial" w:eastAsia="Arial" w:hAnsi="Arial"/>
          <w:sz w:val="17"/>
          <w:szCs w:val="17"/>
          <w:color w:val="auto"/>
        </w:rPr>
        <w:t>) occurring approximately three years from that date, unless terminated earlier by either party giving to the other three months’ prior written notice.</w:t>
      </w:r>
    </w:p>
    <w:p>
      <w:pPr>
        <w:spacing w:after="0" w:line="67" w:lineRule="exact"/>
        <w:rPr>
          <w:sz w:val="20"/>
          <w:szCs w:val="20"/>
          <w:color w:val="auto"/>
        </w:rPr>
      </w:pPr>
    </w:p>
    <w:p>
      <w:pPr>
        <w:ind w:left="544" w:right="60" w:hanging="539"/>
        <w:spacing w:after="0" w:line="289"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Your appointment is subject to the Company’s articles of association, as amended from time to time (</w:t>
      </w:r>
      <w:r>
        <w:rPr>
          <w:rFonts w:ascii="Arial" w:cs="Arial" w:eastAsia="Arial" w:hAnsi="Arial"/>
          <w:sz w:val="17"/>
          <w:szCs w:val="17"/>
          <w:b w:val="1"/>
          <w:bCs w:val="1"/>
          <w:color w:val="auto"/>
        </w:rPr>
        <w:t>Articles</w:t>
      </w:r>
      <w:r>
        <w:rPr>
          <w:rFonts w:ascii="Arial" w:cs="Arial" w:eastAsia="Arial" w:hAnsi="Arial"/>
          <w:sz w:val="17"/>
          <w:szCs w:val="17"/>
          <w:color w:val="auto"/>
        </w:rPr>
        <w:t>). Nothing in this letter shall be taken to exclude or vary the terms of the Articles as they apply to you as a director of the Company. Your appointment is subject to confirmation by the shareholders at the next AGM, and at any subsequent AGM as required by the Articles or as the Board resolves.</w:t>
      </w:r>
    </w:p>
    <w:p>
      <w:pPr>
        <w:spacing w:after="0" w:line="67" w:lineRule="exact"/>
        <w:rPr>
          <w:sz w:val="20"/>
          <w:szCs w:val="20"/>
          <w:color w:val="auto"/>
        </w:rPr>
      </w:pPr>
    </w:p>
    <w:p>
      <w:pPr>
        <w:jc w:val="both"/>
        <w:ind w:left="544" w:right="260" w:hanging="539"/>
        <w:spacing w:after="0" w:line="279"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Continuation of your appointment is contingent on your continued satisfactory performance and any relevant statutory provisions relating to removal of a director. If the shareholders do not re-elect you as a director, or you are retired from office under the Articles, your appointment shall terminate automatically, with immediate effect and without compensation , other than earned but unpaid fees and unreimbursed business expense reasonably incurred, and except as otherwise provided in any equity compensation plan or award.</w:t>
      </w:r>
    </w:p>
    <w:p>
      <w:pPr>
        <w:spacing w:after="0" w:line="77"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either annually or after any three-year period.</w:t>
      </w:r>
    </w:p>
    <w:p>
      <w:pPr>
        <w:spacing w:after="0" w:line="76"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You may be required to serve on one or more Board committees. You will be provided with the relevant terms of reference on your appointment to such a committee. You may be required to serve as a non-executive director on the board of any of the Company’s subsidiaries and will be provided with the relevant terms of reference on your appointment to such board(s). Except as otherwise determined by the Board or an authorised Board committee, you will not receive any additional compensation for service on any such Board committee or any subsidiary board.</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Notwithstanding paragraph 5.1 to paragraph 5.5, the Company may terminate your appointment with immediate effect if you have:</w:t>
      </w:r>
    </w:p>
    <w:p>
      <w:pPr>
        <w:sectPr>
          <w:pgSz w:w="11900" w:h="16838" w:orient="portrait"/>
          <w:cols w:equalWidth="0" w:num="1">
            <w:col w:w="11004"/>
          </w:cols>
          <w:pgMar w:left="436" w:top="274" w:right="459" w:bottom="1440" w:gutter="0" w:footer="0" w:header="0"/>
        </w:sectPr>
      </w:pPr>
    </w:p>
    <w:bookmarkStart w:id="232" w:name="page233"/>
    <w:bookmarkEnd w:id="232"/>
    <w:p>
      <w:pPr>
        <w:ind w:left="1184" w:hanging="644"/>
        <w:spacing w:after="0"/>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committed a material breach of your obligations under this letter;</w:t>
      </w:r>
    </w:p>
    <w:p>
      <w:pPr>
        <w:spacing w:after="0" w:line="130" w:lineRule="exact"/>
        <w:rPr>
          <w:rFonts w:ascii="Arial" w:cs="Arial" w:eastAsia="Arial" w:hAnsi="Arial"/>
          <w:sz w:val="18"/>
          <w:szCs w:val="18"/>
          <w:color w:val="auto"/>
        </w:rPr>
      </w:pPr>
    </w:p>
    <w:p>
      <w:pPr>
        <w:ind w:left="1184" w:right="200" w:hanging="644"/>
        <w:spacing w:after="0" w:line="277" w:lineRule="auto"/>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 an obligation not to breach your statutory, fiduciary or common-law duties);</w:t>
      </w:r>
    </w:p>
    <w:p>
      <w:pPr>
        <w:spacing w:after="0" w:line="75" w:lineRule="exact"/>
        <w:rPr>
          <w:rFonts w:ascii="Arial" w:cs="Arial" w:eastAsia="Arial" w:hAnsi="Arial"/>
          <w:sz w:val="18"/>
          <w:szCs w:val="18"/>
          <w:color w:val="auto"/>
        </w:rPr>
      </w:pPr>
    </w:p>
    <w:p>
      <w:pPr>
        <w:ind w:left="1184" w:right="140" w:hanging="644"/>
        <w:spacing w:after="0" w:line="277" w:lineRule="auto"/>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been convicted of an arrestable criminal offence other than a road traffic offence for which a fine or non-custodial penalty is imposed;</w:t>
      </w:r>
    </w:p>
    <w:p>
      <w:pPr>
        <w:spacing w:after="0" w:line="153" w:lineRule="exact"/>
        <w:rPr>
          <w:rFonts w:ascii="Arial" w:cs="Arial" w:eastAsia="Arial" w:hAnsi="Arial"/>
          <w:sz w:val="16"/>
          <w:szCs w:val="16"/>
          <w:color w:val="auto"/>
        </w:rPr>
      </w:pPr>
    </w:p>
    <w:p>
      <w:pPr>
        <w:ind w:left="1184" w:right="860" w:hanging="644"/>
        <w:spacing w:after="0" w:line="277" w:lineRule="auto"/>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On termination of your appointment, you shall, at the Company’s request, resign from your office as non-executive director of the Company and any offices you hold in any of the Company’s group companies.</w:t>
      </w:r>
    </w:p>
    <w:p>
      <w:pPr>
        <w:spacing w:after="0" w:line="76" w:lineRule="exact"/>
        <w:rPr>
          <w:sz w:val="20"/>
          <w:szCs w:val="20"/>
          <w:color w:val="auto"/>
        </w:rPr>
      </w:pPr>
    </w:p>
    <w:p>
      <w:pPr>
        <w:jc w:val="both"/>
        <w:ind w:left="544" w:right="120" w:hanging="539"/>
        <w:spacing w:after="0" w:line="259" w:lineRule="auto"/>
        <w:tabs>
          <w:tab w:leader="none" w:pos="524"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If matters arise which cause you concern about your role, you should discuss these matters with the Chief Executive and Chairman (who may determine that discussion with the Board (or a committee thereof) is appropriate). If you have any concerns which cannot be resolved, and you choose to resign for that, or any other, reason, you should provide an appropriate written statement to the Chief Executive for circulation to the Board.</w:t>
      </w:r>
    </w:p>
    <w:p>
      <w:pPr>
        <w:spacing w:after="0" w:line="331" w:lineRule="exact"/>
        <w:rPr>
          <w:sz w:val="20"/>
          <w:szCs w:val="20"/>
          <w:color w:val="auto"/>
        </w:rPr>
      </w:pPr>
    </w:p>
    <w:p>
      <w:pPr>
        <w:ind w:left="544" w:hanging="544"/>
        <w:spacing w:after="0"/>
        <w:tabs>
          <w:tab w:leader="none" w:pos="54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ROFESSIONAL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DVICE</w:t>
      </w:r>
    </w:p>
    <w:p>
      <w:pPr>
        <w:spacing w:after="0" w:line="121" w:lineRule="exact"/>
        <w:rPr>
          <w:sz w:val="20"/>
          <w:szCs w:val="20"/>
          <w:color w:val="auto"/>
        </w:rPr>
      </w:pPr>
    </w:p>
    <w:p>
      <w:pPr>
        <w:ind w:left="544" w:right="60"/>
        <w:spacing w:after="0" w:line="291" w:lineRule="auto"/>
        <w:rPr>
          <w:sz w:val="20"/>
          <w:szCs w:val="20"/>
          <w:color w:val="auto"/>
        </w:rPr>
      </w:pPr>
      <w:r>
        <w:rPr>
          <w:rFonts w:ascii="Arial" w:cs="Arial" w:eastAsia="Arial" w:hAnsi="Arial"/>
          <w:sz w:val="16"/>
          <w:szCs w:val="16"/>
          <w:color w:val="auto"/>
        </w:rPr>
        <w:t>In some circumstances you may consider that you need professional advice in the furtherance of your duties as a non-executive director and it may be appropriate for you to seek advice from independent advisers at the Company’s expense. A copy of the Board’s agreed procedure under which directors may obtain such independent advice is available from the Company’s General Counsel. The Company shall reimburse the reasonable cost of expenditure incurred by you in accordance with its policy. For the avoidance of doubt, nothing in this paragraph 6 shall be construed to limit any right of the Board or any committee thereof, under any charter document or rule of any stock exchange or regulatory authority or otherwise, to retain and/or receive the advice of outside compensation consultants, legal counsel and other advisers or limit any obligation of the Company to provide appropriate funds for the compensation of any such outside advisers.</w:t>
      </w:r>
    </w:p>
    <w:p>
      <w:pPr>
        <w:sectPr>
          <w:pgSz w:w="11900" w:h="16838" w:orient="portrait"/>
          <w:cols w:equalWidth="0" w:num="1">
            <w:col w:w="10944"/>
          </w:cols>
          <w:pgMar w:left="436" w:top="274" w:right="519" w:bottom="1440" w:gutter="0" w:footer="0" w:header="0"/>
        </w:sectPr>
      </w:pPr>
    </w:p>
    <w:bookmarkStart w:id="233" w:name="page234"/>
    <w:bookmarkEnd w:id="233"/>
    <w:p>
      <w:pPr>
        <w:ind w:left="544" w:hanging="544"/>
        <w:spacing w:after="0"/>
        <w:tabs>
          <w:tab w:leader="none" w:pos="54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t>
      </w:r>
      <w:r>
        <w:rPr>
          <w:rFonts w:ascii="Arial" w:cs="Arial" w:eastAsia="Arial" w:hAnsi="Arial"/>
          <w:sz w:val="14"/>
          <w:szCs w:val="14"/>
          <w:b w:val="1"/>
          <w:bCs w:val="1"/>
          <w:color w:val="auto"/>
        </w:rPr>
        <w:t>UTSIDE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p>
    <w:p>
      <w:pPr>
        <w:spacing w:after="0" w:line="135" w:lineRule="exact"/>
        <w:rPr>
          <w:sz w:val="20"/>
          <w:szCs w:val="20"/>
          <w:color w:val="auto"/>
        </w:rPr>
      </w:pPr>
    </w:p>
    <w:p>
      <w:pPr>
        <w:ind w:left="424" w:right="60" w:hanging="431"/>
        <w:spacing w:after="0" w:line="279" w:lineRule="auto"/>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You have already disclosed to the Board the significant commitments you have outside your role in the Company. You must inform the Chief Executive or the Nomination Committee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198" w:lineRule="exact"/>
        <w:rPr>
          <w:sz w:val="20"/>
          <w:szCs w:val="20"/>
          <w:color w:val="auto"/>
        </w:rPr>
      </w:pPr>
    </w:p>
    <w:p>
      <w:pPr>
        <w:ind w:left="424" w:right="360" w:hanging="431"/>
        <w:spacing w:after="0" w:line="259" w:lineRule="auto"/>
        <w:tabs>
          <w:tab w:leader="none" w:pos="404" w:val="left"/>
        </w:tabs>
        <w:rPr>
          <w:sz w:val="20"/>
          <w:szCs w:val="20"/>
          <w:color w:val="auto"/>
        </w:rPr>
      </w:pPr>
      <w:r>
        <w:rPr>
          <w:rFonts w:ascii="Arial" w:cs="Arial" w:eastAsia="Arial" w:hAnsi="Arial"/>
          <w:sz w:val="18"/>
          <w:szCs w:val="18"/>
          <w:color w:val="auto"/>
        </w:rPr>
        <w:t>7.2</w:t>
        <w:tab/>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the Chief Executive and the Nomination Committee as soon as you become aware of them and again you may have to seek the agreement of the Board.</w:t>
      </w:r>
    </w:p>
    <w:p>
      <w:pPr>
        <w:spacing w:after="0" w:line="331" w:lineRule="exact"/>
        <w:rPr>
          <w:sz w:val="20"/>
          <w:szCs w:val="20"/>
          <w:color w:val="auto"/>
        </w:rPr>
      </w:pPr>
    </w:p>
    <w:p>
      <w:pPr>
        <w:ind w:left="544" w:hanging="544"/>
        <w:spacing w:after="0"/>
        <w:tabs>
          <w:tab w:leader="none" w:pos="54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NSIDE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EALING IN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135" w:lineRule="exact"/>
        <w:rPr>
          <w:sz w:val="20"/>
          <w:szCs w:val="20"/>
          <w:color w:val="auto"/>
        </w:rPr>
      </w:pPr>
    </w:p>
    <w:p>
      <w:pPr>
        <w:ind w:left="424" w:right="60" w:hanging="431"/>
        <w:spacing w:after="0" w:line="259" w:lineRule="auto"/>
        <w:tabs>
          <w:tab w:leader="none" w:pos="404" w:val="left"/>
        </w:tabs>
        <w:rPr>
          <w:sz w:val="20"/>
          <w:szCs w:val="20"/>
          <w:color w:val="auto"/>
        </w:rPr>
      </w:pPr>
      <w:r>
        <w:rPr>
          <w:rFonts w:ascii="Arial" w:cs="Arial" w:eastAsia="Arial" w:hAnsi="Arial"/>
          <w:sz w:val="18"/>
          <w:szCs w:val="18"/>
          <w:color w:val="auto"/>
        </w:rPr>
        <w:t>8.1</w:t>
        <w:tab/>
        <w:t>Your attention is drawn to the requirements under both law and regulation as to the disclosure of inside information, in particular to the Market Abuse Regulation (596/2014/EU), section 52 of the Criminal Justice Act 1993 on insider dealing, as well as section 10(b) and section 16(b) of the US Exchange Act and SEC Rule 10b-5. You should avoid making any statements or taking any other action that might risk a breach of these requirements. If in doubt, please contact the Chief Executive or General Counsel.</w:t>
      </w:r>
    </w:p>
    <w:p>
      <w:pPr>
        <w:spacing w:after="0" w:line="214" w:lineRule="exact"/>
        <w:rPr>
          <w:sz w:val="20"/>
          <w:szCs w:val="20"/>
          <w:color w:val="auto"/>
        </w:rPr>
      </w:pPr>
    </w:p>
    <w:p>
      <w:pPr>
        <w:ind w:left="424" w:hanging="431"/>
        <w:spacing w:after="0" w:line="279" w:lineRule="auto"/>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During your period of appointment you are required to comply with any applicable regulations or laws in relation to dealing in the Company’s publicly traded or quoted securities including, section 10(b) and section 16(b) of the US Exchange Act and SEC Rule 10b-5, the Sarbanes-Oxley Act and any other code or policy as the Company may adopt from time to time which sets out the terms for dealings by directors in the Company’s securities. A copy of the current share dealing code adopted by the Company will be provided to you separately.</w:t>
      </w:r>
    </w:p>
    <w:p>
      <w:pPr>
        <w:spacing w:after="0" w:line="316" w:lineRule="exact"/>
        <w:rPr>
          <w:sz w:val="20"/>
          <w:szCs w:val="20"/>
          <w:color w:val="auto"/>
        </w:rPr>
      </w:pPr>
    </w:p>
    <w:p>
      <w:pPr>
        <w:ind w:left="544" w:hanging="544"/>
        <w:spacing w:after="0"/>
        <w:tabs>
          <w:tab w:leader="none" w:pos="54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EVIEW</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ROCESS</w:t>
      </w:r>
    </w:p>
    <w:p>
      <w:pPr>
        <w:spacing w:after="0" w:line="121" w:lineRule="exact"/>
        <w:rPr>
          <w:sz w:val="20"/>
          <w:szCs w:val="20"/>
          <w:color w:val="auto"/>
        </w:rPr>
      </w:pPr>
    </w:p>
    <w:p>
      <w:pPr>
        <w:jc w:val="both"/>
        <w:ind w:left="544" w:right="200"/>
        <w:spacing w:after="0" w:line="342" w:lineRule="auto"/>
        <w:rPr>
          <w:sz w:val="20"/>
          <w:szCs w:val="20"/>
          <w:color w:val="auto"/>
        </w:rPr>
      </w:pPr>
      <w:r>
        <w:rPr>
          <w:rFonts w:ascii="Arial" w:cs="Arial" w:eastAsia="Arial" w:hAnsi="Arial"/>
          <w:sz w:val="16"/>
          <w:szCs w:val="16"/>
          <w:color w:val="auto"/>
        </w:rPr>
        <w:t>The performance of individual directors and the whole Board and its committees is evaluated annually. If, in the interim, there are any matters which cause you concern about your role you should discuss them with the Chief Executive or the Nomination Committee as soon as you can.</w:t>
      </w:r>
    </w:p>
    <w:p>
      <w:pPr>
        <w:spacing w:after="0" w:line="268" w:lineRule="exact"/>
        <w:rPr>
          <w:sz w:val="20"/>
          <w:szCs w:val="20"/>
          <w:color w:val="auto"/>
        </w:rPr>
      </w:pPr>
    </w:p>
    <w:p>
      <w:pPr>
        <w:ind w:left="544" w:hanging="544"/>
        <w:spacing w:after="0"/>
        <w:tabs>
          <w:tab w:leader="none" w:pos="54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NSURANCE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NDEMNITY</w:t>
      </w:r>
    </w:p>
    <w:p>
      <w:pPr>
        <w:spacing w:after="0" w:line="135" w:lineRule="exact"/>
        <w:rPr>
          <w:sz w:val="20"/>
          <w:szCs w:val="20"/>
          <w:color w:val="auto"/>
        </w:rPr>
      </w:pPr>
    </w:p>
    <w:p>
      <w:pPr>
        <w:ind w:left="424" w:right="140" w:hanging="431"/>
        <w:spacing w:after="0" w:line="263" w:lineRule="auto"/>
        <w:rPr>
          <w:sz w:val="20"/>
          <w:szCs w:val="20"/>
          <w:color w:val="auto"/>
        </w:rPr>
      </w:pPr>
      <w:r>
        <w:rPr>
          <w:rFonts w:ascii="Arial" w:cs="Arial" w:eastAsia="Arial" w:hAnsi="Arial"/>
          <w:sz w:val="18"/>
          <w:szCs w:val="18"/>
          <w:color w:val="auto"/>
        </w:rPr>
        <w:t>10.1 The Company has directors’ and officers’ liability insurance and it intends to maintain such cover for the full term of your appointment at a level customary for companies in the pharmaceutical industry of a similar size and stage of development. A copy of the policy document is available from the Company’s General Counsel.</w:t>
      </w:r>
    </w:p>
    <w:p>
      <w:pPr>
        <w:sectPr>
          <w:pgSz w:w="11900" w:h="16838" w:orient="portrait"/>
          <w:cols w:equalWidth="0" w:num="1">
            <w:col w:w="11004"/>
          </w:cols>
          <w:pgMar w:left="436" w:top="270" w:right="459" w:bottom="1440" w:gutter="0" w:footer="0" w:header="0"/>
        </w:sectPr>
      </w:pPr>
    </w:p>
    <w:bookmarkStart w:id="234" w:name="page235"/>
    <w:bookmarkEnd w:id="234"/>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w:t>
        <w:tab/>
        <w:t>The Company shall grant you a deed of indemnity against certain liabilities that may be incurred as a result of your office to the extent permitted by section 234 of the Companies Act 2006 and Delaware General Corporation Law.</w:t>
      </w:r>
    </w:p>
    <w:p>
      <w:pPr>
        <w:spacing w:after="0" w:line="315" w:lineRule="exact"/>
        <w:rPr>
          <w:sz w:val="20"/>
          <w:szCs w:val="20"/>
          <w:color w:val="auto"/>
        </w:rPr>
      </w:pPr>
    </w:p>
    <w:p>
      <w:pPr>
        <w:ind w:left="544" w:hanging="544"/>
        <w:spacing w:after="0"/>
        <w:tabs>
          <w:tab w:leader="none" w:pos="54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HANGES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ETAILS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You shall advise the General Counsel promptly of any change in your address or other personal contact details.</w:t>
      </w:r>
    </w:p>
    <w:p>
      <w:pPr>
        <w:spacing w:after="0" w:line="370" w:lineRule="exact"/>
        <w:rPr>
          <w:sz w:val="20"/>
          <w:szCs w:val="20"/>
          <w:color w:val="auto"/>
        </w:rPr>
      </w:pPr>
    </w:p>
    <w:p>
      <w:pPr>
        <w:ind w:left="544" w:hanging="544"/>
        <w:spacing w:after="0"/>
        <w:tabs>
          <w:tab w:leader="none" w:pos="54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ETURN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p>
    <w:p>
      <w:pPr>
        <w:spacing w:after="0" w:line="121" w:lineRule="exact"/>
        <w:rPr>
          <w:sz w:val="20"/>
          <w:szCs w:val="20"/>
          <w:color w:val="auto"/>
        </w:rPr>
      </w:pPr>
    </w:p>
    <w:p>
      <w:pPr>
        <w:ind w:left="544"/>
        <w:spacing w:after="0" w:line="259" w:lineRule="auto"/>
        <w:rPr>
          <w:sz w:val="20"/>
          <w:szCs w:val="20"/>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31" w:lineRule="exact"/>
        <w:rPr>
          <w:sz w:val="20"/>
          <w:szCs w:val="20"/>
          <w:color w:val="auto"/>
        </w:rPr>
      </w:pPr>
    </w:p>
    <w:p>
      <w:pPr>
        <w:ind w:left="544" w:hanging="544"/>
        <w:spacing w:after="0"/>
        <w:tabs>
          <w:tab w:leader="none" w:pos="54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left="544" w:right="20"/>
        <w:spacing w:after="0" w:line="257" w:lineRule="auto"/>
        <w:rPr>
          <w:sz w:val="20"/>
          <w:szCs w:val="20"/>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32" w:lineRule="exact"/>
        <w:rPr>
          <w:sz w:val="20"/>
          <w:szCs w:val="20"/>
          <w:color w:val="auto"/>
        </w:rPr>
      </w:pPr>
    </w:p>
    <w:p>
      <w:pPr>
        <w:ind w:left="544" w:hanging="544"/>
        <w:spacing w:after="0"/>
        <w:tabs>
          <w:tab w:leader="none" w:pos="54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ATA</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p>
    <w:p>
      <w:pPr>
        <w:spacing w:after="0" w:line="135"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14.1</w:t>
        <w:tab/>
        <w:t>The Company will hold, collect and otherwise process certain personal data as set out in the Company’s privacy notice, which is available on the intranet or the Company’s Human Resources department. All personal data will be treated in accordance with applicable data protection laws and regulations.</w:t>
      </w:r>
    </w:p>
    <w:p>
      <w:pPr>
        <w:spacing w:after="0" w:line="328" w:lineRule="exact"/>
        <w:rPr>
          <w:sz w:val="20"/>
          <w:szCs w:val="20"/>
          <w:color w:val="auto"/>
        </w:rPr>
      </w:pPr>
    </w:p>
    <w:p>
      <w:pPr>
        <w:ind w:left="544" w:hanging="544"/>
        <w:spacing w:after="0"/>
        <w:tabs>
          <w:tab w:leader="none" w:pos="54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No one other than you and the Company shall have any rights to enforce the terms of this letter.</w:t>
      </w:r>
    </w:p>
    <w:p>
      <w:pPr>
        <w:spacing w:after="0" w:line="370" w:lineRule="exact"/>
        <w:rPr>
          <w:sz w:val="20"/>
          <w:szCs w:val="20"/>
          <w:color w:val="auto"/>
        </w:rPr>
      </w:pPr>
    </w:p>
    <w:p>
      <w:pPr>
        <w:ind w:left="544" w:hanging="544"/>
        <w:spacing w:after="0"/>
        <w:tabs>
          <w:tab w:leader="none" w:pos="54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NTIRE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135"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16.1</w:t>
        <w:tab/>
        <w:t>This letter and any document referred to in it constitutes the entire terms and conditions of your appointment and supersedes and extinguishes all previous agreements, promises, assurances, warranties, representations and understandings between you and the Company, whether written or oral, relating to its subject matter.</w:t>
      </w:r>
    </w:p>
    <w:p>
      <w:pPr>
        <w:sectPr>
          <w:pgSz w:w="11900" w:h="16838" w:orient="portrait"/>
          <w:cols w:equalWidth="0" w:num="1">
            <w:col w:w="11004"/>
          </w:cols>
          <w:pgMar w:left="436" w:top="274" w:right="459" w:bottom="1440" w:gutter="0" w:footer="0" w:header="0"/>
        </w:sectPr>
      </w:pPr>
    </w:p>
    <w:bookmarkStart w:id="235" w:name="page236"/>
    <w:bookmarkEnd w:id="235"/>
    <w:p>
      <w:pPr>
        <w:ind w:left="544"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16.2</w:t>
      </w:r>
      <w:r>
        <w:rPr>
          <w:sz w:val="20"/>
          <w:szCs w:val="20"/>
          <w:color w:val="auto"/>
        </w:rPr>
        <w:tab/>
      </w:r>
      <w:r>
        <w:rPr>
          <w:rFonts w:ascii="Arial" w:cs="Arial" w:eastAsia="Arial" w:hAnsi="Arial"/>
          <w:sz w:val="16"/>
          <w:szCs w:val="16"/>
          <w:color w:val="auto"/>
        </w:rPr>
        <w:t>You agree that you shall have no remedies in respect of any representation, , assurance or warranty (whether made innocently or negligently) that is not set out in this letter and you shall not have any claim for innocent or negligent misrepresentation based on any statement in this letter.</w:t>
      </w:r>
    </w:p>
    <w:p>
      <w:pPr>
        <w:spacing w:after="0" w:line="268" w:lineRule="exact"/>
        <w:rPr>
          <w:sz w:val="20"/>
          <w:szCs w:val="20"/>
          <w:color w:val="auto"/>
        </w:rPr>
      </w:pPr>
    </w:p>
    <w:p>
      <w:pPr>
        <w:ind w:left="544" w:hanging="544"/>
        <w:spacing w:after="0"/>
        <w:tabs>
          <w:tab w:leader="none" w:pos="54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No variation of this letter shall be effective unless it is in writing and signed by you and the Company (or respective authorised representatives).</w:t>
      </w:r>
    </w:p>
    <w:p>
      <w:pPr>
        <w:spacing w:after="0" w:line="393" w:lineRule="exact"/>
        <w:rPr>
          <w:sz w:val="20"/>
          <w:szCs w:val="20"/>
          <w:color w:val="auto"/>
        </w:rPr>
      </w:pPr>
    </w:p>
    <w:p>
      <w:pPr>
        <w:ind w:left="544" w:hanging="544"/>
        <w:spacing w:after="0"/>
        <w:tabs>
          <w:tab w:leader="none" w:pos="54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 AND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URISDICTION</w:t>
      </w:r>
    </w:p>
    <w:p>
      <w:pPr>
        <w:spacing w:after="0" w:line="121" w:lineRule="exact"/>
        <w:rPr>
          <w:sz w:val="20"/>
          <w:szCs w:val="20"/>
          <w:color w:val="auto"/>
        </w:rPr>
      </w:pPr>
    </w:p>
    <w:p>
      <w:pPr>
        <w:ind w:left="544" w:right="40"/>
        <w:spacing w:after="0" w:line="301" w:lineRule="auto"/>
        <w:rPr>
          <w:sz w:val="20"/>
          <w:szCs w:val="20"/>
          <w:color w:val="auto"/>
        </w:rPr>
      </w:pPr>
      <w:r>
        <w:rPr>
          <w:rFonts w:ascii="Arial" w:cs="Arial" w:eastAsia="Arial" w:hAnsi="Arial"/>
          <w:sz w:val="16"/>
          <w:szCs w:val="16"/>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302" w:lineRule="exact"/>
        <w:rPr>
          <w:sz w:val="20"/>
          <w:szCs w:val="20"/>
          <w:color w:val="auto"/>
        </w:rPr>
      </w:pPr>
    </w:p>
    <w:p>
      <w:pPr>
        <w:ind w:left="544" w:hanging="544"/>
        <w:spacing w:after="0"/>
        <w:tabs>
          <w:tab w:leader="none" w:pos="54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19.1</w:t>
        <w:tab/>
        <w:t>Fees payable pursuant to this Appointment may be subject to deductions for UK income tax and National Insurance contributions as required by law. You are responsible for the payment of all federal, state or local taxes payable in any other jurisdictions.</w:t>
      </w:r>
    </w:p>
    <w:p>
      <w:pPr>
        <w:spacing w:after="0" w:line="193" w:lineRule="exact"/>
        <w:rPr>
          <w:sz w:val="20"/>
          <w:szCs w:val="20"/>
          <w:color w:val="auto"/>
        </w:rPr>
      </w:pPr>
    </w:p>
    <w:p>
      <w:pPr>
        <w:ind w:left="544" w:right="80" w:hanging="539"/>
        <w:spacing w:after="0" w:line="271" w:lineRule="auto"/>
        <w:tabs>
          <w:tab w:leader="none" w:pos="524"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color w:val="auto"/>
        </w:rPr>
        <w:t>This letter agreement is intended to comply with or be exempt from Section 409A of the Internal Revenue Code of 1986, as amended (</w:t>
      </w:r>
      <w:r>
        <w:rPr>
          <w:rFonts w:ascii="Arial" w:cs="Arial" w:eastAsia="Arial" w:hAnsi="Arial"/>
          <w:sz w:val="17"/>
          <w:szCs w:val="17"/>
          <w:b w:val="1"/>
          <w:bCs w:val="1"/>
          <w:color w:val="auto"/>
        </w:rPr>
        <w:t>Code</w:t>
      </w:r>
      <w:r>
        <w:rPr>
          <w:rFonts w:ascii="Arial" w:cs="Arial" w:eastAsia="Arial" w:hAnsi="Arial"/>
          <w:sz w:val="17"/>
          <w:szCs w:val="17"/>
          <w:color w:val="auto"/>
        </w:rPr>
        <w:t>) or an exception thereunder and shall be interpreted, construed and administered in accordance therewith. Notwithstanding the foregoing, the Company makes no representations that the payments or benefits provided under this letter comply with or are exempt from Code Section 409A and in no event shall the Company be liable for all or any portion of any taxes, penalties, interest or other expenses that may be incurred by the you as a result of this letter failing to comply with or be exempt from Code Section 409A. To the extent that any reimbursements are subject to Code Section 409A, any such reimbursement payment due to you shall be paid to you in all events on or before the last day of your taxable year following the taxable year in which the related expense was incurred. The reimbursements are not subject to liquidation or exchange for another benefit and the amount of such benefits and reimbursements that you receive in one taxable year shall not affect the amount of such benefits or reimbursements that you receive in any other taxable year.</w:t>
      </w:r>
    </w:p>
    <w:p>
      <w:pPr>
        <w:sectPr>
          <w:pgSz w:w="11900" w:h="16838" w:orient="portrait"/>
          <w:cols w:equalWidth="0" w:num="1">
            <w:col w:w="11004"/>
          </w:cols>
          <w:pgMar w:left="436" w:top="274" w:right="459" w:bottom="1440" w:gutter="0" w:footer="0" w:header="0"/>
        </w:sectPr>
      </w:pPr>
    </w:p>
    <w:bookmarkStart w:id="236" w:name="page237"/>
    <w:bookmarkEnd w:id="23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indicate your acceptance of these terms by signing and returning to the attached copy of this letter to Dr. Denise Scots-Knight, Chief Executive, Mereo BioPharma Group plc.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2588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 Mereo BioPharma Group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above terms of my appointment as a non-executive director of Mereo BioPharma Group plc as set out in this letter.</w:t>
      </w:r>
    </w:p>
    <w:p>
      <w:pPr>
        <w:spacing w:after="0" w:line="221"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b w:val="1"/>
          <w:bCs w:val="1"/>
          <w:color w:val="auto"/>
        </w:rPr>
        <w:t>Signed on</w:t>
      </w:r>
      <w:r>
        <w:rPr>
          <w:sz w:val="20"/>
          <w:szCs w:val="20"/>
          <w:color w:val="auto"/>
        </w:rPr>
        <w:tab/>
      </w:r>
      <w:r>
        <w:rPr>
          <w:rFonts w:ascii="Arial" w:cs="Arial" w:eastAsia="Arial" w:hAnsi="Arial"/>
          <w:sz w:val="15"/>
          <w:szCs w:val="15"/>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2588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p>
    <w:p>
      <w:pPr>
        <w:sectPr>
          <w:pgSz w:w="11900" w:h="16838" w:orient="portrait"/>
          <w:cols w:equalWidth="0" w:num="1">
            <w:col w:w="10840"/>
          </w:cols>
          <w:pgMar w:left="440" w:top="274" w:right="6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4.26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9"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This AMENDED AND RESTATED EMPLOYMENT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September 1, 2019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by and between Mereo BioPharma Group Plc, a company incorporated in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 and John Richard (“</w:t>
      </w:r>
      <w:r>
        <w:rPr>
          <w:rFonts w:ascii="Arial" w:cs="Arial" w:eastAsia="Arial" w:hAnsi="Arial"/>
          <w:sz w:val="16"/>
          <w:szCs w:val="16"/>
          <w:u w:val="single" w:color="auto"/>
          <w:color w:val="auto"/>
        </w:rPr>
        <w:t>Employee</w:t>
      </w:r>
      <w:r>
        <w:rPr>
          <w:rFonts w:ascii="Arial" w:cs="Arial" w:eastAsia="Arial" w:hAnsi="Arial"/>
          <w:sz w:val="16"/>
          <w:szCs w:val="16"/>
          <w:color w:val="auto"/>
        </w:rPr>
        <w:t>”).</w:t>
      </w:r>
    </w:p>
    <w:p>
      <w:pPr>
        <w:spacing w:after="0" w:line="124" w:lineRule="exact"/>
        <w:rPr>
          <w:sz w:val="20"/>
          <w:szCs w:val="20"/>
          <w:color w:val="auto"/>
        </w:rPr>
      </w:pPr>
    </w:p>
    <w:p>
      <w:pPr>
        <w:ind w:right="600" w:firstLine="440"/>
        <w:spacing w:after="0" w:line="263" w:lineRule="auto"/>
        <w:rPr>
          <w:sz w:val="20"/>
          <w:szCs w:val="20"/>
          <w:color w:val="auto"/>
        </w:rPr>
      </w:pPr>
      <w:r>
        <w:rPr>
          <w:rFonts w:ascii="Arial" w:cs="Arial" w:eastAsia="Arial" w:hAnsi="Arial"/>
          <w:sz w:val="18"/>
          <w:szCs w:val="18"/>
          <w:color w:val="auto"/>
        </w:rPr>
        <w:t>WHEREAs, the Company and Employee entered into that certain employment agreement dated as of February 26, 2018 (the “</w:t>
      </w:r>
      <w:r>
        <w:rPr>
          <w:rFonts w:ascii="Arial" w:cs="Arial" w:eastAsia="Arial" w:hAnsi="Arial"/>
          <w:sz w:val="18"/>
          <w:szCs w:val="18"/>
          <w:u w:val="single" w:color="auto"/>
          <w:color w:val="auto"/>
        </w:rPr>
        <w:t>Previous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 that certain consulting agreement dated as of January 23, 2019 as amended as of March 1, 2019 (the “</w:t>
      </w:r>
      <w:r>
        <w:rPr>
          <w:rFonts w:ascii="Arial" w:cs="Arial" w:eastAsia="Arial" w:hAnsi="Arial"/>
          <w:sz w:val="18"/>
          <w:szCs w:val="18"/>
          <w:u w:val="single" w:color="auto"/>
          <w:color w:val="auto"/>
        </w:rPr>
        <w:t>Consulting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Employee desires to continue to be employed by the Company, and the Company desires to continue to employ the Employee;</w:t>
      </w:r>
    </w:p>
    <w:p>
      <w:pPr>
        <w:spacing w:after="0" w:line="23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the Company and Employee desire to amend and restate in its entirety the Previous Employment Agreement in order to set forth the terms and conditions of Employee’s employment by the Company;</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agree as follows:</w:t>
      </w:r>
    </w:p>
    <w:p>
      <w:pPr>
        <w:spacing w:after="0" w:line="62" w:lineRule="exact"/>
        <w:rPr>
          <w:sz w:val="20"/>
          <w:szCs w:val="20"/>
          <w:color w:val="auto"/>
        </w:rPr>
      </w:pPr>
    </w:p>
    <w:p>
      <w:pPr>
        <w:ind w:right="200" w:firstLine="436"/>
        <w:spacing w:after="0" w:line="277" w:lineRule="auto"/>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Certain words or phrases used herein with initial capital letters shall have the meanings ascribed to them in parenthesis or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right="40" w:firstLine="436"/>
        <w:spacing w:after="0" w:line="279" w:lineRule="auto"/>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Employment; Employment Period</w:t>
      </w:r>
      <w:r>
        <w:rPr>
          <w:rFonts w:ascii="Arial" w:cs="Arial" w:eastAsia="Arial" w:hAnsi="Arial"/>
          <w:sz w:val="17"/>
          <w:szCs w:val="17"/>
          <w:color w:val="auto"/>
        </w:rPr>
        <w:t>. As of the Effective Date, the Company shall continue to employ Employee, and Employee accepts continued employment with the Company upon the terms and conditions set forth in this Agreement and ending as provided in Section 5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Notwithstanding anything in this Agreement to the contrary, the Company or Employee may terminate Employee’s employment with the Company for any reason or for no reason at any time in accordance with Section 5 of this Agreement.</w:t>
      </w:r>
    </w:p>
    <w:p>
      <w:pPr>
        <w:spacing w:after="0" w:line="63" w:lineRule="exact"/>
        <w:rPr>
          <w:rFonts w:ascii="Arial" w:cs="Arial" w:eastAsia="Arial" w:hAnsi="Arial"/>
          <w:sz w:val="17"/>
          <w:szCs w:val="17"/>
          <w:color w:val="auto"/>
        </w:rPr>
      </w:pPr>
    </w:p>
    <w:p>
      <w:pPr>
        <w:ind w:left="620" w:hanging="184"/>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Employment Commencement Date, Position, and Duties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19"/>
        <w:spacing w:after="0" w:line="259" w:lineRule="auto"/>
        <w:tabs>
          <w:tab w:leader="none" w:pos="110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During the Employment Period, Employee shall serve as Head of Corporate Development of the Company and its subsidiaries and related divisions and business lines and shall have the normal duties, responsibilities and authority of an executive serving in such a position, including the specific duties and responsibilities set forth on Schedule 1, attached hereto, in each case, subject to the oversight and direction of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During the Employment Period, Employee shall report to the CEO.</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Best Efforts</w:t>
      </w:r>
      <w:r>
        <w:rPr>
          <w:rFonts w:ascii="Arial" w:cs="Arial" w:eastAsia="Arial" w:hAnsi="Arial"/>
          <w:sz w:val="17"/>
          <w:szCs w:val="17"/>
          <w:color w:val="auto"/>
        </w:rPr>
        <w:t>. During Employee’s employment, Employee shall: (i) devote Employee’s full professional time and attention to the</w:t>
      </w:r>
    </w:p>
    <w:p>
      <w:pPr>
        <w:spacing w:after="0" w:line="34" w:lineRule="exact"/>
        <w:rPr>
          <w:rFonts w:ascii="Arial" w:cs="Arial" w:eastAsia="Arial" w:hAnsi="Arial"/>
          <w:sz w:val="17"/>
          <w:szCs w:val="17"/>
          <w:color w:val="auto"/>
        </w:rPr>
      </w:pPr>
    </w:p>
    <w:p>
      <w:pPr>
        <w:ind w:left="440" w:right="20"/>
        <w:spacing w:after="0" w:line="253" w:lineRule="auto"/>
        <w:rPr>
          <w:rFonts w:ascii="Arial" w:cs="Arial" w:eastAsia="Arial" w:hAnsi="Arial"/>
          <w:sz w:val="17"/>
          <w:szCs w:val="17"/>
          <w:color w:val="auto"/>
        </w:rPr>
      </w:pPr>
      <w:r>
        <w:rPr>
          <w:rFonts w:ascii="Arial" w:cs="Arial" w:eastAsia="Arial" w:hAnsi="Arial"/>
          <w:sz w:val="18"/>
          <w:szCs w:val="18"/>
          <w:color w:val="auto"/>
        </w:rPr>
        <w:t>performance of Employee’s duties for the Company and its subsidiaries and related divisions and business lines; (ii) use Employee’s best efforts to dutifully, faithfully and efficiently perform his duties hereunder, and obey all reasonable and lawful directions given by or under the authority of the Board; and (iii) refrain from engaging in any other business, profession or occupation for compensation or otherwise which would conflict, directly or indirectly, with the rendition of services to the Company, without the prior written consent of the Board; except that Employee may engage in charitable,</w:t>
      </w:r>
    </w:p>
    <w:p>
      <w:pPr>
        <w:sectPr>
          <w:pgSz w:w="11900" w:h="16838" w:orient="portrait"/>
          <w:cols w:equalWidth="0" w:num="1">
            <w:col w:w="11020"/>
          </w:cols>
          <w:pgMar w:left="440" w:top="121" w:right="439" w:bottom="1440" w:gutter="0" w:footer="0" w:header="0"/>
        </w:sectPr>
      </w:pPr>
    </w:p>
    <w:bookmarkStart w:id="238" w:name="page239"/>
    <w:bookmarkEnd w:id="238"/>
    <w:p>
      <w:pPr>
        <w:ind w:right="20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civic and community activities and manage Employee’s personal investments provided that such activities do not materially interfere with the performance of his duties hereunder or conflict with the conditions of his employment, all in a manner consistent with his duties and responsibilities. In addition, Employee may continue his consultancy with John Richard &amp; Associates, LLC and continue serving as a director of the companies listed on Schedule 2, attached hereto.</w:t>
      </w:r>
    </w:p>
    <w:p>
      <w:pPr>
        <w:spacing w:after="0" w:line="79" w:lineRule="exact"/>
        <w:rPr>
          <w:sz w:val="20"/>
          <w:szCs w:val="20"/>
          <w:color w:val="auto"/>
        </w:rPr>
      </w:pPr>
    </w:p>
    <w:p>
      <w:pPr>
        <w:ind w:firstLine="530"/>
        <w:spacing w:after="0" w:line="282" w:lineRule="auto"/>
        <w:tabs>
          <w:tab w:leader="none" w:pos="829" w:val="left"/>
        </w:tabs>
        <w:numPr>
          <w:ilvl w:val="1"/>
          <w:numId w:val="129"/>
        </w:numPr>
        <w:rPr>
          <w:rFonts w:ascii="Arial" w:cs="Arial" w:eastAsia="Arial" w:hAnsi="Arial"/>
          <w:sz w:val="19"/>
          <w:szCs w:val="19"/>
          <w:color w:val="auto"/>
        </w:rPr>
      </w:pPr>
      <w:r>
        <w:rPr>
          <w:rFonts w:ascii="Arial" w:cs="Arial" w:eastAsia="Arial" w:hAnsi="Arial"/>
          <w:sz w:val="19"/>
          <w:szCs w:val="19"/>
          <w:color w:val="auto"/>
        </w:rPr>
        <w:t>During the Employment Period, Employee shall perform Employee’s duties and responsibilities from his office at his Atlanta, Georgia residence but will be required to travel to the extent necessary to perform his employment duties and responsibilities. Employee acknowledges that the Company’s agreement to allow Employee to perform his duties and responsibilities at his home office (to the extent the performance of his duties and responsibilities does not require Employee to travel) is for Employee’s convenience and not in furtherance of any business purpose of the Company.</w:t>
      </w:r>
    </w:p>
    <w:p>
      <w:pPr>
        <w:spacing w:after="0" w:line="39" w:lineRule="exact"/>
        <w:rPr>
          <w:rFonts w:ascii="Arial" w:cs="Arial" w:eastAsia="Arial" w:hAnsi="Arial"/>
          <w:sz w:val="19"/>
          <w:szCs w:val="19"/>
          <w:color w:val="auto"/>
        </w:rPr>
      </w:pPr>
    </w:p>
    <w:p>
      <w:pPr>
        <w:ind w:left="220" w:hanging="213"/>
        <w:spacing w:after="0"/>
        <w:tabs>
          <w:tab w:leader="none" w:pos="22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right="80" w:firstLine="530"/>
        <w:spacing w:after="0" w:line="236" w:lineRule="auto"/>
        <w:tabs>
          <w:tab w:leader="none" w:pos="817"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Salary</w:t>
      </w:r>
      <w:r>
        <w:rPr>
          <w:rFonts w:ascii="Arial" w:cs="Arial" w:eastAsia="Arial" w:hAnsi="Arial"/>
          <w:sz w:val="22"/>
          <w:szCs w:val="22"/>
          <w:color w:val="auto"/>
        </w:rPr>
        <w:t>. The Company agrees to pay Employee a salary during the Employment Period, which shall be earned and paid in installments based on the Company’s payroll practices as may be in effect from time to time but not less frequently than semi-monthly. Employee’s initial salary shall be at the rate of Three Hundred Seventy Thousand Dollars ($370,000) per year (the “</w:t>
      </w:r>
      <w:r>
        <w:rPr>
          <w:rFonts w:ascii="Arial" w:cs="Arial" w:eastAsia="Arial" w:hAnsi="Arial"/>
          <w:sz w:val="22"/>
          <w:szCs w:val="22"/>
          <w:u w:val="single" w:color="auto"/>
          <w:color w:val="auto"/>
        </w:rPr>
        <w:t>Base Salary</w:t>
      </w:r>
      <w:r>
        <w:rPr>
          <w:rFonts w:ascii="Arial" w:cs="Arial" w:eastAsia="Arial" w:hAnsi="Arial"/>
          <w:sz w:val="22"/>
          <w:szCs w:val="22"/>
          <w:color w:val="auto"/>
        </w:rPr>
        <w:t>”). The CEO shall review the Base Salary from time to time for any increases, which shall be in the Company’s discretion.</w:t>
      </w:r>
    </w:p>
    <w:p>
      <w:pPr>
        <w:spacing w:after="0" w:line="79" w:lineRule="exact"/>
        <w:rPr>
          <w:rFonts w:ascii="Arial" w:cs="Arial" w:eastAsia="Arial" w:hAnsi="Arial"/>
          <w:sz w:val="22"/>
          <w:szCs w:val="22"/>
          <w:color w:val="auto"/>
        </w:rPr>
      </w:pPr>
    </w:p>
    <w:p>
      <w:pPr>
        <w:ind w:right="20" w:firstLine="530"/>
        <w:spacing w:after="0" w:line="273" w:lineRule="auto"/>
        <w:tabs>
          <w:tab w:leader="none" w:pos="829"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Annual Incentive Compensation</w:t>
      </w:r>
      <w:r>
        <w:rPr>
          <w:rFonts w:ascii="Arial" w:cs="Arial" w:eastAsia="Arial" w:hAnsi="Arial"/>
          <w:sz w:val="19"/>
          <w:szCs w:val="19"/>
          <w:color w:val="auto"/>
        </w:rPr>
        <w:t>. Employee will be considered for a bonus each calendar year (“</w:t>
      </w:r>
      <w:r>
        <w:rPr>
          <w:rFonts w:ascii="Arial" w:cs="Arial" w:eastAsia="Arial" w:hAnsi="Arial"/>
          <w:sz w:val="19"/>
          <w:szCs w:val="19"/>
          <w:u w:val="single" w:color="auto"/>
          <w:color w:val="auto"/>
        </w:rPr>
        <w:t>Annual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w:t>
      </w:r>
      <w:r>
        <w:rPr>
          <w:rFonts w:ascii="Arial" w:cs="Arial" w:eastAsia="Arial" w:hAnsi="Arial"/>
          <w:sz w:val="19"/>
          <w:szCs w:val="19"/>
          <w:color w:val="auto"/>
        </w:rPr>
        <w:t xml:space="preserve">”). Whether an Annual Bonus is earned and the amount of any Annual Bonus payable to Employee in respect of a calendar year will be determined by the Company in its discretion. If earned, the Annual Bonus payable to Employee in respect of a calendar pursuant to this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shall be paid no later than 2-1/2 months following the close of the calendar year for which it is earned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Employee has been in the continuous employment of the Company through and including date on which the Annual Bonus is paid, and (ii) neither the Company nor Employee has given written notice of the Employee’s termination or resignation to the other. The terms and conditions of Employee’s Annual Bonus opportunity for a calendar year shall be communicated to Employee in writing or, if the terms and conditions of Employee’s Annual Bonus opportunity for a calendar year are set forth in an annual bonus plan, a copy of the annual bonus plan shall be provided to Employee.</w:t>
      </w:r>
    </w:p>
    <w:p>
      <w:pPr>
        <w:spacing w:after="0" w:line="52" w:lineRule="exact"/>
        <w:rPr>
          <w:rFonts w:ascii="Arial" w:cs="Arial" w:eastAsia="Arial" w:hAnsi="Arial"/>
          <w:sz w:val="19"/>
          <w:szCs w:val="19"/>
          <w:color w:val="auto"/>
        </w:rPr>
      </w:pPr>
    </w:p>
    <w:p>
      <w:pPr>
        <w:ind w:right="20" w:firstLine="530"/>
        <w:spacing w:after="0" w:line="236" w:lineRule="auto"/>
        <w:tabs>
          <w:tab w:leader="none" w:pos="817"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Employee may be offered the opportunity to participate in the Company’s equity incentive compensation and/or other long-term incentive compensation plans as they may be in effect from time to time. Any grants of equity incentive compensation and/or other long-term incentive compensation to Employee are discretionary on the part of the Company and, if granted, shall be governed by the terms and conditions of the applicable plan document and award agreement.</w:t>
      </w:r>
    </w:p>
    <w:p>
      <w:pPr>
        <w:spacing w:after="0" w:line="79" w:lineRule="exact"/>
        <w:rPr>
          <w:rFonts w:ascii="Arial" w:cs="Arial" w:eastAsia="Arial" w:hAnsi="Arial"/>
          <w:sz w:val="22"/>
          <w:szCs w:val="22"/>
          <w:color w:val="auto"/>
        </w:rPr>
      </w:pPr>
    </w:p>
    <w:p>
      <w:pPr>
        <w:ind w:right="40" w:firstLine="530"/>
        <w:spacing w:after="0" w:line="275" w:lineRule="auto"/>
        <w:tabs>
          <w:tab w:leader="none" w:pos="829"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Standard Benefits Package</w:t>
      </w:r>
      <w:r>
        <w:rPr>
          <w:rFonts w:ascii="Arial" w:cs="Arial" w:eastAsia="Arial" w:hAnsi="Arial"/>
          <w:sz w:val="19"/>
          <w:szCs w:val="19"/>
          <w:color w:val="auto"/>
        </w:rPr>
        <w:t>. During the Employment Period, Employee shall be entitled to participate, on the same basis as other employees of the Company, in the Company’s Standard Benefits Package. The Company’s “</w:t>
      </w:r>
      <w:r>
        <w:rPr>
          <w:rFonts w:ascii="Arial" w:cs="Arial" w:eastAsia="Arial" w:hAnsi="Arial"/>
          <w:sz w:val="19"/>
          <w:szCs w:val="19"/>
          <w:u w:val="single" w:color="auto"/>
          <w:color w:val="auto"/>
        </w:rPr>
        <w:t>Standard Benefits Package</w:t>
      </w:r>
      <w:r>
        <w:rPr>
          <w:rFonts w:ascii="Arial" w:cs="Arial" w:eastAsia="Arial" w:hAnsi="Arial"/>
          <w:sz w:val="19"/>
          <w:szCs w:val="19"/>
          <w:color w:val="auto"/>
        </w:rPr>
        <w:t>” means those benefits (including insurance, vacation, sick leave, and other benefits, but excluding any severance pay program or policy of the Company) for which any senior executive and/or substantially all of the corporate salaried employees of the Company are from time to time generally eligible, as determined from time to time by the Board. Employee’s prior service as a consultant of the Company shall be counted as service for purposes of participation, vesting and other crediting of service under the Company’s employee benefit plans in the United Kingdom except where such crediting would result in a duplication of benefits for the same period of service.</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460"/>
          </w:cols>
          <w:pgMar w:left="980" w:top="267" w:right="459" w:bottom="1440" w:gutter="0" w:footer="0" w:header="0"/>
        </w:sectPr>
      </w:pPr>
    </w:p>
    <w:bookmarkStart w:id="239" w:name="page240"/>
    <w:bookmarkEnd w:id="239"/>
    <w:p>
      <w:pPr>
        <w:ind w:left="540" w:right="40" w:firstLine="530"/>
        <w:spacing w:after="0" w:line="236" w:lineRule="auto"/>
        <w:tabs>
          <w:tab w:leader="none" w:pos="1357"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Expenses</w:t>
      </w:r>
      <w:r>
        <w:rPr>
          <w:rFonts w:ascii="Arial" w:cs="Arial" w:eastAsia="Arial" w:hAnsi="Arial"/>
          <w:sz w:val="22"/>
          <w:szCs w:val="22"/>
          <w:color w:val="auto"/>
        </w:rPr>
        <w:t>. During the Employment Period, the Company shall reimburse Employee for all reasonable expenses incurred by Employee in the course of performing Employee’s duties under this Agreement that are consistent with the Company’s policies in effect from time to time with respect to travel, entertainment and other business expenses, subject to the Company’s requirements applicable generally with respect to reporting and documentation of such expenses.</w:t>
      </w:r>
    </w:p>
    <w:p>
      <w:pPr>
        <w:spacing w:after="0" w:line="79" w:lineRule="exact"/>
        <w:rPr>
          <w:rFonts w:ascii="Arial" w:cs="Arial" w:eastAsia="Arial" w:hAnsi="Arial"/>
          <w:sz w:val="22"/>
          <w:szCs w:val="22"/>
          <w:color w:val="auto"/>
        </w:rPr>
      </w:pPr>
    </w:p>
    <w:p>
      <w:pPr>
        <w:ind w:left="540" w:firstLine="530"/>
        <w:spacing w:after="0" w:line="282" w:lineRule="auto"/>
        <w:tabs>
          <w:tab w:leader="none" w:pos="1333"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Adherence to Company Policies</w:t>
      </w:r>
      <w:r>
        <w:rPr>
          <w:rFonts w:ascii="Arial" w:cs="Arial" w:eastAsia="Arial" w:hAnsi="Arial"/>
          <w:sz w:val="19"/>
          <w:szCs w:val="19"/>
          <w:color w:val="auto"/>
        </w:rPr>
        <w:t>. Employee agrees to abide by such office policies, procedures, and practices as may be established from time to time through office manuals, policy statements, memoranda, or other communications to the Company’s employees generally, including without limitation, the Staff Handbook. Employee understands that these policies, procedures, and practices are subject to change, do not constitute contractual rights or obligations, and that no employee has any right to the continuance of any given policy or practice unless specifically set forth herein.</w:t>
      </w:r>
    </w:p>
    <w:p>
      <w:pPr>
        <w:spacing w:after="0" w:line="39" w:lineRule="exact"/>
        <w:rPr>
          <w:rFonts w:ascii="Arial" w:cs="Arial" w:eastAsia="Arial" w:hAnsi="Arial"/>
          <w:sz w:val="19"/>
          <w:szCs w:val="19"/>
          <w:color w:val="auto"/>
        </w:rPr>
      </w:pPr>
    </w:p>
    <w:p>
      <w:pPr>
        <w:ind w:left="760" w:hanging="213"/>
        <w:spacing w:after="0"/>
        <w:tabs>
          <w:tab w:leader="none" w:pos="76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360" w:hanging="290"/>
        <w:spacing w:after="0"/>
        <w:tabs>
          <w:tab w:leader="none" w:pos="13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Employee’s employment hereunder may be terminated under the following circumstances:</w:t>
      </w:r>
    </w:p>
    <w:p>
      <w:pPr>
        <w:spacing w:after="0" w:line="111" w:lineRule="exact"/>
        <w:rPr>
          <w:rFonts w:ascii="Arial" w:cs="Arial" w:eastAsia="Arial" w:hAnsi="Arial"/>
          <w:sz w:val="22"/>
          <w:szCs w:val="22"/>
          <w:color w:val="auto"/>
        </w:rPr>
      </w:pPr>
    </w:p>
    <w:p>
      <w:pPr>
        <w:ind w:left="2840" w:hanging="644"/>
        <w:spacing w:after="0"/>
        <w:tabs>
          <w:tab w:leader="none" w:pos="284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Employee’s death;</w:t>
      </w:r>
    </w:p>
    <w:p>
      <w:pPr>
        <w:spacing w:after="0" w:line="111" w:lineRule="exact"/>
        <w:rPr>
          <w:rFonts w:ascii="Arial" w:cs="Arial" w:eastAsia="Arial" w:hAnsi="Arial"/>
          <w:sz w:val="22"/>
          <w:szCs w:val="22"/>
          <w:color w:val="auto"/>
        </w:rPr>
      </w:pPr>
    </w:p>
    <w:p>
      <w:pPr>
        <w:ind w:left="2840" w:hanging="644"/>
        <w:spacing w:after="0"/>
        <w:tabs>
          <w:tab w:leader="none" w:pos="284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a termination of Employee’s employment due to Permanent Disability;</w:t>
      </w:r>
    </w:p>
    <w:p>
      <w:pPr>
        <w:spacing w:after="0" w:line="111" w:lineRule="exact"/>
        <w:rPr>
          <w:rFonts w:ascii="Arial" w:cs="Arial" w:eastAsia="Arial" w:hAnsi="Arial"/>
          <w:sz w:val="22"/>
          <w:szCs w:val="22"/>
          <w:color w:val="auto"/>
        </w:rPr>
      </w:pPr>
    </w:p>
    <w:p>
      <w:pPr>
        <w:ind w:left="2840" w:hanging="644"/>
        <w:spacing w:after="0"/>
        <w:tabs>
          <w:tab w:leader="none" w:pos="284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a Termination For Cause;</w:t>
      </w:r>
    </w:p>
    <w:p>
      <w:pPr>
        <w:spacing w:after="0" w:line="111" w:lineRule="exact"/>
        <w:rPr>
          <w:rFonts w:ascii="Arial" w:cs="Arial" w:eastAsia="Arial" w:hAnsi="Arial"/>
          <w:sz w:val="22"/>
          <w:szCs w:val="22"/>
          <w:color w:val="auto"/>
        </w:rPr>
      </w:pPr>
    </w:p>
    <w:p>
      <w:pPr>
        <w:ind w:left="2840" w:hanging="644"/>
        <w:spacing w:after="0"/>
        <w:tabs>
          <w:tab w:leader="none" w:pos="284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a Termination Without Cause; or</w:t>
      </w:r>
    </w:p>
    <w:p>
      <w:pPr>
        <w:spacing w:after="0" w:line="111" w:lineRule="exact"/>
        <w:rPr>
          <w:rFonts w:ascii="Arial" w:cs="Arial" w:eastAsia="Arial" w:hAnsi="Arial"/>
          <w:sz w:val="22"/>
          <w:szCs w:val="22"/>
          <w:color w:val="auto"/>
        </w:rPr>
      </w:pPr>
    </w:p>
    <w:p>
      <w:pPr>
        <w:ind w:left="2840" w:hanging="644"/>
        <w:spacing w:after="0"/>
        <w:tabs>
          <w:tab w:leader="none" w:pos="284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a Termination by Employee without Good Reason;</w:t>
      </w:r>
    </w:p>
    <w:p>
      <w:pPr>
        <w:spacing w:after="0" w:line="111" w:lineRule="exact"/>
        <w:rPr>
          <w:rFonts w:ascii="Arial" w:cs="Arial" w:eastAsia="Arial" w:hAnsi="Arial"/>
          <w:sz w:val="22"/>
          <w:szCs w:val="22"/>
          <w:color w:val="auto"/>
        </w:rPr>
      </w:pPr>
    </w:p>
    <w:p>
      <w:pPr>
        <w:ind w:left="2840" w:hanging="644"/>
        <w:spacing w:after="0"/>
        <w:tabs>
          <w:tab w:leader="none" w:pos="284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a Termination by Employee for Good Reason.</w:t>
      </w:r>
    </w:p>
    <w:p>
      <w:pPr>
        <w:spacing w:after="0" w:line="98"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A termination pursuant to subsection </w:t>
      </w:r>
      <w:r>
        <w:rPr>
          <w:rFonts w:ascii="Arial" w:cs="Arial" w:eastAsia="Arial" w:hAnsi="Arial"/>
          <w:sz w:val="19"/>
          <w:szCs w:val="19"/>
          <w:u w:val="single" w:color="auto"/>
          <w:color w:val="auto"/>
        </w:rPr>
        <w:t>(i)</w:t>
      </w:r>
      <w:r>
        <w:rPr>
          <w:rFonts w:ascii="Arial" w:cs="Arial" w:eastAsia="Arial" w:hAnsi="Arial"/>
          <w:sz w:val="19"/>
          <w:szCs w:val="19"/>
          <w:color w:val="auto"/>
        </w:rPr>
        <w:t xml:space="preserve"> shall occur automatically upon Employee’s death. A termination pursuant to </w:t>
      </w:r>
      <w:r>
        <w:rPr>
          <w:rFonts w:ascii="Arial" w:cs="Arial" w:eastAsia="Arial" w:hAnsi="Arial"/>
          <w:sz w:val="19"/>
          <w:szCs w:val="19"/>
          <w:u w:val="single" w:color="auto"/>
          <w:color w:val="auto"/>
        </w:rPr>
        <w:t>subsection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shall require three (3) months’ written notice from the terminating party to the other party. A termination pursuant to </w:t>
      </w:r>
      <w:r>
        <w:rPr>
          <w:rFonts w:ascii="Arial" w:cs="Arial" w:eastAsia="Arial" w:hAnsi="Arial"/>
          <w:sz w:val="19"/>
          <w:szCs w:val="19"/>
          <w:u w:val="single" w:color="auto"/>
          <w:color w:val="auto"/>
        </w:rPr>
        <w:t>subsection (iii)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may be effected immediately, subject to any applicable notice and cure periods in the definition of “Cause” as set forth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of this Agreement. A termination pursuant to </w:t>
      </w:r>
      <w:r>
        <w:rPr>
          <w:rFonts w:ascii="Arial" w:cs="Arial" w:eastAsia="Arial" w:hAnsi="Arial"/>
          <w:sz w:val="19"/>
          <w:szCs w:val="19"/>
          <w:u w:val="single" w:color="auto"/>
          <w:color w:val="auto"/>
        </w:rPr>
        <w:t>subsection (vi)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shall be subject to the applicable notice and cure periods in the definition of “Good Reason” set forth in Section 9 of this Agreement. Upon receipt of Employee’s written notice of resignation pursuant to subsections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the Company may, if requested by Employee but in its sole discretion, waive or shorten the notice period, in which case Employee will be permitted to terminate employment immediately or at a time designated by the Company. If the Company waives or shortens the notice period at such Employee’s request, then under such circumstances, the Company will not be obliged to pay any amount in lieu of the waived or shortened notice.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00"/>
          </w:cols>
          <w:pgMar w:left="440" w:top="267" w:right="459" w:bottom="1440" w:gutter="0" w:footer="0" w:header="0"/>
        </w:sectPr>
      </w:pPr>
    </w:p>
    <w:bookmarkStart w:id="240" w:name="page241"/>
    <w:bookmarkEnd w:id="240"/>
    <w:p>
      <w:pPr>
        <w:ind w:left="4" w:right="40" w:firstLine="547"/>
        <w:spacing w:after="0" w:line="235" w:lineRule="auto"/>
        <w:tabs>
          <w:tab w:leader="none" w:pos="861"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Termination</w:t>
      </w:r>
      <w:r>
        <w:rPr>
          <w:rFonts w:ascii="Arial" w:cs="Arial" w:eastAsia="Arial" w:hAnsi="Arial"/>
          <w:sz w:val="22"/>
          <w:szCs w:val="22"/>
          <w:color w:val="auto"/>
        </w:rPr>
        <w:t>. Upon Employee’s termination of employment, the Employment Period will end. If, on the Date of Termination, Employee is a member of the board of directors of the Company or any of its Affiliates, or Employee holds any other office or position with the Company or its Affiliates, Employee shall be deemed to have resigned from all such offices and positions as of the Date of Termination. Employee also hereby covenants that upon and following the Date of Termination, he will take such actions and execute such instruments as the Company determines to be necessary or advisable in order to effect such resignations.</w:t>
      </w:r>
    </w:p>
    <w:p>
      <w:pPr>
        <w:spacing w:after="0" w:line="80" w:lineRule="exact"/>
        <w:rPr>
          <w:sz w:val="20"/>
          <w:szCs w:val="20"/>
          <w:color w:val="auto"/>
        </w:rPr>
      </w:pPr>
    </w:p>
    <w:p>
      <w:pPr>
        <w:ind w:left="4" w:firstLine="547"/>
        <w:spacing w:after="0" w:line="269" w:lineRule="auto"/>
        <w:tabs>
          <w:tab w:leader="none" w:pos="771"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Post-Employment Payments</w:t>
      </w:r>
      <w:r>
        <w:rPr>
          <w:rFonts w:ascii="Arial" w:cs="Arial" w:eastAsia="Arial" w:hAnsi="Arial"/>
          <w:sz w:val="19"/>
          <w:szCs w:val="19"/>
          <w:color w:val="auto"/>
        </w:rPr>
        <w:t>. At the end of Employee’s employment for any reason (including due to the Employee’s death or Permanent Disability), Employee shall cease to have any rights to salary, expense reimbursements or other benefits, except that Employee shall be entitled to (i) any Base Salary which has been earned but is unpaid, any reimbursable expenses which have been incurred but are unpaid, and any unexpired vacation days which have accrued under the Company’s vacation policy but are unused, in each such case, as of the end of the Employment Period; (ii) plan benefits which by their terms extend beyond termination of Employee’s employment theretofore granted to Employee or any other benefit plan in which Employee has participated as an employee of the Company and excluding any severance pay program or policy of the Company; and</w:t>
      </w:r>
    </w:p>
    <w:p>
      <w:pPr>
        <w:spacing w:after="0" w:line="4" w:lineRule="exact"/>
        <w:rPr>
          <w:rFonts w:ascii="Arial" w:cs="Arial" w:eastAsia="Arial" w:hAnsi="Arial"/>
          <w:sz w:val="19"/>
          <w:szCs w:val="19"/>
          <w:color w:val="auto"/>
        </w:rPr>
      </w:pPr>
    </w:p>
    <w:p>
      <w:pPr>
        <w:ind w:left="4" w:right="660" w:hanging="4"/>
        <w:spacing w:after="0" w:line="236" w:lineRule="auto"/>
        <w:tabs>
          <w:tab w:leader="none" w:pos="38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benefits to which Employee is entitled under Part 6 of Subtitle B of Title I of the Employee Retirement Income Security Act of 1974, as amended (collectively, “</w:t>
      </w:r>
      <w:r>
        <w:rPr>
          <w:rFonts w:ascii="Arial" w:cs="Arial" w:eastAsia="Arial" w:hAnsi="Arial"/>
          <w:sz w:val="22"/>
          <w:szCs w:val="22"/>
          <w:u w:val="single" w:color="auto"/>
          <w:color w:val="auto"/>
        </w:rPr>
        <w:t>Accrued Compensation</w:t>
      </w:r>
      <w:r>
        <w:rPr>
          <w:rFonts w:ascii="Arial" w:cs="Arial" w:eastAsia="Arial" w:hAnsi="Arial"/>
          <w:sz w:val="22"/>
          <w:szCs w:val="22"/>
          <w:color w:val="auto"/>
        </w:rPr>
        <w:t>”).</w:t>
      </w:r>
    </w:p>
    <w:p>
      <w:pPr>
        <w:spacing w:after="0" w:line="78" w:lineRule="exact"/>
        <w:rPr>
          <w:rFonts w:ascii="Arial" w:cs="Arial" w:eastAsia="Arial" w:hAnsi="Arial"/>
          <w:sz w:val="22"/>
          <w:szCs w:val="22"/>
          <w:color w:val="auto"/>
        </w:rPr>
      </w:pPr>
    </w:p>
    <w:p>
      <w:pPr>
        <w:jc w:val="both"/>
        <w:ind w:left="4" w:right="240" w:firstLine="1208"/>
        <w:spacing w:after="0"/>
        <w:tabs>
          <w:tab w:leader="none" w:pos="1509" w:val="left"/>
        </w:tabs>
        <w:numPr>
          <w:ilvl w:val="2"/>
          <w:numId w:val="135"/>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or by Employee for Good Reason</w:t>
      </w:r>
      <w:r>
        <w:rPr>
          <w:rFonts w:ascii="Arial" w:cs="Arial" w:eastAsia="Arial" w:hAnsi="Arial"/>
          <w:sz w:val="22"/>
          <w:szCs w:val="22"/>
          <w:color w:val="auto"/>
        </w:rPr>
        <w:t>. If Employee’s employment is terminated by the Company without Cause or by Employee for Good Reason during the Employment Period, Employee shall be entitled to the following:</w:t>
      </w:r>
    </w:p>
    <w:p>
      <w:pPr>
        <w:spacing w:after="0" w:line="78" w:lineRule="exact"/>
        <w:rPr>
          <w:rFonts w:ascii="Arial" w:cs="Arial" w:eastAsia="Arial" w:hAnsi="Arial"/>
          <w:sz w:val="22"/>
          <w:szCs w:val="22"/>
          <w:color w:val="auto"/>
        </w:rPr>
      </w:pPr>
    </w:p>
    <w:p>
      <w:pPr>
        <w:ind w:left="2024" w:hanging="262"/>
        <w:spacing w:after="0"/>
        <w:tabs>
          <w:tab w:leader="none" w:pos="2024" w:val="left"/>
        </w:tabs>
        <w:numPr>
          <w:ilvl w:val="3"/>
          <w:numId w:val="135"/>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98" w:lineRule="exact"/>
        <w:rPr>
          <w:rFonts w:ascii="Arial" w:cs="Arial" w:eastAsia="Arial" w:hAnsi="Arial"/>
          <w:sz w:val="22"/>
          <w:szCs w:val="22"/>
          <w:color w:val="auto"/>
        </w:rPr>
      </w:pPr>
    </w:p>
    <w:p>
      <w:pPr>
        <w:ind w:left="4" w:right="200" w:firstLine="1758"/>
        <w:spacing w:after="0"/>
        <w:tabs>
          <w:tab w:leader="none" w:pos="2084" w:val="left"/>
        </w:tabs>
        <w:numPr>
          <w:ilvl w:val="3"/>
          <w:numId w:val="135"/>
        </w:numPr>
        <w:rPr>
          <w:rFonts w:ascii="Arial" w:cs="Arial" w:eastAsia="Arial" w:hAnsi="Arial"/>
          <w:sz w:val="22"/>
          <w:szCs w:val="22"/>
          <w:color w:val="auto"/>
        </w:rPr>
      </w:pPr>
      <w:r>
        <w:rPr>
          <w:rFonts w:ascii="Arial" w:cs="Arial" w:eastAsia="Arial" w:hAnsi="Arial"/>
          <w:sz w:val="22"/>
          <w:szCs w:val="22"/>
          <w:color w:val="auto"/>
        </w:rPr>
        <w:t>continued payment of Employee’s Base Salary for a period of three (3) months following the Date of Termination, payable in approximately equal installments paid over a three (3) month period in accordance with the Company’s customary payroll practices; and</w:t>
      </w:r>
    </w:p>
    <w:p>
      <w:pPr>
        <w:spacing w:after="0" w:line="78" w:lineRule="exact"/>
        <w:rPr>
          <w:rFonts w:ascii="Arial" w:cs="Arial" w:eastAsia="Arial" w:hAnsi="Arial"/>
          <w:sz w:val="22"/>
          <w:szCs w:val="22"/>
          <w:color w:val="auto"/>
        </w:rPr>
      </w:pPr>
    </w:p>
    <w:p>
      <w:pPr>
        <w:ind w:left="4" w:firstLine="1758"/>
        <w:spacing w:after="0" w:line="282" w:lineRule="auto"/>
        <w:tabs>
          <w:tab w:leader="none" w:pos="2144" w:val="left"/>
        </w:tabs>
        <w:numPr>
          <w:ilvl w:val="3"/>
          <w:numId w:val="135"/>
        </w:numPr>
        <w:rPr>
          <w:rFonts w:ascii="Arial" w:cs="Arial" w:eastAsia="Arial" w:hAnsi="Arial"/>
          <w:sz w:val="19"/>
          <w:szCs w:val="19"/>
          <w:color w:val="auto"/>
        </w:rPr>
      </w:pPr>
      <w:r>
        <w:rPr>
          <w:rFonts w:ascii="Arial" w:cs="Arial" w:eastAsia="Arial" w:hAnsi="Arial"/>
          <w:sz w:val="19"/>
          <w:szCs w:val="19"/>
          <w:color w:val="auto"/>
        </w:rPr>
        <w:t xml:space="preserve">continued coverage of Employee and Employee’s eligible dependents under the Company’s group health plan in which Employee and his eligible dependents were participants as of the Date of Termination and at the employee premium contribution rates then in effect, for a period that is the lesser of (i) three (3) months following the Date of Termination, or (ii) the date on which Employee and Employee’s eligible dependents become covered under another health plan (the amounts payable pursuant to </w:t>
      </w:r>
      <w:r>
        <w:rPr>
          <w:rFonts w:ascii="Arial" w:cs="Arial" w:eastAsia="Arial" w:hAnsi="Arial"/>
          <w:sz w:val="19"/>
          <w:szCs w:val="19"/>
          <w:u w:val="single" w:color="auto"/>
          <w:color w:val="auto"/>
        </w:rPr>
        <w:t>Section 6(a)(ii)</w:t>
      </w:r>
      <w:r>
        <w:rPr>
          <w:rFonts w:ascii="Arial" w:cs="Arial" w:eastAsia="Arial" w:hAnsi="Arial"/>
          <w:sz w:val="19"/>
          <w:szCs w:val="19"/>
          <w:color w:val="auto"/>
        </w:rPr>
        <w:t xml:space="preserve"> and this Section 6(a)(iii) constituting the “</w:t>
      </w:r>
      <w:r>
        <w:rPr>
          <w:rFonts w:ascii="Arial" w:cs="Arial" w:eastAsia="Arial" w:hAnsi="Arial"/>
          <w:sz w:val="19"/>
          <w:szCs w:val="19"/>
          <w:u w:val="single" w:color="auto"/>
          <w:color w:val="auto"/>
        </w:rPr>
        <w:t>Severance</w:t>
      </w:r>
      <w:r>
        <w:rPr>
          <w:rFonts w:ascii="Arial" w:cs="Arial" w:eastAsia="Arial" w:hAnsi="Arial"/>
          <w:sz w:val="19"/>
          <w:szCs w:val="19"/>
          <w:color w:val="auto"/>
        </w:rPr>
        <w:t>”).</w:t>
      </w:r>
    </w:p>
    <w:p>
      <w:pPr>
        <w:spacing w:after="0" w:line="147" w:lineRule="exact"/>
        <w:rPr>
          <w:sz w:val="20"/>
          <w:szCs w:val="20"/>
          <w:color w:val="auto"/>
        </w:rPr>
      </w:pPr>
    </w:p>
    <w:p>
      <w:pPr>
        <w:ind w:left="4"/>
        <w:spacing w:after="0" w:line="246" w:lineRule="auto"/>
        <w:rPr>
          <w:sz w:val="20"/>
          <w:szCs w:val="20"/>
          <w:color w:val="auto"/>
        </w:rPr>
      </w:pPr>
      <w:r>
        <w:rPr>
          <w:rFonts w:ascii="Arial" w:cs="Arial" w:eastAsia="Arial" w:hAnsi="Arial"/>
          <w:sz w:val="21"/>
          <w:szCs w:val="21"/>
          <w:color w:val="auto"/>
        </w:rPr>
        <w:t>Notwithstanding any provision of this Agreement to the contrary, the payment of Severance shall be conditioned upon Employee’s execution, delivery to the Company, and non-revocation of a general release in favor of the Company and its Affiliates, in a form acceptable to, and prepared by the Company, within sixty (60) days following the Date of Termination (the “</w:t>
      </w:r>
      <w:r>
        <w:rPr>
          <w:rFonts w:ascii="Arial" w:cs="Arial" w:eastAsia="Arial" w:hAnsi="Arial"/>
          <w:sz w:val="21"/>
          <w:szCs w:val="21"/>
          <w:u w:val="single" w:color="auto"/>
          <w:color w:val="auto"/>
        </w:rPr>
        <w:t>Release</w:t>
      </w:r>
      <w:r>
        <w:rPr>
          <w:rFonts w:ascii="Arial" w:cs="Arial" w:eastAsia="Arial" w:hAnsi="Arial"/>
          <w:sz w:val="21"/>
          <w:szCs w:val="21"/>
          <w:color w:val="auto"/>
        </w:rPr>
        <w:t>”). If Employee fails to execute the Release in such timely manner, so as to permit any revocation period to expire prior to the end of the sixty (60) day period or if Employee timely revokes his acceptance of such Release, Employee shall not be entitled to any Severance. Any Severance payment otherwise scheduled to occur prior to the sixtieth (60th) day following the Date of Termination but for the condition of executing the release as set forth herein, shall not be made until the regularly scheduled payroll date following such sixtieth (60th) day.</w:t>
      </w:r>
    </w:p>
    <w:p>
      <w:pPr>
        <w:spacing w:after="0" w:line="72" w:lineRule="exact"/>
        <w:rPr>
          <w:sz w:val="20"/>
          <w:szCs w:val="20"/>
          <w:color w:val="auto"/>
        </w:rPr>
      </w:pPr>
    </w:p>
    <w:p>
      <w:pPr>
        <w:ind w:left="4" w:right="100" w:firstLine="1208"/>
        <w:spacing w:after="0" w:line="236" w:lineRule="auto"/>
        <w:tabs>
          <w:tab w:leader="none" w:pos="1521"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Other Terminations of Employment</w:t>
      </w:r>
      <w:r>
        <w:rPr>
          <w:rFonts w:ascii="Arial" w:cs="Arial" w:eastAsia="Arial" w:hAnsi="Arial"/>
          <w:sz w:val="22"/>
          <w:szCs w:val="22"/>
          <w:color w:val="auto"/>
        </w:rPr>
        <w:t>. If Employee’s employment terminates during the Employment Period other than by the Company without Cause or by Employee for Good Reason, then Employee shall only be entitled to the Accrued Compensation. For the sake of clarity, Employee’s termination of employment by reason of his death, due to his Permanent Disability, and Employee’s termination without Good Reason, shall not constitute a termination of his employment without Cause.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04"/>
          </w:cols>
          <w:pgMar w:left="436" w:top="267" w:right="459" w:bottom="1440" w:gutter="0" w:footer="0" w:header="0"/>
        </w:sectPr>
      </w:pPr>
    </w:p>
    <w:bookmarkStart w:id="241" w:name="page242"/>
    <w:bookmarkEnd w:id="241"/>
    <w:p>
      <w:pPr>
        <w:ind w:right="60" w:firstLine="547"/>
        <w:spacing w:after="0" w:line="274" w:lineRule="auto"/>
        <w:tabs>
          <w:tab w:leader="none" w:pos="767"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Information; Ownership of Materials; Duty to Return Company Property</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w:t>
      </w:r>
      <w:r>
        <w:rPr>
          <w:rFonts w:ascii="Arial" w:cs="Arial" w:eastAsia="Arial" w:hAnsi="Arial"/>
          <w:sz w:val="19"/>
          <w:szCs w:val="19"/>
          <w:color w:val="auto"/>
        </w:rPr>
        <w:t>, the Company shall be deemed to include its subsidiaries and related divisions and business lines. In connection with his employment and continuing on an ongoing basis during the Employment Period, the Company will give Employee access to Confidential Information. Employee acknowledges and agrees that all Confidential Information is confidential and a valuable, special and unique asset of the Company that gives the Company an advantage over its actual and potential, current and future competitors. Employee further acknowledges and agrees that Employee owes the Company a fiduciary duty to preserve and protect all Confidential Information from unauthorized disclosure or unauthorized use, that certain Confidential Information constitutes “trade secrets” under applicable laws, and that unauthorized disclosure or unauthorized use of the Confidential Information would irreparably injure the Company or any Affiliate.</w:t>
      </w:r>
    </w:p>
    <w:p>
      <w:pPr>
        <w:spacing w:after="0" w:line="50" w:lineRule="exact"/>
        <w:rPr>
          <w:sz w:val="20"/>
          <w:szCs w:val="20"/>
          <w:color w:val="auto"/>
        </w:rPr>
      </w:pPr>
    </w:p>
    <w:p>
      <w:pPr>
        <w:ind w:firstLine="547"/>
        <w:spacing w:after="0" w:line="244" w:lineRule="auto"/>
        <w:tabs>
          <w:tab w:leader="none" w:pos="844"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Employee may not at any time (whether during his employment or after termination) disclose to any unauthorized person, firm or corporation or use or attempt to use for his own advantage or to the advantage of any other person, firm or corporation, any confidential information relating to the business affairs or trade secrets of the Company, or any confidential information about (howsoever obtained) or provided by any third party received during the course of or as a result of his employment (the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Confidential Information includes, but is not limited to, information relating to employees, customers and suppliers (former, actual and potential), Company products, contracts, pricing structures, financial and marketing details, business plans, any technical data, designs, formulae, product lines, intellectual property, research activities and any information which may be deemed to be commercially or price sensitive in nature, whether printed, typed, handwritten, videotaped, transmitted or transcribed on data files or on any other type of media, including but not limited to electronic and digital media, whether or not labeled as “confidential.” It also includes, without limitation, any information contained in documents marked “confidential” or documents of a higher security classification and other information which, because of its nature or the circumstances in which Employee receives it, Employee should reasonably consider to be confidential. The Company reserves the right to modify the categories of Confidential Information from time to time.</w:t>
      </w:r>
    </w:p>
    <w:p>
      <w:pPr>
        <w:spacing w:after="0" w:line="72" w:lineRule="exact"/>
        <w:rPr>
          <w:rFonts w:ascii="Arial" w:cs="Arial" w:eastAsia="Arial" w:hAnsi="Arial"/>
          <w:sz w:val="21"/>
          <w:szCs w:val="21"/>
          <w:color w:val="auto"/>
        </w:rPr>
      </w:pPr>
    </w:p>
    <w:p>
      <w:pPr>
        <w:ind w:left="860" w:hanging="313"/>
        <w:spacing w:after="0"/>
        <w:tabs>
          <w:tab w:leader="none" w:pos="86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Exclusions</w:t>
      </w:r>
      <w:r>
        <w:rPr>
          <w:rFonts w:ascii="Arial" w:cs="Arial" w:eastAsia="Arial" w:hAnsi="Arial"/>
          <w:sz w:val="22"/>
          <w:szCs w:val="22"/>
          <w:color w:val="auto"/>
        </w:rPr>
        <w:t>. The provisions of this Section 7 shall not apply to:</w:t>
      </w:r>
    </w:p>
    <w:p>
      <w:pPr>
        <w:spacing w:after="0" w:line="98" w:lineRule="exact"/>
        <w:rPr>
          <w:sz w:val="20"/>
          <w:szCs w:val="20"/>
          <w:color w:val="auto"/>
        </w:rPr>
      </w:pPr>
    </w:p>
    <w:p>
      <w:pPr>
        <w:ind w:right="140" w:firstLine="547"/>
        <w:spacing w:after="0" w:line="250" w:lineRule="auto"/>
        <w:tabs>
          <w:tab w:leader="none" w:pos="80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Information or knowledge which subsequently comes into the public domain other than by way of unauthorized use or disclosure by Employee;</w:t>
      </w:r>
    </w:p>
    <w:p>
      <w:pPr>
        <w:spacing w:after="0" w:line="66" w:lineRule="exact"/>
        <w:rPr>
          <w:rFonts w:ascii="Arial" w:cs="Arial" w:eastAsia="Arial" w:hAnsi="Arial"/>
          <w:sz w:val="22"/>
          <w:szCs w:val="22"/>
          <w:color w:val="auto"/>
        </w:rPr>
      </w:pPr>
    </w:p>
    <w:p>
      <w:pPr>
        <w:ind w:right="160" w:firstLine="547"/>
        <w:spacing w:after="0" w:line="250" w:lineRule="auto"/>
        <w:tabs>
          <w:tab w:leader="none" w:pos="86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discharge by Employee of his duties hereunder or where his use or disclosure of the information has otherwise been properly authorized by the Company;</w:t>
      </w:r>
    </w:p>
    <w:p>
      <w:pPr>
        <w:spacing w:after="0" w:line="67" w:lineRule="exact"/>
        <w:rPr>
          <w:sz w:val="20"/>
          <w:szCs w:val="20"/>
          <w:color w:val="auto"/>
        </w:rPr>
      </w:pPr>
    </w:p>
    <w:p>
      <w:pPr>
        <w:ind w:right="60" w:firstLine="547"/>
        <w:spacing w:after="0" w:line="326" w:lineRule="auto"/>
        <w:tabs>
          <w:tab w:leader="none" w:pos="91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Any disclosure required by law or by any court, arbitrator, mediator or administrative or legislative body (including any committee thereof) with jurisdiction to order Employee to disclose or make accessible any information; or</w:t>
      </w:r>
    </w:p>
    <w:p>
      <w:pPr>
        <w:ind w:right="340" w:firstLine="547"/>
        <w:spacing w:after="0" w:line="250" w:lineRule="auto"/>
        <w:tabs>
          <w:tab w:leader="none" w:pos="85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Reporting violations of U.S. federal or state laws or regulations to a relevant government agency or from making disclosures that are protected under U.S. federal and state whistleblower laws and regulations.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Pursuant to the Defend Trade Secrets Act of 2016, Employee understands that:</w:t>
      </w:r>
    </w:p>
    <w:p>
      <w:pPr>
        <w:spacing w:after="0" w:line="206" w:lineRule="exact"/>
        <w:rPr>
          <w:sz w:val="20"/>
          <w:szCs w:val="20"/>
          <w:color w:val="auto"/>
        </w:rPr>
      </w:pPr>
    </w:p>
    <w:p>
      <w:pPr>
        <w:ind w:right="20" w:firstLine="551"/>
        <w:spacing w:after="0" w:line="238" w:lineRule="auto"/>
        <w:rPr>
          <w:sz w:val="20"/>
          <w:szCs w:val="20"/>
          <w:color w:val="auto"/>
        </w:rPr>
      </w:pPr>
      <w:r>
        <w:rPr>
          <w:rFonts w:ascii="Arial" w:cs="Arial" w:eastAsia="Arial" w:hAnsi="Arial"/>
          <w:sz w:val="22"/>
          <w:szCs w:val="22"/>
          <w:color w:val="auto"/>
        </w:rPr>
        <w:t>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60"/>
          </w:cols>
          <w:pgMar w:left="440" w:top="267" w:right="499" w:bottom="1440" w:gutter="0" w:footer="0" w:header="0"/>
        </w:sectPr>
      </w:pPr>
    </w:p>
    <w:bookmarkStart w:id="242" w:name="page243"/>
    <w:bookmarkEnd w:id="242"/>
    <w:p>
      <w:pPr>
        <w:ind w:right="2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is filed under seal in a lawsuit or other proceeding. Further, an individual who files a lawsuit for retaliation by an employer for reporting a suspected violation of law may disclose the employer’s trade secrets to his attorney and use the trade secret information in the court proceeding if the individual: (a) files any document containing the trade secret under seal; and (b) does not disclose the trade secret, except pursuant to court order.</w:t>
      </w:r>
    </w:p>
    <w:p>
      <w:pPr>
        <w:spacing w:after="0" w:line="77" w:lineRule="exact"/>
        <w:rPr>
          <w:sz w:val="20"/>
          <w:szCs w:val="20"/>
          <w:color w:val="auto"/>
        </w:rPr>
      </w:pPr>
    </w:p>
    <w:p>
      <w:pPr>
        <w:ind w:right="40" w:firstLine="547"/>
        <w:spacing w:after="0" w:line="275" w:lineRule="auto"/>
        <w:tabs>
          <w:tab w:leader="none" w:pos="844"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Fiduciary Capacity; Due Care</w:t>
      </w:r>
      <w:r>
        <w:rPr>
          <w:rFonts w:ascii="Arial" w:cs="Arial" w:eastAsia="Arial" w:hAnsi="Arial"/>
          <w:sz w:val="19"/>
          <w:szCs w:val="19"/>
          <w:color w:val="auto"/>
        </w:rPr>
        <w:t>. The Employee shall hold in a fiduciary capacity for the benefit of the Company all Confidential Information that has been obtained by the Employee during the Employee’s employment by the Company and which is not public knowledge (other than by acts of the Employee or representatives of the Employee in violation of this Agreement). Employee shall exercise all due care and diligence and shall take all reasonable steps to prevent the publication or disclosure by Employee of any Confidential Information relating, in particular, but not limited to, actual or proposed transactions, of any employee, customer, client or supplier (whether former, actual or potential) of the Company, including partnerships, companies, bodies, and corporations having accounts with or in any way connected to or in discussion with the Company and all other matters relating to such customers, clients or suppliers and connections.</w:t>
      </w:r>
    </w:p>
    <w:p>
      <w:pPr>
        <w:spacing w:after="0" w:line="49" w:lineRule="exact"/>
        <w:rPr>
          <w:rFonts w:ascii="Arial" w:cs="Arial" w:eastAsia="Arial" w:hAnsi="Arial"/>
          <w:sz w:val="19"/>
          <w:szCs w:val="19"/>
          <w:color w:val="auto"/>
        </w:rPr>
      </w:pPr>
    </w:p>
    <w:p>
      <w:pPr>
        <w:ind w:left="860" w:hanging="313"/>
        <w:spacing w:after="0"/>
        <w:tabs>
          <w:tab w:leader="none" w:pos="86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Duty to Return Confidential Information and Other Company Property</w:t>
      </w:r>
      <w:r>
        <w:rPr>
          <w:rFonts w:ascii="Arial" w:cs="Arial" w:eastAsia="Arial" w:hAnsi="Arial"/>
          <w:sz w:val="22"/>
          <w:szCs w:val="22"/>
          <w:color w:val="auto"/>
        </w:rPr>
        <w:t>.</w:t>
      </w:r>
    </w:p>
    <w:p>
      <w:pPr>
        <w:spacing w:after="0" w:line="98" w:lineRule="exact"/>
        <w:rPr>
          <w:sz w:val="20"/>
          <w:szCs w:val="20"/>
          <w:color w:val="auto"/>
        </w:rPr>
      </w:pPr>
    </w:p>
    <w:p>
      <w:pPr>
        <w:ind w:right="140" w:firstLine="547"/>
        <w:spacing w:after="0" w:line="246" w:lineRule="auto"/>
        <w:tabs>
          <w:tab w:leader="none" w:pos="80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All reports, files, notes, memoranda, e-mails, accounts, documents or other material (including all notes and memoranda of any Confidential Information and any copies made or received by Employee in the course of his employment (whether during or after)) in any form, including but not limited to electronic and digital media, which contain Confidential Information or were created in the scope of Employee’s performance of services, are and shall remain the sole property of the Company and, following Employee’s termination of employment or at any other time upon the Company’s request, to the extent within his possession or control, Employee shall make every effort to surrender to the duly authorized representative of the Company or destroy in accordance with sub-section (ii) below.</w:t>
      </w:r>
    </w:p>
    <w:p>
      <w:pPr>
        <w:spacing w:after="0" w:line="76" w:lineRule="exact"/>
        <w:rPr>
          <w:rFonts w:ascii="Arial" w:cs="Arial" w:eastAsia="Arial" w:hAnsi="Arial"/>
          <w:sz w:val="21"/>
          <w:szCs w:val="21"/>
          <w:color w:val="auto"/>
        </w:rPr>
      </w:pPr>
    </w:p>
    <w:p>
      <w:pPr>
        <w:ind w:firstLine="547"/>
        <w:spacing w:after="0" w:line="272" w:lineRule="auto"/>
        <w:tabs>
          <w:tab w:leader="none" w:pos="86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Employee agrees that upon termination of his employment with the Company for any reason, or at any other time upon the Company’s request, he will return (or, if contained electronically on a non-Company database or server, delete) to the Company immediately all memoranda, books, papers, plans, information, letters and other data in any form, including but not limited to electronic and digital media, all copies thereof or, in any way relating to the business of the Company, all other property of the Company (including, but not limited to, credit cards, equipment, correspondence, data, disks, tapes, records, specifications, software, models, notes, reports and other documents together with any extracts or summaries, removable drives or other computer equipment, keys and security passes) in his possession or under his control and Employee further agrees that Employee will not retain or use for his own account at any time any trade names, trademark or other proprietary business designation used or owned in connection with the business of the Company. To the extent the Company property in Employee’s possession is not an original, and the Company has copies of such Company property, Employee may destroy such Company property and attest to the Company that said property is destroyed as opposed to being returned. Nothing herein shall affect Employee’s right to retain his employment and compensation related documentation.</w:t>
      </w:r>
    </w:p>
    <w:p>
      <w:pPr>
        <w:spacing w:after="0" w:line="53" w:lineRule="exact"/>
        <w:rPr>
          <w:sz w:val="20"/>
          <w:szCs w:val="20"/>
          <w:color w:val="auto"/>
        </w:rPr>
      </w:pPr>
    </w:p>
    <w:p>
      <w:pPr>
        <w:ind w:right="20" w:firstLine="547"/>
        <w:spacing w:after="0" w:line="297" w:lineRule="auto"/>
        <w:tabs>
          <w:tab w:leader="none" w:pos="844"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Reasonableness</w:t>
      </w:r>
      <w:r>
        <w:rPr>
          <w:rFonts w:ascii="Arial" w:cs="Arial" w:eastAsia="Arial" w:hAnsi="Arial"/>
          <w:sz w:val="19"/>
          <w:szCs w:val="19"/>
          <w:color w:val="auto"/>
        </w:rPr>
        <w:t>. Employee agrees that the undertakings set forth in this Section 7 and in Section 8 are reasonable and necessary to protect the legitimate business interests of the Company both during, and after the termination of, Employee’s employment, and that the benefits Employee receives under this Agreement are sufficient compensation for these restrictions.</w:t>
      </w:r>
    </w:p>
    <w:p>
      <w:pPr>
        <w:spacing w:after="0" w:line="26" w:lineRule="exact"/>
        <w:rPr>
          <w:sz w:val="20"/>
          <w:szCs w:val="20"/>
          <w:color w:val="auto"/>
        </w:rPr>
      </w:pPr>
    </w:p>
    <w:p>
      <w:pPr>
        <w:jc w:val="right"/>
        <w:ind w:left="5460" w:right="5400" w:hanging="4913"/>
        <w:spacing w:after="0" w:line="365" w:lineRule="auto"/>
        <w:tabs>
          <w:tab w:leader="none" w:pos="773"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Competitive Activity; Confidentiality; Non-Solicitation</w:t>
      </w:r>
      <w:r>
        <w:rPr>
          <w:rFonts w:ascii="Arial" w:cs="Arial" w:eastAsia="Arial" w:hAnsi="Arial"/>
          <w:sz w:val="19"/>
          <w:szCs w:val="19"/>
          <w:color w:val="auto"/>
        </w:rPr>
        <w:t>. 6</w:t>
      </w:r>
    </w:p>
    <w:p>
      <w:pPr>
        <w:sectPr>
          <w:pgSz w:w="11900" w:h="16838" w:orient="portrait"/>
          <w:cols w:equalWidth="0" w:num="1">
            <w:col w:w="11020"/>
          </w:cols>
          <w:pgMar w:left="440" w:top="267" w:right="439" w:bottom="1440" w:gutter="0" w:footer="0" w:header="0"/>
        </w:sectPr>
      </w:pPr>
    </w:p>
    <w:bookmarkStart w:id="243" w:name="page244"/>
    <w:bookmarkEnd w:id="243"/>
    <w:p>
      <w:pPr>
        <w:ind w:left="-460" w:firstLine="530"/>
        <w:spacing w:after="0" w:line="277" w:lineRule="auto"/>
        <w:tabs>
          <w:tab w:leader="none" w:pos="357" w:val="left"/>
        </w:tabs>
        <w:numPr>
          <w:ilvl w:val="0"/>
          <w:numId w:val="145"/>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consideration of (i) his access to the Confidential Information provided by the Company pursuant to this Agreement and (ii) the compensation from the Company that Employee will receive under this Agreement, in order to protect the Company’s Confidential Information, and the goodwill, customer base, and contractual relationships of the Company, Employee agrees to the provisions of Sections 8(b), 8(c) and 8(d). Employee further agrees that the provisions in </w:t>
      </w:r>
      <w:r>
        <w:rPr>
          <w:rFonts w:ascii="Arial" w:cs="Arial" w:eastAsia="Arial" w:hAnsi="Arial"/>
          <w:sz w:val="19"/>
          <w:szCs w:val="19"/>
          <w:u w:val="single" w:color="auto"/>
          <w:color w:val="auto"/>
        </w:rPr>
        <w:t>Sections 8(b)</w:t>
      </w:r>
      <w:r>
        <w:rPr>
          <w:rFonts w:ascii="Arial" w:cs="Arial" w:eastAsia="Arial" w:hAnsi="Arial"/>
          <w:sz w:val="19"/>
          <w:szCs w:val="19"/>
          <w:color w:val="auto"/>
        </w:rPr>
        <w:t xml:space="preserve">, </w:t>
      </w:r>
      <w:r>
        <w:rPr>
          <w:rFonts w:ascii="Arial" w:cs="Arial" w:eastAsia="Arial" w:hAnsi="Arial"/>
          <w:sz w:val="19"/>
          <w:szCs w:val="19"/>
          <w:u w:val="single" w:color="auto"/>
          <w:color w:val="auto"/>
        </w:rPr>
        <w:t>8(c)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8(d)</w:t>
      </w:r>
      <w:r>
        <w:rPr>
          <w:rFonts w:ascii="Arial" w:cs="Arial" w:eastAsia="Arial" w:hAnsi="Arial"/>
          <w:sz w:val="19"/>
          <w:szCs w:val="19"/>
          <w:color w:val="auto"/>
        </w:rPr>
        <w:t xml:space="preserve">, and Employee’s obligations in </w:t>
      </w:r>
      <w:r>
        <w:rPr>
          <w:rFonts w:ascii="Arial" w:cs="Arial" w:eastAsia="Arial" w:hAnsi="Arial"/>
          <w:sz w:val="19"/>
          <w:szCs w:val="19"/>
          <w:u w:val="single" w:color="auto"/>
          <w:color w:val="auto"/>
        </w:rPr>
        <w:t>Sections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w:t>
      </w:r>
      <w:r>
        <w:rPr>
          <w:rFonts w:ascii="Arial" w:cs="Arial" w:eastAsia="Arial" w:hAnsi="Arial"/>
          <w:sz w:val="19"/>
          <w:szCs w:val="19"/>
          <w:color w:val="auto"/>
        </w:rPr>
        <w:t>, shall survive the termination of Employee’s employment regardless of the reason for or circumstances of such termination (and regardless of whether such termination of employment is voluntary or involuntary on Employee’s part).</w:t>
      </w:r>
    </w:p>
    <w:p>
      <w:pPr>
        <w:spacing w:after="0" w:line="43" w:lineRule="exact"/>
        <w:rPr>
          <w:rFonts w:ascii="Arial" w:cs="Arial" w:eastAsia="Arial" w:hAnsi="Arial"/>
          <w:sz w:val="19"/>
          <w:szCs w:val="19"/>
          <w:color w:val="auto"/>
        </w:rPr>
      </w:pPr>
    </w:p>
    <w:p>
      <w:pPr>
        <w:ind w:left="-460" w:right="40" w:firstLine="530"/>
        <w:spacing w:after="0" w:line="244" w:lineRule="auto"/>
        <w:tabs>
          <w:tab w:leader="none" w:pos="369"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Non-Solicitation Restriction</w:t>
      </w:r>
      <w:r>
        <w:rPr>
          <w:rFonts w:ascii="Arial" w:cs="Arial" w:eastAsia="Arial" w:hAnsi="Arial"/>
          <w:sz w:val="21"/>
          <w:szCs w:val="21"/>
          <w:color w:val="auto"/>
        </w:rPr>
        <w:t>. To protect the Confidential Information, and in the event of Employee’s termination of employment for any reason, it is necessary to enter into the following restrictive covenants which are ancillary to the enforceable promises between the Company and Employee in this Agreement. Employee hereby covenants and agrees that, while employed by the Company and during the Restricted Period, Employee will not, directly or indirectly, either individually or as a principal, owner, partner, agent, consultant, contractor, employee, or as a director or officer of any corporation or other association, or in any other manner or capacity whatsoever, except on behalf of the Company, solicit business, or attempt to solicit business, in products or services competitive with any products or services provided by the Company, from the Company’s partners or clients (or any prospective partner or client) as of Employee’s employment termination date, or any other Person with whom the Company did business, or had a business relationship with, within the two (2) year period immediately preceding Employee’s termination of employment.</w:t>
      </w:r>
    </w:p>
    <w:p>
      <w:pPr>
        <w:spacing w:after="0" w:line="80" w:lineRule="exact"/>
        <w:rPr>
          <w:rFonts w:ascii="Arial" w:cs="Arial" w:eastAsia="Arial" w:hAnsi="Arial"/>
          <w:sz w:val="21"/>
          <w:szCs w:val="21"/>
          <w:color w:val="auto"/>
        </w:rPr>
      </w:pPr>
    </w:p>
    <w:p>
      <w:pPr>
        <w:ind w:left="-460" w:right="20" w:firstLine="530"/>
        <w:spacing w:after="0" w:line="271" w:lineRule="auto"/>
        <w:tabs>
          <w:tab w:leader="none" w:pos="357"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No Recruitment Restriction</w:t>
      </w:r>
      <w:r>
        <w:rPr>
          <w:rFonts w:ascii="Arial" w:cs="Arial" w:eastAsia="Arial" w:hAnsi="Arial"/>
          <w:sz w:val="19"/>
          <w:szCs w:val="19"/>
          <w:color w:val="auto"/>
        </w:rPr>
        <w:t>. Employee further agrees that Employee will not, while employed by the Company and during the Restricted Period, in any geographic area or market where (a) the Company or any Affiliate is conducting any business or actively reviewing prospects or (b) the Company or an Affiliate has conducted any business during the previous 12-month period, solicit, directly or indirectly, or cause or permit others to solicit, directly or indirectly, any person (i) formerly employed by the Company during the six (6) month period immediately preceding or following Employee’s termination of employment (“</w:t>
      </w:r>
      <w:r>
        <w:rPr>
          <w:rFonts w:ascii="Arial" w:cs="Arial" w:eastAsia="Arial" w:hAnsi="Arial"/>
          <w:sz w:val="19"/>
          <w:szCs w:val="19"/>
          <w:u w:val="single" w:color="auto"/>
          <w:color w:val="auto"/>
        </w:rPr>
        <w:t>Former Employee</w:t>
      </w:r>
      <w:r>
        <w:rPr>
          <w:rFonts w:ascii="Arial" w:cs="Arial" w:eastAsia="Arial" w:hAnsi="Arial"/>
          <w:sz w:val="19"/>
          <w:szCs w:val="19"/>
          <w:color w:val="auto"/>
        </w:rPr>
        <w:t>”) or (ii) employed by the Company (“</w:t>
      </w:r>
      <w:r>
        <w:rPr>
          <w:rFonts w:ascii="Arial" w:cs="Arial" w:eastAsia="Arial" w:hAnsi="Arial"/>
          <w:sz w:val="19"/>
          <w:szCs w:val="19"/>
          <w:u w:val="single" w:color="auto"/>
          <w:color w:val="auto"/>
        </w:rPr>
        <w:t>Current Employee</w:t>
      </w:r>
      <w:r>
        <w:rPr>
          <w:rFonts w:ascii="Arial" w:cs="Arial" w:eastAsia="Arial" w:hAnsi="Arial"/>
          <w:sz w:val="19"/>
          <w:szCs w:val="19"/>
          <w:color w:val="auto"/>
        </w:rPr>
        <w:t>”). The term “</w:t>
      </w:r>
      <w:r>
        <w:rPr>
          <w:rFonts w:ascii="Arial" w:cs="Arial" w:eastAsia="Arial" w:hAnsi="Arial"/>
          <w:sz w:val="19"/>
          <w:szCs w:val="19"/>
          <w:u w:val="single" w:color="auto"/>
          <w:color w:val="auto"/>
        </w:rPr>
        <w:t>solicit</w:t>
      </w:r>
      <w:r>
        <w:rPr>
          <w:rFonts w:ascii="Arial" w:cs="Arial" w:eastAsia="Arial" w:hAnsi="Arial"/>
          <w:sz w:val="19"/>
          <w:szCs w:val="19"/>
          <w:color w:val="auto"/>
        </w:rPr>
        <w:t>” includes, but is not limited to, the following (regardless of whether done directly or indirectly): (1) requesting that a Former or Current Employee change employment; (2) informing a Current Employee that an opening exists elsewhere; (3) assisting a Current Employee in finding employment elsewhere; (4) inquiring if a Current Employee “knows of anyone who might be interested” in a position elsewhere; (5) inquiring if a Current Employee might have an interest in employment elsewhere; (6) informing others of the name or status of, or other information about, a Current Employee; or (7) any other similar conduct, the intended or actual effect of which is that a Current Employee leaves the employment of the Company. The term “</w:t>
      </w:r>
      <w:r>
        <w:rPr>
          <w:rFonts w:ascii="Arial" w:cs="Arial" w:eastAsia="Arial" w:hAnsi="Arial"/>
          <w:sz w:val="19"/>
          <w:szCs w:val="19"/>
          <w:u w:val="single" w:color="auto"/>
          <w:color w:val="auto"/>
        </w:rPr>
        <w:t>solicit</w:t>
      </w:r>
      <w:r>
        <w:rPr>
          <w:rFonts w:ascii="Arial" w:cs="Arial" w:eastAsia="Arial" w:hAnsi="Arial"/>
          <w:sz w:val="19"/>
          <w:szCs w:val="19"/>
          <w:color w:val="auto"/>
        </w:rPr>
        <w:t>” shall not include the actions described in subsections (2)-(7) of the previous sentence if undertaken by Employee (whether done directly or indirectly) with respect to a Former Employee.</w:t>
      </w:r>
    </w:p>
    <w:p>
      <w:pPr>
        <w:spacing w:after="0" w:line="299" w:lineRule="exact"/>
        <w:rPr>
          <w:rFonts w:ascii="Arial" w:cs="Arial" w:eastAsia="Arial" w:hAnsi="Arial"/>
          <w:sz w:val="19"/>
          <w:szCs w:val="19"/>
          <w:color w:val="auto"/>
        </w:rPr>
      </w:pPr>
    </w:p>
    <w:p>
      <w:pPr>
        <w:ind w:left="-460" w:right="60" w:firstLine="530"/>
        <w:spacing w:after="0" w:line="277" w:lineRule="auto"/>
        <w:tabs>
          <w:tab w:leader="none" w:pos="369"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Non-Competition Restriction</w:t>
      </w:r>
      <w:r>
        <w:rPr>
          <w:rFonts w:ascii="Arial" w:cs="Arial" w:eastAsia="Arial" w:hAnsi="Arial"/>
          <w:sz w:val="19"/>
          <w:szCs w:val="19"/>
          <w:color w:val="auto"/>
        </w:rPr>
        <w:t>. Employee further agrees that, while employed by the Company and during the Restricted Period, Employee shall not, directly or indirectly, anywhere in the Restricted Territory, either individually or as a principal, owner, partner, member, shareholder, agent, consultant, contractor, employee, or as a director or officer of any corporation or other association, engage in any business competitive with the Business or render advice or services to, or otherwise assist, any Person who is engaged, directly or indirectly, in any business that is competitive with the Business. However, nothing in this Section 8(d) shall prohibit Employee and his Affiliates from owning, as passive investors, in the aggregate not more than three (3) percent of equity securities of any public company.</w:t>
      </w:r>
    </w:p>
    <w:p>
      <w:pPr>
        <w:spacing w:after="0" w:line="8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000"/>
          </w:cols>
          <w:pgMar w:left="1440" w:top="267" w:right="459" w:bottom="1440" w:gutter="0" w:footer="0" w:header="0"/>
        </w:sectPr>
      </w:pPr>
    </w:p>
    <w:bookmarkStart w:id="244" w:name="page245"/>
    <w:bookmarkEnd w:id="244"/>
    <w:p>
      <w:pPr>
        <w:ind w:left="-460" w:firstLine="530"/>
        <w:spacing w:after="0" w:line="269" w:lineRule="auto"/>
        <w:tabs>
          <w:tab w:leader="none" w:pos="357" w:val="left"/>
        </w:tabs>
        <w:numPr>
          <w:ilvl w:val="0"/>
          <w:numId w:val="14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agrees that (i) the covenants contained in Sections 8(b), 8(c) and 8(d) hereof are necessary for the protection of the Business, goodwill of the Company, and Confidential Information, and (ii) the compensation and other consideration received by Employee, including access to Confidential Information, are based on the parties’ agreement to such covenants. Employee represents and warrants that the time, scope of activity and geographic area restricted by Sections 8(b), 8(c) and 8(d) are reasonable, especially in view of the scope of the business operations of the Company in Europe and the United States and the nature of the Confidential Information, that the enforcement of those restrictions contained in Sections 8(b), 8(c) and 8(d) would not be unduly burdensome to or impose any undue hardship on Employee, and that Employee will be able to earn a reasonable living while abiding by such covenants. Employee agrees that the restraints and provisions of Sections 8(b), 8(c) and 8(d) are no greater than necessary, and are as narrowly drafted as reasonably possible, to protect the legitimate interests of the Company, including the Confidential Information of the Company, including without limitation its trade secrets. Employee irrevocably waives all defenses to the strict enforcement of the covenants contained in Sections 8(b), 8(c) and 8(d). The parties agree and acknowledge that the nature of the Company’s business, including the locations of its projects, vendors, customers, and potential customers, is throughout Europe and the United States. Accordingly, the parties expressly agree that the foregoing restrictions on Employee need to cover the entirety of Europe and the United States in territorial scope to adequately protect the Company’s Confidential Information and goodwill, and that such geographic restriction is reasonable in view of the Company’s business, Employee’s position and responsibilities with the Company, and Employee’s access to the Confidential Information of the Company. The parties agree that each provision in this Section 8 is separate, distinct and severable from the other and remaining provisions of this Section 8, and that the invalidity or unenforceability of any provision in this Section 8 shall not affect the validity and enforceability of any other provision or provisions in Section 8. If the scope of any restriction contained in Sections 8(b), 8(c) or 8(d) is deemed by a court to be broader than reasonable, which the parties agree should not be the case, then such restriction shall be enforced to the maximum extent permitted by law, and Employee and the Company hereby agree that such scope may be judicially modified accordingly in any proceeding brought to enforce such restriction.</w:t>
      </w:r>
    </w:p>
    <w:p>
      <w:pPr>
        <w:spacing w:after="0" w:line="307" w:lineRule="exact"/>
        <w:rPr>
          <w:rFonts w:ascii="Arial" w:cs="Arial" w:eastAsia="Arial" w:hAnsi="Arial"/>
          <w:sz w:val="19"/>
          <w:szCs w:val="19"/>
          <w:color w:val="auto"/>
        </w:rPr>
      </w:pPr>
    </w:p>
    <w:p>
      <w:pPr>
        <w:ind w:left="-460" w:firstLine="530"/>
        <w:spacing w:after="0" w:line="279" w:lineRule="auto"/>
        <w:tabs>
          <w:tab w:leader="none" w:pos="33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Employee agrees that, except as permitted by Section 8(h) the terms and conditions of this Agreement shall remain confidential as between the parties and he shall not disclose them to any other person. Without limiting the generality of the foregoing, Employee will not respond to or in any way participate in or contribute to any public discussion, notice or other publicity concerning, or in any way relating to, execution of this Agreement or its terms and conditions. The foregoing notwithstanding, Employee may disclose the terms of this Agreement to his immediate family, attorneys and financial advisors provided he informs them of this confidentiality provision and they agree to abide by it.</w:t>
      </w:r>
    </w:p>
    <w:p>
      <w:pPr>
        <w:spacing w:after="0" w:line="42" w:lineRule="exact"/>
        <w:rPr>
          <w:rFonts w:ascii="Arial" w:cs="Arial" w:eastAsia="Arial" w:hAnsi="Arial"/>
          <w:sz w:val="19"/>
          <w:szCs w:val="19"/>
          <w:color w:val="auto"/>
        </w:rPr>
      </w:pPr>
    </w:p>
    <w:p>
      <w:pPr>
        <w:ind w:left="380" w:hanging="310"/>
        <w:spacing w:after="0"/>
        <w:tabs>
          <w:tab w:leader="none" w:pos="38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Discoveries and Inventions; Work Made for Hire</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200" w:right="20" w:firstLine="498"/>
        <w:spacing w:after="0" w:line="249" w:lineRule="auto"/>
        <w:tabs>
          <w:tab w:leader="none" w:pos="948" w:val="left"/>
        </w:tabs>
        <w:numPr>
          <w:ilvl w:val="1"/>
          <w:numId w:val="146"/>
        </w:numPr>
        <w:rPr>
          <w:rFonts w:ascii="Arial" w:cs="Arial" w:eastAsia="Arial" w:hAnsi="Arial"/>
          <w:sz w:val="21"/>
          <w:szCs w:val="21"/>
          <w:color w:val="auto"/>
        </w:rPr>
      </w:pPr>
      <w:r>
        <w:rPr>
          <w:rFonts w:ascii="Arial" w:cs="Arial" w:eastAsia="Arial" w:hAnsi="Arial"/>
          <w:sz w:val="21"/>
          <w:szCs w:val="21"/>
          <w:color w:val="auto"/>
        </w:rPr>
        <w:t>Employee agrees that all Inventions are the sole and exclusive property of the Company and hereby assigns all rights to such Inventions to the Company in all countries. Employee agrees, at the Company’s expense at any time during his employment or thereafter, to sign all appropriate documents and carry out all such reasonable acts as will be necessary to identify and preserve the legal protection of all Inventions; however, the Company will have no obligation to compensate Employee for</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000"/>
          </w:cols>
          <w:pgMar w:left="1440" w:top="267" w:right="459" w:bottom="1440" w:gutter="0" w:footer="0" w:header="0"/>
        </w:sectPr>
      </w:pPr>
    </w:p>
    <w:bookmarkStart w:id="245" w:name="page246"/>
    <w:bookmarkEnd w:id="245"/>
    <w:p>
      <w:pPr>
        <w:ind w:left="540"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his time spent in connection with any assistance provided unless otherwise required by law. Notwithstanding the foregoing, Employee understands that no provision in this Agreement is intended to require assignment of any of his rights in an invention for which Employee can prove no equipment, supplies, facilities or Confidential Information or trade secret information of the Company was used, which invention was developed entirely on his own time, and which invention Employee can prove: (a) does not relate to the business of the Company or the actual or demonstrably anticipated research or development of the Company; or (b) does not result from any work performed by Employee for the Company. To the extent compatible with applicable state law, these provisions do not apply to any invention which is required to be assigned by the Company to the United States Government. Employee waives all moral rights in all Intellectual Property which is owned by the Company, or will be owned by the Company, pursuant to this Section 8(g).</w:t>
      </w:r>
    </w:p>
    <w:p>
      <w:pPr>
        <w:spacing w:after="0" w:line="57" w:lineRule="exact"/>
        <w:rPr>
          <w:sz w:val="20"/>
          <w:szCs w:val="20"/>
          <w:color w:val="auto"/>
        </w:rPr>
      </w:pPr>
    </w:p>
    <w:p>
      <w:pPr>
        <w:ind w:left="540" w:right="80" w:firstLine="408"/>
        <w:spacing w:after="0" w:line="296" w:lineRule="auto"/>
        <w:tabs>
          <w:tab w:leader="none" w:pos="1206" w:val="left"/>
        </w:tabs>
        <w:numPr>
          <w:ilvl w:val="1"/>
          <w:numId w:val="147"/>
        </w:numPr>
        <w:rPr>
          <w:rFonts w:ascii="Arial" w:cs="Arial" w:eastAsia="Arial" w:hAnsi="Arial"/>
          <w:sz w:val="16"/>
          <w:szCs w:val="16"/>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Inventions</w:t>
      </w:r>
      <w:r>
        <w:rPr>
          <w:rFonts w:ascii="Arial" w:cs="Arial" w:eastAsia="Arial" w:hAnsi="Arial"/>
          <w:sz w:val="16"/>
          <w:szCs w:val="16"/>
          <w:color w:val="auto"/>
        </w:rPr>
        <w:t>” means all inventions, whether or not patentable, Confidential Information, computer programs, copyright works, mask works, trademarks and other intellectual property made, conceived or authored by Employee, alone or jointly with others, while employed by the Company, whether or not during normal business hours or on the Company’s premises, that are within the existing or contemplated scope of the Company’s business at the time such Inventions are made, conceived, or authored or which result from or are suggested by any work Employee or others may do for or on behalf of the Company.</w:t>
      </w:r>
    </w:p>
    <w:p>
      <w:pPr>
        <w:spacing w:after="0" w:line="53" w:lineRule="exact"/>
        <w:rPr>
          <w:rFonts w:ascii="Arial" w:cs="Arial" w:eastAsia="Arial" w:hAnsi="Arial"/>
          <w:sz w:val="16"/>
          <w:szCs w:val="16"/>
          <w:color w:val="auto"/>
        </w:rPr>
      </w:pPr>
    </w:p>
    <w:p>
      <w:pPr>
        <w:ind w:right="140" w:firstLine="419"/>
        <w:spacing w:after="0" w:line="263" w:lineRule="auto"/>
        <w:tabs>
          <w:tab w:leader="none" w:pos="678"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Communication of Contents of Agreement</w:t>
      </w:r>
      <w:r>
        <w:rPr>
          <w:rFonts w:ascii="Arial" w:cs="Arial" w:eastAsia="Arial" w:hAnsi="Arial"/>
          <w:sz w:val="18"/>
          <w:szCs w:val="18"/>
          <w:color w:val="auto"/>
        </w:rPr>
        <w:t xml:space="preserve">. While employed by the Company and during the Restricted Period, Employee may disclose the contents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Agreement regarding his post-employment obligations to any person, firm, association, partnership, corporation or other entity that Employee intends to be employed by, associated with, or represent.</w:t>
      </w:r>
    </w:p>
    <w:p>
      <w:pPr>
        <w:spacing w:after="0" w:line="75" w:lineRule="exact"/>
        <w:rPr>
          <w:rFonts w:ascii="Arial" w:cs="Arial" w:eastAsia="Arial" w:hAnsi="Arial"/>
          <w:sz w:val="18"/>
          <w:szCs w:val="18"/>
          <w:color w:val="auto"/>
        </w:rPr>
      </w:pPr>
    </w:p>
    <w:p>
      <w:pPr>
        <w:ind w:firstLine="419"/>
        <w:spacing w:after="0" w:line="254" w:lineRule="auto"/>
        <w:tabs>
          <w:tab w:leader="none" w:pos="638"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Confidentiality Information of Former Employers</w:t>
      </w:r>
      <w:r>
        <w:rPr>
          <w:rFonts w:ascii="Arial" w:cs="Arial" w:eastAsia="Arial" w:hAnsi="Arial"/>
          <w:sz w:val="18"/>
          <w:szCs w:val="18"/>
          <w:color w:val="auto"/>
        </w:rPr>
        <w:t>. Employee agrees that Employee shall not disclose to the Company or induce the Company to use any secret or confidential information belonging to Employee’s former employers. Except as indicated, Employee warrants that Employee is not bound by the terms of a confidentiality agreement or other agreement with a third party that would preclude or limit Employee’s right to work for the Company and/or to disclose to the Company any ideas, inventions, discoveries, improvements or designs or other information that may be conceived during employment with the Company. Employee agrees to provide the Company with a copy of any and all agreements with a third party that preclude or limit Employee’s right to engage in any other activities contemplated by Employee’s employment with the Company.</w:t>
      </w:r>
    </w:p>
    <w:p>
      <w:pPr>
        <w:spacing w:after="0" w:line="86" w:lineRule="exact"/>
        <w:rPr>
          <w:rFonts w:ascii="Arial" w:cs="Arial" w:eastAsia="Arial" w:hAnsi="Arial"/>
          <w:sz w:val="18"/>
          <w:szCs w:val="18"/>
          <w:color w:val="auto"/>
        </w:rPr>
      </w:pPr>
    </w:p>
    <w:p>
      <w:pPr>
        <w:ind w:firstLine="419"/>
        <w:spacing w:after="0" w:line="275" w:lineRule="auto"/>
        <w:tabs>
          <w:tab w:leader="none" w:pos="638"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agrees that while employed by the Company and thereafter, he shall not (and shall cause his Affiliates not to) (i) make any negative or derogatory statement or communication regarding the Company or any of its Affiliates or employees with the intent to harm the Company or its Affiliates or (ii) make any derogatory or disparaging statement or communication regarding the Company or any of its Affiliates or employees. Nothing in this section shall be construed as to limit any rights afforded under the National Labor Relations Act (42 U.S.C. § 151 et seq.), as applicable, or to provide truthful testimony in any legal proceeding.</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246" w:name="page247"/>
    <w:bookmarkEnd w:id="246"/>
    <w:p>
      <w:pPr>
        <w:ind w:right="20" w:firstLine="530"/>
        <w:spacing w:after="0" w:line="271" w:lineRule="auto"/>
        <w:tabs>
          <w:tab w:leader="none" w:pos="829"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w:t>
      </w:r>
      <w:r>
        <w:rPr>
          <w:rFonts w:ascii="Arial" w:cs="Arial" w:eastAsia="Arial" w:hAnsi="Arial"/>
          <w:sz w:val="19"/>
          <w:szCs w:val="19"/>
          <w:color w:val="auto"/>
        </w:rPr>
        <w:t>. Employee agrees that, while employed by the Company and for a period of five years following the Date of Termination, upon reasonable notice and without the necessity of the Company obtaining a subpoena or court order, Employee shall provide reasonable cooperation in connection with any suit, action or proceeding (or any appeal from any suit, action or proceeding), and any investigation and/or defense of any claims asserted against any of Employee and the Company, its respective Affiliates, their respective predecessors and successors, and all of the respective current or former directors, officers, employees, shareholders, partners, members, agents or representatives of any of the foregoing, or any claims brought by or on behalf of the Company and its Affiliates which relates to events occurring during Employee’s employment with the Company and its Affiliates as to which Employee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Employee for expenses reasonably incurred in connection therewith, and further provided that in the case of any such cooperation occurring after the termination of Employee’s employment (i) Employee’s appearances, including appearances via electronic means (such as participation in conference calls and video appearances, shall be scheduled to the extent reasonably practicable so as not to unreasonably interfere with Employee’s business or personal affairs, (ii) Employee shall be reimbursed at a reasonable rate for the time expended by him for such appearances</w:t>
      </w:r>
    </w:p>
    <w:p>
      <w:pPr>
        <w:spacing w:after="0" w:line="295" w:lineRule="exact"/>
        <w:rPr>
          <w:rFonts w:ascii="Arial" w:cs="Arial" w:eastAsia="Arial" w:hAnsi="Arial"/>
          <w:sz w:val="19"/>
          <w:szCs w:val="19"/>
          <w:color w:val="auto"/>
        </w:rPr>
      </w:pPr>
    </w:p>
    <w:p>
      <w:pPr>
        <w:ind w:firstLine="530"/>
        <w:spacing w:after="0" w:line="272" w:lineRule="auto"/>
        <w:tabs>
          <w:tab w:leader="none" w:pos="781"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Relief</w:t>
      </w:r>
      <w:r>
        <w:rPr>
          <w:rFonts w:ascii="Arial" w:cs="Arial" w:eastAsia="Arial" w:hAnsi="Arial"/>
          <w:sz w:val="19"/>
          <w:szCs w:val="19"/>
          <w:color w:val="auto"/>
        </w:rPr>
        <w:t xml:space="preserve">. The Company and Employee agree that it is impossible to measure solely in money the damages which will accrue to the Company by reason of his failure to observe any of the obligations of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this Agreement. Therefore, if the Company shall institute any action or proceeding to enforce such provisions, Employee hereby waives the claim or defense that there is an adequate remedy at law and agrees in any such action or proceeding not to interpose the claim or defense that such remedy exists at law. Without limiting any other remedies that may be available to the Company, Employee hereby specifically affirms the appropriateness of injunctive or other equitable relief in any such action, without the necessity of proof of actual damage and without the requirement to post a bond, and acknowledges that nothing contained within this Agreement shall preclude the Company from seeking or receiving any other relief, including without limitation, any form of injunctive or equitable relief. Employee also agrees that, should he violate the provisions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and its subsections such that the Company shall be forced to undertake any efforts to defend, confirm or declare the validity of the covenants contained within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of this Agreement, the time restrictions set forth therein shall be extended for a period of time equal to the pendency of any court proceedings, including appeals.</w:t>
      </w:r>
    </w:p>
    <w:p>
      <w:pPr>
        <w:spacing w:after="0" w:line="295" w:lineRule="exact"/>
        <w:rPr>
          <w:rFonts w:ascii="Arial" w:cs="Arial" w:eastAsia="Arial" w:hAnsi="Arial"/>
          <w:sz w:val="19"/>
          <w:szCs w:val="19"/>
          <w:color w:val="auto"/>
        </w:rPr>
      </w:pPr>
    </w:p>
    <w:p>
      <w:pPr>
        <w:ind w:right="60" w:firstLine="530"/>
        <w:spacing w:after="0" w:line="235" w:lineRule="auto"/>
        <w:tabs>
          <w:tab w:leader="none" w:pos="889"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Reasonableness</w:t>
      </w:r>
      <w:r>
        <w:rPr>
          <w:rFonts w:ascii="Arial" w:cs="Arial" w:eastAsia="Arial" w:hAnsi="Arial"/>
          <w:sz w:val="22"/>
          <w:szCs w:val="22"/>
          <w:color w:val="auto"/>
        </w:rPr>
        <w:t xml:space="preserve">. Employee acknowledges that Employee’s obligations under </w:t>
      </w:r>
      <w:r>
        <w:rPr>
          <w:rFonts w:ascii="Arial" w:cs="Arial" w:eastAsia="Arial" w:hAnsi="Arial"/>
          <w:sz w:val="22"/>
          <w:szCs w:val="22"/>
          <w:u w:val="single" w:color="auto"/>
          <w:color w:val="auto"/>
        </w:rPr>
        <w:t>Sections 7 and 8</w:t>
      </w:r>
      <w:r>
        <w:rPr>
          <w:rFonts w:ascii="Arial" w:cs="Arial" w:eastAsia="Arial" w:hAnsi="Arial"/>
          <w:sz w:val="22"/>
          <w:szCs w:val="22"/>
          <w:color w:val="auto"/>
        </w:rPr>
        <w:t xml:space="preserve"> are reasonable in the context of the nature of the Company’s Business and the competitive injuries likely to be sustained by the Company if Employee were to violate such obligations. Employee further acknowledges that this Agreement is made in consideration of, and is adequately supported by the agreement of the Company to perform their obligations under this Agreement and by other consideration, which Employee acknowledges constitutes good, valuable and sufficient consideration.</w:t>
      </w:r>
    </w:p>
    <w:p>
      <w:pPr>
        <w:spacing w:after="0" w:line="79" w:lineRule="exact"/>
        <w:rPr>
          <w:rFonts w:ascii="Arial" w:cs="Arial" w:eastAsia="Arial" w:hAnsi="Arial"/>
          <w:sz w:val="22"/>
          <w:szCs w:val="22"/>
          <w:color w:val="auto"/>
        </w:rPr>
      </w:pPr>
    </w:p>
    <w:p>
      <w:pPr>
        <w:ind w:left="220" w:hanging="213"/>
        <w:spacing w:after="0"/>
        <w:tabs>
          <w:tab w:leader="none" w:pos="22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right="120" w:firstLine="530"/>
        <w:spacing w:after="0" w:line="250" w:lineRule="auto"/>
        <w:tabs>
          <w:tab w:leader="none" w:pos="817" w:val="left"/>
        </w:tabs>
        <w:numPr>
          <w:ilvl w:val="1"/>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directly or indirectly controlling or controlled by, or under direct or indirect common control with, such Person.</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420"/>
          </w:cols>
          <w:pgMar w:left="980" w:top="267" w:right="499" w:bottom="1440" w:gutter="0" w:footer="0" w:header="0"/>
        </w:sectPr>
      </w:pPr>
    </w:p>
    <w:bookmarkStart w:id="247" w:name="page248"/>
    <w:bookmarkEnd w:id="247"/>
    <w:p>
      <w:pPr>
        <w:jc w:val="both"/>
        <w:ind w:right="20" w:firstLine="530"/>
        <w:spacing w:after="0" w:line="287" w:lineRule="auto"/>
        <w:tabs>
          <w:tab w:leader="none" w:pos="829" w:val="left"/>
        </w:tabs>
        <w:numPr>
          <w:ilvl w:val="1"/>
          <w:numId w:val="151"/>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9"/>
          <w:szCs w:val="19"/>
          <w:u w:val="single" w:color="auto"/>
          <w:color w:val="auto"/>
        </w:rPr>
        <w:t>Business</w:t>
      </w:r>
      <w:r>
        <w:rPr>
          <w:rFonts w:ascii="Arial" w:cs="Arial" w:eastAsia="Arial" w:hAnsi="Arial"/>
          <w:sz w:val="19"/>
          <w:szCs w:val="19"/>
          <w:color w:val="auto"/>
        </w:rPr>
        <w:t>” means any business, whether for profit or not-for-profit, that has a significant commercial activity in pharmaceuticals which contain one or more active ingredients that are similar (in drug target specificity and function in relation to modulating that target) to pharmaceutical candidates or products researched, developed, or commercialized by the Company as of the Date of Termination and in which Employee had a material involvement.</w:t>
      </w:r>
    </w:p>
    <w:p>
      <w:pPr>
        <w:spacing w:after="0" w:line="34" w:lineRule="exact"/>
        <w:rPr>
          <w:rFonts w:ascii="Arial" w:cs="Arial" w:eastAsia="Arial" w:hAnsi="Arial"/>
          <w:sz w:val="19"/>
          <w:szCs w:val="19"/>
          <w:color w:val="auto"/>
        </w:rPr>
      </w:pPr>
    </w:p>
    <w:p>
      <w:pPr>
        <w:ind w:right="500" w:firstLine="530"/>
        <w:spacing w:after="0" w:line="250" w:lineRule="auto"/>
        <w:tabs>
          <w:tab w:leader="none" w:pos="817" w:val="left"/>
        </w:tabs>
        <w:numPr>
          <w:ilvl w:val="1"/>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means the date on which Employee’s employment with the Company and all of its Affiliates terminates.</w:t>
      </w:r>
    </w:p>
    <w:p>
      <w:pPr>
        <w:spacing w:after="0" w:line="66" w:lineRule="exact"/>
        <w:rPr>
          <w:rFonts w:ascii="Arial" w:cs="Arial" w:eastAsia="Arial" w:hAnsi="Arial"/>
          <w:sz w:val="22"/>
          <w:szCs w:val="22"/>
          <w:color w:val="auto"/>
        </w:rPr>
      </w:pPr>
    </w:p>
    <w:p>
      <w:pPr>
        <w:ind w:left="840" w:hanging="310"/>
        <w:spacing w:after="0"/>
        <w:tabs>
          <w:tab w:leader="none" w:pos="84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for resignation means Employee’s resignation as an executive of the Company within thirty</w:t>
      </w:r>
    </w:p>
    <w:p>
      <w:pPr>
        <w:spacing w:after="0" w:line="42" w:lineRule="exact"/>
        <w:rPr>
          <w:rFonts w:ascii="Arial" w:cs="Arial" w:eastAsia="Arial" w:hAnsi="Arial"/>
          <w:sz w:val="19"/>
          <w:szCs w:val="19"/>
          <w:color w:val="auto"/>
        </w:rPr>
      </w:pPr>
    </w:p>
    <w:p>
      <w:pPr>
        <w:ind w:firstLine="7"/>
        <w:spacing w:after="0" w:line="266" w:lineRule="auto"/>
        <w:tabs>
          <w:tab w:leader="none" w:pos="41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days after the occurrence of one of the following events, without Employee’s prior written consent: (i) a material reduction of Employee’s base salary; (ii) any material adverse diminution in Employee’s duties, responsibilities, authority, reporting obligations or other terms and conditions of employment; (iii) the relocation of Employee’s principal place of employment to a place outside the Atlanta, Georgia metropolitan area; or (iv) any material breach, non-performance or non-observance by the Company of any of the terms of this Agreement. In each such event listed in</w:t>
      </w:r>
    </w:p>
    <w:p>
      <w:pPr>
        <w:spacing w:after="0" w:line="4" w:lineRule="exact"/>
        <w:rPr>
          <w:rFonts w:ascii="Arial" w:cs="Arial" w:eastAsia="Arial" w:hAnsi="Arial"/>
          <w:sz w:val="19"/>
          <w:szCs w:val="19"/>
          <w:color w:val="auto"/>
        </w:rPr>
      </w:pPr>
    </w:p>
    <w:p>
      <w:pPr>
        <w:ind w:right="60"/>
        <w:spacing w:after="0" w:line="266" w:lineRule="auto"/>
        <w:rPr>
          <w:rFonts w:ascii="Arial" w:cs="Arial" w:eastAsia="Arial" w:hAnsi="Arial"/>
          <w:sz w:val="19"/>
          <w:szCs w:val="19"/>
          <w:color w:val="auto"/>
        </w:rPr>
      </w:pPr>
      <w:r>
        <w:rPr>
          <w:rFonts w:ascii="Arial" w:cs="Arial" w:eastAsia="Arial" w:hAnsi="Arial"/>
          <w:sz w:val="19"/>
          <w:szCs w:val="19"/>
          <w:color w:val="auto"/>
        </w:rPr>
        <w:t>(i) through (iv) above, Employee must give the Company at least thirty (30) days advance notice of Employee’s intention to resign for Good Reason, which shall specify in reasonable detail the circumstances constituting Good Reason, and there shall be no Good Reason with respect to any such circumstances if cured by the Company within thirty (30) days after such notice. If the Company fails to cure the circumstances constituting Good Reason within thirty</w:t>
      </w:r>
    </w:p>
    <w:p>
      <w:pPr>
        <w:spacing w:after="0" w:line="3" w:lineRule="exact"/>
        <w:rPr>
          <w:rFonts w:ascii="Arial" w:cs="Arial" w:eastAsia="Arial" w:hAnsi="Arial"/>
          <w:sz w:val="19"/>
          <w:szCs w:val="19"/>
          <w:color w:val="auto"/>
        </w:rPr>
      </w:pPr>
    </w:p>
    <w:p>
      <w:pPr>
        <w:ind w:right="120" w:firstLine="7"/>
        <w:spacing w:after="0" w:line="236" w:lineRule="auto"/>
        <w:tabs>
          <w:tab w:leader="none" w:pos="41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days after such notice, Employee must resign his employment with the Company within thirty (30) days following the expiration of the cure period.</w:t>
      </w:r>
    </w:p>
    <w:p>
      <w:pPr>
        <w:spacing w:after="0" w:line="78" w:lineRule="exact"/>
        <w:rPr>
          <w:rFonts w:ascii="Arial" w:cs="Arial" w:eastAsia="Arial" w:hAnsi="Arial"/>
          <w:sz w:val="22"/>
          <w:szCs w:val="22"/>
          <w:color w:val="auto"/>
        </w:rPr>
      </w:pPr>
    </w:p>
    <w:p>
      <w:pPr>
        <w:ind w:right="120" w:firstLine="530"/>
        <w:spacing w:after="0" w:line="282" w:lineRule="auto"/>
        <w:tabs>
          <w:tab w:leader="none" w:pos="817" w:val="left"/>
        </w:tabs>
        <w:numPr>
          <w:ilvl w:val="1"/>
          <w:numId w:val="1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Permanent Disability</w:t>
      </w:r>
      <w:r>
        <w:rPr>
          <w:rFonts w:ascii="Arial" w:cs="Arial" w:eastAsia="Arial" w:hAnsi="Arial"/>
          <w:sz w:val="19"/>
          <w:szCs w:val="19"/>
          <w:color w:val="auto"/>
        </w:rPr>
        <w:t>” means that Employee, because of accident, disability or physical or mental illness, is incapable of performing Employee’s duties to the Company for (i) a continuous period of 90 days and remains so incapable at the end of such 90 day period or (ii) periods amounting in the aggregate to 180 days within any one period of 365 days and remains so incapable at the end of such aggregate period of 180 days, in either case as determined by a physician mutually agreed upon in writing by Employee (or his designated representative) and the Company.</w:t>
      </w:r>
    </w:p>
    <w:p>
      <w:pPr>
        <w:spacing w:after="0" w:line="39" w:lineRule="exact"/>
        <w:rPr>
          <w:rFonts w:ascii="Arial" w:cs="Arial" w:eastAsia="Arial" w:hAnsi="Arial"/>
          <w:sz w:val="19"/>
          <w:szCs w:val="19"/>
          <w:color w:val="auto"/>
        </w:rPr>
      </w:pPr>
    </w:p>
    <w:p>
      <w:pPr>
        <w:ind w:firstLine="530"/>
        <w:spacing w:after="0" w:line="274" w:lineRule="auto"/>
        <w:tabs>
          <w:tab w:leader="none" w:pos="793" w:val="left"/>
        </w:tabs>
        <w:numPr>
          <w:ilvl w:val="1"/>
          <w:numId w:val="1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or an entity, including a corporation, limited liability company, general or limited partnership, trust, association or other business or investment entity or any governmental authority.</w:t>
      </w:r>
    </w:p>
    <w:p>
      <w:pPr>
        <w:spacing w:after="0" w:line="42" w:lineRule="exact"/>
        <w:rPr>
          <w:rFonts w:ascii="Arial" w:cs="Arial" w:eastAsia="Arial" w:hAnsi="Arial"/>
          <w:sz w:val="21"/>
          <w:szCs w:val="21"/>
          <w:color w:val="auto"/>
        </w:rPr>
      </w:pPr>
    </w:p>
    <w:p>
      <w:pPr>
        <w:ind w:left="840" w:hanging="310"/>
        <w:spacing w:after="0"/>
        <w:tabs>
          <w:tab w:leader="none" w:pos="84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the 6 (six) month period that begins on the Date of Termination.</w:t>
      </w:r>
    </w:p>
    <w:p>
      <w:pPr>
        <w:spacing w:after="0" w:line="98" w:lineRule="exact"/>
        <w:rPr>
          <w:rFonts w:ascii="Arial" w:cs="Arial" w:eastAsia="Arial" w:hAnsi="Arial"/>
          <w:sz w:val="22"/>
          <w:szCs w:val="22"/>
          <w:color w:val="auto"/>
        </w:rPr>
      </w:pPr>
    </w:p>
    <w:p>
      <w:pPr>
        <w:ind w:left="840" w:hanging="310"/>
        <w:spacing w:after="0"/>
        <w:tabs>
          <w:tab w:leader="none" w:pos="84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means Europe and the United States.</w:t>
      </w:r>
    </w:p>
    <w:p>
      <w:pPr>
        <w:spacing w:after="0" w:line="98" w:lineRule="exact"/>
        <w:rPr>
          <w:rFonts w:ascii="Arial" w:cs="Arial" w:eastAsia="Arial" w:hAnsi="Arial"/>
          <w:sz w:val="22"/>
          <w:szCs w:val="22"/>
          <w:color w:val="auto"/>
        </w:rPr>
      </w:pPr>
    </w:p>
    <w:p>
      <w:pPr>
        <w:ind w:left="780" w:hanging="250"/>
        <w:spacing w:after="0"/>
        <w:tabs>
          <w:tab w:leader="none" w:pos="78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Staff Handbook</w:t>
      </w:r>
      <w:r>
        <w:rPr>
          <w:rFonts w:ascii="Arial" w:cs="Arial" w:eastAsia="Arial" w:hAnsi="Arial"/>
          <w:sz w:val="19"/>
          <w:szCs w:val="19"/>
          <w:color w:val="auto"/>
        </w:rPr>
        <w:t>” means the staff handbook of Mereo BioPharma Group Plc, as amended from time to time.</w:t>
      </w:r>
    </w:p>
    <w:p>
      <w:pPr>
        <w:spacing w:after="0" w:line="132" w:lineRule="exact"/>
        <w:rPr>
          <w:rFonts w:ascii="Arial" w:cs="Arial" w:eastAsia="Arial" w:hAnsi="Arial"/>
          <w:sz w:val="19"/>
          <w:szCs w:val="19"/>
          <w:color w:val="auto"/>
        </w:rPr>
      </w:pPr>
    </w:p>
    <w:p>
      <w:pPr>
        <w:ind w:right="820" w:firstLine="530"/>
        <w:spacing w:after="0" w:line="250" w:lineRule="auto"/>
        <w:tabs>
          <w:tab w:leader="none" w:pos="781" w:val="left"/>
        </w:tabs>
        <w:numPr>
          <w:ilvl w:val="1"/>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For Cause</w:t>
      </w:r>
      <w:r>
        <w:rPr>
          <w:rFonts w:ascii="Arial" w:cs="Arial" w:eastAsia="Arial" w:hAnsi="Arial"/>
          <w:sz w:val="22"/>
          <w:szCs w:val="22"/>
          <w:color w:val="auto"/>
        </w:rPr>
        <w:t>” means the termination by the Company of Employee’s employment with the Company as a result of:</w:t>
      </w:r>
    </w:p>
    <w:p>
      <w:pPr>
        <w:spacing w:after="0" w:line="80" w:lineRule="exact"/>
        <w:rPr>
          <w:rFonts w:ascii="Arial" w:cs="Arial" w:eastAsia="Arial" w:hAnsi="Arial"/>
          <w:sz w:val="22"/>
          <w:szCs w:val="22"/>
          <w:color w:val="auto"/>
        </w:rPr>
      </w:pPr>
    </w:p>
    <w:p>
      <w:pPr>
        <w:ind w:left="1200" w:right="20" w:hanging="543"/>
        <w:spacing w:after="0" w:line="257" w:lineRule="auto"/>
        <w:tabs>
          <w:tab w:leader="none" w:pos="1200" w:val="left"/>
        </w:tabs>
        <w:numPr>
          <w:ilvl w:val="2"/>
          <w:numId w:val="153"/>
        </w:numPr>
        <w:rPr>
          <w:rFonts w:ascii="Arial" w:cs="Arial" w:eastAsia="Arial" w:hAnsi="Arial"/>
          <w:sz w:val="21"/>
          <w:szCs w:val="21"/>
          <w:color w:val="auto"/>
        </w:rPr>
      </w:pPr>
      <w:r>
        <w:rPr>
          <w:rFonts w:ascii="Arial" w:cs="Arial" w:eastAsia="Arial" w:hAnsi="Arial"/>
          <w:sz w:val="21"/>
          <w:szCs w:val="21"/>
          <w:color w:val="auto"/>
        </w:rPr>
        <w:t>Employee engaging in any act of theft or fraud concerning, or misappropriation of, funds or other assets of the Company or any of its Affiliates, or other acts of dishonesty, willful misconduct or gross negligence involving the property or affairs of the Company or its Affiliates;</w:t>
      </w:r>
    </w:p>
    <w:p>
      <w:pPr>
        <w:spacing w:after="0" w:line="102"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440"/>
          </w:cols>
          <w:pgMar w:left="980" w:top="267" w:right="479" w:bottom="1440" w:gutter="0" w:footer="0" w:header="0"/>
        </w:sectPr>
      </w:pPr>
    </w:p>
    <w:bookmarkStart w:id="248" w:name="page249"/>
    <w:bookmarkEnd w:id="248"/>
    <w:p>
      <w:pPr>
        <w:ind w:left="1740" w:right="60" w:hanging="543"/>
        <w:spacing w:after="0" w:line="250" w:lineRule="auto"/>
        <w:tabs>
          <w:tab w:leader="none" w:pos="17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conviction (by trial, upon a plea or otherwise) of Employee or the admission of guilt via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by Employee of any felony or misdemeanor involving moral turpitude;</w:t>
      </w:r>
    </w:p>
    <w:p>
      <w:pPr>
        <w:spacing w:after="0" w:line="80" w:lineRule="exact"/>
        <w:rPr>
          <w:rFonts w:ascii="Arial" w:cs="Arial" w:eastAsia="Arial" w:hAnsi="Arial"/>
          <w:sz w:val="22"/>
          <w:szCs w:val="22"/>
          <w:color w:val="auto"/>
        </w:rPr>
      </w:pPr>
    </w:p>
    <w:p>
      <w:pPr>
        <w:ind w:left="1740" w:hanging="543"/>
        <w:spacing w:after="0"/>
        <w:tabs>
          <w:tab w:leader="none" w:pos="17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Employee’s willful violation of any material policy or procedure of the Company;</w:t>
      </w:r>
    </w:p>
    <w:p>
      <w:pPr>
        <w:spacing w:after="0" w:line="111" w:lineRule="exact"/>
        <w:rPr>
          <w:rFonts w:ascii="Arial" w:cs="Arial" w:eastAsia="Arial" w:hAnsi="Arial"/>
          <w:sz w:val="22"/>
          <w:szCs w:val="22"/>
          <w:color w:val="auto"/>
        </w:rPr>
      </w:pPr>
    </w:p>
    <w:p>
      <w:pPr>
        <w:ind w:left="1740" w:right="340" w:hanging="543"/>
        <w:spacing w:after="0" w:line="250" w:lineRule="auto"/>
        <w:tabs>
          <w:tab w:leader="none" w:pos="17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Employee’s material breach of the fiduciary duties owed by an officer of the Company to the Company under applicable law;</w:t>
      </w:r>
    </w:p>
    <w:p>
      <w:pPr>
        <w:spacing w:after="0" w:line="80" w:lineRule="exact"/>
        <w:rPr>
          <w:rFonts w:ascii="Arial" w:cs="Arial" w:eastAsia="Arial" w:hAnsi="Arial"/>
          <w:sz w:val="22"/>
          <w:szCs w:val="22"/>
          <w:color w:val="auto"/>
        </w:rPr>
      </w:pPr>
    </w:p>
    <w:p>
      <w:pPr>
        <w:ind w:left="1740" w:right="100" w:hanging="543"/>
        <w:spacing w:after="0" w:line="250" w:lineRule="auto"/>
        <w:tabs>
          <w:tab w:leader="none" w:pos="17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Employee’s willful failure (other than due to mental or physical incapacity) or refusal to obey and execute all reasonable and lawful directions given by or under the authority of the Board;</w:t>
      </w:r>
    </w:p>
    <w:p>
      <w:pPr>
        <w:spacing w:after="0" w:line="80" w:lineRule="exact"/>
        <w:rPr>
          <w:rFonts w:ascii="Arial" w:cs="Arial" w:eastAsia="Arial" w:hAnsi="Arial"/>
          <w:sz w:val="22"/>
          <w:szCs w:val="22"/>
          <w:color w:val="auto"/>
        </w:rPr>
      </w:pPr>
    </w:p>
    <w:p>
      <w:pPr>
        <w:ind w:left="1740" w:hanging="543"/>
        <w:spacing w:after="0"/>
        <w:tabs>
          <w:tab w:leader="none" w:pos="17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Employee’s willful and material breach of any of the terms and conditions of this Agreement; or</w:t>
      </w:r>
    </w:p>
    <w:p>
      <w:pPr>
        <w:spacing w:after="0" w:line="111" w:lineRule="exact"/>
        <w:rPr>
          <w:rFonts w:ascii="Arial" w:cs="Arial" w:eastAsia="Arial" w:hAnsi="Arial"/>
          <w:sz w:val="22"/>
          <w:szCs w:val="22"/>
          <w:color w:val="auto"/>
        </w:rPr>
      </w:pPr>
    </w:p>
    <w:p>
      <w:pPr>
        <w:ind w:left="1740" w:right="300" w:hanging="543"/>
        <w:spacing w:after="0" w:line="274" w:lineRule="auto"/>
        <w:tabs>
          <w:tab w:leader="none" w:pos="17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Employee’s willful and material breach of any restrictive covenants by which Employee is bound under this Agreement or any other agreement with the Company or any of its Affiliates.</w:t>
      </w:r>
    </w:p>
    <w:p>
      <w:pPr>
        <w:spacing w:after="0" w:line="43" w:lineRule="exact"/>
        <w:rPr>
          <w:sz w:val="20"/>
          <w:szCs w:val="20"/>
          <w:color w:val="auto"/>
        </w:rPr>
      </w:pPr>
    </w:p>
    <w:p>
      <w:pPr>
        <w:ind w:left="540"/>
        <w:spacing w:after="0" w:line="275" w:lineRule="auto"/>
        <w:rPr>
          <w:sz w:val="20"/>
          <w:szCs w:val="20"/>
          <w:color w:val="auto"/>
        </w:rPr>
      </w:pPr>
      <w:r>
        <w:rPr>
          <w:rFonts w:ascii="Arial" w:cs="Arial" w:eastAsia="Arial" w:hAnsi="Arial"/>
          <w:sz w:val="19"/>
          <w:szCs w:val="19"/>
          <w:color w:val="auto"/>
        </w:rPr>
        <w:t>Notwithstanding the foregoing, if there exists a circumstance that constitutes “Cause” as set forth above which is capable of being cured by Employee, the Company will promptly notify Employee in writing of such event (which notification shall specify in reasonable detail the conduct that the Company alleges to constitute Cause and the specific actions, if any, which the Company believes Employee must take to cure such events or conditions) and Employee will have 30 days from the date such written notice is given to cure such events, and, if cured, such events or conditions will be deemed not to constitute Cause hereunder. For the purposes of this Section 8(j), no act or failure to act on Employees part shall be considered “willful” unless it is done or omitted to be done by Employee in bad faith and without reasonable belief that the act or failure to act was in the best interest of the Company.</w:t>
      </w:r>
    </w:p>
    <w:p>
      <w:pPr>
        <w:spacing w:after="0" w:line="49" w:lineRule="exact"/>
        <w:rPr>
          <w:sz w:val="20"/>
          <w:szCs w:val="20"/>
          <w:color w:val="auto"/>
        </w:rPr>
      </w:pPr>
    </w:p>
    <w:p>
      <w:pPr>
        <w:ind w:left="540" w:right="80" w:firstLine="530"/>
        <w:spacing w:after="0" w:line="326" w:lineRule="auto"/>
        <w:tabs>
          <w:tab w:leader="none" w:pos="1369" w:val="left"/>
        </w:tabs>
        <w:numPr>
          <w:ilvl w:val="1"/>
          <w:numId w:val="1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means the Company termination of Employee’s employment with the Company and its Affiliates for any reason other than death, a termination for Permanent Disability or a Termination For Cause.</w:t>
      </w:r>
    </w:p>
    <w:p>
      <w:pPr>
        <w:ind w:left="880" w:hanging="333"/>
        <w:spacing w:after="0"/>
        <w:tabs>
          <w:tab w:leader="none" w:pos="880"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The respective rights and obligations of the parties hereunder of this Agreement shall survive the</w:t>
      </w:r>
    </w:p>
    <w:p>
      <w:pPr>
        <w:spacing w:after="0" w:line="19" w:lineRule="exact"/>
        <w:rPr>
          <w:rFonts w:ascii="Arial" w:cs="Arial" w:eastAsia="Arial" w:hAnsi="Arial"/>
          <w:sz w:val="21"/>
          <w:szCs w:val="21"/>
          <w:color w:val="auto"/>
        </w:rPr>
      </w:pPr>
    </w:p>
    <w:p>
      <w:pPr>
        <w:spacing w:after="0" w:line="236" w:lineRule="auto"/>
        <w:rPr>
          <w:rFonts w:ascii="Arial" w:cs="Arial" w:eastAsia="Arial" w:hAnsi="Arial"/>
          <w:sz w:val="21"/>
          <w:szCs w:val="21"/>
          <w:color w:val="auto"/>
        </w:rPr>
      </w:pPr>
      <w:r>
        <w:rPr>
          <w:rFonts w:ascii="Arial" w:cs="Arial" w:eastAsia="Arial" w:hAnsi="Arial"/>
          <w:sz w:val="22"/>
          <w:szCs w:val="22"/>
          <w:color w:val="auto"/>
        </w:rPr>
        <w:t>Employment Period, Employee’s termination of employment, and the termination of this Agreement to the extent necessary for the intended preservation of such rights and obligations.</w:t>
      </w:r>
    </w:p>
    <w:p>
      <w:pPr>
        <w:spacing w:after="0" w:line="78" w:lineRule="exact"/>
        <w:rPr>
          <w:rFonts w:ascii="Arial" w:cs="Arial" w:eastAsia="Arial" w:hAnsi="Arial"/>
          <w:sz w:val="21"/>
          <w:szCs w:val="21"/>
          <w:color w:val="auto"/>
        </w:rPr>
      </w:pPr>
    </w:p>
    <w:p>
      <w:pPr>
        <w:ind w:right="40" w:firstLine="547"/>
        <w:spacing w:after="0" w:line="282" w:lineRule="auto"/>
        <w:tabs>
          <w:tab w:leader="none" w:pos="867"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may withhold, or cause to be withheld, from any amounts payable under this Agreement all federal, state, city or other taxes as the Company or any of its Affiliates, is required to withhold pursuant to any applicable law, regulation or ruling. Notwithstanding any other provision of this Agreement, the Company shall not be obligated to guarantee any particular tax result for Employee with respect to any payment provided to Employee hereunder, and Employee shall be responsible for any taxes imposed on Employee with respect to any such payment.</w:t>
      </w:r>
    </w:p>
    <w:p>
      <w:pPr>
        <w:spacing w:after="0" w:line="39" w:lineRule="exact"/>
        <w:rPr>
          <w:rFonts w:ascii="Arial" w:cs="Arial" w:eastAsia="Arial" w:hAnsi="Arial"/>
          <w:sz w:val="19"/>
          <w:szCs w:val="19"/>
          <w:color w:val="auto"/>
        </w:rPr>
      </w:pPr>
    </w:p>
    <w:p>
      <w:pPr>
        <w:ind w:right="60" w:firstLine="547"/>
        <w:spacing w:after="0"/>
        <w:tabs>
          <w:tab w:leader="none" w:pos="875"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provided for in this Agreement shall be in writing and shall be personally delivered, sent by reputable overnight carrier, sent via electronic mail or mailed by first class mail, return receipt requested, to the recipient at the address or email address, as applicable, below indicated: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00"/>
          </w:cols>
          <w:pgMar w:left="440" w:top="267" w:right="459" w:bottom="1440" w:gutter="0" w:footer="0" w:header="0"/>
        </w:sectPr>
      </w:pPr>
    </w:p>
    <w:bookmarkStart w:id="249" w:name="page250"/>
    <w:bookmarkEnd w:id="249"/>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 to Employee</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John Richard</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21 West Andrews Drive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Atlanta, GA 30305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jr@mereobiopharma.com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Notices to the Company</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The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legal@mereobiopharma.com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Charles Sermon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Mereo Biopharma Group plc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Cavendish Place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cs@mereobiopharma.com</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(or in the case of electronic mail, when electronic evidence of transmission is received).</w:t>
      </w:r>
    </w:p>
    <w:p>
      <w:pPr>
        <w:spacing w:after="0" w:line="76" w:lineRule="exact"/>
        <w:rPr>
          <w:sz w:val="20"/>
          <w:szCs w:val="20"/>
          <w:color w:val="auto"/>
        </w:rPr>
      </w:pPr>
    </w:p>
    <w:p>
      <w:pPr>
        <w:ind w:right="40" w:firstLine="436"/>
        <w:spacing w:after="0" w:line="259" w:lineRule="auto"/>
        <w:tabs>
          <w:tab w:leader="none" w:pos="71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invalid or unenforceable in any respect under any applicable law, such invalidity or unenforceability shall not affect any other provision, but this Agreement shall be reformed, construed and enforced as if such invalid or unenforceable provision had never been contained herein.</w:t>
      </w:r>
    </w:p>
    <w:p>
      <w:pPr>
        <w:spacing w:after="0" w:line="78" w:lineRule="exact"/>
        <w:rPr>
          <w:rFonts w:ascii="Arial" w:cs="Arial" w:eastAsia="Arial" w:hAnsi="Arial"/>
          <w:sz w:val="18"/>
          <w:szCs w:val="18"/>
          <w:color w:val="auto"/>
        </w:rPr>
      </w:pPr>
    </w:p>
    <w:p>
      <w:pPr>
        <w:jc w:val="both"/>
        <w:ind w:firstLine="436"/>
        <w:spacing w:after="0" w:line="259" w:lineRule="auto"/>
        <w:tabs>
          <w:tab w:leader="none" w:pos="71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embodies the complete agreement and understanding between the parties with respect to the subject matter hereof and effective as of its date supersedes and preempts any prior understandings, agreements or representations by or between the parties, written or oral, which may have related to the subject matter hereof in any way, including without limitation, the Previous Employment Agreement and the Consulting Agreement.</w:t>
      </w:r>
    </w:p>
    <w:p>
      <w:pPr>
        <w:spacing w:after="0" w:line="78" w:lineRule="exact"/>
        <w:rPr>
          <w:rFonts w:ascii="Arial" w:cs="Arial" w:eastAsia="Arial" w:hAnsi="Arial"/>
          <w:sz w:val="18"/>
          <w:szCs w:val="18"/>
          <w:color w:val="auto"/>
        </w:rPr>
      </w:pPr>
    </w:p>
    <w:p>
      <w:pPr>
        <w:ind w:right="900" w:firstLine="436"/>
        <w:spacing w:after="0" w:line="342" w:lineRule="auto"/>
        <w:tabs>
          <w:tab w:leader="none" w:pos="71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separate counterparts (including facsimile and other electronically transmitted counterparts), each of which shall be deemed to be an original, but all of which together shall constitute one and the same agreement.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40" w:top="274" w:right="579" w:bottom="1440" w:gutter="0" w:footer="0" w:header="0"/>
        </w:sectPr>
      </w:pPr>
    </w:p>
    <w:bookmarkStart w:id="250" w:name="page251"/>
    <w:bookmarkEnd w:id="250"/>
    <w:p>
      <w:pPr>
        <w:ind w:right="120" w:firstLine="547"/>
        <w:spacing w:after="0" w:line="273" w:lineRule="auto"/>
        <w:tabs>
          <w:tab w:leader="none" w:pos="875"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9"/>
          <w:szCs w:val="19"/>
          <w:color w:val="auto"/>
        </w:rPr>
        <w:t>. This Agreement shall bind and inure to the benefit of and be enforceable by Employee and the Company and their respective heirs, executors, personal representatives, successors and permitted assigns, except that no party may assign any rights or delegate any obligations hereunder without the prior written consent of the other parties.</w:t>
      </w:r>
    </w:p>
    <w:p>
      <w:pPr>
        <w:spacing w:after="0" w:line="1" w:lineRule="exact"/>
        <w:rPr>
          <w:rFonts w:ascii="Arial" w:cs="Arial" w:eastAsia="Arial" w:hAnsi="Arial"/>
          <w:sz w:val="19"/>
          <w:szCs w:val="19"/>
          <w:color w:val="auto"/>
        </w:rPr>
      </w:pPr>
    </w:p>
    <w:p>
      <w:pPr>
        <w:ind w:right="100"/>
        <w:spacing w:after="0" w:line="234" w:lineRule="auto"/>
        <w:rPr>
          <w:rFonts w:ascii="Arial" w:cs="Arial" w:eastAsia="Arial" w:hAnsi="Arial"/>
          <w:sz w:val="19"/>
          <w:szCs w:val="19"/>
          <w:color w:val="auto"/>
        </w:rPr>
      </w:pPr>
      <w:r>
        <w:rPr>
          <w:rFonts w:ascii="Arial" w:cs="Arial" w:eastAsia="Arial" w:hAnsi="Arial"/>
          <w:sz w:val="22"/>
          <w:szCs w:val="22"/>
          <w:color w:val="auto"/>
        </w:rPr>
        <w:t>Employee hereby consents to the assignment by the Company of all of its rights and obligations hereunder to any successor to the Company by merger or consolidation or purchase of all or substantially all of the Company’s assets, provided such transferee or successor assumes the liabilities of the Company hereunder.</w:t>
      </w:r>
    </w:p>
    <w:p>
      <w:pPr>
        <w:spacing w:after="0" w:line="79" w:lineRule="exact"/>
        <w:rPr>
          <w:rFonts w:ascii="Arial" w:cs="Arial" w:eastAsia="Arial" w:hAnsi="Arial"/>
          <w:sz w:val="19"/>
          <w:szCs w:val="19"/>
          <w:color w:val="auto"/>
        </w:rPr>
      </w:pPr>
    </w:p>
    <w:p>
      <w:pPr>
        <w:ind w:left="880" w:hanging="333"/>
        <w:spacing w:after="0"/>
        <w:tabs>
          <w:tab w:leader="none" w:pos="88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Choice of Law; Venue; Consent to Jurisdiction; Consent to Service of Process</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540" w:right="20" w:firstLine="530"/>
        <w:spacing w:after="0" w:line="238" w:lineRule="auto"/>
        <w:tabs>
          <w:tab w:leader="none" w:pos="1357"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 of the State of Delaware applicable to contracts made and to be performed entirely within that State. The validity, interpretation, construction, and performance of this Agreement in all respects shall be governed by the laws of the State of Delaware without regard to its principles of conflicts of law.</w:t>
      </w:r>
    </w:p>
    <w:p>
      <w:pPr>
        <w:spacing w:after="0" w:line="76" w:lineRule="exact"/>
        <w:rPr>
          <w:rFonts w:ascii="Arial" w:cs="Arial" w:eastAsia="Arial" w:hAnsi="Arial"/>
          <w:sz w:val="22"/>
          <w:szCs w:val="22"/>
          <w:color w:val="auto"/>
        </w:rPr>
      </w:pPr>
    </w:p>
    <w:p>
      <w:pPr>
        <w:ind w:left="540" w:right="80" w:firstLine="530"/>
        <w:spacing w:after="0" w:line="245" w:lineRule="auto"/>
        <w:tabs>
          <w:tab w:leader="none" w:pos="1369" w:val="left"/>
        </w:tabs>
        <w:numPr>
          <w:ilvl w:val="1"/>
          <w:numId w:val="158"/>
        </w:numPr>
        <w:rPr>
          <w:rFonts w:ascii="Arial" w:cs="Arial" w:eastAsia="Arial" w:hAnsi="Arial"/>
          <w:sz w:val="21"/>
          <w:szCs w:val="21"/>
          <w:color w:val="auto"/>
        </w:rPr>
      </w:pPr>
      <w:r>
        <w:rPr>
          <w:rFonts w:ascii="Arial" w:cs="Arial" w:eastAsia="Arial" w:hAnsi="Arial"/>
          <w:sz w:val="21"/>
          <w:szCs w:val="21"/>
          <w:u w:val="single" w:color="auto"/>
          <w:color w:val="auto"/>
        </w:rPr>
        <w:t>Venue</w:t>
      </w:r>
      <w:r>
        <w:rPr>
          <w:rFonts w:ascii="Arial" w:cs="Arial" w:eastAsia="Arial" w:hAnsi="Arial"/>
          <w:sz w:val="21"/>
          <w:szCs w:val="21"/>
          <w:color w:val="auto"/>
        </w:rPr>
        <w:t>. Except as otherwise specifically provided herein, Employee and the Company each hereby irrevocably submits to the exclusive jurisdiction of the United States District Court for the District of Delaware (or, if subject matter jurisdiction in that court is not available, in any state court located in Wilmington, Delaware) over any dispute arising out of or relating to this Agreement. Except as otherwise specifically provided in this Agreement, the parties undertake not to commence any suit, action or proceeding arising out of or relating to this Agreement in a forum other than a forum described in this Section 17; provided, however, that nothing herein shall preclude the Company from bringing any suit, action or proceeding in any other court for the purposes of enforcing the provisions of this Section 17 or enforcing any judgment obtained by the Company. Employee waives any objection to jurisdiction and venue of any action instituted against Employee as provided herein and agrees not to assert any defense based on lack of jurisdiction or venue.</w:t>
      </w:r>
    </w:p>
    <w:p>
      <w:pPr>
        <w:spacing w:after="0" w:line="72" w:lineRule="exact"/>
        <w:rPr>
          <w:rFonts w:ascii="Arial" w:cs="Arial" w:eastAsia="Arial" w:hAnsi="Arial"/>
          <w:sz w:val="21"/>
          <w:szCs w:val="21"/>
          <w:color w:val="auto"/>
        </w:rPr>
      </w:pPr>
    </w:p>
    <w:p>
      <w:pPr>
        <w:ind w:left="540" w:firstLine="530"/>
        <w:spacing w:after="0" w:line="245" w:lineRule="auto"/>
        <w:tabs>
          <w:tab w:leader="none" w:pos="1357" w:val="left"/>
        </w:tabs>
        <w:numPr>
          <w:ilvl w:val="1"/>
          <w:numId w:val="158"/>
        </w:numPr>
        <w:rPr>
          <w:rFonts w:ascii="Arial" w:cs="Arial" w:eastAsia="Arial" w:hAnsi="Arial"/>
          <w:sz w:val="21"/>
          <w:szCs w:val="21"/>
          <w:color w:val="auto"/>
        </w:rPr>
      </w:pPr>
      <w:r>
        <w:rPr>
          <w:rFonts w:ascii="Arial" w:cs="Arial" w:eastAsia="Arial" w:hAnsi="Arial"/>
          <w:sz w:val="21"/>
          <w:szCs w:val="21"/>
          <w:color w:val="auto"/>
        </w:rPr>
        <w:t>The agreement of the parties to the forum described in this Section 17 is independent of the law that may be applied in any suit, action, or proceeding and the parties agree to such forum even if such forum may under applicable law choose to apply non-forum law. The parties hereby waive, to the fullest extent permitted by applicable law, any objection which they now or hereafter have to personal jurisdiction or to the laying of venue of any such suit, action or proceeding brought in an applicable court described in this Section 17, and the parties agree that they shall not attempt to deny or defeat such personal jurisdiction by motion or other request for leave from any such court. The parties agree that, to the fullest extent permitted by applicable law, a final and non-appealable judgment in any suit, action or proceeding brought in any applicable court described in Section 17(a) shall be conclusive and binding upon the parties and may be enforced in any other jurisdiction.</w:t>
      </w:r>
    </w:p>
    <w:p>
      <w:pPr>
        <w:spacing w:after="0" w:line="76" w:lineRule="exact"/>
        <w:rPr>
          <w:rFonts w:ascii="Arial" w:cs="Arial" w:eastAsia="Arial" w:hAnsi="Arial"/>
          <w:sz w:val="21"/>
          <w:szCs w:val="21"/>
          <w:color w:val="auto"/>
        </w:rPr>
      </w:pPr>
    </w:p>
    <w:p>
      <w:pPr>
        <w:ind w:left="540" w:right="260" w:firstLine="530"/>
        <w:spacing w:after="0"/>
        <w:tabs>
          <w:tab w:leader="none" w:pos="1369"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Consent to Service of Process</w:t>
      </w:r>
      <w:r>
        <w:rPr>
          <w:rFonts w:ascii="Arial" w:cs="Arial" w:eastAsia="Arial" w:hAnsi="Arial"/>
          <w:sz w:val="22"/>
          <w:szCs w:val="22"/>
          <w:color w:val="auto"/>
        </w:rPr>
        <w:t>. The parties hereto irrevocably consent to the service of any and all process in any suit, action or proceeding arising out of or relating to this Agreement by the mailing of copies of such process to such party at such party’s address specified in Section 12.</w:t>
      </w:r>
    </w:p>
    <w:p>
      <w:pPr>
        <w:spacing w:after="0" w:line="78" w:lineRule="exact"/>
        <w:rPr>
          <w:rFonts w:ascii="Arial" w:cs="Arial" w:eastAsia="Arial" w:hAnsi="Arial"/>
          <w:sz w:val="22"/>
          <w:szCs w:val="22"/>
          <w:color w:val="auto"/>
        </w:rPr>
      </w:pPr>
    </w:p>
    <w:p>
      <w:pPr>
        <w:ind w:right="240" w:firstLine="547"/>
        <w:spacing w:after="0"/>
        <w:tabs>
          <w:tab w:leader="none" w:pos="875"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Amendment and Waiver</w:t>
      </w:r>
      <w:r>
        <w:rPr>
          <w:rFonts w:ascii="Arial" w:cs="Arial" w:eastAsia="Arial" w:hAnsi="Arial"/>
          <w:sz w:val="22"/>
          <w:szCs w:val="22"/>
          <w:color w:val="auto"/>
        </w:rPr>
        <w:t>. The provisions of this Agreement may be amended or waived only with the prior written consent of the Company and Employee, and no course of conduct or failure or delay in enforcing the provisions of this Agreement shall affect the validity, binding effect or enforceability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00"/>
          </w:cols>
          <w:pgMar w:left="440" w:top="267" w:right="459" w:bottom="1440" w:gutter="0" w:footer="0" w:header="0"/>
        </w:sectPr>
      </w:pPr>
    </w:p>
    <w:bookmarkStart w:id="251" w:name="page252"/>
    <w:bookmarkEnd w:id="251"/>
    <w:p>
      <w:pPr>
        <w:ind w:left="880" w:hanging="333"/>
        <w:spacing w:after="0"/>
        <w:tabs>
          <w:tab w:leader="none" w:pos="880"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Information</w:t>
      </w:r>
      <w:r>
        <w:rPr>
          <w:rFonts w:ascii="Arial" w:cs="Arial" w:eastAsia="Arial" w:hAnsi="Arial"/>
          <w:sz w:val="21"/>
          <w:szCs w:val="21"/>
          <w:color w:val="auto"/>
        </w:rPr>
        <w:t>. Employee acknowledges and agrees that the Company is permitted to hold personal</w:t>
      </w:r>
    </w:p>
    <w:p>
      <w:pPr>
        <w:spacing w:after="0" w:line="19" w:lineRule="exact"/>
        <w:rPr>
          <w:rFonts w:ascii="Arial" w:cs="Arial" w:eastAsia="Arial" w:hAnsi="Arial"/>
          <w:sz w:val="21"/>
          <w:szCs w:val="21"/>
          <w:color w:val="auto"/>
        </w:rPr>
      </w:pPr>
    </w:p>
    <w:p>
      <w:pPr>
        <w:ind w:right="40"/>
        <w:spacing w:after="0" w:line="236" w:lineRule="auto"/>
        <w:rPr>
          <w:rFonts w:ascii="Arial" w:cs="Arial" w:eastAsia="Arial" w:hAnsi="Arial"/>
          <w:sz w:val="21"/>
          <w:szCs w:val="21"/>
          <w:color w:val="auto"/>
        </w:rPr>
      </w:pPr>
      <w:r>
        <w:rPr>
          <w:rFonts w:ascii="Arial" w:cs="Arial" w:eastAsia="Arial" w:hAnsi="Arial"/>
          <w:sz w:val="22"/>
          <w:szCs w:val="22"/>
          <w:color w:val="auto"/>
        </w:rPr>
        <w:t>information about him as part of its personnel and other business records and, in accordance with applicable law, may use such information in the course of the Company’s business.</w:t>
      </w:r>
    </w:p>
    <w:p>
      <w:pPr>
        <w:spacing w:after="0" w:line="78" w:lineRule="exact"/>
        <w:rPr>
          <w:rFonts w:ascii="Arial" w:cs="Arial" w:eastAsia="Arial" w:hAnsi="Arial"/>
          <w:sz w:val="21"/>
          <w:szCs w:val="21"/>
          <w:color w:val="auto"/>
        </w:rPr>
      </w:pPr>
    </w:p>
    <w:p>
      <w:pPr>
        <w:ind w:right="220" w:firstLine="547"/>
        <w:spacing w:after="0"/>
        <w:tabs>
          <w:tab w:leader="none" w:pos="875"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Advice of Counsel</w:t>
      </w:r>
      <w:r>
        <w:rPr>
          <w:rFonts w:ascii="Arial" w:cs="Arial" w:eastAsia="Arial" w:hAnsi="Arial"/>
          <w:sz w:val="22"/>
          <w:szCs w:val="22"/>
          <w:color w:val="auto"/>
        </w:rPr>
        <w:t>. Each party represents and warrants that it has had a full opportunity to seek advice and representation by independent counsel of its own choosing in connection with this Agreement and it has either received such advice or, in its business judgment, decided not to seek such advice.</w:t>
      </w:r>
    </w:p>
    <w:p>
      <w:pPr>
        <w:spacing w:after="0" w:line="78" w:lineRule="exact"/>
        <w:rPr>
          <w:rFonts w:ascii="Arial" w:cs="Arial" w:eastAsia="Arial" w:hAnsi="Arial"/>
          <w:sz w:val="22"/>
          <w:szCs w:val="22"/>
          <w:color w:val="auto"/>
        </w:rPr>
      </w:pPr>
    </w:p>
    <w:p>
      <w:pPr>
        <w:jc w:val="both"/>
        <w:ind w:right="80" w:firstLine="547"/>
        <w:spacing w:after="0"/>
        <w:tabs>
          <w:tab w:leader="none" w:pos="875"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Section Headings; Interpretation</w:t>
      </w:r>
      <w:r>
        <w:rPr>
          <w:rFonts w:ascii="Arial" w:cs="Arial" w:eastAsia="Arial" w:hAnsi="Arial"/>
          <w:sz w:val="22"/>
          <w:szCs w:val="22"/>
          <w:color w:val="auto"/>
        </w:rPr>
        <w:t>. The section headings in this Agreement are for convenience of reference only, and they form no part of this Agreement and shall not affect its interpretation. It is the parties’ intention that this Agreement not be construed more strictly with regard to the Employee or the Company.</w:t>
      </w:r>
    </w:p>
    <w:p>
      <w:pPr>
        <w:spacing w:after="0" w:line="78" w:lineRule="exact"/>
        <w:rPr>
          <w:rFonts w:ascii="Arial" w:cs="Arial" w:eastAsia="Arial" w:hAnsi="Arial"/>
          <w:sz w:val="22"/>
          <w:szCs w:val="22"/>
          <w:color w:val="auto"/>
        </w:rPr>
      </w:pPr>
    </w:p>
    <w:p>
      <w:pPr>
        <w:ind w:right="100" w:firstLine="547"/>
        <w:spacing w:after="0" w:line="238" w:lineRule="auto"/>
        <w:tabs>
          <w:tab w:leader="none" w:pos="875"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Code Section 409A Compliance</w:t>
      </w:r>
      <w:r>
        <w:rPr>
          <w:rFonts w:ascii="Arial" w:cs="Arial" w:eastAsia="Arial" w:hAnsi="Arial"/>
          <w:sz w:val="22"/>
          <w:szCs w:val="22"/>
          <w:color w:val="auto"/>
        </w:rPr>
        <w:t>. The intent of the parties to this Agreement is that payments and benefits under this Agreement comply with or are exempt from Internal Revenue Code Section 409A (“</w:t>
      </w:r>
      <w:r>
        <w:rPr>
          <w:rFonts w:ascii="Arial" w:cs="Arial" w:eastAsia="Arial" w:hAnsi="Arial"/>
          <w:sz w:val="22"/>
          <w:szCs w:val="22"/>
          <w:u w:val="single" w:color="auto"/>
          <w:color w:val="auto"/>
        </w:rPr>
        <w:t>Section 409A</w:t>
      </w:r>
      <w:r>
        <w:rPr>
          <w:rFonts w:ascii="Arial" w:cs="Arial" w:eastAsia="Arial" w:hAnsi="Arial"/>
          <w:sz w:val="22"/>
          <w:szCs w:val="22"/>
          <w:color w:val="auto"/>
        </w:rPr>
        <w:t>”) and the regulations and guidance promulgated thereunder to the extent applicable, and accordingly, to the maximum extent permitted, this Agreement will be interpreted and administered in compliance therewith.</w:t>
      </w:r>
    </w:p>
    <w:p>
      <w:pPr>
        <w:spacing w:after="0" w:line="77" w:lineRule="exact"/>
        <w:rPr>
          <w:sz w:val="20"/>
          <w:szCs w:val="20"/>
          <w:color w:val="auto"/>
        </w:rPr>
      </w:pPr>
    </w:p>
    <w:p>
      <w:pPr>
        <w:ind w:firstLine="547"/>
        <w:spacing w:after="0" w:line="234" w:lineRule="auto"/>
        <w:tabs>
          <w:tab w:leader="none" w:pos="84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Subject to Employee’s consent, this Agreement may be amended by the Company as necessary in an effort to comply with Section 409A. It is hereby agreed and understood that Employee will be solely liable for any and all taxes, interest and/or penalties imposed by any lawful taxing authority relating to taxes due as a result of Section 409A on account of any payments made or deemed to be made to Employee hereunder or pursuant to any Company arrangements that may be deemed to be deferred compensation under Section 409A, and the Company will not indemnify Employee against any and all taxes, interest and/or penalties that may be imposed by any taxing authority in the event of a determination of non-compliance with Section 409A.</w:t>
      </w:r>
    </w:p>
    <w:p>
      <w:pPr>
        <w:spacing w:after="0" w:line="82" w:lineRule="exact"/>
        <w:rPr>
          <w:rFonts w:ascii="Arial" w:cs="Arial" w:eastAsia="Arial" w:hAnsi="Arial"/>
          <w:sz w:val="22"/>
          <w:szCs w:val="22"/>
          <w:color w:val="auto"/>
        </w:rPr>
      </w:pPr>
    </w:p>
    <w:p>
      <w:pPr>
        <w:ind w:right="140" w:firstLine="547"/>
        <w:spacing w:after="0" w:line="273" w:lineRule="auto"/>
        <w:tabs>
          <w:tab w:leader="none" w:pos="857"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Notwithstanding anything herein to the contrary, to the extent required by Section 409A, upon a termination of Employee’s employment (other than as a result of death), if Employee is at the time a “specified employee” (within the meaning of Section 409A), distributions under this Agreement determined, in whole or in part, to constitute “nonqualified deferred compensation” within the meaning of Section 409A and payable to Employee on account of Employee’s termination of employment or other “separation from service” (within the meaning of Section 409A(a)(2)(A)(i) of the Code and the Treasury regulations issued thereunder) will be delayed until six months after such termination of employment, and such distributions will be made at the beginning of the seventh month following the date of such termination of employment or other separation from service. For purposes of this Agreement, “termination of employment” and similar terms shall be interpreted to mean “separation from service” as defined above and any amount constituting deferred compensation that is payable to Employee upon Employee’s termination of employment will only be paid (and will be paid) if such termination constitutes a “separation from service” as defined above.</w:t>
      </w:r>
    </w:p>
    <w:p>
      <w:pPr>
        <w:spacing w:after="0" w:line="47" w:lineRule="exact"/>
        <w:rPr>
          <w:rFonts w:ascii="Arial" w:cs="Arial" w:eastAsia="Arial" w:hAnsi="Arial"/>
          <w:sz w:val="19"/>
          <w:szCs w:val="19"/>
          <w:color w:val="auto"/>
        </w:rPr>
      </w:pPr>
    </w:p>
    <w:p>
      <w:pPr>
        <w:ind w:right="280" w:firstLine="547"/>
        <w:spacing w:after="0" w:line="287" w:lineRule="auto"/>
        <w:tabs>
          <w:tab w:leader="none" w:pos="84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determination of whether and when the Employee’s separation from service from the Company has occurred shall be made in a manner consistent with, and based on the presumptions set forth in, Treasury Regulation Section 1.409A-1(h). Solely for purposes of this Section 23, “Company” shall include all persons with whom the Company would be considered a single employer as determined under Treasury Regulation Section 1.409A-1(h)(3).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00"/>
          </w:cols>
          <w:pgMar w:left="440" w:top="267" w:right="459" w:bottom="1440" w:gutter="0" w:footer="0" w:header="0"/>
        </w:sectPr>
      </w:pPr>
    </w:p>
    <w:bookmarkStart w:id="252" w:name="page253"/>
    <w:bookmarkEnd w:id="252"/>
    <w:p>
      <w:pPr>
        <w:ind w:right="20" w:firstLine="436"/>
        <w:spacing w:after="0" w:line="259"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a payment under this Agreement specifies a payment period with reference to a number of days (e.g., “payment will be made within thirty (30) days following the date of termination”), the actual date of payment within the specified period will be within the sole discretion of the Company. If, under this Agreement, an amount constituting deferred compensation is to be paid to Employee in two or more installments, for purposes of Section 409A, each installment will be treated as a separate payment.</w:t>
      </w:r>
    </w:p>
    <w:p>
      <w:pPr>
        <w:spacing w:after="0" w:line="78" w:lineRule="exact"/>
        <w:rPr>
          <w:rFonts w:ascii="Arial" w:cs="Arial" w:eastAsia="Arial" w:hAnsi="Arial"/>
          <w:sz w:val="18"/>
          <w:szCs w:val="18"/>
          <w:color w:val="auto"/>
        </w:rPr>
      </w:pPr>
    </w:p>
    <w:p>
      <w:pPr>
        <w:ind w:firstLine="436"/>
        <w:spacing w:after="0" w:line="272" w:lineRule="auto"/>
        <w:tabs>
          <w:tab w:leader="none" w:pos="68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All reimbursements and in-kind benefits provided under this Agreement, including any relocation assistance provided pursuant to the Company’s relocation assistance policy,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-19050</wp:posOffset>
            </wp:positionV>
            <wp:extent cx="22282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117475</wp:posOffset>
            </wp:positionV>
            <wp:extent cx="3429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-10160</wp:posOffset>
            </wp:positionV>
            <wp:extent cx="22282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126365</wp:posOffset>
            </wp:positionV>
            <wp:extent cx="4000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163195</wp:posOffset>
            </wp:positionV>
            <wp:extent cx="27946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Richard</w:t>
      </w:r>
    </w:p>
    <w:p>
      <w:pPr>
        <w:spacing w:after="0" w:line="231"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Employment Agreement</w:t>
      </w:r>
      <w:r>
        <w:rPr>
          <w:rFonts w:ascii="Arial" w:cs="Arial" w:eastAsia="Arial" w:hAnsi="Arial"/>
          <w:sz w:val="22"/>
          <w:szCs w:val="22"/>
          <w:color w:val="auto"/>
        </w:rPr>
        <w:t>]</w:t>
      </w:r>
    </w:p>
    <w:p>
      <w:pPr>
        <w:sectPr>
          <w:pgSz w:w="11900" w:h="16838" w:orient="portrait"/>
          <w:cols w:equalWidth="0" w:num="1">
            <w:col w:w="9579"/>
          </w:cols>
          <w:pgMar w:left="880" w:top="274" w:right="1440" w:bottom="1440" w:gutter="0" w:footer="0" w:header="0"/>
        </w:sectPr>
      </w:pPr>
    </w:p>
    <w:bookmarkStart w:id="254" w:name="page255"/>
    <w:bookmarkEnd w:id="25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Specific Duties and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Employee’s duties and responsibilities as Head of Corporate Development include the following specific duties and responsibilities:</w:t>
      </w:r>
    </w:p>
    <w:p>
      <w:pPr>
        <w:spacing w:after="0" w:line="131" w:lineRule="exact"/>
        <w:rPr>
          <w:sz w:val="20"/>
          <w:szCs w:val="20"/>
          <w:color w:val="auto"/>
        </w:rPr>
      </w:pPr>
    </w:p>
    <w:p>
      <w:pPr>
        <w:ind w:left="960" w:hanging="424"/>
        <w:spacing w:after="0"/>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Advising on the Company’s business development strategy</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Negotiating the structure and terms of business transactions involving the Company’s products, including the in-licensing, out-licensing, purchase, and acquisition of product candidates</w:t>
      </w:r>
    </w:p>
    <w:p>
      <w:pPr>
        <w:spacing w:after="0" w:line="75"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Meeting with senior management of pharmaceutical companies to discuss including the in- licensing, out-licensing, purchase, and acquisition of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Attend key conferences to discuss the in-licensing, out-licensing, purchase, and acquisition of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Manage the individuals reporting to you as Head of Corporate Development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00"/>
          </w:cols>
          <w:pgMar w:left="440" w:top="270" w:right="659" w:bottom="1440" w:gutter="0" w:footer="0" w:header="0"/>
        </w:sectPr>
      </w:pPr>
    </w:p>
    <w:bookmarkStart w:id="255" w:name="page256"/>
    <w:bookmarkEnd w:id="255"/>
    <w:p>
      <w:pPr>
        <w:ind w:left="9904"/>
        <w:spacing w:after="0"/>
        <w:rPr>
          <w:sz w:val="20"/>
          <w:szCs w:val="20"/>
          <w:color w:val="auto"/>
        </w:rPr>
      </w:pPr>
      <w:r>
        <w:rPr>
          <w:rFonts w:ascii="Arial" w:cs="Arial" w:eastAsia="Arial" w:hAnsi="Arial"/>
          <w:sz w:val="19"/>
          <w:szCs w:val="19"/>
          <w:b w:val="1"/>
          <w:bCs w:val="1"/>
          <w:color w:val="auto"/>
        </w:rPr>
        <w:t>Exhibit 4.33</w:t>
      </w:r>
    </w:p>
    <w:p>
      <w:pPr>
        <w:spacing w:after="0" w:line="274" w:lineRule="exact"/>
        <w:rPr>
          <w:sz w:val="20"/>
          <w:szCs w:val="20"/>
          <w:color w:val="auto"/>
        </w:rPr>
      </w:pPr>
    </w:p>
    <w:p>
      <w:pPr>
        <w:ind w:left="4"/>
        <w:spacing w:after="0"/>
        <w:tabs>
          <w:tab w:leader="none" w:pos="9164" w:val="left"/>
        </w:tabs>
        <w:rPr>
          <w:sz w:val="20"/>
          <w:szCs w:val="20"/>
          <w:color w:val="auto"/>
        </w:rPr>
      </w:pPr>
      <w:r>
        <w:rPr>
          <w:rFonts w:ascii="Arial" w:cs="Arial" w:eastAsia="Arial" w:hAnsi="Arial"/>
          <w:sz w:val="22"/>
          <w:szCs w:val="22"/>
          <w:color w:val="auto"/>
        </w:rPr>
        <w:t>THIS AMENDED AND RESTATED CONTRACT OF EMPLOYMENT dated</w:t>
      </w:r>
      <w:r>
        <w:rPr>
          <w:sz w:val="20"/>
          <w:szCs w:val="20"/>
          <w:color w:val="auto"/>
        </w:rPr>
        <w:tab/>
      </w:r>
      <w:r>
        <w:rPr>
          <w:rFonts w:ascii="Arial" w:cs="Arial" w:eastAsia="Arial" w:hAnsi="Arial"/>
          <w:sz w:val="19"/>
          <w:szCs w:val="19"/>
          <w:color w:val="auto"/>
        </w:rPr>
        <w:t>August 2021 is made</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BETWEEN:</w:t>
      </w:r>
    </w:p>
    <w:p>
      <w:pPr>
        <w:spacing w:after="0" w:line="112" w:lineRule="exact"/>
        <w:rPr>
          <w:sz w:val="20"/>
          <w:szCs w:val="20"/>
          <w:color w:val="auto"/>
        </w:rPr>
      </w:pPr>
    </w:p>
    <w:p>
      <w:pPr>
        <w:ind w:left="764" w:right="680" w:hanging="764"/>
        <w:spacing w:after="0" w:line="333" w:lineRule="auto"/>
        <w:tabs>
          <w:tab w:leader="none" w:pos="764"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MEREO BIOPHARMA GROUP PLC</w:t>
      </w:r>
      <w:r>
        <w:rPr>
          <w:rFonts w:ascii="Arial" w:cs="Arial" w:eastAsia="Arial" w:hAnsi="Arial"/>
          <w:sz w:val="19"/>
          <w:szCs w:val="19"/>
          <w:color w:val="auto"/>
        </w:rPr>
        <w:t>, (a company incorporated in England and Wales and registered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number 9481161, whose registered office is at 1 Cavendish Place, London W1G 0QF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ind w:left="764" w:hanging="764"/>
        <w:spacing w:after="0"/>
        <w:tabs>
          <w:tab w:leader="none" w:pos="764" w:val="left"/>
        </w:tabs>
        <w:numPr>
          <w:ilvl w:val="0"/>
          <w:numId w:val="163"/>
        </w:numPr>
        <w:rPr>
          <w:rFonts w:ascii="Arial" w:cs="Arial" w:eastAsia="Arial" w:hAnsi="Arial"/>
          <w:sz w:val="22"/>
          <w:szCs w:val="22"/>
          <w:color w:val="auto"/>
        </w:rPr>
      </w:pPr>
      <w:r>
        <w:rPr>
          <w:rFonts w:ascii="Arial" w:cs="Arial" w:eastAsia="Arial" w:hAnsi="Arial"/>
          <w:sz w:val="22"/>
          <w:szCs w:val="22"/>
          <w:b w:val="1"/>
          <w:bCs w:val="1"/>
          <w:color w:val="auto"/>
        </w:rPr>
        <w:t>DENISE SCOTS-KNIGHT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black"/>
        </w:rPr>
        <w:t>One Carlos Place, London, W1K 3AJ</w:t>
      </w:r>
    </w:p>
    <w:p>
      <w:pPr>
        <w:spacing w:after="0" w:line="212" w:lineRule="exact"/>
        <w:rPr>
          <w:sz w:val="20"/>
          <w:szCs w:val="20"/>
          <w:color w:val="auto"/>
        </w:rPr>
      </w:pPr>
    </w:p>
    <w:p>
      <w:pPr>
        <w:ind w:left="4" w:right="60"/>
        <w:spacing w:after="0"/>
        <w:rPr>
          <w:sz w:val="20"/>
          <w:szCs w:val="20"/>
          <w:color w:val="auto"/>
        </w:rPr>
      </w:pPr>
      <w:r>
        <w:rPr>
          <w:rFonts w:ascii="Arial" w:cs="Arial" w:eastAsia="Arial" w:hAnsi="Arial"/>
          <w:sz w:val="22"/>
          <w:szCs w:val="22"/>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329" w:lineRule="exact"/>
        <w:rPr>
          <w:sz w:val="20"/>
          <w:szCs w:val="20"/>
          <w:color w:val="auto"/>
        </w:rPr>
      </w:pPr>
    </w:p>
    <w:p>
      <w:pPr>
        <w:ind w:left="764" w:hanging="764"/>
        <w:spacing w:after="0"/>
        <w:tabs>
          <w:tab w:leader="none" w:pos="764"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definitions and rules of interpretation in this clause 1 apply in this Contract.</w:t>
      </w:r>
    </w:p>
    <w:p>
      <w:pPr>
        <w:spacing w:after="0" w:line="106"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Appointment</w:t>
      </w:r>
      <w:r>
        <w:rPr>
          <w:rFonts w:ascii="Arial" w:cs="Arial" w:eastAsia="Arial" w:hAnsi="Arial"/>
          <w:sz w:val="19"/>
          <w:szCs w:val="19"/>
          <w:color w:val="auto"/>
        </w:rPr>
        <w:t>: the employment of the Employee by the Company on the terms of this Contract.</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Associated Employer</w:t>
      </w:r>
      <w:r>
        <w:rPr>
          <w:rFonts w:ascii="Arial" w:cs="Arial" w:eastAsia="Arial" w:hAnsi="Arial"/>
          <w:sz w:val="19"/>
          <w:szCs w:val="19"/>
          <w:color w:val="auto"/>
        </w:rPr>
        <w:t>: has the meaning given to it in the Employment Rights Act 1996.</w:t>
      </w:r>
    </w:p>
    <w:p>
      <w:pPr>
        <w:spacing w:after="0" w:line="112" w:lineRule="exact"/>
        <w:rPr>
          <w:sz w:val="20"/>
          <w:szCs w:val="20"/>
          <w:color w:val="auto"/>
        </w:rPr>
      </w:pPr>
    </w:p>
    <w:p>
      <w:pPr>
        <w:ind w:left="2204" w:right="120" w:hanging="768"/>
        <w:spacing w:after="0" w:line="256" w:lineRule="auto"/>
        <w:tabs>
          <w:tab w:leader="none" w:pos="218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Board</w:t>
      </w:r>
      <w:r>
        <w:rPr>
          <w:rFonts w:ascii="Arial" w:cs="Arial" w:eastAsia="Arial" w:hAnsi="Arial"/>
          <w:sz w:val="22"/>
          <w:szCs w:val="22"/>
          <w:color w:val="auto"/>
        </w:rPr>
        <w:t>: the board of directors of the Company (including any committee of the board duly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by it).</w:t>
      </w:r>
    </w:p>
    <w:p>
      <w:pPr>
        <w:spacing w:after="0" w:line="68"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Commencement Date </w:t>
      </w:r>
      <w:r>
        <w:rPr>
          <w:rFonts w:ascii="Arial" w:cs="Arial" w:eastAsia="Arial" w:hAnsi="Arial"/>
          <w:sz w:val="19"/>
          <w:szCs w:val="19"/>
          <w:color w:val="auto"/>
        </w:rPr>
        <w:t>1</w:t>
      </w:r>
      <w:r>
        <w:rPr>
          <w:rFonts w:ascii="Arial" w:cs="Arial" w:eastAsia="Arial" w:hAnsi="Arial"/>
          <w:sz w:val="16"/>
          <w:szCs w:val="16"/>
          <w:color w:val="auto"/>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July 2015</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 all of</w:t>
      </w:r>
    </w:p>
    <w:p>
      <w:pPr>
        <w:spacing w:after="0" w:line="118" w:lineRule="exact"/>
        <w:rPr>
          <w:sz w:val="20"/>
          <w:szCs w:val="20"/>
          <w:color w:val="auto"/>
        </w:rPr>
      </w:pPr>
    </w:p>
    <w:p>
      <w:pPr>
        <w:ind w:left="2844" w:right="120" w:hanging="644"/>
        <w:spacing w:after="0" w:line="236" w:lineRule="auto"/>
        <w:tabs>
          <w:tab w:leader="none" w:pos="284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92" w:lineRule="exact"/>
        <w:rPr>
          <w:rFonts w:ascii="Arial" w:cs="Arial" w:eastAsia="Arial" w:hAnsi="Arial"/>
          <w:sz w:val="22"/>
          <w:szCs w:val="22"/>
          <w:color w:val="auto"/>
        </w:rPr>
      </w:pPr>
    </w:p>
    <w:p>
      <w:pPr>
        <w:ind w:left="2844" w:right="420" w:hanging="644"/>
        <w:spacing w:after="0" w:line="297" w:lineRule="auto"/>
        <w:tabs>
          <w:tab w:leader="none" w:pos="284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39" w:lineRule="exact"/>
        <w:rPr>
          <w:rFonts w:ascii="Arial" w:cs="Arial" w:eastAsia="Arial" w:hAnsi="Arial"/>
          <w:sz w:val="19"/>
          <w:szCs w:val="19"/>
          <w:color w:val="auto"/>
        </w:rPr>
      </w:pPr>
    </w:p>
    <w:p>
      <w:pPr>
        <w:ind w:left="2844" w:right="20" w:hanging="644"/>
        <w:spacing w:after="0" w:line="257" w:lineRule="auto"/>
        <w:tabs>
          <w:tab w:leader="none" w:pos="2844" w:val="left"/>
        </w:tabs>
        <w:numPr>
          <w:ilvl w:val="0"/>
          <w:numId w:val="165"/>
        </w:numPr>
        <w:rPr>
          <w:rFonts w:ascii="Arial" w:cs="Arial" w:eastAsia="Arial" w:hAnsi="Arial"/>
          <w:sz w:val="21"/>
          <w:szCs w:val="21"/>
          <w:color w:val="auto"/>
        </w:rPr>
      </w:pPr>
      <w:r>
        <w:rPr>
          <w:rFonts w:ascii="Arial" w:cs="Arial" w:eastAsia="Arial" w:hAnsi="Arial"/>
          <w:sz w:val="21"/>
          <w:szCs w:val="21"/>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101" w:lineRule="exact"/>
        <w:rPr>
          <w:rFonts w:ascii="Arial" w:cs="Arial" w:eastAsia="Arial" w:hAnsi="Arial"/>
          <w:sz w:val="21"/>
          <w:szCs w:val="21"/>
          <w:color w:val="auto"/>
        </w:rPr>
      </w:pPr>
    </w:p>
    <w:p>
      <w:pPr>
        <w:ind w:left="5464" w:hanging="136"/>
        <w:spacing w:after="0"/>
        <w:tabs>
          <w:tab w:leader="none" w:pos="5464" w:val="left"/>
        </w:tabs>
        <w:numPr>
          <w:ilvl w:val="1"/>
          <w:numId w:val="165"/>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024"/>
          </w:cols>
          <w:pgMar w:left="436" w:top="112" w:right="439" w:bottom="1440" w:gutter="0" w:footer="0" w:header="0"/>
        </w:sectPr>
      </w:pPr>
    </w:p>
    <w:bookmarkStart w:id="256" w:name="page257"/>
    <w:bookmarkEnd w:id="256"/>
    <w:p>
      <w:pPr>
        <w:ind w:left="1840" w:right="280" w:hanging="644"/>
        <w:spacing w:after="0"/>
        <w:tabs>
          <w:tab w:leader="none" w:pos="18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details of the employees, officers and workers of and consultants to the Company or any Group Company their job skills and capabilities and of the remuneration and other benefits paid to them;</w:t>
      </w:r>
    </w:p>
    <w:p>
      <w:pPr>
        <w:spacing w:after="0" w:line="91" w:lineRule="exact"/>
        <w:rPr>
          <w:rFonts w:ascii="Arial" w:cs="Arial" w:eastAsia="Arial" w:hAnsi="Arial"/>
          <w:sz w:val="22"/>
          <w:szCs w:val="22"/>
          <w:color w:val="auto"/>
        </w:rPr>
      </w:pPr>
    </w:p>
    <w:p>
      <w:pPr>
        <w:ind w:left="1840" w:right="160" w:hanging="644"/>
        <w:spacing w:after="0" w:line="236" w:lineRule="auto"/>
        <w:tabs>
          <w:tab w:leader="none" w:pos="18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92" w:lineRule="exact"/>
        <w:rPr>
          <w:rFonts w:ascii="Arial" w:cs="Arial" w:eastAsia="Arial" w:hAnsi="Arial"/>
          <w:sz w:val="22"/>
          <w:szCs w:val="22"/>
          <w:color w:val="auto"/>
        </w:rPr>
      </w:pPr>
    </w:p>
    <w:p>
      <w:pPr>
        <w:jc w:val="both"/>
        <w:ind w:left="1840" w:right="180" w:hanging="644"/>
        <w:spacing w:after="0"/>
        <w:tabs>
          <w:tab w:leader="none" w:pos="18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confidential reports or research commissioned by or provided to the Company or any Group Company and any trade secrets and confidential transactions of the Company or any Group Company;</w:t>
      </w:r>
    </w:p>
    <w:p>
      <w:pPr>
        <w:spacing w:after="0" w:line="91" w:lineRule="exact"/>
        <w:rPr>
          <w:rFonts w:ascii="Arial" w:cs="Arial" w:eastAsia="Arial" w:hAnsi="Arial"/>
          <w:sz w:val="22"/>
          <w:szCs w:val="22"/>
          <w:color w:val="auto"/>
        </w:rPr>
      </w:pPr>
    </w:p>
    <w:p>
      <w:pPr>
        <w:ind w:left="1840" w:right="120" w:hanging="644"/>
        <w:spacing w:after="0"/>
        <w:tabs>
          <w:tab w:leader="none" w:pos="18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91" w:lineRule="exact"/>
        <w:rPr>
          <w:rFonts w:ascii="Arial" w:cs="Arial" w:eastAsia="Arial" w:hAnsi="Arial"/>
          <w:sz w:val="22"/>
          <w:szCs w:val="22"/>
          <w:color w:val="auto"/>
        </w:rPr>
      </w:pPr>
    </w:p>
    <w:p>
      <w:pPr>
        <w:ind w:left="1840" w:hanging="644"/>
        <w:spacing w:after="0" w:line="282" w:lineRule="auto"/>
        <w:tabs>
          <w:tab w:leader="none" w:pos="18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52" w:lineRule="exact"/>
        <w:rPr>
          <w:rFonts w:ascii="Arial" w:cs="Arial" w:eastAsia="Arial" w:hAnsi="Arial"/>
          <w:sz w:val="19"/>
          <w:szCs w:val="19"/>
          <w:color w:val="auto"/>
        </w:rPr>
      </w:pPr>
    </w:p>
    <w:p>
      <w:pPr>
        <w:ind w:left="1840" w:right="340" w:hanging="644"/>
        <w:spacing w:after="0" w:line="250" w:lineRule="auto"/>
        <w:tabs>
          <w:tab w:leader="none" w:pos="18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details of any advertising, marketing or promotional campaign which the Company or any Group Company is to conduct; and</w:t>
      </w:r>
    </w:p>
    <w:p>
      <w:pPr>
        <w:spacing w:after="0" w:line="80" w:lineRule="exact"/>
        <w:rPr>
          <w:rFonts w:ascii="Arial" w:cs="Arial" w:eastAsia="Arial" w:hAnsi="Arial"/>
          <w:sz w:val="22"/>
          <w:szCs w:val="22"/>
          <w:color w:val="auto"/>
        </w:rPr>
      </w:pPr>
    </w:p>
    <w:p>
      <w:pPr>
        <w:ind w:left="1840" w:right="400" w:hanging="644"/>
        <w:spacing w:after="0" w:line="297" w:lineRule="auto"/>
        <w:tabs>
          <w:tab w:leader="none" w:pos="18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33" w:lineRule="exact"/>
        <w:rPr>
          <w:sz w:val="20"/>
          <w:szCs w:val="20"/>
          <w:color w:val="auto"/>
        </w:rPr>
      </w:pPr>
    </w:p>
    <w:p>
      <w:pPr>
        <w:ind w:left="1200" w:right="40" w:hanging="768"/>
        <w:spacing w:after="0" w:line="243" w:lineRule="auto"/>
        <w:tabs>
          <w:tab w:leader="none" w:pos="11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b w:val="1"/>
          <w:bCs w:val="1"/>
          <w:color w:val="auto"/>
        </w:rPr>
        <w:t xml:space="preserve">Documents: </w:t>
      </w:r>
      <w:r>
        <w:rPr>
          <w:rFonts w:ascii="Arial" w:cs="Arial" w:eastAsia="Arial" w:hAnsi="Arial"/>
          <w:sz w:val="22"/>
          <w:szCs w:val="22"/>
          <w:color w:val="auto"/>
        </w:rPr>
        <w:t>documents, manuals, disks, memory, notebooks, tapes (including copies)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medium, whether or not eye-readable, on which information (whether confidential or otherwise) may from time to time be referred to, written or recorded.</w:t>
      </w:r>
    </w:p>
    <w:p>
      <w:pPr>
        <w:spacing w:after="0" w:line="82" w:lineRule="exact"/>
        <w:rPr>
          <w:sz w:val="20"/>
          <w:szCs w:val="20"/>
          <w:color w:val="auto"/>
        </w:rPr>
      </w:pPr>
    </w:p>
    <w:p>
      <w:pPr>
        <w:ind w:left="1200" w:right="220" w:hanging="768"/>
        <w:spacing w:after="0" w:line="256" w:lineRule="auto"/>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b w:val="1"/>
          <w:bCs w:val="1"/>
          <w:color w:val="auto"/>
        </w:rPr>
        <w:t xml:space="preserve">Group Company </w:t>
      </w:r>
      <w:r>
        <w:rPr>
          <w:rFonts w:ascii="Arial" w:cs="Arial" w:eastAsia="Arial" w:hAnsi="Arial"/>
          <w:sz w:val="22"/>
          <w:szCs w:val="22"/>
          <w:color w:val="auto"/>
        </w:rPr>
        <w:t>: the Company, its Subsidiaries or Holding Companies from time to time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of any Holding Company from time to time.</w:t>
      </w:r>
    </w:p>
    <w:p>
      <w:pPr>
        <w:spacing w:after="0" w:line="10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980"/>
          </w:cols>
          <w:pgMar w:left="1440" w:top="267" w:right="479" w:bottom="1440" w:gutter="0" w:footer="0" w:header="0"/>
        </w:sectPr>
      </w:pPr>
    </w:p>
    <w:bookmarkStart w:id="257" w:name="page258"/>
    <w:bookmarkEnd w:id="257"/>
    <w:p>
      <w:pPr>
        <w:ind w:left="1200" w:right="60" w:hanging="768"/>
        <w:spacing w:after="0" w:line="256" w:lineRule="auto"/>
        <w:tabs>
          <w:tab w:leader="none" w:pos="11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w:t>
      </w:r>
      <w:r>
        <w:rPr>
          <w:sz w:val="20"/>
          <w:szCs w:val="20"/>
          <w:color w:val="auto"/>
        </w:rPr>
        <w:tab/>
      </w:r>
      <w:r>
        <w:rPr>
          <w:rFonts w:ascii="Arial" w:cs="Arial" w:eastAsia="Arial" w:hAnsi="Arial"/>
          <w:sz w:val="22"/>
          <w:szCs w:val="22"/>
          <w:b w:val="1"/>
          <w:bCs w:val="1"/>
          <w:color w:val="auto"/>
        </w:rPr>
        <w:t>Incapacity</w:t>
      </w:r>
      <w:r>
        <w:rPr>
          <w:rFonts w:ascii="Arial" w:cs="Arial" w:eastAsia="Arial" w:hAnsi="Arial"/>
          <w:sz w:val="22"/>
          <w:szCs w:val="22"/>
          <w:color w:val="auto"/>
        </w:rPr>
        <w:t>: any sickness, injury or other medical disorder or condition which prevents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from carrying out his duties.</w:t>
      </w:r>
    </w:p>
    <w:p>
      <w:pPr>
        <w:spacing w:after="0" w:line="68" w:lineRule="exact"/>
        <w:rPr>
          <w:sz w:val="20"/>
          <w:szCs w:val="20"/>
          <w:color w:val="auto"/>
        </w:rPr>
      </w:pPr>
    </w:p>
    <w:p>
      <w:pPr>
        <w:ind w:left="1200" w:right="280" w:hanging="768"/>
        <w:spacing w:after="0" w:line="256" w:lineRule="auto"/>
        <w:tabs>
          <w:tab w:leader="none" w:pos="11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any employee or contractor who is or was (in the Period) employed or engaged to</w:t>
      </w:r>
      <w:r>
        <w:rPr>
          <w:rFonts w:ascii="Arial" w:cs="Arial" w:eastAsia="Arial" w:hAnsi="Arial"/>
          <w:sz w:val="22"/>
          <w:szCs w:val="22"/>
          <w:b w:val="1"/>
          <w:bCs w:val="1"/>
          <w:color w:val="auto"/>
        </w:rPr>
        <w:t xml:space="preserve"> </w:t>
      </w:r>
      <w:r>
        <w:rPr>
          <w:rFonts w:ascii="Arial" w:cs="Arial" w:eastAsia="Arial" w:hAnsi="Arial"/>
          <w:sz w:val="22"/>
          <w:szCs w:val="22"/>
          <w:color w:val="auto"/>
        </w:rPr>
        <w:t>your knowledge:</w:t>
      </w:r>
    </w:p>
    <w:p>
      <w:pPr>
        <w:spacing w:after="0" w:line="74" w:lineRule="exact"/>
        <w:rPr>
          <w:sz w:val="20"/>
          <w:szCs w:val="20"/>
          <w:color w:val="auto"/>
        </w:rPr>
      </w:pPr>
    </w:p>
    <w:p>
      <w:pPr>
        <w:ind w:left="1840" w:hanging="644"/>
        <w:spacing w:after="0"/>
        <w:tabs>
          <w:tab w:leader="none" w:pos="18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at management grade; or</w:t>
      </w:r>
    </w:p>
    <w:p>
      <w:pPr>
        <w:spacing w:after="0" w:line="111" w:lineRule="exact"/>
        <w:rPr>
          <w:rFonts w:ascii="Arial" w:cs="Arial" w:eastAsia="Arial" w:hAnsi="Arial"/>
          <w:sz w:val="22"/>
          <w:szCs w:val="22"/>
          <w:color w:val="auto"/>
        </w:rPr>
      </w:pPr>
    </w:p>
    <w:p>
      <w:pPr>
        <w:ind w:left="1840" w:hanging="644"/>
        <w:spacing w:after="0"/>
        <w:tabs>
          <w:tab w:leader="none" w:pos="18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a senior capacity; or</w:t>
      </w:r>
    </w:p>
    <w:p>
      <w:pPr>
        <w:spacing w:after="0" w:line="111" w:lineRule="exact"/>
        <w:rPr>
          <w:rFonts w:ascii="Arial" w:cs="Arial" w:eastAsia="Arial" w:hAnsi="Arial"/>
          <w:sz w:val="22"/>
          <w:szCs w:val="22"/>
          <w:color w:val="auto"/>
        </w:rPr>
      </w:pPr>
    </w:p>
    <w:p>
      <w:pPr>
        <w:ind w:left="1840" w:right="100" w:hanging="644"/>
        <w:spacing w:after="0" w:line="250" w:lineRule="auto"/>
        <w:tabs>
          <w:tab w:leader="none" w:pos="18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in a capacity in which he has access to or obtained Confidential Information and in respect of whom you exercised control or had managerial responsibility.</w:t>
      </w:r>
    </w:p>
    <w:p>
      <w:pPr>
        <w:spacing w:after="0" w:line="74" w:lineRule="exact"/>
        <w:rPr>
          <w:sz w:val="20"/>
          <w:szCs w:val="20"/>
          <w:color w:val="auto"/>
        </w:rPr>
      </w:pPr>
    </w:p>
    <w:p>
      <w:pPr>
        <w:ind w:left="1200" w:right="320" w:hanging="768"/>
        <w:spacing w:after="0" w:line="283" w:lineRule="auto"/>
        <w:tabs>
          <w:tab w:leader="none" w:pos="118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b w:val="1"/>
          <w:bCs w:val="1"/>
          <w:color w:val="auto"/>
        </w:rPr>
        <w:t xml:space="preserve">Know-how: </w:t>
      </w:r>
      <w:r>
        <w:rPr>
          <w:rFonts w:ascii="Arial" w:cs="Arial" w:eastAsia="Arial" w:hAnsi="Arial"/>
          <w:sz w:val="19"/>
          <w:szCs w:val="19"/>
          <w:color w:val="auto"/>
        </w:rPr>
        <w:t>information (including without limitation that comprised in formulae, specifications,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designs, drawings, component lists, 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b w:val="1"/>
          <w:bCs w:val="1"/>
          <w:color w:val="auto"/>
        </w:rPr>
        <w:t>Manager</w:t>
      </w:r>
      <w:r>
        <w:rPr>
          <w:rFonts w:ascii="Arial" w:cs="Arial" w:eastAsia="Arial" w:hAnsi="Arial"/>
          <w:sz w:val="19"/>
          <w:szCs w:val="19"/>
          <w:color w:val="auto"/>
        </w:rPr>
        <w:t>: Chairman of the Board, Peter Fellner</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b w:val="1"/>
          <w:bCs w:val="1"/>
          <w:color w:val="auto"/>
        </w:rPr>
        <w:t xml:space="preserve">Period: </w:t>
      </w:r>
      <w:r>
        <w:rPr>
          <w:rFonts w:ascii="Arial" w:cs="Arial" w:eastAsia="Arial" w:hAnsi="Arial"/>
          <w:sz w:val="19"/>
          <w:szCs w:val="19"/>
          <w:color w:val="auto"/>
        </w:rPr>
        <w:t>the period of 6 months immediately prior to the Termination Date.</w:t>
      </w:r>
    </w:p>
    <w:p>
      <w:pPr>
        <w:spacing w:after="0" w:line="112" w:lineRule="exact"/>
        <w:rPr>
          <w:sz w:val="20"/>
          <w:szCs w:val="20"/>
          <w:color w:val="auto"/>
        </w:rPr>
      </w:pPr>
    </w:p>
    <w:p>
      <w:pPr>
        <w:ind w:left="1200" w:right="260" w:hanging="768"/>
        <w:spacing w:after="0" w:line="300" w:lineRule="auto"/>
        <w:tabs>
          <w:tab w:leader="none" w:pos="118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b w:val="1"/>
          <w:bCs w:val="1"/>
          <w:color w:val="auto"/>
        </w:rPr>
        <w:t xml:space="preserve">Permitted Interest: </w:t>
      </w:r>
      <w:r>
        <w:rPr>
          <w:rFonts w:ascii="Arial" w:cs="Arial" w:eastAsia="Arial" w:hAnsi="Arial"/>
          <w:sz w:val="19"/>
          <w:szCs w:val="19"/>
          <w:color w:val="auto"/>
        </w:rPr>
        <w:t>an interest in any class of shares or other securities of any company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traded on a recognised investment exchange which amount to not more than 3% of such class of issued shares or securities and an interest in any units of any authorised unit trust.</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b w:val="1"/>
          <w:bCs w:val="1"/>
          <w:color w:val="auto"/>
        </w:rPr>
        <w:t xml:space="preserve">Restricted Area: </w:t>
      </w:r>
      <w:r>
        <w:rPr>
          <w:rFonts w:ascii="Arial" w:cs="Arial" w:eastAsia="Arial" w:hAnsi="Arial"/>
          <w:sz w:val="19"/>
          <w:szCs w:val="19"/>
          <w:color w:val="auto"/>
        </w:rPr>
        <w:t>England, Scotland, Wales or Northern Ireland.</w:t>
      </w:r>
    </w:p>
    <w:p>
      <w:pPr>
        <w:spacing w:after="0" w:line="112" w:lineRule="exact"/>
        <w:rPr>
          <w:sz w:val="20"/>
          <w:szCs w:val="20"/>
          <w:color w:val="auto"/>
        </w:rPr>
      </w:pPr>
    </w:p>
    <w:p>
      <w:pPr>
        <w:ind w:left="1200" w:hanging="768"/>
        <w:spacing w:after="0" w:line="300" w:lineRule="auto"/>
        <w:tabs>
          <w:tab w:leader="none" w:pos="118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b w:val="1"/>
          <w:bCs w:val="1"/>
          <w:color w:val="auto"/>
        </w:rPr>
        <w:t xml:space="preserve">Restricted Business: </w:t>
      </w:r>
      <w:r>
        <w:rPr>
          <w:rFonts w:ascii="Arial" w:cs="Arial" w:eastAsia="Arial" w:hAnsi="Arial"/>
          <w:sz w:val="19"/>
          <w:szCs w:val="19"/>
          <w:color w:val="auto"/>
        </w:rPr>
        <w:t>the research, acquisition, development and / or commercialisation of innovative</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by the Company or any Group Company as at the Termination Date and with which the Employee was involved to a material extent on the Termination Date or at any time during the Period.</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b w:val="1"/>
          <w:bCs w:val="1"/>
          <w:color w:val="auto"/>
        </w:rPr>
        <w:t>SSP</w:t>
      </w:r>
      <w:r>
        <w:rPr>
          <w:rFonts w:ascii="Arial" w:cs="Arial" w:eastAsia="Arial" w:hAnsi="Arial"/>
          <w:sz w:val="19"/>
          <w:szCs w:val="19"/>
          <w:color w:val="auto"/>
        </w:rPr>
        <w:t>: statutory sick pay.</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b w:val="1"/>
          <w:bCs w:val="1"/>
          <w:color w:val="auto"/>
        </w:rPr>
        <w:t>Staff Handbook</w:t>
      </w:r>
      <w:r>
        <w:rPr>
          <w:rFonts w:ascii="Arial" w:cs="Arial" w:eastAsia="Arial" w:hAnsi="Arial"/>
          <w:sz w:val="19"/>
          <w:szCs w:val="19"/>
          <w:color w:val="auto"/>
        </w:rPr>
        <w:t>: the Company’s staff handbook as amended from time to time.</w:t>
      </w:r>
    </w:p>
    <w:p>
      <w:pPr>
        <w:spacing w:after="0" w:line="112" w:lineRule="exact"/>
        <w:rPr>
          <w:sz w:val="20"/>
          <w:szCs w:val="20"/>
          <w:color w:val="auto"/>
        </w:rPr>
      </w:pPr>
    </w:p>
    <w:p>
      <w:pPr>
        <w:ind w:left="1200" w:right="100" w:hanging="768"/>
        <w:spacing w:after="0" w:line="239" w:lineRule="auto"/>
        <w:tabs>
          <w:tab w:leader="none" w:pos="118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22"/>
          <w:szCs w:val="22"/>
          <w:b w:val="1"/>
          <w:bCs w:val="1"/>
          <w:color w:val="auto"/>
        </w:rPr>
        <w:t>Subsidiary and Holding Company</w:t>
      </w:r>
      <w:r>
        <w:rPr>
          <w:rFonts w:ascii="Arial" w:cs="Arial" w:eastAsia="Arial" w:hAnsi="Arial"/>
          <w:sz w:val="22"/>
          <w:szCs w:val="22"/>
          <w:color w:val="auto"/>
        </w:rPr>
        <w:t>: in relation to a company mean “subsidiary” and “holding</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defined in section 1159 of the Companies Act 2006 and a company shall be treated, for the purposes only of the membership requirement contained in subsections 1159(1)(b) and (c), as a member of another company</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0000"/>
          </w:cols>
          <w:pgMar w:left="1440" w:top="261" w:right="459" w:bottom="1440" w:gutter="0" w:footer="0" w:header="0"/>
        </w:sectPr>
      </w:pPr>
    </w:p>
    <w:bookmarkStart w:id="258" w:name="page259"/>
    <w:bookmarkEnd w:id="258"/>
    <w:p>
      <w:pPr>
        <w:ind w:left="2204" w:right="1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 if its shares in that other company are registered in the name of (a) another person (or its nominee), whether by way of security or in connection with the taking of security, or (b) a nominee.</w:t>
      </w:r>
    </w:p>
    <w:p>
      <w:pPr>
        <w:spacing w:after="0" w:line="4"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the date of termination or expiration of this Contract.</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headings in this Contract are inserted for convenience only and shall not affect its construction.</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A reference to a particular law is a reference to it as it is in force for the time being taking account of any amendment,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extension, or re-enactment and includes any subordinate legislation for the time being in force made under it.</w:t>
      </w:r>
    </w:p>
    <w:p>
      <w:pPr>
        <w:spacing w:after="0" w:line="9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the context otherwise requires, a reference to one gender shall include a reference to the other genders.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Unless the context otherwise requires, words in the singular include the plural and in the plural include the singular.</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The schedules to this Contract form part of (and are incorporated into) this Contract.</w:t>
      </w:r>
    </w:p>
    <w:p>
      <w:pPr>
        <w:spacing w:after="0" w:line="349" w:lineRule="exact"/>
        <w:rPr>
          <w:sz w:val="20"/>
          <w:szCs w:val="20"/>
          <w:color w:val="auto"/>
        </w:rPr>
      </w:pPr>
    </w:p>
    <w:p>
      <w:pPr>
        <w:ind w:left="764" w:hanging="764"/>
        <w:spacing w:after="0"/>
        <w:tabs>
          <w:tab w:leader="none" w:pos="764"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Term of Appointment</w:t>
      </w:r>
    </w:p>
    <w:p>
      <w:pPr>
        <w:spacing w:after="0" w:line="118" w:lineRule="exact"/>
        <w:rPr>
          <w:sz w:val="20"/>
          <w:szCs w:val="20"/>
          <w:color w:val="auto"/>
        </w:rPr>
      </w:pPr>
    </w:p>
    <w:p>
      <w:pPr>
        <w:jc w:val="both"/>
        <w:ind w:left="764" w:right="100" w:hanging="768"/>
        <w:spacing w:after="0"/>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The Appointment shall commence on the Commencement Date and shall continue, subject to the remaining terms of this Contract, until terminated by either party giving the other not less than 12 months’ prior notice (or the statutory minimum notice, whichever is the greater) in writing.</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[This clause intentionally blank].</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No employment with a previous employer counts towards the Employee’s period of continuous employment with the Company.</w:t>
      </w:r>
    </w:p>
    <w:p>
      <w:pPr>
        <w:spacing w:after="0" w:line="80" w:lineRule="exact"/>
        <w:rPr>
          <w:sz w:val="20"/>
          <w:szCs w:val="20"/>
          <w:color w:val="auto"/>
        </w:rPr>
      </w:pPr>
    </w:p>
    <w:p>
      <w:pPr>
        <w:ind w:left="764" w:right="100" w:hanging="768"/>
        <w:spacing w:after="0" w:line="250" w:lineRule="auto"/>
        <w:tabs>
          <w:tab w:leader="none" w:pos="744"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The Employee consents to the transfer of his employment under this Contract to an Associated Employer at any time during the Appointment.</w:t>
      </w:r>
    </w:p>
    <w:p>
      <w:pPr>
        <w:spacing w:after="0" w:line="317" w:lineRule="exact"/>
        <w:rPr>
          <w:sz w:val="20"/>
          <w:szCs w:val="20"/>
          <w:color w:val="auto"/>
        </w:rPr>
      </w:pPr>
    </w:p>
    <w:p>
      <w:pPr>
        <w:ind w:left="764" w:hanging="764"/>
        <w:spacing w:after="0"/>
        <w:tabs>
          <w:tab w:leader="none" w:pos="764"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Employee Warranties</w:t>
      </w:r>
    </w:p>
    <w:p>
      <w:pPr>
        <w:spacing w:after="0" w:line="118"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92" w:lineRule="exact"/>
        <w:rPr>
          <w:sz w:val="20"/>
          <w:szCs w:val="20"/>
          <w:color w:val="auto"/>
        </w:rPr>
      </w:pPr>
    </w:p>
    <w:p>
      <w:pPr>
        <w:ind w:left="764" w:right="40" w:hanging="768"/>
        <w:spacing w:after="0"/>
        <w:tabs>
          <w:tab w:leader="none" w:pos="744"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92" w:lineRule="exact"/>
        <w:rPr>
          <w:sz w:val="20"/>
          <w:szCs w:val="20"/>
          <w:color w:val="auto"/>
        </w:rPr>
      </w:pPr>
    </w:p>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You warrant that you are entitled to work in the UK without any additional approvals and will notify the Company immediately if you cease to be so entitled at any time during the Appointment.</w:t>
      </w:r>
    </w:p>
    <w:p>
      <w:pPr>
        <w:spacing w:after="0" w:line="107" w:lineRule="exact"/>
        <w:rPr>
          <w:sz w:val="20"/>
          <w:szCs w:val="20"/>
          <w:color w:val="auto"/>
        </w:rPr>
      </w:pPr>
    </w:p>
    <w:p>
      <w:pPr>
        <w:jc w:val="center"/>
        <w:ind w:right="-63"/>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0964"/>
          </w:cols>
          <w:pgMar w:left="436" w:top="267" w:right="499" w:bottom="1440" w:gutter="0" w:footer="0" w:header="0"/>
        </w:sectPr>
      </w:pPr>
    </w:p>
    <w:bookmarkStart w:id="259" w:name="page260"/>
    <w:bookmarkEnd w:id="259"/>
    <w:p>
      <w:pPr>
        <w:ind w:left="764" w:hanging="764"/>
        <w:spacing w:after="0"/>
        <w:tabs>
          <w:tab w:leader="none" w:pos="764"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Job Title and Reporting</w:t>
      </w:r>
    </w:p>
    <w:p>
      <w:pPr>
        <w:spacing w:after="0" w:line="109" w:lineRule="exact"/>
        <w:rPr>
          <w:sz w:val="20"/>
          <w:szCs w:val="20"/>
          <w:color w:val="auto"/>
        </w:rPr>
      </w:pPr>
    </w:p>
    <w:p>
      <w:pPr>
        <w:ind w:left="664" w:right="320"/>
        <w:spacing w:after="0" w:line="260" w:lineRule="auto"/>
        <w:rPr>
          <w:sz w:val="20"/>
          <w:szCs w:val="20"/>
          <w:color w:val="auto"/>
        </w:rPr>
      </w:pPr>
      <w:r>
        <w:rPr>
          <w:rFonts w:ascii="Arial" w:cs="Arial" w:eastAsia="Arial" w:hAnsi="Arial"/>
          <w:sz w:val="20"/>
          <w:szCs w:val="20"/>
          <w:color w:val="auto"/>
        </w:rPr>
        <w:t>Your job title is ‘Chief Executive Officer’ and you will report to the Manager or such other person as may be authorised by the Company and notified to you.</w:t>
      </w:r>
    </w:p>
    <w:p>
      <w:pPr>
        <w:spacing w:after="0" w:line="315" w:lineRule="exact"/>
        <w:rPr>
          <w:sz w:val="20"/>
          <w:szCs w:val="20"/>
          <w:color w:val="auto"/>
        </w:rPr>
      </w:pPr>
    </w:p>
    <w:p>
      <w:pPr>
        <w:ind w:left="764" w:hanging="764"/>
        <w:spacing w:after="0"/>
        <w:tabs>
          <w:tab w:leader="none" w:pos="764"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Job Description and Duties</w:t>
      </w:r>
    </w:p>
    <w:p>
      <w:pPr>
        <w:spacing w:after="0" w:line="118" w:lineRule="exact"/>
        <w:rPr>
          <w:sz w:val="20"/>
          <w:szCs w:val="20"/>
          <w:color w:val="auto"/>
        </w:rPr>
      </w:pPr>
    </w:p>
    <w:p>
      <w:pPr>
        <w:ind w:left="764" w:right="40" w:hanging="768"/>
        <w:spacing w:after="0" w:line="238" w:lineRule="auto"/>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You must perform your job to the best of your ability and to comply with any duties implied by law.</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During the Appointment you shall:</w:t>
      </w:r>
    </w:p>
    <w:p>
      <w:pPr>
        <w:spacing w:after="0" w:line="112" w:lineRule="exact"/>
        <w:rPr>
          <w:sz w:val="20"/>
          <w:szCs w:val="20"/>
          <w:color w:val="auto"/>
        </w:rPr>
      </w:pPr>
    </w:p>
    <w:p>
      <w:pPr>
        <w:ind w:left="2204" w:right="120" w:hanging="768"/>
        <w:spacing w:after="0" w:line="328" w:lineRule="auto"/>
        <w:tabs>
          <w:tab w:leader="none" w:pos="2184"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color w:val="auto"/>
        </w:rPr>
        <w:t>unless prevented by Incapacity, devote substantially the whole of your time, attention and abilities to the business of the Company and any Group Company of which you are an officer or consultant;</w:t>
      </w:r>
    </w:p>
    <w:p>
      <w:pPr>
        <w:spacing w:after="0" w:line="10" w:lineRule="exact"/>
        <w:rPr>
          <w:sz w:val="20"/>
          <w:szCs w:val="20"/>
          <w:color w:val="auto"/>
        </w:rPr>
      </w:pPr>
    </w:p>
    <w:p>
      <w:pPr>
        <w:jc w:val="both"/>
        <w:ind w:left="2204" w:hanging="768"/>
        <w:spacing w:after="0"/>
        <w:tabs>
          <w:tab w:leader="none" w:pos="2184" w:val="left"/>
        </w:tabs>
        <w:rPr>
          <w:sz w:val="20"/>
          <w:szCs w:val="20"/>
          <w:color w:val="auto"/>
        </w:rPr>
      </w:pPr>
      <w:r>
        <w:rPr>
          <w:rFonts w:ascii="Arial" w:cs="Arial" w:eastAsia="Arial" w:hAnsi="Arial"/>
          <w:sz w:val="22"/>
          <w:szCs w:val="22"/>
          <w:color w:val="auto"/>
        </w:rPr>
        <w:t>5.3.2</w:t>
      </w:r>
      <w:r>
        <w:rPr>
          <w:sz w:val="20"/>
          <w:szCs w:val="20"/>
          <w:color w:val="auto"/>
        </w:rPr>
        <w:tab/>
      </w:r>
      <w:r>
        <w:rPr>
          <w:rFonts w:ascii="Arial" w:cs="Arial" w:eastAsia="Arial" w:hAnsi="Arial"/>
          <w:sz w:val="22"/>
          <w:szCs w:val="22"/>
          <w:color w:val="auto"/>
        </w:rPr>
        <w:t>diligently exercise such powers and perform such duties as may from time to time be assigned to you by the Company together with such person or persons as the Company may appoint to act jointly with you;</w:t>
      </w:r>
    </w:p>
    <w:p>
      <w:pPr>
        <w:spacing w:after="0" w:line="9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5.3.3</w:t>
      </w:r>
      <w:r>
        <w:rPr>
          <w:sz w:val="20"/>
          <w:szCs w:val="20"/>
          <w:color w:val="auto"/>
        </w:rPr>
        <w:tab/>
      </w:r>
      <w:r>
        <w:rPr>
          <w:rFonts w:ascii="Arial" w:cs="Arial" w:eastAsia="Arial" w:hAnsi="Arial"/>
          <w:sz w:val="19"/>
          <w:szCs w:val="19"/>
          <w:color w:val="auto"/>
        </w:rPr>
        <w:t>comply with all reasonable and lawful directions given to you by the Company;</w:t>
      </w:r>
    </w:p>
    <w:p>
      <w:pPr>
        <w:spacing w:after="0" w:line="112" w:lineRule="exact"/>
        <w:rPr>
          <w:sz w:val="20"/>
          <w:szCs w:val="20"/>
          <w:color w:val="auto"/>
        </w:rPr>
      </w:pPr>
    </w:p>
    <w:p>
      <w:pPr>
        <w:ind w:left="2204" w:right="240" w:hanging="768"/>
        <w:spacing w:after="0" w:line="250" w:lineRule="auto"/>
        <w:tabs>
          <w:tab w:leader="none" w:pos="2184" w:val="left"/>
        </w:tabs>
        <w:rPr>
          <w:sz w:val="20"/>
          <w:szCs w:val="20"/>
          <w:color w:val="auto"/>
        </w:rPr>
      </w:pPr>
      <w:r>
        <w:rPr>
          <w:rFonts w:ascii="Arial" w:cs="Arial" w:eastAsia="Arial" w:hAnsi="Arial"/>
          <w:sz w:val="22"/>
          <w:szCs w:val="22"/>
          <w:color w:val="auto"/>
        </w:rPr>
        <w:t>5.3.4</w:t>
      </w:r>
      <w:r>
        <w:rPr>
          <w:sz w:val="20"/>
          <w:szCs w:val="20"/>
          <w:color w:val="auto"/>
        </w:rPr>
        <w:tab/>
      </w:r>
      <w:r>
        <w:rPr>
          <w:rFonts w:ascii="Arial" w:cs="Arial" w:eastAsia="Arial" w:hAnsi="Arial"/>
          <w:sz w:val="22"/>
          <w:szCs w:val="22"/>
          <w:color w:val="auto"/>
        </w:rPr>
        <w:t>promptly make such reports to your Manager in connection with the affairs of any Group Company on such matters and at such times as are reasonably required;</w:t>
      </w:r>
    </w:p>
    <w:p>
      <w:pPr>
        <w:spacing w:after="0" w:line="80" w:lineRule="exact"/>
        <w:rPr>
          <w:sz w:val="20"/>
          <w:szCs w:val="20"/>
          <w:color w:val="auto"/>
        </w:rPr>
      </w:pPr>
    </w:p>
    <w:p>
      <w:pPr>
        <w:ind w:left="2204" w:right="100" w:hanging="768"/>
        <w:spacing w:after="0" w:line="328" w:lineRule="auto"/>
        <w:tabs>
          <w:tab w:leader="none" w:pos="2184" w:val="left"/>
        </w:tabs>
        <w:rPr>
          <w:sz w:val="20"/>
          <w:szCs w:val="20"/>
          <w:color w:val="auto"/>
        </w:rPr>
      </w:pPr>
      <w:r>
        <w:rPr>
          <w:rFonts w:ascii="Arial" w:cs="Arial" w:eastAsia="Arial" w:hAnsi="Arial"/>
          <w:sz w:val="22"/>
          <w:szCs w:val="22"/>
          <w:color w:val="auto"/>
        </w:rPr>
        <w:t>5.3.5</w:t>
      </w:r>
      <w:r>
        <w:rPr>
          <w:sz w:val="20"/>
          <w:szCs w:val="20"/>
          <w:color w:val="auto"/>
        </w:rPr>
        <w:tab/>
      </w:r>
      <w:r>
        <w:rPr>
          <w:rFonts w:ascii="Arial" w:cs="Arial" w:eastAsia="Arial" w:hAnsi="Arial"/>
          <w:sz w:val="19"/>
          <w:szCs w:val="19"/>
          <w:color w:val="auto"/>
        </w:rPr>
        <w:t>report your own wrongdoing and any wrongdoing or proposed wrongdoing of any other employee or director of any Group Company to your Manager immediately on becoming aware of it;</w:t>
      </w:r>
    </w:p>
    <w:p>
      <w:pPr>
        <w:spacing w:after="0" w:line="10" w:lineRule="exact"/>
        <w:rPr>
          <w:sz w:val="20"/>
          <w:szCs w:val="20"/>
          <w:color w:val="auto"/>
        </w:rPr>
      </w:pPr>
    </w:p>
    <w:p>
      <w:pPr>
        <w:ind w:left="2204" w:right="840" w:hanging="768"/>
        <w:spacing w:after="0" w:line="250" w:lineRule="auto"/>
        <w:tabs>
          <w:tab w:leader="none" w:pos="2184" w:val="left"/>
        </w:tabs>
        <w:rPr>
          <w:sz w:val="20"/>
          <w:szCs w:val="20"/>
          <w:color w:val="auto"/>
        </w:rPr>
      </w:pPr>
      <w:r>
        <w:rPr>
          <w:rFonts w:ascii="Arial" w:cs="Arial" w:eastAsia="Arial" w:hAnsi="Arial"/>
          <w:sz w:val="22"/>
          <w:szCs w:val="22"/>
          <w:color w:val="auto"/>
        </w:rPr>
        <w:t>5.3.6</w:t>
      </w:r>
      <w:r>
        <w:rPr>
          <w:sz w:val="20"/>
          <w:szCs w:val="20"/>
          <w:color w:val="auto"/>
        </w:rPr>
        <w:tab/>
      </w:r>
      <w:r>
        <w:rPr>
          <w:rFonts w:ascii="Arial" w:cs="Arial" w:eastAsia="Arial" w:hAnsi="Arial"/>
          <w:sz w:val="22"/>
          <w:szCs w:val="22"/>
          <w:color w:val="auto"/>
        </w:rPr>
        <w:t>use your best endeavours to promote, protect, develop and extend the business of any Group Company; and</w:t>
      </w:r>
    </w:p>
    <w:p>
      <w:pPr>
        <w:spacing w:after="0" w:line="80" w:lineRule="exact"/>
        <w:rPr>
          <w:sz w:val="20"/>
          <w:szCs w:val="20"/>
          <w:color w:val="auto"/>
        </w:rPr>
      </w:pPr>
    </w:p>
    <w:p>
      <w:pPr>
        <w:ind w:left="2204" w:right="300" w:hanging="768"/>
        <w:spacing w:after="0"/>
        <w:tabs>
          <w:tab w:leader="none" w:pos="2184" w:val="left"/>
        </w:tabs>
        <w:rPr>
          <w:sz w:val="20"/>
          <w:szCs w:val="20"/>
          <w:color w:val="auto"/>
        </w:rPr>
      </w:pPr>
      <w:r>
        <w:rPr>
          <w:rFonts w:ascii="Arial" w:cs="Arial" w:eastAsia="Arial" w:hAnsi="Arial"/>
          <w:sz w:val="22"/>
          <w:szCs w:val="22"/>
          <w:color w:val="auto"/>
        </w:rPr>
        <w:t>5.3.7</w:t>
      </w:r>
      <w:r>
        <w:rPr>
          <w:sz w:val="20"/>
          <w:szCs w:val="20"/>
          <w:color w:val="auto"/>
        </w:rPr>
        <w:tab/>
      </w:r>
      <w:r>
        <w:rPr>
          <w:rFonts w:ascii="Arial" w:cs="Arial" w:eastAsia="Arial" w:hAnsi="Arial"/>
          <w:sz w:val="22"/>
          <w:szCs w:val="22"/>
          <w:color w:val="auto"/>
        </w:rPr>
        <w:t>consent to the Company monitoring and recording any use that you make of the Company’s electronic communications systems for the purpose of ensuring that the Company’s rules are being complied with and for legitimate business purposes.</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You shall comply with the Company’s anti-corruption and bribery policy and related procedures at all times.</w:t>
      </w:r>
    </w:p>
    <w:p>
      <w:pPr>
        <w:spacing w:after="0" w:line="112" w:lineRule="exact"/>
        <w:rPr>
          <w:sz w:val="20"/>
          <w:szCs w:val="20"/>
          <w:color w:val="auto"/>
        </w:rPr>
      </w:pPr>
    </w:p>
    <w:p>
      <w:pPr>
        <w:jc w:val="both"/>
        <w:ind w:left="764" w:right="80" w:hanging="768"/>
        <w:spacing w:after="0" w:line="257" w:lineRule="auto"/>
        <w:tabs>
          <w:tab w:leader="none" w:pos="744"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color w:val="auto"/>
        </w:rPr>
        <w:t>You shall comply with any rules, policies and procedures set out in the Staff Handbook. The Staff Handbook does not form part of this Contract and the Company may amend it at any time. To the extent that there is any conflict between the terms of this Contract and the Staff Handbook, this Contract shall prevail.</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024"/>
          </w:cols>
          <w:pgMar w:left="436" w:top="261" w:right="439" w:bottom="1440" w:gutter="0" w:footer="0" w:header="0"/>
        </w:sectPr>
      </w:pPr>
    </w:p>
    <w:bookmarkStart w:id="260" w:name="page261"/>
    <w:bookmarkEnd w:id="260"/>
    <w:p>
      <w:pPr>
        <w:ind w:left="764" w:right="80"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w:t>
      </w:r>
      <w:r>
        <w:rPr>
          <w:sz w:val="20"/>
          <w:szCs w:val="20"/>
          <w:color w:val="auto"/>
        </w:rPr>
        <w:tab/>
      </w:r>
      <w:r>
        <w:rPr>
          <w:rFonts w:ascii="Arial" w:cs="Arial" w:eastAsia="Arial" w:hAnsi="Arial"/>
          <w:sz w:val="22"/>
          <w:szCs w:val="22"/>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9" w:lineRule="exact"/>
        <w:rPr>
          <w:sz w:val="20"/>
          <w:szCs w:val="20"/>
          <w:color w:val="auto"/>
        </w:rPr>
      </w:pPr>
    </w:p>
    <w:p>
      <w:pPr>
        <w:ind w:left="764" w:hanging="764"/>
        <w:spacing w:after="0"/>
        <w:tabs>
          <w:tab w:leader="none" w:pos="764"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Location</w:t>
      </w:r>
    </w:p>
    <w:p>
      <w:pPr>
        <w:spacing w:after="0" w:line="118" w:lineRule="exact"/>
        <w:rPr>
          <w:sz w:val="20"/>
          <w:szCs w:val="20"/>
          <w:color w:val="auto"/>
        </w:rPr>
      </w:pPr>
    </w:p>
    <w:p>
      <w:pPr>
        <w:ind w:left="764" w:right="160" w:hanging="768"/>
        <w:spacing w:after="0" w:line="274"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Your normal place of work is the Company’s offices at 1 Cavendish Place, London W1G 0QF or such other place as the Company may reasonably determine for the proper performance and exercise of your duties.</w:t>
      </w:r>
    </w:p>
    <w:p>
      <w:pPr>
        <w:spacing w:after="0" w:line="56" w:lineRule="exact"/>
        <w:rPr>
          <w:sz w:val="20"/>
          <w:szCs w:val="20"/>
          <w:color w:val="auto"/>
        </w:rPr>
      </w:pPr>
    </w:p>
    <w:p>
      <w:pPr>
        <w:ind w:left="764" w:right="40" w:hanging="768"/>
        <w:spacing w:after="0" w:line="297" w:lineRule="auto"/>
        <w:tabs>
          <w:tab w:leader="none" w:pos="744"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39" w:lineRule="exact"/>
        <w:rPr>
          <w:sz w:val="20"/>
          <w:szCs w:val="20"/>
          <w:color w:val="auto"/>
        </w:rPr>
      </w:pPr>
    </w:p>
    <w:p>
      <w:pPr>
        <w:ind w:left="764" w:right="560" w:hanging="768"/>
        <w:spacing w:after="0" w:line="250" w:lineRule="auto"/>
        <w:tabs>
          <w:tab w:leader="none" w:pos="744"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You agree to travel on any Group Company’s business (both within the United Kingdom and abroad) as may be required for the proper performance of your duties under the Appointment.</w:t>
      </w:r>
    </w:p>
    <w:p>
      <w:pPr>
        <w:spacing w:after="0" w:line="317" w:lineRule="exact"/>
        <w:rPr>
          <w:sz w:val="20"/>
          <w:szCs w:val="20"/>
          <w:color w:val="auto"/>
        </w:rPr>
      </w:pPr>
    </w:p>
    <w:p>
      <w:pPr>
        <w:ind w:left="764" w:hanging="764"/>
        <w:spacing w:after="0"/>
        <w:tabs>
          <w:tab w:leader="none" w:pos="764"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Hours of Work</w:t>
      </w:r>
    </w:p>
    <w:p>
      <w:pPr>
        <w:spacing w:after="0" w:line="118" w:lineRule="exact"/>
        <w:rPr>
          <w:sz w:val="20"/>
          <w:szCs w:val="20"/>
          <w:color w:val="auto"/>
        </w:rPr>
      </w:pPr>
    </w:p>
    <w:p>
      <w:pPr>
        <w:jc w:val="both"/>
        <w:ind w:left="764" w:right="720" w:hanging="768"/>
        <w:spacing w:after="0" w:line="297"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Your normal working hours are from 09:00 to 17:00 on each week day, excluding public and bank holidays of England and Wales, together with such additional hours, on week days (including public and bank holidays of England and Wales) or weekends, as may be necessary for the proper performance of your duties.</w:t>
      </w:r>
    </w:p>
    <w:p>
      <w:pPr>
        <w:spacing w:after="0" w:line="33" w:lineRule="exact"/>
        <w:rPr>
          <w:sz w:val="20"/>
          <w:szCs w:val="20"/>
          <w:color w:val="auto"/>
        </w:rPr>
      </w:pPr>
    </w:p>
    <w:p>
      <w:pPr>
        <w:ind w:left="764" w:right="60" w:hanging="768"/>
        <w:spacing w:after="0" w:line="260" w:lineRule="auto"/>
        <w:tabs>
          <w:tab w:leader="none" w:pos="744"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Regulation 4(1) of the Working Time Regulations 1998 (the “</w:t>
      </w:r>
      <w:r>
        <w:rPr>
          <w:rFonts w:ascii="Arial" w:cs="Arial" w:eastAsia="Arial" w:hAnsi="Arial"/>
          <w:sz w:val="21"/>
          <w:szCs w:val="21"/>
          <w:b w:val="1"/>
          <w:bCs w:val="1"/>
          <w:color w:val="auto"/>
        </w:rPr>
        <w:t>WTR</w:t>
      </w:r>
      <w:r>
        <w:rPr>
          <w:rFonts w:ascii="Arial" w:cs="Arial" w:eastAsia="Arial" w:hAnsi="Arial"/>
          <w:sz w:val="21"/>
          <w:szCs w:val="21"/>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63" w:lineRule="exact"/>
        <w:rPr>
          <w:sz w:val="20"/>
          <w:szCs w:val="20"/>
          <w:color w:val="auto"/>
        </w:rPr>
      </w:pPr>
    </w:p>
    <w:p>
      <w:pPr>
        <w:ind w:left="664" w:right="60"/>
        <w:spacing w:after="0" w:line="244" w:lineRule="auto"/>
        <w:rPr>
          <w:sz w:val="20"/>
          <w:szCs w:val="20"/>
          <w:color w:val="auto"/>
        </w:rPr>
      </w:pPr>
      <w:r>
        <w:rPr>
          <w:rFonts w:ascii="Arial" w:cs="Arial" w:eastAsia="Arial" w:hAnsi="Arial"/>
          <w:sz w:val="20"/>
          <w:szCs w:val="20"/>
          <w:color w:val="auto"/>
        </w:rPr>
        <w:t>You acknowledge that you hold an executive position with certain autonomous decision taking powers and that the duration of your working time is not measured or predetermined. You agree that you are therefore not subject to regulation 4(1) of the Working Time Regulations 1998 but without prejudice to that you accept that by signing this Contract you have agreed that, insofar as it would apply to your employment with the Company, regulation 4(1) of the Working Time Regulations 1998 shall not apply.</w:t>
      </w:r>
    </w:p>
    <w:p>
      <w:pPr>
        <w:spacing w:after="0" w:line="95" w:lineRule="exact"/>
        <w:rPr>
          <w:sz w:val="20"/>
          <w:szCs w:val="20"/>
          <w:color w:val="auto"/>
        </w:rPr>
      </w:pPr>
    </w:p>
    <w:p>
      <w:pPr>
        <w:ind w:left="764" w:hanging="768"/>
        <w:spacing w:after="0" w:line="328" w:lineRule="auto"/>
        <w:tabs>
          <w:tab w:leader="none" w:pos="744"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At any time during the Appointment, you or the Company may give three months’ prior written notice that the opt-out of clause 7.2 should no longer apply and it will cease to apply with effect from the expiry of the said notice.</w:t>
      </w:r>
    </w:p>
    <w:p>
      <w:pPr>
        <w:spacing w:after="0" w:line="10" w:lineRule="exact"/>
        <w:rPr>
          <w:sz w:val="20"/>
          <w:szCs w:val="20"/>
          <w:color w:val="auto"/>
        </w:rPr>
      </w:pPr>
    </w:p>
    <w:p>
      <w:pPr>
        <w:ind w:left="764" w:right="440" w:hanging="768"/>
        <w:spacing w:after="0" w:line="250" w:lineRule="auto"/>
        <w:tabs>
          <w:tab w:leader="none" w:pos="744"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You will comply with any requests made or measures imposed to enable the Company and/or you to monitor and record your working time.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0984"/>
          </w:cols>
          <w:pgMar w:left="436" w:top="267" w:right="479" w:bottom="1440" w:gutter="0" w:footer="0" w:header="0"/>
        </w:sectPr>
      </w:pPr>
    </w:p>
    <w:bookmarkStart w:id="261" w:name="page262"/>
    <w:bookmarkEnd w:id="261"/>
    <w:p>
      <w:pPr>
        <w:ind w:left="764" w:hanging="764"/>
        <w:spacing w:after="0"/>
        <w:tabs>
          <w:tab w:leader="none" w:pos="764"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Salary</w:t>
      </w:r>
    </w:p>
    <w:p>
      <w:pPr>
        <w:spacing w:after="0" w:line="112" w:lineRule="exact"/>
        <w:rPr>
          <w:sz w:val="20"/>
          <w:szCs w:val="20"/>
          <w:color w:val="auto"/>
        </w:rPr>
      </w:pPr>
    </w:p>
    <w:p>
      <w:pPr>
        <w:ind w:left="764" w:hanging="768"/>
        <w:spacing w:after="0" w:line="243"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 xml:space="preserve">Your salary is £398,807.76 per annum (the </w:t>
      </w:r>
      <w:r>
        <w:rPr>
          <w:rFonts w:ascii="Arial" w:cs="Arial" w:eastAsia="Arial" w:hAnsi="Arial"/>
          <w:sz w:val="22"/>
          <w:szCs w:val="22"/>
          <w:b w:val="1"/>
          <w:bCs w:val="1"/>
          <w:color w:val="auto"/>
        </w:rPr>
        <w:t>“Salary”</w:t>
      </w:r>
      <w:r>
        <w:rPr>
          <w:rFonts w:ascii="Arial" w:cs="Arial" w:eastAsia="Arial" w:hAnsi="Arial"/>
          <w:sz w:val="22"/>
          <w:szCs w:val="22"/>
          <w:color w:val="auto"/>
        </w:rPr>
        <w:t>), less statutory and voluntary deduction. The Salary shall accrue from day to day and be payable by equal monthly instalments in arrears on the last business day of each calendar month directly into your UK bank or building society account.</w:t>
      </w:r>
    </w:p>
    <w:p>
      <w:pPr>
        <w:spacing w:after="0" w:line="88" w:lineRule="exact"/>
        <w:rPr>
          <w:sz w:val="20"/>
          <w:szCs w:val="20"/>
          <w:color w:val="auto"/>
        </w:rPr>
      </w:pPr>
    </w:p>
    <w:p>
      <w:pPr>
        <w:ind w:left="764" w:right="200" w:hanging="768"/>
        <w:spacing w:after="0" w:line="328" w:lineRule="auto"/>
        <w:tabs>
          <w:tab w:leader="none" w:pos="744"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You will receive no additional payment for any overtime worked. Your Salary will include any director’s, company secretary’s and other fees and emoluments due to you as an officer of the Company or of any Group Company.</w:t>
      </w:r>
    </w:p>
    <w:p>
      <w:pPr>
        <w:spacing w:after="0" w:line="10" w:lineRule="exact"/>
        <w:rPr>
          <w:sz w:val="20"/>
          <w:szCs w:val="20"/>
          <w:color w:val="auto"/>
        </w:rPr>
      </w:pPr>
    </w:p>
    <w:p>
      <w:pPr>
        <w:jc w:val="both"/>
        <w:ind w:left="764" w:right="240" w:hanging="768"/>
        <w:spacing w:after="0" w:line="297" w:lineRule="auto"/>
        <w:tabs>
          <w:tab w:leader="none" w:pos="744"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Your Salary will be reviewed by your Manager annually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39" w:lineRule="exact"/>
        <w:rPr>
          <w:sz w:val="20"/>
          <w:szCs w:val="20"/>
          <w:color w:val="auto"/>
        </w:rPr>
      </w:pPr>
    </w:p>
    <w:p>
      <w:pPr>
        <w:ind w:left="764" w:right="100" w:hanging="768"/>
        <w:spacing w:after="0" w:line="234" w:lineRule="auto"/>
        <w:tabs>
          <w:tab w:leader="none" w:pos="744"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96" w:lineRule="exact"/>
        <w:rPr>
          <w:sz w:val="20"/>
          <w:szCs w:val="20"/>
          <w:color w:val="auto"/>
        </w:rPr>
      </w:pPr>
    </w:p>
    <w:p>
      <w:pPr>
        <w:ind w:left="764" w:right="80" w:hanging="768"/>
        <w:spacing w:after="0" w:line="257" w:lineRule="auto"/>
        <w:tabs>
          <w:tab w:leader="none" w:pos="744"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color w:val="auto"/>
        </w:rPr>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12" w:lineRule="exact"/>
        <w:rPr>
          <w:sz w:val="20"/>
          <w:szCs w:val="20"/>
          <w:color w:val="auto"/>
        </w:rPr>
      </w:pPr>
    </w:p>
    <w:p>
      <w:pPr>
        <w:ind w:left="764" w:hanging="764"/>
        <w:spacing w:after="0"/>
        <w:tabs>
          <w:tab w:leader="none" w:pos="764"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Discretionary Bonus</w:t>
      </w:r>
    </w:p>
    <w:p>
      <w:pPr>
        <w:spacing w:after="0" w:line="118" w:lineRule="exact"/>
        <w:rPr>
          <w:sz w:val="20"/>
          <w:szCs w:val="20"/>
          <w:color w:val="auto"/>
        </w:rPr>
      </w:pPr>
    </w:p>
    <w:p>
      <w:pPr>
        <w:ind w:left="764" w:right="100" w:hanging="768"/>
        <w:spacing w:after="0" w:line="297" w:lineRule="auto"/>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39" w:lineRule="exact"/>
        <w:rPr>
          <w:sz w:val="20"/>
          <w:szCs w:val="20"/>
          <w:color w:val="auto"/>
        </w:rPr>
      </w:pPr>
    </w:p>
    <w:p>
      <w:pPr>
        <w:ind w:left="764" w:right="600" w:hanging="768"/>
        <w:spacing w:after="0" w:line="328"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The terms of the discretionary bonus scheme are determined by the Company in its absolute discretion and the Company is entitled in its absolute discretion to change the terms of this scheme from year to year.</w:t>
      </w:r>
    </w:p>
    <w:p>
      <w:pPr>
        <w:spacing w:after="0" w:line="10" w:lineRule="exact"/>
        <w:rPr>
          <w:sz w:val="20"/>
          <w:szCs w:val="20"/>
          <w:color w:val="auto"/>
        </w:rPr>
      </w:pPr>
    </w:p>
    <w:p>
      <w:pPr>
        <w:ind w:left="764" w:right="40" w:hanging="768"/>
        <w:spacing w:after="0"/>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92"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If you commence employment part way through the calendar year any sum calculated in accordance with clause 9.2 shall be pro-rated, as appropriate.</w:t>
      </w:r>
    </w:p>
    <w:p>
      <w:pPr>
        <w:spacing w:after="0" w:line="107" w:lineRule="exact"/>
        <w:rPr>
          <w:sz w:val="20"/>
          <w:szCs w:val="20"/>
          <w:color w:val="auto"/>
        </w:rPr>
      </w:pPr>
    </w:p>
    <w:p>
      <w:pPr>
        <w:jc w:val="center"/>
        <w:ind w:right="-103"/>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0924"/>
          </w:cols>
          <w:pgMar w:left="436" w:top="261" w:right="539" w:bottom="1440" w:gutter="0" w:footer="0" w:header="0"/>
        </w:sectPr>
      </w:pPr>
    </w:p>
    <w:bookmarkStart w:id="262" w:name="page263"/>
    <w:bookmarkEnd w:id="262"/>
    <w:p>
      <w:pPr>
        <w:jc w:val="both"/>
        <w:ind w:left="764" w:right="20"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9.5</w:t>
      </w:r>
      <w:r>
        <w:rPr>
          <w:sz w:val="20"/>
          <w:szCs w:val="20"/>
          <w:color w:val="auto"/>
        </w:rPr>
        <w:tab/>
      </w:r>
      <w:r>
        <w:rPr>
          <w:rFonts w:ascii="Arial" w:cs="Arial" w:eastAsia="Arial" w:hAnsi="Arial"/>
          <w:sz w:val="22"/>
          <w:szCs w:val="22"/>
          <w:color w:val="auto"/>
        </w:rPr>
        <w:t>Save as provided in Schedule II, if you are working your period of notice (given by either you or the Company) at the date any bonus is payable to you, or the Appointment is terminated prior to that date, no bonus or pro-rata bonus shall be payable.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Any discretionary bonus payable in accordance with this clause 9 shall not be pensionable.</w:t>
      </w:r>
    </w:p>
    <w:p>
      <w:pPr>
        <w:spacing w:after="0" w:line="349" w:lineRule="exact"/>
        <w:rPr>
          <w:sz w:val="20"/>
          <w:szCs w:val="20"/>
          <w:color w:val="auto"/>
        </w:rPr>
      </w:pPr>
    </w:p>
    <w:p>
      <w:pPr>
        <w:ind w:left="764" w:hanging="764"/>
        <w:spacing w:after="0"/>
        <w:tabs>
          <w:tab w:leader="none" w:pos="764"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118" w:lineRule="exact"/>
        <w:rPr>
          <w:sz w:val="20"/>
          <w:szCs w:val="20"/>
          <w:color w:val="auto"/>
        </w:rPr>
      </w:pPr>
    </w:p>
    <w:p>
      <w:pPr>
        <w:ind w:left="764" w:right="360" w:hanging="768"/>
        <w:spacing w:after="0" w:line="238" w:lineRule="auto"/>
        <w:tabs>
          <w:tab w:leader="none" w:pos="744"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You shall comply with the Company’s expenses policy as set out in the Staff Handbook from time to time.</w:t>
      </w:r>
    </w:p>
    <w:p>
      <w:pPr>
        <w:spacing w:after="0" w:line="112" w:lineRule="exact"/>
        <w:rPr>
          <w:sz w:val="20"/>
          <w:szCs w:val="20"/>
          <w:color w:val="auto"/>
        </w:rPr>
      </w:pPr>
    </w:p>
    <w:p>
      <w:pPr>
        <w:jc w:val="both"/>
        <w:ind w:left="764" w:right="220" w:hanging="768"/>
        <w:spacing w:after="0"/>
        <w:tabs>
          <w:tab w:leader="none" w:pos="744"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Any expenses charged to a Company credit card must be documented in accordance with Company procedures and approved by the Chief Financial Officer within one month of the date that the credit card statement is received. No personal expenditure may be charged to Company credit cards.</w:t>
      </w:r>
    </w:p>
    <w:p>
      <w:pPr>
        <w:spacing w:after="0" w:line="329" w:lineRule="exact"/>
        <w:rPr>
          <w:sz w:val="20"/>
          <w:szCs w:val="20"/>
          <w:color w:val="auto"/>
        </w:rPr>
      </w:pPr>
    </w:p>
    <w:p>
      <w:pPr>
        <w:ind w:left="764" w:hanging="764"/>
        <w:spacing w:after="0"/>
        <w:tabs>
          <w:tab w:leader="none" w:pos="764"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Other Employment</w:t>
      </w:r>
    </w:p>
    <w:p>
      <w:pPr>
        <w:spacing w:after="0" w:line="118" w:lineRule="exact"/>
        <w:rPr>
          <w:sz w:val="20"/>
          <w:szCs w:val="20"/>
          <w:color w:val="auto"/>
        </w:rPr>
      </w:pPr>
    </w:p>
    <w:p>
      <w:pPr>
        <w:ind w:left="764" w:right="380" w:hanging="768"/>
        <w:spacing w:after="0" w:line="250" w:lineRule="auto"/>
        <w:tabs>
          <w:tab w:leader="none" w:pos="74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You must devote substantially the whole of your time, attention and abilities during your normal hours of work to your duties for the Company.</w:t>
      </w:r>
    </w:p>
    <w:p>
      <w:pPr>
        <w:spacing w:after="0" w:line="80"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Without the prior written approval of the Board, you may not, whether directly or indirectly, undertake any other job (including voluntary work) or carry on a business, of whatever kind, during your hours of work for the Company. Without the prior written approval of the Board,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w:t>
      </w:r>
    </w:p>
    <w:p>
      <w:pPr>
        <w:spacing w:after="0" w:line="90" w:lineRule="exact"/>
        <w:rPr>
          <w:sz w:val="20"/>
          <w:szCs w:val="20"/>
          <w:color w:val="auto"/>
        </w:rPr>
      </w:pPr>
    </w:p>
    <w:p>
      <w:pPr>
        <w:ind w:left="764" w:right="120" w:hanging="768"/>
        <w:spacing w:after="0" w:line="238" w:lineRule="auto"/>
        <w:tabs>
          <w:tab w:leader="none" w:pos="74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color w:val="auto"/>
        </w:rPr>
        <w:t>You may not at any time during the period of your employment by the Company without the prior written consent of the Chairman of the Board engage, whether directly or indirectly, in any business or employment which is similar to or in any way connected with the business of the Company. Nothing in this clause 11.3 will prevent you from continuing with your activities relating to Phase4 Partners Limited.</w:t>
      </w:r>
    </w:p>
    <w:p>
      <w:pPr>
        <w:spacing w:after="0" w:line="327" w:lineRule="exact"/>
        <w:rPr>
          <w:sz w:val="20"/>
          <w:szCs w:val="20"/>
          <w:color w:val="auto"/>
        </w:rPr>
      </w:pPr>
    </w:p>
    <w:p>
      <w:pPr>
        <w:ind w:left="764" w:hanging="764"/>
        <w:spacing w:after="0"/>
        <w:tabs>
          <w:tab w:leader="none" w:pos="764"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Holidays</w:t>
      </w:r>
    </w:p>
    <w:p>
      <w:pPr>
        <w:spacing w:after="0" w:line="118" w:lineRule="exact"/>
        <w:rPr>
          <w:sz w:val="20"/>
          <w:szCs w:val="20"/>
          <w:color w:val="auto"/>
        </w:rPr>
      </w:pPr>
    </w:p>
    <w:p>
      <w:pPr>
        <w:ind w:left="764" w:right="60" w:hanging="768"/>
        <w:spacing w:after="0"/>
        <w:tabs>
          <w:tab w:leader="none" w:pos="744"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In addition to the usual public and bank holidays of England and Wales, you shall be entitled to 25 days’ paid holiday in each complete holiday year worked (and pro rata for any holiday year worked in part) to be taken at such time or times as shall be agreed by your Manager.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0964"/>
          </w:cols>
          <w:pgMar w:left="436" w:top="267" w:right="499" w:bottom="1440" w:gutter="0" w:footer="0" w:header="0"/>
        </w:sectPr>
      </w:pPr>
    </w:p>
    <w:bookmarkStart w:id="263" w:name="page264"/>
    <w:bookmarkEnd w:id="263"/>
    <w:p>
      <w:pPr>
        <w:ind w:left="4"/>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w:t>
      </w:r>
      <w:r>
        <w:rPr>
          <w:sz w:val="20"/>
          <w:szCs w:val="20"/>
          <w:color w:val="auto"/>
        </w:rPr>
        <w:tab/>
      </w:r>
      <w:r>
        <w:rPr>
          <w:rFonts w:ascii="Arial" w:cs="Arial" w:eastAsia="Arial" w:hAnsi="Arial"/>
          <w:sz w:val="19"/>
          <w:szCs w:val="19"/>
          <w:color w:val="auto"/>
        </w:rPr>
        <w:t>The holiday year runs from 1 January each year to the following 31 December.</w:t>
      </w:r>
    </w:p>
    <w:p>
      <w:pPr>
        <w:spacing w:after="0" w:line="112"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color w:val="auto"/>
        </w:rPr>
        <w:t>Although the Company will agree to your proposed holiday dates wherever possible, it reserves the right to withhold approval where necessary to protect the interests of the business.</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The Company reserves the right to require you to take holiday on certain days to be determined by the Company of up to five days in each holiday year. The Company will notify you of any such requirement prior to the commencement of each holiday year.</w:t>
      </w:r>
    </w:p>
    <w:p>
      <w:pPr>
        <w:spacing w:after="0" w:line="92" w:lineRule="exact"/>
        <w:rPr>
          <w:sz w:val="20"/>
          <w:szCs w:val="20"/>
          <w:color w:val="auto"/>
        </w:rPr>
      </w:pPr>
    </w:p>
    <w:p>
      <w:pPr>
        <w:jc w:val="both"/>
        <w:ind w:left="764" w:right="280" w:hanging="768"/>
        <w:spacing w:after="0"/>
        <w:tabs>
          <w:tab w:leader="none" w:pos="744"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color w:val="auto"/>
        </w:rPr>
        <w:t>A maximum of five days untaken holiday entitlement may be carried forward from one holiday year subject to the prior written agreement of your Manager to the next and no money will be paid in lieu of any such untaken holiday entitlement.</w:t>
      </w:r>
    </w:p>
    <w:p>
      <w:pPr>
        <w:spacing w:after="0" w:line="92" w:lineRule="exact"/>
        <w:rPr>
          <w:sz w:val="20"/>
          <w:szCs w:val="20"/>
          <w:color w:val="auto"/>
        </w:rPr>
      </w:pPr>
    </w:p>
    <w:p>
      <w:pPr>
        <w:ind w:left="764" w:right="200" w:hanging="768"/>
        <w:spacing w:after="0" w:line="252" w:lineRule="auto"/>
        <w:tabs>
          <w:tab w:leader="none" w:pos="744"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color w:val="auto"/>
        </w:rPr>
        <w:t>On termination of the Appointment you shall be entitled to be paid in lieu of holiday accrued but untaken in the holiday year in which termination takes place. Your entitlement to holiday will be calculated on the basis that each day of paid holiday is equal to 1/260 of your salary. Alternatively, you will be required to repay to the Company pay for any holiday taken in excess of your entitlement at the same rate.</w:t>
      </w:r>
    </w:p>
    <w:p>
      <w:pPr>
        <w:spacing w:after="0" w:line="79" w:lineRule="exact"/>
        <w:rPr>
          <w:sz w:val="20"/>
          <w:szCs w:val="20"/>
          <w:color w:val="auto"/>
        </w:rPr>
      </w:pPr>
    </w:p>
    <w:p>
      <w:pPr>
        <w:jc w:val="both"/>
        <w:ind w:left="764" w:right="340" w:hanging="768"/>
        <w:spacing w:after="0"/>
        <w:tabs>
          <w:tab w:leader="none" w:pos="744"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color w:val="auto"/>
        </w:rPr>
        <w:t>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92" w:lineRule="exact"/>
        <w:rPr>
          <w:sz w:val="20"/>
          <w:szCs w:val="20"/>
          <w:color w:val="auto"/>
        </w:rPr>
      </w:pPr>
    </w:p>
    <w:p>
      <w:pPr>
        <w:ind w:left="764" w:right="260" w:hanging="768"/>
        <w:spacing w:after="0" w:line="250" w:lineRule="auto"/>
        <w:tabs>
          <w:tab w:leader="none" w:pos="744"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2"/>
          <w:szCs w:val="22"/>
          <w:color w:val="auto"/>
        </w:rPr>
        <w:t>The Company may require you to take any outstanding holiday entitlement during your notice period or during any period of garden leave as referred to in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The holiday year is also the leave year for parental leave purposes.</w:t>
      </w:r>
    </w:p>
    <w:p>
      <w:pPr>
        <w:spacing w:after="0" w:line="349" w:lineRule="exact"/>
        <w:rPr>
          <w:sz w:val="20"/>
          <w:szCs w:val="20"/>
          <w:color w:val="auto"/>
        </w:rPr>
      </w:pPr>
    </w:p>
    <w:p>
      <w:pPr>
        <w:ind w:left="764" w:hanging="764"/>
        <w:spacing w:after="0"/>
        <w:tabs>
          <w:tab w:leader="none" w:pos="764"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Sickness or Other Absence</w:t>
      </w:r>
    </w:p>
    <w:p>
      <w:pPr>
        <w:spacing w:after="0" w:line="118" w:lineRule="exact"/>
        <w:rPr>
          <w:sz w:val="20"/>
          <w:szCs w:val="20"/>
          <w:color w:val="auto"/>
        </w:rPr>
      </w:pPr>
    </w:p>
    <w:p>
      <w:pPr>
        <w:ind w:left="764" w:right="380" w:hanging="768"/>
        <w:spacing w:after="0" w:line="328" w:lineRule="auto"/>
        <w:tabs>
          <w:tab w:leader="none" w:pos="744"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If you are absent from work for any reason and your absence has not previously been authorised by your Manager you, or someone on your behalf, must inform your Manager by 10.00 am on each day of absence.</w:t>
      </w:r>
    </w:p>
    <w:p>
      <w:pPr>
        <w:spacing w:after="0" w:line="10"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Any unauthorised absence must be properly explained and in the case of an absence of uncertain duration you must keep the Company informed on a daily basis until you have provided the Company with a medical certificate.</w:t>
      </w:r>
    </w:p>
    <w:p>
      <w:pPr>
        <w:spacing w:after="0" w:line="10" w:lineRule="exact"/>
        <w:rPr>
          <w:sz w:val="20"/>
          <w:szCs w:val="20"/>
          <w:color w:val="auto"/>
        </w:rPr>
      </w:pPr>
    </w:p>
    <w:p>
      <w:pPr>
        <w:jc w:val="both"/>
        <w:ind w:left="764" w:right="40" w:hanging="768"/>
        <w:spacing w:after="0" w:line="257" w:lineRule="auto"/>
        <w:tabs>
          <w:tab w:leader="none" w:pos="744"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75" w:lineRule="exact"/>
        <w:rPr>
          <w:sz w:val="20"/>
          <w:szCs w:val="20"/>
          <w:color w:val="auto"/>
        </w:rPr>
      </w:pPr>
    </w:p>
    <w:p>
      <w:pPr>
        <w:ind w:left="764" w:right="220" w:hanging="768"/>
        <w:spacing w:after="0" w:line="287" w:lineRule="auto"/>
        <w:tabs>
          <w:tab w:leader="none" w:pos="744"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7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004"/>
          </w:cols>
          <w:pgMar w:left="436" w:top="267" w:right="459" w:bottom="1440" w:gutter="0" w:footer="0" w:header="0"/>
        </w:sectPr>
      </w:pPr>
    </w:p>
    <w:bookmarkStart w:id="264" w:name="page265"/>
    <w:bookmarkEnd w:id="264"/>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w:t>
      </w:r>
      <w:r>
        <w:rPr>
          <w:sz w:val="20"/>
          <w:szCs w:val="20"/>
          <w:color w:val="auto"/>
        </w:rPr>
        <w:tab/>
      </w:r>
      <w:r>
        <w:rPr>
          <w:rFonts w:ascii="Arial" w:cs="Arial" w:eastAsia="Arial" w:hAnsi="Arial"/>
          <w:sz w:val="22"/>
          <w:szCs w:val="22"/>
          <w:color w:val="auto"/>
        </w:rPr>
        <w:t>Failure to comply with the above procedures may result in disciplinary action and/or the loss of Company sick pay (referred to below) and may also disqualify you from receiving Statutory Sick Pay.</w:t>
      </w:r>
    </w:p>
    <w:p>
      <w:pPr>
        <w:spacing w:after="0" w:line="80" w:lineRule="exact"/>
        <w:rPr>
          <w:sz w:val="20"/>
          <w:szCs w:val="20"/>
          <w:color w:val="auto"/>
        </w:rPr>
      </w:pPr>
    </w:p>
    <w:p>
      <w:pPr>
        <w:ind w:left="764" w:right="220" w:hanging="768"/>
        <w:spacing w:after="0" w:line="250" w:lineRule="auto"/>
        <w:tabs>
          <w:tab w:leader="none" w:pos="744"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2"/>
          <w:szCs w:val="22"/>
          <w:color w:val="auto"/>
        </w:rPr>
        <w:t>Your “qualifying days” for Statutory Sick Pay purposes are those days of the week on which you are due to work in accordance with this contract of employment.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You shall:</w:t>
      </w:r>
    </w:p>
    <w:p>
      <w:pPr>
        <w:spacing w:after="0" w:line="112" w:lineRule="exact"/>
        <w:rPr>
          <w:sz w:val="20"/>
          <w:szCs w:val="20"/>
          <w:color w:val="auto"/>
        </w:rPr>
      </w:pPr>
    </w:p>
    <w:p>
      <w:pPr>
        <w:ind w:left="1424" w:hanging="647"/>
        <w:spacing w:after="0" w:line="274" w:lineRule="auto"/>
        <w:rPr>
          <w:sz w:val="20"/>
          <w:szCs w:val="20"/>
          <w:color w:val="auto"/>
        </w:rPr>
      </w:pPr>
      <w:r>
        <w:rPr>
          <w:rFonts w:ascii="Arial" w:cs="Arial" w:eastAsia="Arial" w:hAnsi="Arial"/>
          <w:sz w:val="21"/>
          <w:szCs w:val="21"/>
          <w:color w:val="auto"/>
        </w:rPr>
        <w:t>13.7.1 agree to consent to a medical examination (at the Company’s expense) by a doctor nominated by the Company or your GP or any relevant consultant at any time should the Company so require; and</w:t>
      </w:r>
    </w:p>
    <w:p>
      <w:pPr>
        <w:spacing w:after="0" w:line="56" w:lineRule="exact"/>
        <w:rPr>
          <w:sz w:val="20"/>
          <w:szCs w:val="20"/>
          <w:color w:val="auto"/>
        </w:rPr>
      </w:pPr>
    </w:p>
    <w:p>
      <w:pPr>
        <w:ind w:left="1424" w:right="360" w:hanging="647"/>
        <w:spacing w:after="0" w:line="250" w:lineRule="auto"/>
        <w:rPr>
          <w:sz w:val="20"/>
          <w:szCs w:val="20"/>
          <w:color w:val="auto"/>
        </w:rPr>
      </w:pPr>
      <w:r>
        <w:rPr>
          <w:rFonts w:ascii="Arial" w:cs="Arial" w:eastAsia="Arial" w:hAnsi="Arial"/>
          <w:sz w:val="22"/>
          <w:szCs w:val="22"/>
          <w:color w:val="auto"/>
        </w:rPr>
        <w:t>13.7.2 authorise such medical practitioner to disclose to or discuss with the Company (or its medical adviser) any matters arising from such examination.</w:t>
      </w:r>
    </w:p>
    <w:p>
      <w:pPr>
        <w:spacing w:after="0" w:line="80" w:lineRule="exact"/>
        <w:rPr>
          <w:sz w:val="20"/>
          <w:szCs w:val="20"/>
          <w:color w:val="auto"/>
        </w:rPr>
      </w:pPr>
    </w:p>
    <w:p>
      <w:pPr>
        <w:ind w:left="764" w:right="220" w:hanging="768"/>
        <w:spacing w:after="0"/>
        <w:tabs>
          <w:tab w:leader="none" w:pos="744"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2"/>
          <w:szCs w:val="22"/>
          <w:color w:val="auto"/>
        </w:rPr>
        <w:t>The rights of the Company to terminate the Appointment under the terms of this Contract apply even when such termination would or might cause you to forfeit any entitlement to sick pay, payments under the medical scheme, or other benefits.</w:t>
      </w:r>
    </w:p>
    <w:p>
      <w:pPr>
        <w:spacing w:after="0" w:line="329" w:lineRule="exact"/>
        <w:rPr>
          <w:sz w:val="20"/>
          <w:szCs w:val="20"/>
          <w:color w:val="auto"/>
        </w:rPr>
      </w:pPr>
    </w:p>
    <w:p>
      <w:pPr>
        <w:ind w:left="764" w:hanging="764"/>
        <w:spacing w:after="0"/>
        <w:tabs>
          <w:tab w:leader="none" w:pos="764"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Sick Pay</w:t>
      </w:r>
    </w:p>
    <w:p>
      <w:pPr>
        <w:spacing w:after="0" w:line="118" w:lineRule="exact"/>
        <w:rPr>
          <w:sz w:val="20"/>
          <w:szCs w:val="20"/>
          <w:color w:val="auto"/>
        </w:rPr>
      </w:pPr>
    </w:p>
    <w:p>
      <w:pPr>
        <w:ind w:left="764" w:right="100" w:hanging="768"/>
        <w:spacing w:after="0" w:line="248" w:lineRule="auto"/>
        <w:tabs>
          <w:tab w:leader="none" w:pos="744"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82" w:lineRule="exact"/>
        <w:rPr>
          <w:sz w:val="20"/>
          <w:szCs w:val="20"/>
          <w:color w:val="auto"/>
        </w:rPr>
      </w:pPr>
    </w:p>
    <w:p>
      <w:pPr>
        <w:ind w:left="764" w:right="20" w:hanging="768"/>
        <w:spacing w:after="0" w:line="248" w:lineRule="auto"/>
        <w:tabs>
          <w:tab w:leader="none" w:pos="744"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82" w:lineRule="exact"/>
        <w:rPr>
          <w:sz w:val="20"/>
          <w:szCs w:val="20"/>
          <w:color w:val="auto"/>
        </w:rPr>
      </w:pPr>
    </w:p>
    <w:p>
      <w:pPr>
        <w:ind w:left="764" w:right="160" w:hanging="768"/>
        <w:spacing w:after="0" w:line="250" w:lineRule="auto"/>
        <w:tabs>
          <w:tab w:leader="none" w:pos="744"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color w:val="auto"/>
        </w:rPr>
        <w:t>The Company reserves the right to withhold payment of Company sick pay if you fail to comply with the provisions of clause 13 or if you are subject to disciplinary proceedings.</w:t>
      </w:r>
    </w:p>
    <w:p>
      <w:pPr>
        <w:spacing w:after="0" w:line="317" w:lineRule="exact"/>
        <w:rPr>
          <w:sz w:val="20"/>
          <w:szCs w:val="20"/>
          <w:color w:val="auto"/>
        </w:rPr>
      </w:pPr>
    </w:p>
    <w:p>
      <w:pPr>
        <w:ind w:left="764" w:hanging="764"/>
        <w:spacing w:after="0"/>
        <w:tabs>
          <w:tab w:leader="none" w:pos="764"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Other Benefits</w:t>
      </w:r>
    </w:p>
    <w:p>
      <w:pPr>
        <w:spacing w:after="0" w:line="112" w:lineRule="exact"/>
        <w:rPr>
          <w:sz w:val="20"/>
          <w:szCs w:val="20"/>
          <w:color w:val="auto"/>
        </w:rPr>
      </w:pPr>
    </w:p>
    <w:p>
      <w:pPr>
        <w:ind w:left="764" w:right="200" w:hanging="768"/>
        <w:spacing w:after="0" w:line="256" w:lineRule="auto"/>
        <w:tabs>
          <w:tab w:leader="none" w:pos="744"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2"/>
          <w:szCs w:val="22"/>
          <w:b w:val="1"/>
          <w:bCs w:val="1"/>
          <w:color w:val="auto"/>
        </w:rPr>
        <w:t xml:space="preserve">Pension. </w:t>
      </w:r>
      <w:r>
        <w:rPr>
          <w:rFonts w:ascii="Arial" w:cs="Arial" w:eastAsia="Arial" w:hAnsi="Arial"/>
          <w:sz w:val="22"/>
          <w:szCs w:val="22"/>
          <w:color w:val="auto"/>
        </w:rPr>
        <w:t>You are eligible to join the Company’s group personal pension scheme. Membership of and benefits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scheme are strictly subject to the rules of</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0984"/>
          </w:cols>
          <w:pgMar w:left="436" w:top="267" w:right="479" w:bottom="1440" w:gutter="0" w:footer="0" w:header="0"/>
        </w:sectPr>
      </w:pPr>
    </w:p>
    <w:bookmarkStart w:id="265" w:name="page266"/>
    <w:bookmarkEnd w:id="265"/>
    <w:p>
      <w:pPr>
        <w:ind w:left="76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scheme as amended from time to time. The Company expressly reserves the right in its discretion to amend or terminate the pension scheme. The Company shall contribute to the Company’s pension scheme an amount equal to 10% of your 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 pro-rata amount equal to 10% of your basic salary in lieu of a pension contribution to you as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66" w:lineRule="exact"/>
        <w:rPr>
          <w:sz w:val="20"/>
          <w:szCs w:val="20"/>
          <w:color w:val="auto"/>
        </w:rPr>
      </w:pPr>
    </w:p>
    <w:p>
      <w:pPr>
        <w:ind w:left="760" w:right="40" w:hanging="768"/>
        <w:spacing w:after="0" w:line="250" w:lineRule="auto"/>
        <w:tabs>
          <w:tab w:leader="none" w:pos="7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color w:val="auto"/>
        </w:rPr>
        <w:t>The Company will comply with the employer pension duties in respect of your employment in accordance with Part I of the Pensions Act 2008.</w:t>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A contracting-out certificate under the Pension Schemes Act 1993 is not in force in respect of the Appointment.</w:t>
      </w:r>
    </w:p>
    <w:p>
      <w:pPr>
        <w:spacing w:after="0" w:line="112" w:lineRule="exact"/>
        <w:rPr>
          <w:sz w:val="20"/>
          <w:szCs w:val="20"/>
          <w:color w:val="auto"/>
        </w:rPr>
      </w:pPr>
    </w:p>
    <w:p>
      <w:pPr>
        <w:ind w:left="760" w:right="460" w:hanging="768"/>
        <w:spacing w:after="0" w:line="257" w:lineRule="auto"/>
        <w:tabs>
          <w:tab w:leader="none" w:pos="7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color w:val="auto"/>
        </w:rPr>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69" w:lineRule="exact"/>
        <w:rPr>
          <w:sz w:val="20"/>
          <w:szCs w:val="20"/>
          <w:color w:val="auto"/>
        </w:rPr>
      </w:pPr>
    </w:p>
    <w:p>
      <w:pPr>
        <w:ind w:left="1420" w:right="420" w:hanging="647"/>
        <w:spacing w:after="0" w:line="280" w:lineRule="auto"/>
        <w:rPr>
          <w:sz w:val="20"/>
          <w:szCs w:val="20"/>
          <w:color w:val="auto"/>
        </w:rPr>
      </w:pPr>
      <w:r>
        <w:rPr>
          <w:rFonts w:ascii="Arial" w:cs="Arial" w:eastAsia="Arial" w:hAnsi="Arial"/>
          <w:sz w:val="21"/>
          <w:szCs w:val="21"/>
          <w:color w:val="auto"/>
        </w:rPr>
        <w:t xml:space="preserve">15.4.1 </w:t>
      </w:r>
      <w:r>
        <w:rPr>
          <w:rFonts w:ascii="Arial" w:cs="Arial" w:eastAsia="Arial" w:hAnsi="Arial"/>
          <w:sz w:val="21"/>
          <w:szCs w:val="21"/>
          <w:b w:val="1"/>
          <w:bCs w:val="1"/>
          <w:color w:val="auto"/>
        </w:rPr>
        <w:t>Medical Scheme.</w:t>
      </w:r>
      <w:r>
        <w:rPr>
          <w:rFonts w:ascii="Arial" w:cs="Arial" w:eastAsia="Arial" w:hAnsi="Arial"/>
          <w:sz w:val="21"/>
          <w:szCs w:val="21"/>
          <w:color w:val="auto"/>
        </w:rPr>
        <w:t xml:space="preserve"> You and your immediate family shall be entitled to participate in the medical insurance scheme maintained from time to time by the Company for the benefit of employees.</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15.4.2 </w:t>
      </w:r>
      <w:r>
        <w:rPr>
          <w:rFonts w:ascii="Arial" w:cs="Arial" w:eastAsia="Arial" w:hAnsi="Arial"/>
          <w:sz w:val="19"/>
          <w:szCs w:val="19"/>
          <w:b w:val="1"/>
          <w:bCs w:val="1"/>
          <w:color w:val="auto"/>
        </w:rPr>
        <w:t>Life Assurance Scheme.</w:t>
      </w:r>
      <w:r>
        <w:rPr>
          <w:rFonts w:ascii="Arial" w:cs="Arial" w:eastAsia="Arial" w:hAnsi="Arial"/>
          <w:sz w:val="19"/>
          <w:szCs w:val="19"/>
          <w:color w:val="auto"/>
        </w:rPr>
        <w:t xml:space="preserve"> The Company shall maintain for you life assurance of four times your Salary.</w:t>
      </w:r>
    </w:p>
    <w:p>
      <w:pPr>
        <w:spacing w:after="0" w:line="146" w:lineRule="exact"/>
        <w:rPr>
          <w:sz w:val="20"/>
          <w:szCs w:val="20"/>
          <w:color w:val="auto"/>
        </w:rPr>
      </w:pPr>
    </w:p>
    <w:p>
      <w:pPr>
        <w:ind w:left="1420" w:right="340" w:hanging="647"/>
        <w:spacing w:after="0" w:line="256" w:lineRule="auto"/>
        <w:rPr>
          <w:sz w:val="20"/>
          <w:szCs w:val="20"/>
          <w:color w:val="auto"/>
        </w:rPr>
      </w:pPr>
      <w:r>
        <w:rPr>
          <w:rFonts w:ascii="Arial" w:cs="Arial" w:eastAsia="Arial" w:hAnsi="Arial"/>
          <w:sz w:val="22"/>
          <w:szCs w:val="22"/>
          <w:color w:val="auto"/>
        </w:rPr>
        <w:t xml:space="preserve">15.4.3 </w:t>
      </w:r>
      <w:r>
        <w:rPr>
          <w:rFonts w:ascii="Arial" w:cs="Arial" w:eastAsia="Arial" w:hAnsi="Arial"/>
          <w:sz w:val="22"/>
          <w:szCs w:val="22"/>
          <w:b w:val="1"/>
          <w:bCs w:val="1"/>
          <w:color w:val="auto"/>
        </w:rPr>
        <w:t>Income protection.</w:t>
      </w:r>
      <w:r>
        <w:rPr>
          <w:rFonts w:ascii="Arial" w:cs="Arial" w:eastAsia="Arial" w:hAnsi="Arial"/>
          <w:sz w:val="22"/>
          <w:szCs w:val="22"/>
          <w:color w:val="auto"/>
        </w:rPr>
        <w:t xml:space="preserve"> You will be eligible to participate in such income protection schemes as the Company may from time to time operate for employees of your level.</w:t>
      </w:r>
    </w:p>
    <w:p>
      <w:pPr>
        <w:spacing w:after="0" w:line="74" w:lineRule="exact"/>
        <w:rPr>
          <w:sz w:val="20"/>
          <w:szCs w:val="20"/>
          <w:color w:val="auto"/>
        </w:rPr>
      </w:pPr>
    </w:p>
    <w:p>
      <w:pPr>
        <w:ind w:left="760" w:right="100" w:hanging="768"/>
        <w:spacing w:after="0"/>
        <w:tabs>
          <w:tab w:leader="none" w:pos="7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2"/>
          <w:szCs w:val="22"/>
          <w:color w:val="auto"/>
        </w:rPr>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9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Participation in any insurance or assurance scheme provided for you under this Contract:</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15.6.1</w:t>
      </w:r>
      <w:r>
        <w:rPr>
          <w:sz w:val="20"/>
          <w:szCs w:val="20"/>
          <w:color w:val="auto"/>
        </w:rPr>
        <w:tab/>
      </w:r>
      <w:r>
        <w:rPr>
          <w:rFonts w:ascii="Arial" w:cs="Arial" w:eastAsia="Arial" w:hAnsi="Arial"/>
          <w:sz w:val="19"/>
          <w:szCs w:val="19"/>
          <w:color w:val="auto"/>
        </w:rPr>
        <w:t>is absolutely subject to its terms and conditions from time to time in force;</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15.6.2</w:t>
      </w:r>
      <w:r>
        <w:rPr>
          <w:sz w:val="20"/>
          <w:szCs w:val="20"/>
          <w:color w:val="auto"/>
        </w:rPr>
        <w:tab/>
      </w:r>
      <w:r>
        <w:rPr>
          <w:rFonts w:ascii="Arial" w:cs="Arial" w:eastAsia="Arial" w:hAnsi="Arial"/>
          <w:sz w:val="19"/>
          <w:szCs w:val="19"/>
          <w:color w:val="auto"/>
        </w:rPr>
        <w:t>is conditional on you satisfying any applicable requirements of the insurers;</w:t>
      </w:r>
    </w:p>
    <w:p>
      <w:pPr>
        <w:spacing w:after="0" w:line="112" w:lineRule="exact"/>
        <w:rPr>
          <w:sz w:val="20"/>
          <w:szCs w:val="20"/>
          <w:color w:val="auto"/>
        </w:rPr>
      </w:pPr>
    </w:p>
    <w:p>
      <w:pPr>
        <w:jc w:val="both"/>
        <w:ind w:left="2200" w:right="120" w:hanging="768"/>
        <w:spacing w:after="0"/>
        <w:tabs>
          <w:tab w:leader="none" w:pos="2180" w:val="left"/>
        </w:tabs>
        <w:rPr>
          <w:sz w:val="20"/>
          <w:szCs w:val="20"/>
          <w:color w:val="auto"/>
        </w:rPr>
      </w:pPr>
      <w:r>
        <w:rPr>
          <w:rFonts w:ascii="Arial" w:cs="Arial" w:eastAsia="Arial" w:hAnsi="Arial"/>
          <w:sz w:val="22"/>
          <w:szCs w:val="22"/>
          <w:color w:val="auto"/>
        </w:rPr>
        <w:t>15.6.3</w:t>
        <w:tab/>
        <w:t>is subject to you and any insured dependants satisfying the normal underwriting requirements of the relevant insurance provider and the relevant premium being at a rate which the Company considers reasonable;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0960"/>
          </w:cols>
          <w:pgMar w:left="440" w:top="267" w:right="499" w:bottom="1440" w:gutter="0" w:footer="0" w:header="0"/>
        </w:sectPr>
      </w:pPr>
    </w:p>
    <w:bookmarkStart w:id="266" w:name="page267"/>
    <w:bookmarkEnd w:id="266"/>
    <w:p>
      <w:pPr>
        <w:ind w:left="1424"/>
        <w:spacing w:after="0"/>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15.6.4</w:t>
      </w:r>
      <w:r>
        <w:rPr>
          <w:sz w:val="20"/>
          <w:szCs w:val="20"/>
          <w:color w:val="auto"/>
        </w:rPr>
        <w:tab/>
      </w:r>
      <w:r>
        <w:rPr>
          <w:rFonts w:ascii="Arial" w:cs="Arial" w:eastAsia="Arial" w:hAnsi="Arial"/>
          <w:sz w:val="19"/>
          <w:szCs w:val="19"/>
          <w:color w:val="auto"/>
        </w:rPr>
        <w:t>will end when you attain whichever is the greater of the age of 65 and the state pensionable age.</w:t>
      </w:r>
    </w:p>
    <w:p>
      <w:pPr>
        <w:spacing w:after="0" w:line="112" w:lineRule="exact"/>
        <w:rPr>
          <w:sz w:val="20"/>
          <w:szCs w:val="20"/>
          <w:color w:val="auto"/>
        </w:rPr>
      </w:pPr>
    </w:p>
    <w:p>
      <w:pPr>
        <w:ind w:left="764" w:right="300" w:hanging="768"/>
        <w:spacing w:after="0" w:line="236" w:lineRule="auto"/>
        <w:tabs>
          <w:tab w:leader="none" w:pos="744"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22"/>
          <w:szCs w:val="22"/>
          <w:color w:val="auto"/>
        </w:rPr>
        <w:t>The Company reserves the right at any time, on three months’ written notice, to withdraw any insurance or other benefits set out in 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93" w:lineRule="exact"/>
        <w:rPr>
          <w:sz w:val="20"/>
          <w:szCs w:val="20"/>
          <w:color w:val="auto"/>
        </w:rPr>
      </w:pPr>
    </w:p>
    <w:p>
      <w:pPr>
        <w:ind w:left="764" w:right="120" w:hanging="768"/>
        <w:spacing w:after="0" w:line="279" w:lineRule="auto"/>
        <w:tabs>
          <w:tab w:leader="none" w:pos="744"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293" w:lineRule="exact"/>
        <w:rPr>
          <w:sz w:val="20"/>
          <w:szCs w:val="20"/>
          <w:color w:val="auto"/>
        </w:rPr>
      </w:pPr>
    </w:p>
    <w:p>
      <w:pPr>
        <w:ind w:left="764" w:hanging="764"/>
        <w:spacing w:after="0"/>
        <w:tabs>
          <w:tab w:leader="none" w:pos="764"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118" w:lineRule="exact"/>
        <w:rPr>
          <w:sz w:val="20"/>
          <w:szCs w:val="20"/>
          <w:color w:val="auto"/>
        </w:rPr>
      </w:pPr>
    </w:p>
    <w:p>
      <w:pPr>
        <w:ind w:left="764" w:right="440" w:hanging="768"/>
        <w:spacing w:after="0" w:line="328" w:lineRule="auto"/>
        <w:tabs>
          <w:tab w:leader="none" w:pos="744"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You agree and acknowledge that during the course of your employment and in pursuance of the discharge of your duties you will make, create, produce and generate intellectual property rights, including Inventions.</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Inventions</w:t>
      </w:r>
    </w:p>
    <w:p>
      <w:pPr>
        <w:spacing w:after="0" w:line="112" w:lineRule="exact"/>
        <w:rPr>
          <w:sz w:val="20"/>
          <w:szCs w:val="20"/>
          <w:color w:val="auto"/>
        </w:rPr>
      </w:pPr>
    </w:p>
    <w:p>
      <w:pPr>
        <w:ind w:left="1424" w:right="80" w:hanging="647"/>
        <w:spacing w:after="0" w:line="238" w:lineRule="auto"/>
        <w:rPr>
          <w:sz w:val="20"/>
          <w:szCs w:val="20"/>
          <w:color w:val="auto"/>
        </w:rPr>
      </w:pPr>
      <w:r>
        <w:rPr>
          <w:rFonts w:ascii="Arial" w:cs="Arial" w:eastAsia="Arial" w:hAnsi="Arial"/>
          <w:sz w:val="22"/>
          <w:szCs w:val="22"/>
          <w:color w:val="auto"/>
        </w:rPr>
        <w:t>16.2.1 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22"/>
          <w:szCs w:val="22"/>
          <w:b w:val="1"/>
          <w:bCs w:val="1"/>
          <w:color w:val="auto"/>
        </w:rPr>
        <w:t>an Invention</w:t>
      </w:r>
      <w:r>
        <w:rPr>
          <w:rFonts w:ascii="Arial" w:cs="Arial" w:eastAsia="Arial" w:hAnsi="Arial"/>
          <w:sz w:val="22"/>
          <w:szCs w:val="22"/>
          <w:color w:val="auto"/>
        </w:rPr>
        <w:t>”), you shall promptly give to a Director of the Company full written details thereof.</w:t>
      </w:r>
    </w:p>
    <w:p>
      <w:pPr>
        <w:spacing w:after="0" w:line="90" w:lineRule="exact"/>
        <w:rPr>
          <w:sz w:val="20"/>
          <w:szCs w:val="20"/>
          <w:color w:val="auto"/>
        </w:rPr>
      </w:pPr>
    </w:p>
    <w:p>
      <w:pPr>
        <w:ind w:left="1424" w:right="120" w:hanging="647"/>
        <w:spacing w:after="0" w:line="249" w:lineRule="auto"/>
        <w:rPr>
          <w:sz w:val="20"/>
          <w:szCs w:val="20"/>
          <w:color w:val="auto"/>
        </w:rPr>
      </w:pPr>
      <w:r>
        <w:rPr>
          <w:rFonts w:ascii="Arial" w:cs="Arial" w:eastAsia="Arial" w:hAnsi="Arial"/>
          <w:sz w:val="21"/>
          <w:szCs w:val="21"/>
          <w:color w:val="auto"/>
        </w:rPr>
        <w:t>16.2.2 If the Invention is a patentable invention within the meaning of Section 1 of the Patents Act 1977 and, according to the provisions of Section 39 of that Act it belongs to you (“</w:t>
      </w:r>
      <w:r>
        <w:rPr>
          <w:rFonts w:ascii="Arial" w:cs="Arial" w:eastAsia="Arial" w:hAnsi="Arial"/>
          <w:sz w:val="21"/>
          <w:szCs w:val="21"/>
          <w:b w:val="1"/>
          <w:bCs w:val="1"/>
          <w:color w:val="auto"/>
        </w:rPr>
        <w:t>Personal Invention</w:t>
      </w:r>
      <w:r>
        <w:rPr>
          <w:rFonts w:ascii="Arial" w:cs="Arial" w:eastAsia="Arial" w:hAnsi="Arial"/>
          <w:sz w:val="21"/>
          <w:szCs w:val="21"/>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84" w:lineRule="exact"/>
        <w:rPr>
          <w:sz w:val="20"/>
          <w:szCs w:val="20"/>
          <w:color w:val="auto"/>
        </w:rPr>
      </w:pPr>
    </w:p>
    <w:p>
      <w:pPr>
        <w:ind w:left="1424" w:hanging="647"/>
        <w:spacing w:after="0" w:line="282" w:lineRule="auto"/>
        <w:rPr>
          <w:sz w:val="20"/>
          <w:szCs w:val="20"/>
          <w:color w:val="auto"/>
        </w:rPr>
      </w:pPr>
      <w:r>
        <w:rPr>
          <w:rFonts w:ascii="Arial" w:cs="Arial" w:eastAsia="Arial" w:hAnsi="Arial"/>
          <w:sz w:val="19"/>
          <w:szCs w:val="19"/>
          <w:color w:val="auto"/>
        </w:rPr>
        <w:t>16.2.3 Subject to clause 16.2.4, any Invention created in the course of your employment by the Company shall belong to the Company (“</w:t>
      </w:r>
      <w:r>
        <w:rPr>
          <w:rFonts w:ascii="Arial" w:cs="Arial" w:eastAsia="Arial" w:hAnsi="Arial"/>
          <w:sz w:val="19"/>
          <w:szCs w:val="19"/>
          <w:b w:val="1"/>
          <w:bCs w:val="1"/>
          <w:color w:val="auto"/>
        </w:rPr>
        <w:t>Company Inventions</w:t>
      </w:r>
      <w:r>
        <w:rPr>
          <w:rFonts w:ascii="Arial" w:cs="Arial" w:eastAsia="Arial" w:hAnsi="Arial"/>
          <w:sz w:val="19"/>
          <w:szCs w:val="19"/>
          <w:color w:val="auto"/>
        </w:rPr>
        <w:t>”). Any and all intellectual property rights in or relating to any and all such Company Inventions shall be owned by the Company. You hereby irrevocably assign to the Company (by way of present assignment of present and future rights) with full title guarantee absolutely and free from all encumbrances all right, title and interest in and to all intellectual</w:t>
      </w:r>
    </w:p>
    <w:p>
      <w:pPr>
        <w:spacing w:after="0" w:line="8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024"/>
          </w:cols>
          <w:pgMar w:left="436" w:top="267" w:right="439" w:bottom="1440" w:gutter="0" w:footer="0" w:header="0"/>
        </w:sectPr>
      </w:pPr>
    </w:p>
    <w:bookmarkStart w:id="267" w:name="page268"/>
    <w:bookmarkEnd w:id="267"/>
    <w:p>
      <w:pPr>
        <w:ind w:left="1420" w:right="2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rights in or relating to Company Inventions and all materials embodying such rights to the fullest extent permitted by law together with all accrued rights of action in respect of any infringement of such rights. Insofar as they do not so vest automatically by operation of law or under this Contract, you shall hold all such rights and inventions on trust for the exclusive benefit of the Company, and shall not transfer them to a third party or encumber them and shall on demand assign them to the Company without payment or other condition. You shall execute (both during and after the termination of your employment) all documents and do all things necessary to substantiate the Company’s rights in Company Inventions and to obtain registration or protection thereof in the Company’s name in any country.</w:t>
      </w:r>
    </w:p>
    <w:p>
      <w:pPr>
        <w:spacing w:after="0" w:line="63" w:lineRule="exact"/>
        <w:rPr>
          <w:sz w:val="20"/>
          <w:szCs w:val="20"/>
          <w:color w:val="auto"/>
        </w:rPr>
      </w:pPr>
    </w:p>
    <w:p>
      <w:pPr>
        <w:ind w:left="1420" w:right="20" w:hanging="647"/>
        <w:spacing w:after="0" w:line="245" w:lineRule="auto"/>
        <w:rPr>
          <w:sz w:val="20"/>
          <w:szCs w:val="20"/>
          <w:color w:val="auto"/>
        </w:rPr>
      </w:pPr>
      <w:r>
        <w:rPr>
          <w:rFonts w:ascii="Arial" w:cs="Arial" w:eastAsia="Arial" w:hAnsi="Arial"/>
          <w:sz w:val="21"/>
          <w:szCs w:val="21"/>
          <w:color w:val="auto"/>
        </w:rPr>
        <w:t>16.2.4 Where the Company Invention relates to a chemical compound, being the chemical compound itself of assets associated therewith (“</w:t>
      </w:r>
      <w:r>
        <w:rPr>
          <w:rFonts w:ascii="Arial" w:cs="Arial" w:eastAsia="Arial" w:hAnsi="Arial"/>
          <w:sz w:val="21"/>
          <w:szCs w:val="21"/>
          <w:b w:val="1"/>
          <w:bCs w:val="1"/>
          <w:color w:val="auto"/>
        </w:rPr>
        <w:t>Compounds</w:t>
      </w:r>
      <w:r>
        <w:rPr>
          <w:rFonts w:ascii="Arial" w:cs="Arial" w:eastAsia="Arial" w:hAnsi="Arial"/>
          <w:sz w:val="21"/>
          <w:szCs w:val="21"/>
          <w:color w:val="auto"/>
        </w:rPr>
        <w:t>”), any and all intellectual property rights in or relating to that Company Invention shall, with effect from their creation, automatically belong to and vest in the Subsidiary formed to undertake the research, development or commercialisation of that Compound. Insofar as they do not so vest automatically by operation of law or under this Contract, you shall hold all such rights and inventions on trust for the exclusive benefit of the Subsidiary, and shall not transfer them to a third party or encumber them and shall on demand assign them to the Subsidiary without payment or other condition. You shall execute (both during and after the termination of your employment) all documents and do all things necessary to substantiate the Subsidiary’s rights in the Compounds and to obtain registration or protection thereof in the Subsidiary’s name in any country.</w:t>
      </w:r>
    </w:p>
    <w:p>
      <w:pPr>
        <w:spacing w:after="0" w:line="86" w:lineRule="exact"/>
        <w:rPr>
          <w:sz w:val="20"/>
          <w:szCs w:val="20"/>
          <w:color w:val="auto"/>
        </w:rPr>
      </w:pPr>
    </w:p>
    <w:p>
      <w:pPr>
        <w:ind w:left="1420" w:right="100" w:hanging="647"/>
        <w:spacing w:after="0" w:line="277" w:lineRule="auto"/>
        <w:rPr>
          <w:sz w:val="20"/>
          <w:szCs w:val="20"/>
          <w:color w:val="auto"/>
        </w:rPr>
      </w:pPr>
      <w:r>
        <w:rPr>
          <w:rFonts w:ascii="Arial" w:cs="Arial" w:eastAsia="Arial" w:hAnsi="Arial"/>
          <w:sz w:val="19"/>
          <w:szCs w:val="19"/>
          <w:color w:val="auto"/>
        </w:rPr>
        <w:t>16.2.5 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Copyright and other rights</w:t>
      </w:r>
    </w:p>
    <w:p>
      <w:pPr>
        <w:spacing w:after="0" w:line="112" w:lineRule="exact"/>
        <w:rPr>
          <w:sz w:val="20"/>
          <w:szCs w:val="20"/>
          <w:color w:val="auto"/>
        </w:rPr>
      </w:pPr>
    </w:p>
    <w:p>
      <w:pPr>
        <w:ind w:left="1420" w:hanging="647"/>
        <w:spacing w:after="0" w:line="277" w:lineRule="auto"/>
        <w:rPr>
          <w:sz w:val="20"/>
          <w:szCs w:val="20"/>
          <w:color w:val="auto"/>
        </w:rPr>
      </w:pPr>
      <w:r>
        <w:rPr>
          <w:rFonts w:ascii="Arial" w:cs="Arial" w:eastAsia="Arial" w:hAnsi="Arial"/>
          <w:sz w:val="19"/>
          <w:szCs w:val="19"/>
          <w:color w:val="auto"/>
        </w:rPr>
        <w:t>16.3.1 If while employed by the Company you, whether on your own or with any other person, create any copyright work or design (including without limitation any literary, dramatic, musical or artistic work, and any film, 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9"/>
          <w:szCs w:val="19"/>
          <w:b w:val="1"/>
          <w:bCs w:val="1"/>
          <w:color w:val="auto"/>
        </w:rPr>
        <w:t>Protected Work</w:t>
      </w:r>
      <w:r>
        <w:rPr>
          <w:rFonts w:ascii="Arial" w:cs="Arial" w:eastAsia="Arial" w:hAnsi="Arial"/>
          <w:sz w:val="19"/>
          <w:szCs w:val="19"/>
          <w:color w:val="auto"/>
        </w:rPr>
        <w:t>”), you shall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000"/>
          </w:cols>
          <w:pgMar w:left="440" w:top="267" w:right="459" w:bottom="1440" w:gutter="0" w:footer="0" w:header="0"/>
        </w:sectPr>
      </w:pPr>
    </w:p>
    <w:bookmarkStart w:id="268" w:name="page269"/>
    <w:bookmarkEnd w:id="268"/>
    <w:p>
      <w:pPr>
        <w:ind w:left="1400" w:right="4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disclose to the Chief Financial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90" w:lineRule="exact"/>
        <w:rPr>
          <w:sz w:val="20"/>
          <w:szCs w:val="20"/>
          <w:color w:val="auto"/>
        </w:rPr>
      </w:pPr>
    </w:p>
    <w:p>
      <w:pPr>
        <w:ind w:left="1400" w:right="40" w:hanging="647"/>
        <w:spacing w:after="0" w:line="287" w:lineRule="auto"/>
        <w:rPr>
          <w:sz w:val="20"/>
          <w:szCs w:val="20"/>
          <w:color w:val="auto"/>
        </w:rPr>
      </w:pPr>
      <w:r>
        <w:rPr>
          <w:rFonts w:ascii="Arial" w:cs="Arial" w:eastAsia="Arial" w:hAnsi="Arial"/>
          <w:sz w:val="19"/>
          <w:szCs w:val="19"/>
          <w:color w:val="auto"/>
        </w:rPr>
        <w:t>16.3.2 All proprietary rights in any Protected Work created by you in the course of your employment by the Company shall automatically vest in the Company, save that where a Protected Work relates to a Compound, all proprietary rights in that Protected Work shall, with effect from their creation, automatically belong to and vest in the Subsidiary formed to undertake the research, development or commercialisation of that Compound.</w:t>
      </w:r>
    </w:p>
    <w:p>
      <w:pPr>
        <w:spacing w:after="0" w:line="48" w:lineRule="exact"/>
        <w:rPr>
          <w:sz w:val="20"/>
          <w:szCs w:val="20"/>
          <w:color w:val="auto"/>
        </w:rPr>
      </w:pPr>
    </w:p>
    <w:p>
      <w:pPr>
        <w:ind w:left="1400" w:hanging="647"/>
        <w:spacing w:after="0" w:line="245" w:lineRule="auto"/>
        <w:rPr>
          <w:sz w:val="20"/>
          <w:szCs w:val="20"/>
          <w:color w:val="auto"/>
        </w:rPr>
      </w:pPr>
      <w:r>
        <w:rPr>
          <w:rFonts w:ascii="Arial" w:cs="Arial" w:eastAsia="Arial" w:hAnsi="Arial"/>
          <w:sz w:val="21"/>
          <w:szCs w:val="21"/>
          <w:color w:val="auto"/>
        </w:rPr>
        <w:t>16.3.3 To the extent that the Company, or, in the case of a Compound, the Subsidiary is not already the owner of the copyright, design rights, trade marks, database rights and other intellectual or industrial and commercial property rights (“</w:t>
      </w:r>
      <w:r>
        <w:rPr>
          <w:rFonts w:ascii="Arial" w:cs="Arial" w:eastAsia="Arial" w:hAnsi="Arial"/>
          <w:sz w:val="21"/>
          <w:szCs w:val="21"/>
          <w:b w:val="1"/>
          <w:bCs w:val="1"/>
          <w:color w:val="auto"/>
        </w:rPr>
        <w:t>the Rights</w:t>
      </w:r>
      <w:r>
        <w:rPr>
          <w:rFonts w:ascii="Arial" w:cs="Arial" w:eastAsia="Arial" w:hAnsi="Arial"/>
          <w:sz w:val="21"/>
          <w:szCs w:val="21"/>
          <w:color w:val="auto"/>
        </w:rPr>
        <w:t>”) in a Protected Work pursuant to clause 16.3.2 you shall hold the Protected Work and the Rights on trust for the Company or Subsidiary (as appropriate)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or Subsidiary (as appropriate) absolutely together with all accrued rights of action in respect of any infringement of the same.</w:t>
      </w:r>
    </w:p>
    <w:p>
      <w:pPr>
        <w:spacing w:after="0" w:line="90" w:lineRule="exact"/>
        <w:rPr>
          <w:sz w:val="20"/>
          <w:szCs w:val="20"/>
          <w:color w:val="auto"/>
        </w:rPr>
      </w:pPr>
    </w:p>
    <w:p>
      <w:pPr>
        <w:ind w:left="740" w:hanging="768"/>
        <w:spacing w:after="0" w:line="248" w:lineRule="auto"/>
        <w:tabs>
          <w:tab w:leader="none" w:pos="72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You shall, without charge to but at the cost of the Company, execute all documents and do all acts, things and matters beneficial to, required or necessary (both during and after the termination of your employment) to vest rights in the Company (or its Subsidiary, or its successors, as appropriate), or substantiate the Company’s (or its Subsidiary’s, or its successor’s, as appropriate) rights, in any Company Inventions, the Rights and Protected Works and to obtain protection for the Company Inventions, Rights and Protected Works in the Company’s (or its Subsidiary’s or its successor’s, as appropriate) name in any country.</w:t>
      </w:r>
    </w:p>
    <w:p>
      <w:pPr>
        <w:spacing w:after="0" w:line="82" w:lineRule="exact"/>
        <w:rPr>
          <w:sz w:val="20"/>
          <w:szCs w:val="20"/>
          <w:color w:val="auto"/>
        </w:rPr>
      </w:pPr>
    </w:p>
    <w:p>
      <w:pPr>
        <w:ind w:left="740" w:right="360" w:hanging="768"/>
        <w:spacing w:after="0" w:line="287" w:lineRule="auto"/>
        <w:tabs>
          <w:tab w:leader="none" w:pos="72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Should you create a Company Invention or any Rights in a Protected Work in relation to a Compound for which a Subsidiary has not yet been formed at the time of such creation, you agree to hold such Company Invention and Rights on trust pending the formation of such Subsidiary and shall be deemed automatically to have assigned such Company Invention and Rights to that Subsidiary from the moment it becomes a Group Company.</w:t>
      </w:r>
    </w:p>
    <w:p>
      <w:pPr>
        <w:spacing w:after="0" w:line="48" w:lineRule="exact"/>
        <w:rPr>
          <w:sz w:val="20"/>
          <w:szCs w:val="20"/>
          <w:color w:val="auto"/>
        </w:rPr>
      </w:pPr>
    </w:p>
    <w:p>
      <w:pPr>
        <w:ind w:left="740" w:right="60" w:hanging="768"/>
        <w:spacing w:after="0" w:line="238" w:lineRule="auto"/>
        <w:tabs>
          <w:tab w:leader="none" w:pos="72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22"/>
          <w:szCs w:val="22"/>
          <w:color w:val="auto"/>
        </w:rPr>
        <w:t>To the extent permitted by law, you hereby irrevocably and unconditionally waive any and all moral rights conferred by Chapter IV of the Copyright Designs and Patents Act 1988 or any rights of a similar nature under laws now or in the future in force in any other jurisdiction in and to any and all Protected Work, such waiver being given in favour of the Company, its successors in title and assigns.</w:t>
      </w:r>
    </w:p>
    <w:p>
      <w:pPr>
        <w:spacing w:after="0" w:line="90" w:lineRule="exact"/>
        <w:rPr>
          <w:sz w:val="20"/>
          <w:szCs w:val="20"/>
          <w:color w:val="auto"/>
        </w:rPr>
      </w:pPr>
    </w:p>
    <w:p>
      <w:pPr>
        <w:ind w:left="740" w:right="140" w:hanging="768"/>
        <w:spacing w:after="0"/>
        <w:tabs>
          <w:tab w:leader="none" w:pos="72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22"/>
          <w:szCs w:val="22"/>
          <w:color w:val="auto"/>
        </w:rPr>
        <w:t>You hereby irrevocably appoint the Company to be your attorney to execute and do any such instrument or thing and generally to use your name for the purpose of giving the Company or its nominee the benefit of this clause 16 and acknowledge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0980"/>
          </w:cols>
          <w:pgMar w:left="460" w:top="267" w:right="459" w:bottom="1440" w:gutter="0" w:footer="0" w:header="0"/>
        </w:sectPr>
      </w:pPr>
    </w:p>
    <w:bookmarkStart w:id="269" w:name="page270"/>
    <w:bookmarkEnd w:id="269"/>
    <w:p>
      <w:pPr>
        <w:ind w:left="764" w:right="3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favour of a third party that a certificate in writing signed by any Director or the Company Secretary that any instrument or act falls within the authority conferred by this clause 16 shall be conclusive evidence that such is the case.</w:t>
      </w:r>
    </w:p>
    <w:p>
      <w:pPr>
        <w:spacing w:after="0" w:line="92"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2"/>
          <w:szCs w:val="22"/>
          <w:color w:val="auto"/>
        </w:rPr>
        <w:t>The provisions of this clause 16 will not be affected by the termination of this Contract for whatever reason and will continue after it ends.</w:t>
      </w:r>
    </w:p>
    <w:p>
      <w:pPr>
        <w:spacing w:after="0" w:line="317" w:lineRule="exact"/>
        <w:rPr>
          <w:sz w:val="20"/>
          <w:szCs w:val="20"/>
          <w:color w:val="auto"/>
        </w:rPr>
      </w:pPr>
    </w:p>
    <w:p>
      <w:pPr>
        <w:ind w:left="764" w:hanging="764"/>
        <w:spacing w:after="0"/>
        <w:tabs>
          <w:tab w:leader="none" w:pos="764"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8" w:lineRule="exact"/>
        <w:rPr>
          <w:sz w:val="20"/>
          <w:szCs w:val="20"/>
          <w:color w:val="auto"/>
        </w:rPr>
      </w:pPr>
    </w:p>
    <w:p>
      <w:pPr>
        <w:ind w:left="764" w:right="660" w:hanging="768"/>
        <w:spacing w:after="0" w:line="250" w:lineRule="auto"/>
        <w:tabs>
          <w:tab w:leader="none" w:pos="744"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2"/>
          <w:szCs w:val="22"/>
          <w:color w:val="auto"/>
        </w:rPr>
        <w:t>You acknowledge that in the course of the Appointment you will have access to Confidential Information. You therefore agree to accept the restrictions in this clause 17.</w:t>
      </w:r>
    </w:p>
    <w:p>
      <w:pPr>
        <w:spacing w:after="0" w:line="80"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color w:val="auto"/>
        </w:rPr>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9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17.2.1</w:t>
      </w:r>
      <w:r>
        <w:rPr>
          <w:sz w:val="20"/>
          <w:szCs w:val="20"/>
          <w:color w:val="auto"/>
        </w:rPr>
        <w:tab/>
      </w:r>
      <w:r>
        <w:rPr>
          <w:rFonts w:ascii="Arial" w:cs="Arial" w:eastAsia="Arial" w:hAnsi="Arial"/>
          <w:sz w:val="19"/>
          <w:szCs w:val="19"/>
          <w:color w:val="auto"/>
        </w:rPr>
        <w:t>any use or disclosure authorised by the Board in writing or required by law;</w:t>
      </w:r>
    </w:p>
    <w:p>
      <w:pPr>
        <w:spacing w:after="0" w:line="112" w:lineRule="exact"/>
        <w:rPr>
          <w:sz w:val="20"/>
          <w:szCs w:val="20"/>
          <w:color w:val="auto"/>
        </w:rPr>
      </w:pPr>
    </w:p>
    <w:p>
      <w:pPr>
        <w:ind w:left="2204" w:right="660" w:hanging="768"/>
        <w:spacing w:after="0" w:line="250" w:lineRule="auto"/>
        <w:tabs>
          <w:tab w:leader="none" w:pos="2184" w:val="left"/>
        </w:tabs>
        <w:rPr>
          <w:sz w:val="20"/>
          <w:szCs w:val="20"/>
          <w:color w:val="auto"/>
        </w:rPr>
      </w:pPr>
      <w:r>
        <w:rPr>
          <w:rFonts w:ascii="Arial" w:cs="Arial" w:eastAsia="Arial" w:hAnsi="Arial"/>
          <w:sz w:val="22"/>
          <w:szCs w:val="22"/>
          <w:color w:val="auto"/>
        </w:rPr>
        <w:t>17.2.2</w:t>
        <w:tab/>
        <w:t>any information which is already in, or comes into, the public domain other than through your unauthorised disclosure; or</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17.2.3</w:t>
      </w:r>
      <w:r>
        <w:rPr>
          <w:sz w:val="20"/>
          <w:szCs w:val="20"/>
          <w:color w:val="auto"/>
        </w:rPr>
        <w:tab/>
      </w:r>
      <w:r>
        <w:rPr>
          <w:rFonts w:ascii="Arial" w:cs="Arial" w:eastAsia="Arial" w:hAnsi="Arial"/>
          <w:sz w:val="19"/>
          <w:szCs w:val="19"/>
          <w:color w:val="auto"/>
        </w:rPr>
        <w:t>any protected disclosure within the meaning of section 43A of the Employment Rights Act 1996.</w:t>
      </w:r>
    </w:p>
    <w:p>
      <w:pPr>
        <w:spacing w:after="0" w:line="112" w:lineRule="exact"/>
        <w:rPr>
          <w:sz w:val="20"/>
          <w:szCs w:val="20"/>
          <w:color w:val="auto"/>
        </w:rPr>
      </w:pPr>
    </w:p>
    <w:p>
      <w:pPr>
        <w:ind w:left="764" w:right="120" w:hanging="768"/>
        <w:spacing w:after="0"/>
        <w:tabs>
          <w:tab w:leader="none" w:pos="744"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2"/>
          <w:szCs w:val="22"/>
          <w:color w:val="auto"/>
        </w:rPr>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329" w:lineRule="exact"/>
        <w:rPr>
          <w:sz w:val="20"/>
          <w:szCs w:val="20"/>
          <w:color w:val="auto"/>
        </w:rPr>
      </w:pPr>
    </w:p>
    <w:p>
      <w:pPr>
        <w:ind w:left="764" w:hanging="764"/>
        <w:spacing w:after="0"/>
        <w:tabs>
          <w:tab w:leader="none" w:pos="764"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18" w:lineRule="exact"/>
        <w:rPr>
          <w:sz w:val="20"/>
          <w:szCs w:val="20"/>
          <w:color w:val="auto"/>
        </w:rPr>
      </w:pPr>
    </w:p>
    <w:p>
      <w:pPr>
        <w:ind w:left="764" w:hanging="768"/>
        <w:spacing w:after="0" w:line="250" w:lineRule="auto"/>
        <w:tabs>
          <w:tab w:leader="none" w:pos="744"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22"/>
          <w:szCs w:val="22"/>
          <w:color w:val="auto"/>
        </w:rPr>
        <w:t>You or the Company may terminate the Appointment on written notice of 12 months or the statutory minimum notice, whichever is the greater.</w:t>
      </w:r>
    </w:p>
    <w:p>
      <w:pPr>
        <w:spacing w:after="0" w:line="80" w:lineRule="exact"/>
        <w:rPr>
          <w:sz w:val="20"/>
          <w:szCs w:val="20"/>
          <w:color w:val="auto"/>
        </w:rPr>
      </w:pPr>
    </w:p>
    <w:p>
      <w:pPr>
        <w:ind w:left="764" w:right="20" w:hanging="768"/>
        <w:spacing w:after="0" w:line="246" w:lineRule="auto"/>
        <w:tabs>
          <w:tab w:leader="none" w:pos="744"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1"/>
          <w:szCs w:val="21"/>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and a payment in lieu of any contractual benefits under clause 15 (excluding bonus) which you would have been entitled to receive under this Contract during the notice period referred to at clause 2.2 or 18.1 (or, if notice has already been given, during the remainder of such notice period) (subject to statutory deductions)</w:t>
      </w:r>
    </w:p>
    <w:p>
      <w:pPr>
        <w:spacing w:after="0" w:line="85" w:lineRule="exact"/>
        <w:rPr>
          <w:sz w:val="20"/>
          <w:szCs w:val="20"/>
          <w:color w:val="auto"/>
        </w:rPr>
      </w:pPr>
    </w:p>
    <w:p>
      <w:pPr>
        <w:jc w:val="both"/>
        <w:ind w:left="764" w:right="40" w:hanging="768"/>
        <w:spacing w:after="0"/>
        <w:tabs>
          <w:tab w:leader="none" w:pos="744"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2"/>
          <w:szCs w:val="22"/>
          <w:color w:val="auto"/>
        </w:rPr>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0984"/>
          </w:cols>
          <w:pgMar w:left="436" w:top="267" w:right="479" w:bottom="1440" w:gutter="0" w:footer="0" w:header="0"/>
        </w:sectPr>
      </w:pPr>
    </w:p>
    <w:bookmarkStart w:id="270" w:name="page271"/>
    <w:bookmarkEnd w:id="270"/>
    <w:p>
      <w:pPr>
        <w:ind w:left="764" w:right="20" w:hanging="768"/>
        <w:spacing w:after="0" w:line="245"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18.4</w:t>
      </w:r>
      <w:r>
        <w:rPr>
          <w:sz w:val="20"/>
          <w:szCs w:val="20"/>
          <w:color w:val="auto"/>
        </w:rPr>
        <w:tab/>
      </w:r>
      <w:r>
        <w:rPr>
          <w:rFonts w:ascii="Arial" w:cs="Arial" w:eastAsia="Arial" w:hAnsi="Arial"/>
          <w:sz w:val="21"/>
          <w:szCs w:val="21"/>
          <w:color w:val="auto"/>
        </w:rPr>
        <w:t>Upon the termination of your employment with the Company for whatever reason or after notice having been served at the request of the Company or if you shall 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90"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2"/>
          <w:szCs w:val="22"/>
          <w:color w:val="auto"/>
        </w:rPr>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The Company may at its absolute discretion during any period of notice given by either party:</w:t>
      </w:r>
    </w:p>
    <w:p>
      <w:pPr>
        <w:spacing w:after="0" w:line="112"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18.6.1 appoint a person to perform your duties jointly with you or, during any period of garden leave pursuant to clause 20 and/or during any period of suspension pursuant to clause 24.2, to perform all or some of your duties in your place; and/or</w:t>
      </w:r>
    </w:p>
    <w:p>
      <w:pPr>
        <w:spacing w:after="0" w:line="92" w:lineRule="exact"/>
        <w:rPr>
          <w:sz w:val="20"/>
          <w:szCs w:val="20"/>
          <w:color w:val="auto"/>
        </w:rPr>
      </w:pPr>
    </w:p>
    <w:p>
      <w:pPr>
        <w:ind w:left="1424" w:right="640" w:hanging="647"/>
        <w:spacing w:after="0" w:line="250" w:lineRule="auto"/>
        <w:rPr>
          <w:sz w:val="20"/>
          <w:szCs w:val="20"/>
          <w:color w:val="auto"/>
        </w:rPr>
      </w:pPr>
      <w:r>
        <w:rPr>
          <w:rFonts w:ascii="Arial" w:cs="Arial" w:eastAsia="Arial" w:hAnsi="Arial"/>
          <w:sz w:val="22"/>
          <w:szCs w:val="22"/>
          <w:color w:val="auto"/>
        </w:rPr>
        <w:t>18.6.2 suspend or cancel your access to the Company’s IT and telephone systems including, but not limited to, voicemail, email, internet and the Company’s intranet.</w:t>
      </w:r>
    </w:p>
    <w:p>
      <w:pPr>
        <w:spacing w:after="0" w:line="80" w:lineRule="exact"/>
        <w:rPr>
          <w:sz w:val="20"/>
          <w:szCs w:val="20"/>
          <w:color w:val="auto"/>
        </w:rPr>
      </w:pPr>
    </w:p>
    <w:p>
      <w:pPr>
        <w:ind w:left="764" w:right="240" w:hanging="768"/>
        <w:spacing w:after="0" w:line="274" w:lineRule="auto"/>
        <w:tabs>
          <w:tab w:leader="none" w:pos="744"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21"/>
          <w:szCs w:val="21"/>
          <w:color w:val="auto"/>
        </w:rPr>
        <w:t>This clause 18 is subject to the provisions of Schedule II appended to this Contract. In the event of conflict between this clause 18 and the provisions of Schedule II, the provisions of Schedule II shall prevail.</w:t>
      </w:r>
    </w:p>
    <w:p>
      <w:pPr>
        <w:spacing w:after="0" w:line="293" w:lineRule="exact"/>
        <w:rPr>
          <w:sz w:val="20"/>
          <w:szCs w:val="20"/>
          <w:color w:val="auto"/>
        </w:rPr>
      </w:pPr>
    </w:p>
    <w:p>
      <w:pPr>
        <w:ind w:left="764" w:hanging="764"/>
        <w:spacing w:after="0"/>
        <w:tabs>
          <w:tab w:leader="none" w:pos="764"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Summary Termination</w:t>
      </w:r>
    </w:p>
    <w:p>
      <w:pPr>
        <w:spacing w:after="0" w:line="118"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2"/>
          <w:szCs w:val="22"/>
          <w:color w:val="auto"/>
        </w:rPr>
        <w:t>The Company is entitled to terminate the Appointment by summary notice in writing and without payment in lieu of notice for Cause, meaning if you:</w:t>
      </w:r>
    </w:p>
    <w:p>
      <w:pPr>
        <w:spacing w:after="0" w:line="80"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 are guilty of any gross misconduct affecting the business of any Group Company;</w:t>
      </w:r>
    </w:p>
    <w:p>
      <w:pPr>
        <w:spacing w:after="0" w:line="112" w:lineRule="exact"/>
        <w:rPr>
          <w:sz w:val="20"/>
          <w:szCs w:val="20"/>
          <w:color w:val="auto"/>
        </w:rPr>
      </w:pPr>
    </w:p>
    <w:p>
      <w:pPr>
        <w:ind w:left="1424" w:right="300" w:hanging="647"/>
        <w:spacing w:after="0" w:line="250" w:lineRule="auto"/>
        <w:rPr>
          <w:sz w:val="20"/>
          <w:szCs w:val="20"/>
          <w:color w:val="auto"/>
        </w:rPr>
      </w:pPr>
      <w:r>
        <w:rPr>
          <w:rFonts w:ascii="Arial" w:cs="Arial" w:eastAsia="Arial" w:hAnsi="Arial"/>
          <w:sz w:val="22"/>
          <w:szCs w:val="22"/>
          <w:color w:val="auto"/>
        </w:rPr>
        <w:t>19.1.2 commit any serious breach or repeated or continued (after warning) any material breach of your obligations under this Contract;</w:t>
      </w:r>
    </w:p>
    <w:p>
      <w:pPr>
        <w:spacing w:after="0" w:line="80" w:lineRule="exact"/>
        <w:rPr>
          <w:sz w:val="20"/>
          <w:szCs w:val="20"/>
          <w:color w:val="auto"/>
        </w:rPr>
      </w:pPr>
    </w:p>
    <w:p>
      <w:pPr>
        <w:ind w:left="1424" w:right="100" w:hanging="647"/>
        <w:spacing w:after="0" w:line="250" w:lineRule="auto"/>
        <w:rPr>
          <w:sz w:val="20"/>
          <w:szCs w:val="20"/>
          <w:color w:val="auto"/>
        </w:rPr>
      </w:pPr>
      <w:r>
        <w:rPr>
          <w:rFonts w:ascii="Arial" w:cs="Arial" w:eastAsia="Arial" w:hAnsi="Arial"/>
          <w:sz w:val="22"/>
          <w:szCs w:val="22"/>
          <w:color w:val="auto"/>
        </w:rPr>
        <w:t>19.1.3 commit (by commission or omission) any act which brings or would tend to bring the Company or any Group Company into disrepute;</w:t>
      </w:r>
    </w:p>
    <w:p>
      <w:pPr>
        <w:spacing w:after="0" w:line="80" w:lineRule="exact"/>
        <w:rPr>
          <w:sz w:val="20"/>
          <w:szCs w:val="20"/>
          <w:color w:val="auto"/>
        </w:rPr>
      </w:pPr>
    </w:p>
    <w:p>
      <w:pPr>
        <w:ind w:left="1424" w:right="860" w:hanging="647"/>
        <w:spacing w:after="0" w:line="250" w:lineRule="auto"/>
        <w:rPr>
          <w:sz w:val="20"/>
          <w:szCs w:val="20"/>
          <w:color w:val="auto"/>
        </w:rPr>
      </w:pPr>
      <w:r>
        <w:rPr>
          <w:rFonts w:ascii="Arial" w:cs="Arial" w:eastAsia="Arial" w:hAnsi="Arial"/>
          <w:sz w:val="22"/>
          <w:szCs w:val="22"/>
          <w:color w:val="auto"/>
        </w:rPr>
        <w:t>19.1.4 fail to perform your duties to a satisfactory standard after having received a written warning from the Company relating to the same;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004"/>
          </w:cols>
          <w:pgMar w:left="436" w:top="267" w:right="459" w:bottom="1440" w:gutter="0" w:footer="0" w:header="0"/>
        </w:sectPr>
      </w:pPr>
    </w:p>
    <w:bookmarkStart w:id="271" w:name="page272"/>
    <w:bookmarkEnd w:id="271"/>
    <w:p>
      <w:pPr>
        <w:ind w:left="7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19.1.5 are guilty of any dishonesty, gross misconduct or wilful neglect of duty;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19.1.6 damage Company property maliciously;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19.1.7 falsify attendance or sickness or other records;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19.1.8 falsify any data during the course of your employment;</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19.1.9 conduct yourself in a manner materially adverse to the interests of the Company or any Group Company;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19.1.10are, in the reasonable opinion of the Board, negligent and incompetent in the performance of your duties;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19.1.11have a bankruptcy order made against you or enter into a voluntary arrangement within the meaning of section</w:t>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253 Insolvency Act 1986;</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19.1.12consume or distribute narcotics on Company premises;</w:t>
      </w:r>
    </w:p>
    <w:p>
      <w:pPr>
        <w:spacing w:after="0" w:line="112" w:lineRule="exact"/>
        <w:rPr>
          <w:sz w:val="20"/>
          <w:szCs w:val="20"/>
          <w:color w:val="auto"/>
        </w:rPr>
      </w:pPr>
    </w:p>
    <w:p>
      <w:pPr>
        <w:jc w:val="both"/>
        <w:ind w:left="1420" w:right="280" w:hanging="647"/>
        <w:spacing w:after="0"/>
        <w:rPr>
          <w:sz w:val="20"/>
          <w:szCs w:val="20"/>
          <w:color w:val="auto"/>
        </w:rPr>
      </w:pPr>
      <w:r>
        <w:rPr>
          <w:rFonts w:ascii="Arial" w:cs="Arial" w:eastAsia="Arial" w:hAnsi="Arial"/>
          <w:sz w:val="22"/>
          <w:szCs w:val="22"/>
          <w:color w:val="auto"/>
        </w:rPr>
        <w:t>19.1.13are convicted of any criminal offence (other than an offence under any road traffic legislation in the United Kingdom or elsewhere for which a fine or non-custodial penalty is imposed) whether or not in the course of your employment;</w:t>
      </w:r>
    </w:p>
    <w:p>
      <w:pPr>
        <w:spacing w:after="0" w:line="92" w:lineRule="exact"/>
        <w:rPr>
          <w:sz w:val="20"/>
          <w:szCs w:val="20"/>
          <w:color w:val="auto"/>
        </w:rPr>
      </w:pPr>
    </w:p>
    <w:p>
      <w:pPr>
        <w:ind w:left="1420" w:hanging="647"/>
        <w:spacing w:after="0"/>
        <w:rPr>
          <w:sz w:val="20"/>
          <w:szCs w:val="20"/>
          <w:color w:val="auto"/>
        </w:rPr>
      </w:pPr>
      <w:r>
        <w:rPr>
          <w:rFonts w:ascii="Arial" w:cs="Arial" w:eastAsia="Arial" w:hAnsi="Arial"/>
          <w:sz w:val="22"/>
          <w:szCs w:val="22"/>
          <w:color w:val="auto"/>
        </w:rPr>
        <w:t>19.1.14are, in the opinion of a medical practitioner who is treating you, physically or mentally incapable of performing your duties and may remain so for more than three months and the medical practitioner has given a medical opinion to the Board to that effect;</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19.1.15cease to be eligible to work in the United Kingdom;</w:t>
      </w:r>
    </w:p>
    <w:p>
      <w:pPr>
        <w:spacing w:after="0" w:line="112" w:lineRule="exact"/>
        <w:rPr>
          <w:sz w:val="20"/>
          <w:szCs w:val="20"/>
          <w:color w:val="auto"/>
        </w:rPr>
      </w:pPr>
    </w:p>
    <w:p>
      <w:pPr>
        <w:ind w:left="1420" w:right="340" w:hanging="647"/>
        <w:spacing w:after="0" w:line="250" w:lineRule="auto"/>
        <w:rPr>
          <w:sz w:val="20"/>
          <w:szCs w:val="20"/>
          <w:color w:val="auto"/>
        </w:rPr>
      </w:pPr>
      <w:r>
        <w:rPr>
          <w:rFonts w:ascii="Arial" w:cs="Arial" w:eastAsia="Arial" w:hAnsi="Arial"/>
          <w:sz w:val="22"/>
          <w:szCs w:val="22"/>
          <w:color w:val="auto"/>
        </w:rPr>
        <w:t>19.1.16knowingly commit any deliberate act which amounts to discrimination, victimisation or harassment on any unlawful ground;</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19.1.17are in breach of the Company’s anti-corruption and bribery policy and related procedures;</w:t>
      </w:r>
    </w:p>
    <w:p>
      <w:pPr>
        <w:spacing w:after="0" w:line="112" w:lineRule="exact"/>
        <w:rPr>
          <w:sz w:val="20"/>
          <w:szCs w:val="20"/>
          <w:color w:val="auto"/>
        </w:rPr>
      </w:pPr>
    </w:p>
    <w:p>
      <w:pPr>
        <w:ind w:left="1420" w:right="320" w:hanging="647"/>
        <w:spacing w:after="0" w:line="250" w:lineRule="auto"/>
        <w:rPr>
          <w:sz w:val="20"/>
          <w:szCs w:val="20"/>
          <w:color w:val="auto"/>
        </w:rPr>
      </w:pPr>
      <w:r>
        <w:rPr>
          <w:rFonts w:ascii="Arial" w:cs="Arial" w:eastAsia="Arial" w:hAnsi="Arial"/>
          <w:sz w:val="22"/>
          <w:szCs w:val="22"/>
          <w:color w:val="auto"/>
        </w:rPr>
        <w:t>19.1.18are guilty of a serious breach of any rules issued by the Company from time to time regarding its electronic communications systems;</w:t>
      </w:r>
    </w:p>
    <w:p>
      <w:pPr>
        <w:spacing w:after="0" w:line="80" w:lineRule="exact"/>
        <w:rPr>
          <w:sz w:val="20"/>
          <w:szCs w:val="20"/>
          <w:color w:val="auto"/>
        </w:rPr>
      </w:pPr>
    </w:p>
    <w:p>
      <w:pPr>
        <w:ind w:left="1420" w:right="500" w:hanging="647"/>
        <w:spacing w:after="0" w:line="250" w:lineRule="auto"/>
        <w:rPr>
          <w:sz w:val="20"/>
          <w:szCs w:val="20"/>
          <w:color w:val="auto"/>
        </w:rPr>
      </w:pPr>
      <w:r>
        <w:rPr>
          <w:rFonts w:ascii="Arial" w:cs="Arial" w:eastAsia="Arial" w:hAnsi="Arial"/>
          <w:sz w:val="22"/>
          <w:szCs w:val="22"/>
          <w:color w:val="auto"/>
        </w:rPr>
        <w:t>19.1.19are unable by reason of Incapacity to perform his duties under this Contract for an aggregate period of 26 weeks in any 52-week period; or</w:t>
      </w:r>
    </w:p>
    <w:p>
      <w:pPr>
        <w:spacing w:after="0" w:line="80" w:lineRule="exact"/>
        <w:rPr>
          <w:sz w:val="20"/>
          <w:szCs w:val="20"/>
          <w:color w:val="auto"/>
        </w:rPr>
      </w:pPr>
    </w:p>
    <w:p>
      <w:pPr>
        <w:ind w:left="1420" w:right="700" w:hanging="647"/>
        <w:spacing w:after="0" w:line="250" w:lineRule="auto"/>
        <w:rPr>
          <w:sz w:val="20"/>
          <w:szCs w:val="20"/>
          <w:color w:val="auto"/>
        </w:rPr>
      </w:pPr>
      <w:r>
        <w:rPr>
          <w:rFonts w:ascii="Arial" w:cs="Arial" w:eastAsia="Arial" w:hAnsi="Arial"/>
          <w:sz w:val="22"/>
          <w:szCs w:val="22"/>
          <w:color w:val="auto"/>
        </w:rPr>
        <w:t>19.1.20commit any other offence of a similar gravity to the examples under this clause 19.1, which are neither exclusive nor exhaustive.</w:t>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Any delay by the Company in exercising such right of termination shall not constitute a waiver of that right.</w:t>
      </w:r>
    </w:p>
    <w:p>
      <w:pPr>
        <w:spacing w:after="0" w:line="112" w:lineRule="exact"/>
        <w:rPr>
          <w:sz w:val="20"/>
          <w:szCs w:val="20"/>
          <w:color w:val="auto"/>
        </w:rPr>
      </w:pPr>
    </w:p>
    <w:p>
      <w:pPr>
        <w:ind w:left="760" w:right="20" w:hanging="768"/>
        <w:spacing w:after="0"/>
        <w:tabs>
          <w:tab w:leader="none" w:pos="7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2"/>
          <w:szCs w:val="22"/>
          <w:color w:val="auto"/>
        </w:rPr>
        <w:t>The termination by the Company of the Appointment pursuant to this clause 19 will be without prejudice to any claim that the Company may have for damages arising from any breach of this Contract by you that gives rise to such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000"/>
          </w:cols>
          <w:pgMar w:left="440" w:top="267" w:right="459" w:bottom="1440" w:gutter="0" w:footer="0" w:header="0"/>
        </w:sectPr>
      </w:pPr>
    </w:p>
    <w:bookmarkStart w:id="272" w:name="page273"/>
    <w:bookmarkEnd w:id="272"/>
    <w:p>
      <w:pPr>
        <w:ind w:left="764" w:hanging="764"/>
        <w:spacing w:after="0"/>
        <w:tabs>
          <w:tab w:leader="none" w:pos="764"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Garden Leave</w:t>
      </w:r>
    </w:p>
    <w:p>
      <w:pPr>
        <w:spacing w:after="0" w:line="118" w:lineRule="exact"/>
        <w:rPr>
          <w:sz w:val="20"/>
          <w:szCs w:val="20"/>
          <w:color w:val="auto"/>
        </w:rPr>
      </w:pPr>
    </w:p>
    <w:p>
      <w:pPr>
        <w:ind w:left="764" w:right="80" w:hanging="768"/>
        <w:spacing w:after="0" w:line="252" w:lineRule="auto"/>
        <w:tabs>
          <w:tab w:leader="none" w:pos="744"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color w:val="auto"/>
        </w:rPr>
        <w:t>After notice of termination has been given by either party pursuant to clause 18 provided that the Company continues to provide you with your normal Salary and 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79"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20.1.1 exclude you from the premises of the Company and any Group Company; and/or</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21"/>
          <w:szCs w:val="21"/>
          <w:color w:val="auto"/>
        </w:rPr>
        <w:t>20.1.2 require you to carry out specified duties other than your normal duties or to carry out no duties; and/or</w:t>
      </w:r>
    </w:p>
    <w:p>
      <w:pPr>
        <w:spacing w:after="0" w:line="123"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20.1.3 withdraw any powers vested in you; and/or</w:t>
      </w:r>
    </w:p>
    <w:p>
      <w:pPr>
        <w:spacing w:after="0" w:line="112" w:lineRule="exact"/>
        <w:rPr>
          <w:sz w:val="20"/>
          <w:szCs w:val="20"/>
          <w:color w:val="auto"/>
        </w:rPr>
      </w:pPr>
    </w:p>
    <w:p>
      <w:pPr>
        <w:ind w:left="1424" w:right="920" w:hanging="647"/>
        <w:spacing w:after="0" w:line="328" w:lineRule="auto"/>
        <w:rPr>
          <w:sz w:val="20"/>
          <w:szCs w:val="20"/>
          <w:color w:val="auto"/>
        </w:rPr>
      </w:pPr>
      <w:r>
        <w:rPr>
          <w:rFonts w:ascii="Arial" w:cs="Arial" w:eastAsia="Arial" w:hAnsi="Arial"/>
          <w:sz w:val="19"/>
          <w:szCs w:val="19"/>
          <w:color w:val="auto"/>
        </w:rPr>
        <w:t>20.1.4 instruct you not to communicate orally or in writing with suppliers, customers, employees, agents/or representatives of the Company or any Group Company until the Appointment has terminated.</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During any period of garden leave you shall:</w:t>
      </w:r>
    </w:p>
    <w:p>
      <w:pPr>
        <w:spacing w:after="0" w:line="112" w:lineRule="exact"/>
        <w:rPr>
          <w:sz w:val="20"/>
          <w:szCs w:val="20"/>
          <w:color w:val="auto"/>
        </w:rPr>
      </w:pPr>
    </w:p>
    <w:p>
      <w:pPr>
        <w:ind w:left="1424" w:right="340" w:hanging="647"/>
        <w:spacing w:after="0" w:line="250" w:lineRule="auto"/>
        <w:rPr>
          <w:sz w:val="20"/>
          <w:szCs w:val="20"/>
          <w:color w:val="auto"/>
        </w:rPr>
      </w:pPr>
      <w:r>
        <w:rPr>
          <w:rFonts w:ascii="Arial" w:cs="Arial" w:eastAsia="Arial" w:hAnsi="Arial"/>
          <w:sz w:val="22"/>
          <w:szCs w:val="22"/>
          <w:color w:val="auto"/>
        </w:rPr>
        <w:t>20.2.1 continue to receive your Salary and all contractual benefits in the usual way and subject to the terms of any benefit arrangement;</w:t>
      </w:r>
    </w:p>
    <w:p>
      <w:pPr>
        <w:spacing w:after="0" w:line="80" w:lineRule="exact"/>
        <w:rPr>
          <w:sz w:val="20"/>
          <w:szCs w:val="20"/>
          <w:color w:val="auto"/>
        </w:rPr>
      </w:pPr>
    </w:p>
    <w:p>
      <w:pPr>
        <w:ind w:left="1424" w:right="740" w:hanging="647"/>
        <w:spacing w:after="0" w:line="250" w:lineRule="auto"/>
        <w:rPr>
          <w:sz w:val="20"/>
          <w:szCs w:val="20"/>
          <w:color w:val="auto"/>
        </w:rPr>
      </w:pPr>
      <w:r>
        <w:rPr>
          <w:rFonts w:ascii="Arial" w:cs="Arial" w:eastAsia="Arial" w:hAnsi="Arial"/>
          <w:sz w:val="22"/>
          <w:szCs w:val="22"/>
          <w:color w:val="auto"/>
        </w:rPr>
        <w:t>20.2.2 remain an employee of the Company and bound by the terms of your contract of employment with the Company;</w:t>
      </w:r>
    </w:p>
    <w:p>
      <w:pPr>
        <w:spacing w:after="0" w:line="80" w:lineRule="exact"/>
        <w:rPr>
          <w:sz w:val="20"/>
          <w:szCs w:val="20"/>
          <w:color w:val="auto"/>
        </w:rPr>
      </w:pPr>
    </w:p>
    <w:p>
      <w:pPr>
        <w:ind w:left="1424" w:right="80" w:hanging="647"/>
        <w:spacing w:after="0" w:line="250" w:lineRule="auto"/>
        <w:rPr>
          <w:sz w:val="20"/>
          <w:szCs w:val="20"/>
          <w:color w:val="auto"/>
        </w:rPr>
      </w:pPr>
      <w:r>
        <w:rPr>
          <w:rFonts w:ascii="Arial" w:cs="Arial" w:eastAsia="Arial" w:hAnsi="Arial"/>
          <w:sz w:val="22"/>
          <w:szCs w:val="22"/>
          <w:color w:val="auto"/>
        </w:rPr>
        <w:t>20.2.3 not, without the prior written consent of your Manager, attend your place of work or any other premises of the Company or any Group Company;</w:t>
      </w:r>
    </w:p>
    <w:p>
      <w:pPr>
        <w:spacing w:after="0" w:line="80"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20.2.4 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92" w:lineRule="exact"/>
        <w:rPr>
          <w:sz w:val="20"/>
          <w:szCs w:val="20"/>
          <w:color w:val="auto"/>
        </w:rPr>
      </w:pPr>
    </w:p>
    <w:p>
      <w:pPr>
        <w:ind w:left="1424" w:right="40" w:hanging="647"/>
        <w:spacing w:after="0"/>
        <w:rPr>
          <w:sz w:val="20"/>
          <w:szCs w:val="20"/>
          <w:color w:val="auto"/>
        </w:rPr>
      </w:pPr>
      <w:r>
        <w:rPr>
          <w:rFonts w:ascii="Arial" w:cs="Arial" w:eastAsia="Arial" w:hAnsi="Arial"/>
          <w:sz w:val="22"/>
          <w:szCs w:val="22"/>
          <w:color w:val="auto"/>
        </w:rPr>
        <w:t>20.2.5 (except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9" w:lineRule="exact"/>
        <w:rPr>
          <w:sz w:val="20"/>
          <w:szCs w:val="20"/>
          <w:color w:val="auto"/>
        </w:rPr>
      </w:pPr>
    </w:p>
    <w:p>
      <w:pPr>
        <w:ind w:left="764" w:hanging="764"/>
        <w:spacing w:after="0"/>
        <w:tabs>
          <w:tab w:leader="none" w:pos="764"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after Employment</w:t>
      </w:r>
    </w:p>
    <w:p>
      <w:pPr>
        <w:spacing w:after="0" w:line="118" w:lineRule="exact"/>
        <w:rPr>
          <w:sz w:val="20"/>
          <w:szCs w:val="20"/>
          <w:color w:val="auto"/>
        </w:rPr>
      </w:pPr>
    </w:p>
    <w:p>
      <w:pPr>
        <w:jc w:val="both"/>
        <w:ind w:left="764" w:right="20" w:hanging="768"/>
        <w:spacing w:after="0" w:line="287" w:lineRule="auto"/>
        <w:tabs>
          <w:tab w:leader="none" w:pos="74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You shall not, save in respect of a Permitted Interest or with the prior written consent of the Company, for a period of 6 months from the Termination Date 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7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004"/>
          </w:cols>
          <w:pgMar w:left="436" w:top="261" w:right="459" w:bottom="1440" w:gutter="0" w:footer="0" w:header="0"/>
        </w:sectPr>
      </w:pPr>
    </w:p>
    <w:bookmarkStart w:id="273" w:name="page274"/>
    <w:bookmarkEnd w:id="273"/>
    <w:p>
      <w:pPr>
        <w:jc w:val="right"/>
        <w:ind w:right="1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    You shall not for a period of 6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21.2.1 deal with or accept custom from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21.2.2 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2200" w:right="600" w:hanging="768"/>
        <w:spacing w:after="0" w:line="250" w:lineRule="auto"/>
        <w:tabs>
          <w:tab w:leader="none" w:pos="2180" w:val="left"/>
        </w:tabs>
        <w:rPr>
          <w:sz w:val="20"/>
          <w:szCs w:val="20"/>
          <w:color w:val="auto"/>
        </w:rPr>
      </w:pPr>
      <w:r>
        <w:rPr>
          <w:rFonts w:ascii="Arial" w:cs="Arial" w:eastAsia="Arial" w:hAnsi="Arial"/>
          <w:sz w:val="22"/>
          <w:szCs w:val="22"/>
          <w:color w:val="auto"/>
        </w:rPr>
        <w:t>21.2.3</w:t>
        <w:tab/>
        <w:t>deal with or interfere with any company from whom the Company or any Group Company has licensed or acquired intellectual property.</w:t>
      </w:r>
    </w:p>
    <w:p>
      <w:pPr>
        <w:spacing w:after="0" w:line="80" w:lineRule="exact"/>
        <w:rPr>
          <w:sz w:val="20"/>
          <w:szCs w:val="20"/>
          <w:color w:val="auto"/>
        </w:rPr>
      </w:pPr>
    </w:p>
    <w:p>
      <w:pPr>
        <w:jc w:val="right"/>
        <w:ind w:right="180"/>
        <w:spacing w:after="0" w:line="328" w:lineRule="auto"/>
        <w:rPr>
          <w:sz w:val="20"/>
          <w:szCs w:val="20"/>
          <w:color w:val="auto"/>
        </w:rPr>
      </w:pPr>
      <w:r>
        <w:rPr>
          <w:rFonts w:ascii="Arial" w:cs="Arial" w:eastAsia="Arial" w:hAnsi="Arial"/>
          <w:sz w:val="19"/>
          <w:szCs w:val="19"/>
          <w:color w:val="auto"/>
        </w:rPr>
        <w:t>21.3    You shall not for a period of 9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0" w:hanging="647"/>
        <w:spacing w:after="0" w:line="287" w:lineRule="auto"/>
        <w:rPr>
          <w:sz w:val="20"/>
          <w:szCs w:val="20"/>
          <w:color w:val="auto"/>
        </w:rPr>
      </w:pPr>
      <w:r>
        <w:rPr>
          <w:rFonts w:ascii="Arial" w:cs="Arial" w:eastAsia="Arial" w:hAnsi="Arial"/>
          <w:sz w:val="19"/>
          <w:szCs w:val="19"/>
          <w:color w:val="auto"/>
        </w:rPr>
        <w:t>21.3.1 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48" w:lineRule="exact"/>
        <w:rPr>
          <w:sz w:val="20"/>
          <w:szCs w:val="20"/>
          <w:color w:val="auto"/>
        </w:rPr>
      </w:pPr>
    </w:p>
    <w:p>
      <w:pPr>
        <w:ind w:left="1420" w:right="20" w:hanging="647"/>
        <w:spacing w:after="0" w:line="287" w:lineRule="auto"/>
        <w:rPr>
          <w:sz w:val="20"/>
          <w:szCs w:val="20"/>
          <w:color w:val="auto"/>
        </w:rPr>
      </w:pPr>
      <w:r>
        <w:rPr>
          <w:rFonts w:ascii="Arial" w:cs="Arial" w:eastAsia="Arial" w:hAnsi="Arial"/>
          <w:sz w:val="19"/>
          <w:szCs w:val="19"/>
          <w:color w:val="auto"/>
        </w:rPr>
        <w:t>21.3.2 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48" w:lineRule="exact"/>
        <w:rPr>
          <w:sz w:val="20"/>
          <w:szCs w:val="20"/>
          <w:color w:val="auto"/>
        </w:rPr>
      </w:pPr>
    </w:p>
    <w:p>
      <w:pPr>
        <w:ind w:left="1420" w:hanging="647"/>
        <w:spacing w:after="0" w:line="250" w:lineRule="auto"/>
        <w:rPr>
          <w:sz w:val="20"/>
          <w:szCs w:val="20"/>
          <w:color w:val="auto"/>
        </w:rPr>
      </w:pPr>
      <w:r>
        <w:rPr>
          <w:rFonts w:ascii="Arial" w:cs="Arial" w:eastAsia="Arial" w:hAnsi="Arial"/>
          <w:sz w:val="22"/>
          <w:szCs w:val="22"/>
          <w:color w:val="auto"/>
        </w:rPr>
        <w:t>21.3.3 interfere or seek to interfere with the continuance, or any of the terms, of the supply of goods or services to the Company or any Group Company;</w:t>
      </w:r>
    </w:p>
    <w:p>
      <w:pPr>
        <w:spacing w:after="0" w:line="67" w:lineRule="exact"/>
        <w:rPr>
          <w:sz w:val="20"/>
          <w:szCs w:val="20"/>
          <w:color w:val="auto"/>
        </w:rPr>
      </w:pPr>
    </w:p>
    <w:p>
      <w:pPr>
        <w:ind w:left="760" w:right="220"/>
        <w:spacing w:after="0"/>
        <w:rPr>
          <w:sz w:val="20"/>
          <w:szCs w:val="20"/>
          <w:color w:val="auto"/>
        </w:rPr>
      </w:pPr>
      <w:r>
        <w:rPr>
          <w:rFonts w:ascii="Arial" w:cs="Arial" w:eastAsia="Arial" w:hAnsi="Arial"/>
          <w:sz w:val="22"/>
          <w:szCs w:val="22"/>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92" w:lineRule="exact"/>
        <w:rPr>
          <w:sz w:val="20"/>
          <w:szCs w:val="20"/>
          <w:color w:val="auto"/>
        </w:rPr>
      </w:pPr>
    </w:p>
    <w:p>
      <w:pPr>
        <w:ind w:left="760" w:right="40" w:hanging="768"/>
        <w:spacing w:after="0" w:line="236" w:lineRule="auto"/>
        <w:tabs>
          <w:tab w:leader="none" w:pos="7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2"/>
          <w:szCs w:val="22"/>
          <w:color w:val="auto"/>
        </w:rPr>
        <w:t>You shall not for a period of 6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0980"/>
          </w:cols>
          <w:pgMar w:left="440" w:top="267" w:right="479" w:bottom="1440" w:gutter="0" w:footer="0" w:header="0"/>
        </w:sectPr>
      </w:pPr>
    </w:p>
    <w:bookmarkStart w:id="274" w:name="page275"/>
    <w:bookmarkEnd w:id="274"/>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w:t>
      </w:r>
      <w:r>
        <w:rPr>
          <w:sz w:val="20"/>
          <w:szCs w:val="20"/>
          <w:color w:val="auto"/>
        </w:rPr>
        <w:tab/>
      </w:r>
      <w:r>
        <w:rPr>
          <w:rFonts w:ascii="Arial" w:cs="Arial" w:eastAsia="Arial" w:hAnsi="Arial"/>
          <w:sz w:val="22"/>
          <w:szCs w:val="22"/>
          <w:color w:val="auto"/>
        </w:rPr>
        <w:t>You shall not, at any time after the Termination Date, either on your own behalf or on behalf of any other person, firm or company directly or indirectly:</w:t>
      </w:r>
    </w:p>
    <w:p>
      <w:pPr>
        <w:spacing w:after="0" w:line="80" w:lineRule="exact"/>
        <w:rPr>
          <w:sz w:val="20"/>
          <w:szCs w:val="20"/>
          <w:color w:val="auto"/>
        </w:rPr>
      </w:pPr>
    </w:p>
    <w:p>
      <w:pPr>
        <w:ind w:left="1424" w:right="220" w:hanging="647"/>
        <w:spacing w:after="0" w:line="249" w:lineRule="auto"/>
        <w:rPr>
          <w:sz w:val="20"/>
          <w:szCs w:val="20"/>
          <w:color w:val="auto"/>
        </w:rPr>
      </w:pPr>
      <w:r>
        <w:rPr>
          <w:rFonts w:ascii="Arial" w:cs="Arial" w:eastAsia="Arial" w:hAnsi="Arial"/>
          <w:sz w:val="21"/>
          <w:szCs w:val="21"/>
          <w:color w:val="auto"/>
        </w:rPr>
        <w:t>21.5.1 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84" w:lineRule="exact"/>
        <w:rPr>
          <w:sz w:val="20"/>
          <w:szCs w:val="20"/>
          <w:color w:val="auto"/>
        </w:rPr>
      </w:pPr>
    </w:p>
    <w:p>
      <w:pPr>
        <w:ind w:left="1424" w:right="20" w:hanging="647"/>
        <w:spacing w:after="0" w:line="282" w:lineRule="auto"/>
        <w:rPr>
          <w:sz w:val="20"/>
          <w:szCs w:val="20"/>
          <w:color w:val="auto"/>
        </w:rPr>
      </w:pPr>
      <w:r>
        <w:rPr>
          <w:rFonts w:ascii="Arial" w:cs="Arial" w:eastAsia="Arial" w:hAnsi="Arial"/>
          <w:sz w:val="19"/>
          <w:szCs w:val="19"/>
          <w:color w:val="auto"/>
        </w:rPr>
        <w:t>21.5.2 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9"/>
          <w:szCs w:val="19"/>
          <w:b w:val="1"/>
          <w:bCs w:val="1"/>
          <w:color w:val="auto"/>
        </w:rPr>
        <w:t>Relevant Personnel</w:t>
      </w:r>
      <w:r>
        <w:rPr>
          <w:rFonts w:ascii="Arial" w:cs="Arial" w:eastAsia="Arial" w:hAnsi="Arial"/>
          <w:sz w:val="19"/>
          <w:szCs w:val="19"/>
          <w:color w:val="auto"/>
        </w:rPr>
        <w:t>”) and/or which may be disparaging or derogatory to any of the Company or any Group Company or any Relevant Personnel.</w:t>
      </w:r>
    </w:p>
    <w:p>
      <w:pPr>
        <w:spacing w:after="0" w:line="53"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color w:val="auto"/>
        </w:rPr>
        <w:t>The period of the restrictions in clauses 21.1 to 21.4 inclusive shall be reduced by the period, if any, spent by you during which you are placed on garden leave in accordance with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You agree to notify your new employer of the restrictions contained within clauses 21.1 to 21.4 inclusive.</w:t>
      </w:r>
    </w:p>
    <w:p>
      <w:pPr>
        <w:spacing w:after="0" w:line="112"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1"/>
          <w:szCs w:val="21"/>
          <w:color w:val="auto"/>
        </w:rPr>
        <w:t>You acknowledge that, in the course of your employment, you are likely to have dealings with the clients, customers, suppliers and other contacts of the Company. 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327" w:lineRule="exact"/>
        <w:rPr>
          <w:sz w:val="20"/>
          <w:szCs w:val="20"/>
          <w:color w:val="auto"/>
        </w:rPr>
      </w:pPr>
    </w:p>
    <w:p>
      <w:pPr>
        <w:ind w:left="764" w:hanging="764"/>
        <w:spacing w:after="0"/>
        <w:tabs>
          <w:tab w:leader="none" w:pos="764"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118" w:lineRule="exact"/>
        <w:rPr>
          <w:sz w:val="20"/>
          <w:szCs w:val="20"/>
          <w:color w:val="auto"/>
        </w:rPr>
      </w:pPr>
    </w:p>
    <w:p>
      <w:pPr>
        <w:ind w:left="764" w:right="360" w:hanging="768"/>
        <w:spacing w:after="0" w:line="328" w:lineRule="auto"/>
        <w:tabs>
          <w:tab w:leader="none" w:pos="744"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All Documents and other property (including mobile telephones, laptop computers and other technical equipment) provided for your use by the Company, remain the property of the Company or any Group Company.</w:t>
      </w:r>
    </w:p>
    <w:p>
      <w:pPr>
        <w:spacing w:after="0" w:line="10" w:lineRule="exact"/>
        <w:rPr>
          <w:sz w:val="20"/>
          <w:szCs w:val="20"/>
          <w:color w:val="auto"/>
        </w:rPr>
      </w:pPr>
    </w:p>
    <w:p>
      <w:pPr>
        <w:ind w:left="764" w:right="180" w:hanging="768"/>
        <w:spacing w:after="0" w:line="328" w:lineRule="auto"/>
        <w:tabs>
          <w:tab w:leader="none" w:pos="744"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Any Documents or other property in your possession and or obtained by you in the course of your employment shall be returned to your Manager at any time on request and in any event prior to the Termination Date.</w:t>
      </w:r>
    </w:p>
    <w:p>
      <w:pPr>
        <w:spacing w:after="0" w:line="10" w:lineRule="exact"/>
        <w:rPr>
          <w:sz w:val="20"/>
          <w:szCs w:val="20"/>
          <w:color w:val="auto"/>
        </w:rPr>
      </w:pPr>
    </w:p>
    <w:p>
      <w:pPr>
        <w:ind w:left="764" w:hanging="768"/>
        <w:spacing w:after="0" w:line="250" w:lineRule="auto"/>
        <w:tabs>
          <w:tab w:leader="none" w:pos="744"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color w:val="auto"/>
        </w:rPr>
        <w:t>At any time upon request and in any event prior to the Termination Date you must irretrievably delete any information relating to the business of the Company or any</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004"/>
          </w:cols>
          <w:pgMar w:left="436" w:top="267" w:right="459" w:bottom="1440" w:gutter="0" w:footer="0" w:header="0"/>
        </w:sectPr>
      </w:pPr>
    </w:p>
    <w:bookmarkStart w:id="275" w:name="page276"/>
    <w:bookmarkEnd w:id="275"/>
    <w:p>
      <w:pPr>
        <w:ind w:left="764" w:right="6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Group Company stored on any magnetic or optical disk or memory and all matter derived from such sources which is in your possession or under your control outside the Company’s premises.</w:t>
      </w:r>
    </w:p>
    <w:p>
      <w:pPr>
        <w:spacing w:after="0" w:line="317" w:lineRule="exact"/>
        <w:rPr>
          <w:sz w:val="20"/>
          <w:szCs w:val="20"/>
          <w:color w:val="auto"/>
        </w:rPr>
      </w:pPr>
    </w:p>
    <w:p>
      <w:pPr>
        <w:ind w:left="764" w:hanging="764"/>
        <w:spacing w:after="0"/>
        <w:tabs>
          <w:tab w:leader="none" w:pos="764"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Grievance Procedure</w:t>
      </w:r>
    </w:p>
    <w:p>
      <w:pPr>
        <w:spacing w:after="0" w:line="104" w:lineRule="exact"/>
        <w:rPr>
          <w:rFonts w:ascii="Arial" w:cs="Arial" w:eastAsia="Arial" w:hAnsi="Arial"/>
          <w:sz w:val="22"/>
          <w:szCs w:val="22"/>
          <w:b w:val="1"/>
          <w:bCs w:val="1"/>
          <w:color w:val="auto"/>
        </w:rPr>
      </w:pPr>
    </w:p>
    <w:p>
      <w:pPr>
        <w:ind w:left="764" w:right="80"/>
        <w:spacing w:after="0" w:line="279" w:lineRule="auto"/>
        <w:rPr>
          <w:rFonts w:ascii="Arial" w:cs="Arial" w:eastAsia="Arial" w:hAnsi="Arial"/>
          <w:sz w:val="22"/>
          <w:szCs w:val="22"/>
          <w:b w:val="1"/>
          <w:bCs w:val="1"/>
          <w:color w:val="auto"/>
        </w:rPr>
      </w:pPr>
      <w:r>
        <w:rPr>
          <w:rFonts w:ascii="Arial" w:cs="Arial" w:eastAsia="Arial" w:hAnsi="Arial"/>
          <w:sz w:val="19"/>
          <w:szCs w:val="19"/>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Financial Officer or General Counsel.</w:t>
      </w:r>
    </w:p>
    <w:p>
      <w:pPr>
        <w:spacing w:after="0" w:line="292" w:lineRule="exact"/>
        <w:rPr>
          <w:rFonts w:ascii="Arial" w:cs="Arial" w:eastAsia="Arial" w:hAnsi="Arial"/>
          <w:sz w:val="22"/>
          <w:szCs w:val="22"/>
          <w:b w:val="1"/>
          <w:bCs w:val="1"/>
          <w:color w:val="auto"/>
        </w:rPr>
      </w:pPr>
    </w:p>
    <w:p>
      <w:pPr>
        <w:ind w:left="764" w:hanging="764"/>
        <w:spacing w:after="0"/>
        <w:tabs>
          <w:tab w:leader="none" w:pos="764"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Disciplinary Procedure</w:t>
      </w:r>
    </w:p>
    <w:p>
      <w:pPr>
        <w:spacing w:after="0" w:line="118" w:lineRule="exact"/>
        <w:rPr>
          <w:sz w:val="20"/>
          <w:szCs w:val="20"/>
          <w:color w:val="auto"/>
        </w:rPr>
      </w:pPr>
    </w:p>
    <w:p>
      <w:pPr>
        <w:ind w:left="764" w:right="300" w:hanging="768"/>
        <w:spacing w:after="0" w:line="249" w:lineRule="auto"/>
        <w:tabs>
          <w:tab w:leader="none" w:pos="744"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84" w:lineRule="exact"/>
        <w:rPr>
          <w:sz w:val="20"/>
          <w:szCs w:val="20"/>
          <w:color w:val="auto"/>
        </w:rPr>
      </w:pPr>
    </w:p>
    <w:p>
      <w:pPr>
        <w:jc w:val="both"/>
        <w:ind w:left="764" w:right="300" w:hanging="768"/>
        <w:spacing w:after="0" w:line="257" w:lineRule="auto"/>
        <w:tabs>
          <w:tab w:leader="none" w:pos="744"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75" w:lineRule="exact"/>
        <w:rPr>
          <w:sz w:val="20"/>
          <w:szCs w:val="20"/>
          <w:color w:val="auto"/>
        </w:rPr>
      </w:pPr>
    </w:p>
    <w:p>
      <w:pPr>
        <w:ind w:left="2204" w:right="560" w:hanging="768"/>
        <w:spacing w:after="0" w:line="250" w:lineRule="auto"/>
        <w:tabs>
          <w:tab w:leader="none" w:pos="2184" w:val="left"/>
        </w:tabs>
        <w:rPr>
          <w:sz w:val="20"/>
          <w:szCs w:val="20"/>
          <w:color w:val="auto"/>
        </w:rPr>
      </w:pPr>
      <w:r>
        <w:rPr>
          <w:rFonts w:ascii="Arial" w:cs="Arial" w:eastAsia="Arial" w:hAnsi="Arial"/>
          <w:sz w:val="22"/>
          <w:szCs w:val="22"/>
          <w:color w:val="auto"/>
        </w:rPr>
        <w:t>24.2.1</w:t>
        <w:tab/>
        <w:t>you shall continue to receive your basic salary and all contractual benefits in the usual way and subject to the terms of any benefit arrangement;</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24.2.2</w:t>
      </w:r>
      <w:r>
        <w:rPr>
          <w:sz w:val="20"/>
          <w:szCs w:val="20"/>
          <w:color w:val="auto"/>
        </w:rPr>
        <w:tab/>
      </w:r>
      <w:r>
        <w:rPr>
          <w:rFonts w:ascii="Arial" w:cs="Arial" w:eastAsia="Arial" w:hAnsi="Arial"/>
          <w:sz w:val="19"/>
          <w:szCs w:val="19"/>
          <w:color w:val="auto"/>
        </w:rPr>
        <w:t>you shall remain an employee of the Company and bound by the terms of this Contract;</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2"/>
          <w:szCs w:val="22"/>
          <w:color w:val="auto"/>
        </w:rPr>
        <w:t>you shall ensure that your Manager knows where you will be and how you can be contacted during each working day (except during any periods taken as holiday in the usual way);</w:t>
      </w:r>
    </w:p>
    <w:p>
      <w:pPr>
        <w:spacing w:after="0" w:line="80" w:lineRule="exact"/>
        <w:rPr>
          <w:sz w:val="20"/>
          <w:szCs w:val="20"/>
          <w:color w:val="auto"/>
        </w:rPr>
      </w:pPr>
    </w:p>
    <w:p>
      <w:pPr>
        <w:ind w:left="764" w:right="800" w:hanging="768"/>
        <w:spacing w:after="0" w:line="250" w:lineRule="auto"/>
        <w:tabs>
          <w:tab w:leader="none" w:pos="744"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2"/>
          <w:szCs w:val="22"/>
          <w:color w:val="auto"/>
        </w:rPr>
        <w:t>the Company may exclude you from your place of work or any other premises of the Company or any Group Company; and</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2"/>
          <w:szCs w:val="22"/>
          <w:color w:val="auto"/>
        </w:rPr>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0984"/>
          </w:cols>
          <w:pgMar w:left="436" w:top="267" w:right="479" w:bottom="1440" w:gutter="0" w:footer="0" w:header="0"/>
        </w:sectPr>
      </w:pPr>
    </w:p>
    <w:bookmarkStart w:id="276" w:name="page277"/>
    <w:bookmarkEnd w:id="276"/>
    <w:p>
      <w:pPr>
        <w:ind w:left="764" w:hanging="764"/>
        <w:spacing w:after="0"/>
        <w:tabs>
          <w:tab w:leader="none" w:pos="764"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 Agreements</w:t>
      </w:r>
    </w:p>
    <w:p>
      <w:pPr>
        <w:spacing w:after="0" w:line="104" w:lineRule="exact"/>
        <w:rPr>
          <w:rFonts w:ascii="Arial" w:cs="Arial" w:eastAsia="Arial" w:hAnsi="Arial"/>
          <w:sz w:val="22"/>
          <w:szCs w:val="22"/>
          <w:b w:val="1"/>
          <w:bCs w:val="1"/>
          <w:color w:val="auto"/>
        </w:rPr>
      </w:pPr>
    </w:p>
    <w:p>
      <w:pPr>
        <w:ind w:left="764"/>
        <w:spacing w:after="0"/>
        <w:rPr>
          <w:rFonts w:ascii="Arial" w:cs="Arial" w:eastAsia="Arial" w:hAnsi="Arial"/>
          <w:sz w:val="22"/>
          <w:szCs w:val="22"/>
          <w:b w:val="1"/>
          <w:bCs w:val="1"/>
          <w:color w:val="auto"/>
        </w:rPr>
      </w:pPr>
      <w:r>
        <w:rPr>
          <w:rFonts w:ascii="Arial" w:cs="Arial" w:eastAsia="Arial" w:hAnsi="Arial"/>
          <w:sz w:val="22"/>
          <w:szCs w:val="22"/>
          <w:color w:val="auto"/>
        </w:rPr>
        <w:t>There are no collective agreements affecting your terms and conditions of employment.</w:t>
      </w:r>
    </w:p>
    <w:p>
      <w:pPr>
        <w:spacing w:after="0" w:line="348" w:lineRule="exact"/>
        <w:rPr>
          <w:rFonts w:ascii="Arial" w:cs="Arial" w:eastAsia="Arial" w:hAnsi="Arial"/>
          <w:sz w:val="22"/>
          <w:szCs w:val="22"/>
          <w:b w:val="1"/>
          <w:bCs w:val="1"/>
          <w:color w:val="auto"/>
        </w:rPr>
      </w:pPr>
    </w:p>
    <w:p>
      <w:pPr>
        <w:ind w:left="764" w:hanging="764"/>
        <w:spacing w:after="0"/>
        <w:tabs>
          <w:tab w:leader="none" w:pos="764"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Work outside the United Kingdom</w:t>
      </w:r>
    </w:p>
    <w:p>
      <w:pPr>
        <w:spacing w:after="0" w:line="118" w:lineRule="exact"/>
        <w:rPr>
          <w:sz w:val="20"/>
          <w:szCs w:val="20"/>
          <w:color w:val="auto"/>
        </w:rPr>
      </w:pPr>
    </w:p>
    <w:p>
      <w:pPr>
        <w:ind w:left="764" w:right="80" w:hanging="768"/>
        <w:spacing w:after="0" w:line="250" w:lineRule="auto"/>
        <w:tabs>
          <w:tab w:leader="none" w:pos="744"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22"/>
          <w:szCs w:val="22"/>
          <w:color w:val="auto"/>
        </w:rPr>
        <w:t>It is not envisaged by the Company that you will be required to travel for work purposes outside the United Kingdom for any periods longer than one month.</w:t>
      </w:r>
    </w:p>
    <w:p>
      <w:pPr>
        <w:spacing w:after="0" w:line="80" w:lineRule="exact"/>
        <w:rPr>
          <w:sz w:val="20"/>
          <w:szCs w:val="20"/>
          <w:color w:val="auto"/>
        </w:rPr>
      </w:pPr>
    </w:p>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2"/>
          <w:szCs w:val="22"/>
          <w:color w:val="auto"/>
        </w:rPr>
        <w:t>In the event you are required to work outside the United Kingdom for a period of more than one month, the Company will consult with you and will provide the prescribed information to you.</w:t>
      </w:r>
    </w:p>
    <w:p>
      <w:pPr>
        <w:spacing w:after="0" w:line="317" w:lineRule="exact"/>
        <w:rPr>
          <w:sz w:val="20"/>
          <w:szCs w:val="20"/>
          <w:color w:val="auto"/>
        </w:rPr>
      </w:pPr>
    </w:p>
    <w:p>
      <w:pPr>
        <w:ind w:left="764" w:hanging="764"/>
        <w:spacing w:after="0"/>
        <w:tabs>
          <w:tab w:leader="none" w:pos="764"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104" w:lineRule="exact"/>
        <w:rPr>
          <w:rFonts w:ascii="Arial" w:cs="Arial" w:eastAsia="Arial" w:hAnsi="Arial"/>
          <w:sz w:val="22"/>
          <w:szCs w:val="22"/>
          <w:b w:val="1"/>
          <w:bCs w:val="1"/>
          <w:color w:val="auto"/>
        </w:rPr>
      </w:pPr>
    </w:p>
    <w:p>
      <w:pPr>
        <w:ind w:left="764" w:right="2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For the purposes of the General Data Protection Regulation (EU) 2016/679 and the Data Protection Act 2018, the Company will hold, collect and otherwise process certain personal data as set out in the Company’s privacy notice, which is on the intranet. All personal data will be treated in accordance with applicable data protection laws and regulations.</w:t>
      </w:r>
    </w:p>
    <w:p>
      <w:pPr>
        <w:spacing w:after="0" w:line="327" w:lineRule="exact"/>
        <w:rPr>
          <w:rFonts w:ascii="Arial" w:cs="Arial" w:eastAsia="Arial" w:hAnsi="Arial"/>
          <w:sz w:val="22"/>
          <w:szCs w:val="22"/>
          <w:b w:val="1"/>
          <w:bCs w:val="1"/>
          <w:color w:val="auto"/>
        </w:rPr>
      </w:pPr>
    </w:p>
    <w:p>
      <w:pPr>
        <w:ind w:left="764" w:hanging="764"/>
        <w:spacing w:after="0"/>
        <w:tabs>
          <w:tab w:leader="none" w:pos="764"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Monitoring</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color w:val="auto"/>
        </w:rPr>
        <w:t>You shall comply with any electronic communication systems policies that the Company may issue from time to time.</w:t>
      </w:r>
    </w:p>
    <w:p>
      <w:pPr>
        <w:spacing w:after="0" w:line="112" w:lineRule="exact"/>
        <w:rPr>
          <w:sz w:val="20"/>
          <w:szCs w:val="20"/>
          <w:color w:val="auto"/>
        </w:rPr>
      </w:pPr>
    </w:p>
    <w:p>
      <w:pPr>
        <w:ind w:left="764" w:right="20" w:hanging="768"/>
        <w:spacing w:after="0" w:line="279" w:lineRule="auto"/>
        <w:tabs>
          <w:tab w:leader="none" w:pos="744"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color w:val="auto"/>
        </w:rPr>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293" w:lineRule="exact"/>
        <w:rPr>
          <w:sz w:val="20"/>
          <w:szCs w:val="20"/>
          <w:color w:val="auto"/>
        </w:rPr>
      </w:pPr>
    </w:p>
    <w:p>
      <w:pPr>
        <w:ind w:left="764" w:hanging="764"/>
        <w:spacing w:after="0"/>
        <w:tabs>
          <w:tab w:leader="none" w:pos="764"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Rules, Policies and Procedures</w:t>
      </w:r>
    </w:p>
    <w:p>
      <w:pPr>
        <w:spacing w:after="0" w:line="104" w:lineRule="exact"/>
        <w:rPr>
          <w:rFonts w:ascii="Arial" w:cs="Arial" w:eastAsia="Arial" w:hAnsi="Arial"/>
          <w:sz w:val="22"/>
          <w:szCs w:val="22"/>
          <w:b w:val="1"/>
          <w:bCs w:val="1"/>
          <w:color w:val="auto"/>
        </w:rPr>
      </w:pPr>
    </w:p>
    <w:p>
      <w:pPr>
        <w:ind w:left="764" w:right="6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329" w:lineRule="exact"/>
        <w:rPr>
          <w:rFonts w:ascii="Arial" w:cs="Arial" w:eastAsia="Arial" w:hAnsi="Arial"/>
          <w:sz w:val="22"/>
          <w:szCs w:val="22"/>
          <w:b w:val="1"/>
          <w:bCs w:val="1"/>
          <w:color w:val="auto"/>
        </w:rPr>
      </w:pPr>
    </w:p>
    <w:p>
      <w:pPr>
        <w:ind w:left="764" w:hanging="764"/>
        <w:spacing w:after="0"/>
        <w:tabs>
          <w:tab w:leader="none" w:pos="764"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Health and Safety</w:t>
      </w:r>
    </w:p>
    <w:p>
      <w:pPr>
        <w:spacing w:after="0" w:line="104" w:lineRule="exact"/>
        <w:rPr>
          <w:rFonts w:ascii="Arial" w:cs="Arial" w:eastAsia="Arial" w:hAnsi="Arial"/>
          <w:sz w:val="22"/>
          <w:szCs w:val="22"/>
          <w:b w:val="1"/>
          <w:bCs w:val="1"/>
          <w:color w:val="auto"/>
        </w:rPr>
      </w:pPr>
    </w:p>
    <w:p>
      <w:pPr>
        <w:ind w:left="764" w:right="10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All employees and workers have a duty in law to act responsibly and to take reasonable care for the health and safety at work of both themselves and their colleagues. This duty can be carried out by:</w:t>
      </w:r>
    </w:p>
    <w:p>
      <w:pPr>
        <w:spacing w:after="0" w:line="80" w:lineRule="exact"/>
        <w:rPr>
          <w:rFonts w:ascii="Arial" w:cs="Arial" w:eastAsia="Arial" w:hAnsi="Arial"/>
          <w:sz w:val="22"/>
          <w:szCs w:val="22"/>
          <w:b w:val="1"/>
          <w:bCs w:val="1"/>
          <w:color w:val="auto"/>
        </w:rPr>
      </w:pPr>
    </w:p>
    <w:p>
      <w:pPr>
        <w:ind w:left="1424" w:hanging="655"/>
        <w:spacing w:after="0"/>
        <w:tabs>
          <w:tab w:leader="none" w:pos="1424" w:val="left"/>
        </w:tabs>
        <w:numPr>
          <w:ilvl w:val="1"/>
          <w:numId w:val="192"/>
        </w:numPr>
        <w:rPr>
          <w:rFonts w:ascii="Arial" w:cs="Arial" w:eastAsia="Arial" w:hAnsi="Arial"/>
          <w:sz w:val="22"/>
          <w:szCs w:val="22"/>
          <w:color w:val="auto"/>
        </w:rPr>
      </w:pPr>
      <w:r>
        <w:rPr>
          <w:rFonts w:ascii="Arial" w:cs="Arial" w:eastAsia="Arial" w:hAnsi="Arial"/>
          <w:sz w:val="22"/>
          <w:szCs w:val="22"/>
          <w:color w:val="auto"/>
        </w:rPr>
        <w:t>working safely and efficiently;</w:t>
      </w:r>
    </w:p>
    <w:p>
      <w:pPr>
        <w:spacing w:after="0" w:line="138" w:lineRule="exact"/>
        <w:rPr>
          <w:rFonts w:ascii="Arial" w:cs="Arial" w:eastAsia="Arial" w:hAnsi="Arial"/>
          <w:sz w:val="22"/>
          <w:szCs w:val="22"/>
          <w:color w:val="auto"/>
        </w:rPr>
      </w:pPr>
    </w:p>
    <w:p>
      <w:pPr>
        <w:ind w:left="5404" w:hanging="130"/>
        <w:spacing w:after="0"/>
        <w:tabs>
          <w:tab w:leader="none" w:pos="5404" w:val="left"/>
        </w:tabs>
        <w:numPr>
          <w:ilvl w:val="2"/>
          <w:numId w:val="192"/>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0984"/>
          </w:cols>
          <w:pgMar w:left="436" w:top="261" w:right="479" w:bottom="1440" w:gutter="0" w:footer="0" w:header="0"/>
        </w:sectPr>
      </w:pPr>
    </w:p>
    <w:bookmarkStart w:id="277" w:name="page278"/>
    <w:bookmarkEnd w:id="277"/>
    <w:p>
      <w:pPr>
        <w:ind w:left="1424" w:hanging="655"/>
        <w:spacing w:after="0"/>
        <w:tabs>
          <w:tab w:leader="none" w:pos="1424" w:val="left"/>
        </w:tabs>
        <w:numPr>
          <w:ilvl w:val="0"/>
          <w:numId w:val="19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using any protective equipment provided and meeting statutory obligations;</w:t>
      </w:r>
    </w:p>
    <w:p>
      <w:pPr>
        <w:spacing w:after="0" w:line="111" w:lineRule="exact"/>
        <w:rPr>
          <w:rFonts w:ascii="Arial" w:cs="Arial" w:eastAsia="Arial" w:hAnsi="Arial"/>
          <w:sz w:val="22"/>
          <w:szCs w:val="22"/>
          <w:color w:val="auto"/>
        </w:rPr>
      </w:pPr>
    </w:p>
    <w:p>
      <w:pPr>
        <w:ind w:left="1424" w:hanging="655"/>
        <w:spacing w:after="0"/>
        <w:tabs>
          <w:tab w:leader="none" w:pos="142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adhering to the Company procedures for securing a safe workplace.</w:t>
      </w:r>
    </w:p>
    <w:p>
      <w:pPr>
        <w:spacing w:after="0" w:line="98" w:lineRule="exact"/>
        <w:rPr>
          <w:sz w:val="20"/>
          <w:szCs w:val="20"/>
          <w:color w:val="auto"/>
        </w:rPr>
      </w:pPr>
    </w:p>
    <w:p>
      <w:pPr>
        <w:ind w:left="764"/>
        <w:spacing w:after="0"/>
        <w:rPr>
          <w:sz w:val="20"/>
          <w:szCs w:val="20"/>
          <w:color w:val="auto"/>
        </w:rPr>
      </w:pPr>
      <w:r>
        <w:rPr>
          <w:rFonts w:ascii="Arial" w:cs="Arial" w:eastAsia="Arial" w:hAnsi="Arial"/>
          <w:sz w:val="22"/>
          <w:szCs w:val="22"/>
          <w:color w:val="auto"/>
        </w:rPr>
        <w:t>Further provisions relating to health and safety can be found in the Employee Handbook.</w:t>
      </w:r>
    </w:p>
    <w:p>
      <w:pPr>
        <w:spacing w:after="0" w:line="349" w:lineRule="exact"/>
        <w:rPr>
          <w:sz w:val="20"/>
          <w:szCs w:val="20"/>
          <w:color w:val="auto"/>
        </w:rPr>
      </w:pPr>
    </w:p>
    <w:p>
      <w:pPr>
        <w:ind w:left="764" w:hanging="764"/>
        <w:spacing w:after="0"/>
        <w:tabs>
          <w:tab w:leader="none" w:pos="764"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Contracts (Rights of Third Parties) Act 1999</w:t>
      </w:r>
    </w:p>
    <w:p>
      <w:pPr>
        <w:spacing w:after="0" w:line="104" w:lineRule="exact"/>
        <w:rPr>
          <w:rFonts w:ascii="Arial" w:cs="Arial" w:eastAsia="Arial" w:hAnsi="Arial"/>
          <w:sz w:val="22"/>
          <w:szCs w:val="22"/>
          <w:b w:val="1"/>
          <w:bCs w:val="1"/>
          <w:color w:val="auto"/>
        </w:rPr>
      </w:pPr>
    </w:p>
    <w:p>
      <w:pPr>
        <w:ind w:left="764" w:right="340"/>
        <w:spacing w:after="0"/>
        <w:rPr>
          <w:rFonts w:ascii="Arial" w:cs="Arial" w:eastAsia="Arial" w:hAnsi="Arial"/>
          <w:sz w:val="22"/>
          <w:szCs w:val="22"/>
          <w:b w:val="1"/>
          <w:bCs w:val="1"/>
          <w:color w:val="auto"/>
        </w:rPr>
      </w:pPr>
      <w:r>
        <w:rPr>
          <w:rFonts w:ascii="Arial" w:cs="Arial" w:eastAsia="Arial" w:hAnsi="Arial"/>
          <w:sz w:val="22"/>
          <w:szCs w:val="22"/>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04" w:lineRule="exact"/>
        <w:rPr>
          <w:rFonts w:ascii="Arial" w:cs="Arial" w:eastAsia="Arial" w:hAnsi="Arial"/>
          <w:sz w:val="22"/>
          <w:szCs w:val="22"/>
          <w:b w:val="1"/>
          <w:bCs w:val="1"/>
          <w:color w:val="auto"/>
        </w:rPr>
      </w:pPr>
    </w:p>
    <w:p>
      <w:pPr>
        <w:ind w:left="764" w:right="3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This Contract shall be interpreted and construed in accordance with the laws of England and shall be subject to the jurisdiction of the English courts.</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w:t>
      </w:r>
    </w:p>
    <w:p>
      <w:pPr>
        <w:spacing w:after="0" w:line="104" w:lineRule="exact"/>
        <w:rPr>
          <w:rFonts w:ascii="Arial" w:cs="Arial" w:eastAsia="Arial" w:hAnsi="Arial"/>
          <w:sz w:val="22"/>
          <w:szCs w:val="22"/>
          <w:b w:val="1"/>
          <w:bCs w:val="1"/>
          <w:color w:val="auto"/>
        </w:rPr>
      </w:pPr>
    </w:p>
    <w:p>
      <w:pPr>
        <w:ind w:left="764" w:right="500"/>
        <w:spacing w:after="0"/>
        <w:rPr>
          <w:rFonts w:ascii="Arial" w:cs="Arial" w:eastAsia="Arial" w:hAnsi="Arial"/>
          <w:sz w:val="22"/>
          <w:szCs w:val="22"/>
          <w:b w:val="1"/>
          <w:bCs w:val="1"/>
          <w:color w:val="auto"/>
        </w:rPr>
      </w:pPr>
      <w:r>
        <w:rPr>
          <w:rFonts w:ascii="Arial" w:cs="Arial" w:eastAsia="Arial" w:hAnsi="Arial"/>
          <w:sz w:val="22"/>
          <w:szCs w:val="22"/>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your Terms of Employment</w:t>
      </w:r>
    </w:p>
    <w:p>
      <w:pPr>
        <w:spacing w:after="0" w:line="104" w:lineRule="exact"/>
        <w:rPr>
          <w:rFonts w:ascii="Arial" w:cs="Arial" w:eastAsia="Arial" w:hAnsi="Arial"/>
          <w:sz w:val="22"/>
          <w:szCs w:val="22"/>
          <w:b w:val="1"/>
          <w:bCs w:val="1"/>
          <w:color w:val="auto"/>
        </w:rPr>
      </w:pPr>
    </w:p>
    <w:p>
      <w:pPr>
        <w:ind w:left="764" w:right="720"/>
        <w:spacing w:after="0" w:line="328" w:lineRule="auto"/>
        <w:rPr>
          <w:rFonts w:ascii="Arial" w:cs="Arial" w:eastAsia="Arial" w:hAnsi="Arial"/>
          <w:sz w:val="22"/>
          <w:szCs w:val="22"/>
          <w:b w:val="1"/>
          <w:bCs w:val="1"/>
          <w:color w:val="auto"/>
        </w:rPr>
      </w:pPr>
      <w:r>
        <w:rPr>
          <w:rFonts w:ascii="Arial" w:cs="Arial" w:eastAsia="Arial" w:hAnsi="Arial"/>
          <w:sz w:val="19"/>
          <w:szCs w:val="19"/>
          <w:color w:val="auto"/>
        </w:rPr>
        <w:t>The Company reserves the right to make reasonable changes to any of your terms of employment. You will be notified in writing of any change as soon as possible and in any event within one month of the change.</w:t>
      </w:r>
    </w:p>
    <w:p>
      <w:pPr>
        <w:spacing w:after="0" w:line="247" w:lineRule="exact"/>
        <w:rPr>
          <w:rFonts w:ascii="Arial" w:cs="Arial" w:eastAsia="Arial" w:hAnsi="Arial"/>
          <w:sz w:val="22"/>
          <w:szCs w:val="22"/>
          <w:b w:val="1"/>
          <w:bCs w:val="1"/>
          <w:color w:val="auto"/>
        </w:rPr>
      </w:pPr>
    </w:p>
    <w:p>
      <w:pPr>
        <w:ind w:left="764" w:hanging="764"/>
        <w:spacing w:after="0"/>
        <w:tabs>
          <w:tab w:leader="none" w:pos="764"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35.1</w:t>
      </w:r>
      <w:r>
        <w:rPr>
          <w:sz w:val="20"/>
          <w:szCs w:val="20"/>
          <w:color w:val="auto"/>
        </w:rPr>
        <w:tab/>
      </w:r>
      <w:r>
        <w:rPr>
          <w:rFonts w:ascii="Arial" w:cs="Arial" w:eastAsia="Arial" w:hAnsi="Arial"/>
          <w:sz w:val="22"/>
          <w:szCs w:val="22"/>
          <w:color w:val="auto"/>
        </w:rPr>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90" w:lineRule="exact"/>
        <w:rPr>
          <w:sz w:val="20"/>
          <w:szCs w:val="20"/>
          <w:color w:val="auto"/>
        </w:rPr>
      </w:pPr>
    </w:p>
    <w:p>
      <w:pPr>
        <w:ind w:left="764" w:right="80" w:hanging="768"/>
        <w:spacing w:after="0" w:line="328" w:lineRule="auto"/>
        <w:tabs>
          <w:tab w:leader="none" w:pos="744" w:val="left"/>
        </w:tabs>
        <w:rPr>
          <w:sz w:val="20"/>
          <w:szCs w:val="20"/>
          <w:color w:val="auto"/>
        </w:rPr>
      </w:pPr>
      <w:r>
        <w:rPr>
          <w:rFonts w:ascii="Arial" w:cs="Arial" w:eastAsia="Arial" w:hAnsi="Arial"/>
          <w:sz w:val="22"/>
          <w:szCs w:val="22"/>
          <w:color w:val="auto"/>
        </w:rPr>
        <w:t>35.2</w:t>
      </w:r>
      <w:r>
        <w:rPr>
          <w:sz w:val="20"/>
          <w:szCs w:val="20"/>
          <w:color w:val="auto"/>
        </w:rPr>
        <w:tab/>
      </w:r>
      <w:r>
        <w:rPr>
          <w:rFonts w:ascii="Arial" w:cs="Arial" w:eastAsia="Arial" w:hAnsi="Arial"/>
          <w:sz w:val="19"/>
          <w:szCs w:val="19"/>
          <w:color w:val="auto"/>
        </w:rPr>
        <w:t>Unless the contrary shall be proven, each such notice or communication shall be deemed to have been given or made, if sent by first class post, 48 hours after posting and, if delivered by hand, at the time of such delivery.</w:t>
      </w:r>
    </w:p>
    <w:p>
      <w:pPr>
        <w:spacing w:after="0" w:line="4" w:lineRule="exact"/>
        <w:rPr>
          <w:sz w:val="20"/>
          <w:szCs w:val="20"/>
          <w:color w:val="auto"/>
        </w:rPr>
      </w:pPr>
    </w:p>
    <w:p>
      <w:pPr>
        <w:ind w:left="764" w:hanging="764"/>
        <w:spacing w:after="0"/>
        <w:tabs>
          <w:tab w:leader="none" w:pos="764"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18" w:lineRule="exact"/>
        <w:rPr>
          <w:sz w:val="20"/>
          <w:szCs w:val="20"/>
          <w:color w:val="auto"/>
        </w:rPr>
      </w:pPr>
    </w:p>
    <w:p>
      <w:pPr>
        <w:ind w:left="764" w:right="220" w:hanging="768"/>
        <w:spacing w:after="0"/>
        <w:tabs>
          <w:tab w:leader="none" w:pos="744"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22"/>
          <w:szCs w:val="22"/>
          <w:color w:val="auto"/>
        </w:rPr>
        <w:t>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004"/>
          </w:cols>
          <w:pgMar w:left="436" w:top="267" w:right="459" w:bottom="1440" w:gutter="0" w:footer="0" w:header="0"/>
        </w:sectPr>
      </w:pPr>
    </w:p>
    <w:bookmarkStart w:id="278" w:name="page279"/>
    <w:bookmarkEnd w:id="278"/>
    <w:p>
      <w:pPr>
        <w:ind w:left="764"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36.2</w:t>
      </w:r>
      <w:r>
        <w:rPr>
          <w:sz w:val="20"/>
          <w:szCs w:val="20"/>
          <w:color w:val="auto"/>
        </w:rPr>
        <w:tab/>
      </w:r>
      <w:r>
        <w:rPr>
          <w:rFonts w:ascii="Arial" w:cs="Arial" w:eastAsia="Arial" w:hAnsi="Arial"/>
          <w:sz w:val="22"/>
          <w:szCs w:val="22"/>
          <w:color w:val="auto"/>
        </w:rPr>
        <w:t>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92" w:lineRule="exact"/>
        <w:rPr>
          <w:sz w:val="20"/>
          <w:szCs w:val="20"/>
          <w:color w:val="auto"/>
        </w:rPr>
      </w:pPr>
    </w:p>
    <w:p>
      <w:pPr>
        <w:ind w:left="764" w:right="320" w:hanging="768"/>
        <w:spacing w:after="0" w:line="250" w:lineRule="auto"/>
        <w:tabs>
          <w:tab w:leader="none" w:pos="744"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22"/>
          <w:szCs w:val="22"/>
          <w:color w:val="auto"/>
        </w:rPr>
        <w:t>Each party agrees that it shall have no claim for innocent or negligent misrepresentation or negligent misstatement based on any statement in this Contract.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36.4</w:t>
      </w:r>
      <w:r>
        <w:rPr>
          <w:sz w:val="20"/>
          <w:szCs w:val="20"/>
          <w:color w:val="auto"/>
        </w:rPr>
        <w:tab/>
      </w:r>
      <w:r>
        <w:rPr>
          <w:rFonts w:ascii="Arial" w:cs="Arial" w:eastAsia="Arial" w:hAnsi="Arial"/>
          <w:sz w:val="19"/>
          <w:szCs w:val="19"/>
          <w:color w:val="auto"/>
        </w:rPr>
        <w:t>Nothing in this clause shall limit or exclude any liability for fraud.</w:t>
      </w:r>
    </w:p>
    <w:p>
      <w:pPr>
        <w:spacing w:after="0" w:line="349" w:lineRule="exact"/>
        <w:rPr>
          <w:sz w:val="20"/>
          <w:szCs w:val="20"/>
          <w:color w:val="auto"/>
        </w:rPr>
      </w:pPr>
    </w:p>
    <w:p>
      <w:pPr>
        <w:ind w:left="764" w:hanging="764"/>
        <w:spacing w:after="0"/>
        <w:tabs>
          <w:tab w:leader="none" w:pos="764"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118" w:lineRule="exact"/>
        <w:rPr>
          <w:sz w:val="20"/>
          <w:szCs w:val="20"/>
          <w:color w:val="auto"/>
        </w:rPr>
      </w:pPr>
    </w:p>
    <w:p>
      <w:pPr>
        <w:ind w:left="764" w:right="520" w:hanging="768"/>
        <w:spacing w:after="0" w:line="328" w:lineRule="auto"/>
        <w:tabs>
          <w:tab w:leader="none" w:pos="744"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19"/>
          <w:szCs w:val="19"/>
          <w:color w:val="auto"/>
        </w:rPr>
        <w:t>This Contract may be executed in any number of counterparts, each of which when executed and delivered shall constitute a duplicate original, but all the counterparts shall together constitute the one agreement.</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37.2</w:t>
      </w:r>
      <w:r>
        <w:rPr>
          <w:sz w:val="20"/>
          <w:szCs w:val="20"/>
          <w:color w:val="auto"/>
        </w:rPr>
        <w:tab/>
      </w:r>
      <w:r>
        <w:rPr>
          <w:rFonts w:ascii="Arial" w:cs="Arial" w:eastAsia="Arial" w:hAnsi="Arial"/>
          <w:sz w:val="19"/>
          <w:szCs w:val="19"/>
          <w:color w:val="auto"/>
        </w:rPr>
        <w:t>No counterpart shall be effective until each party has executed and delivered at least one counterpart.</w:t>
      </w:r>
    </w:p>
    <w:p>
      <w:pPr>
        <w:spacing w:after="0" w:line="139"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0984"/>
          </w:cols>
          <w:pgMar w:left="436" w:top="267" w:right="479" w:bottom="1440" w:gutter="0" w:footer="0" w:header="0"/>
        </w:sectPr>
      </w:pPr>
    </w:p>
    <w:bookmarkStart w:id="279" w:name="page280"/>
    <w:bookmarkEnd w:id="279"/>
    <w:p>
      <w:pPr>
        <w:ind w:left="764" w:hanging="764"/>
        <w:spacing w:after="0"/>
        <w:tabs>
          <w:tab w:leader="none" w:pos="764"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04" w:lineRule="exact"/>
        <w:rPr>
          <w:rFonts w:ascii="Arial" w:cs="Arial" w:eastAsia="Arial" w:hAnsi="Arial"/>
          <w:sz w:val="22"/>
          <w:szCs w:val="22"/>
          <w:b w:val="1"/>
          <w:bCs w:val="1"/>
          <w:color w:val="auto"/>
        </w:rPr>
      </w:pPr>
    </w:p>
    <w:p>
      <w:pPr>
        <w:ind w:left="764"/>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This document has been executed as a deed and is delivered and takes effect on the date stated at the beginning of it.</w:t>
      </w:r>
    </w:p>
    <w:p>
      <w:pPr>
        <w:sectPr>
          <w:pgSz w:w="11900" w:h="16838" w:orient="portrait"/>
          <w:cols w:equalWidth="0" w:num="1">
            <w:col w:w="10964"/>
          </w:cols>
          <w:pgMar w:left="436" w:top="261" w:right="499" w:bottom="1440" w:gutter="0" w:footer="0" w:header="0"/>
        </w:sect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22"/>
          <w:szCs w:val="22"/>
          <w:color w:val="auto"/>
        </w:rPr>
        <w:t>Signed by Mereo BioPharma Group plc acting by:</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
        <w:spacing w:after="0"/>
        <w:rPr>
          <w:sz w:val="20"/>
          <w:szCs w:val="20"/>
          <w:color w:val="auto"/>
        </w:rPr>
      </w:pPr>
      <w:r>
        <w:rPr>
          <w:rFonts w:ascii="Arial" w:cs="Arial" w:eastAsia="Arial" w:hAnsi="Arial"/>
          <w:sz w:val="22"/>
          <w:szCs w:val="22"/>
          <w:color w:val="auto"/>
        </w:rPr>
        <w:t>Signed as a deed by</w:t>
      </w:r>
    </w:p>
    <w:p>
      <w:pPr>
        <w:spacing w:after="0" w:line="233"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360"/>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26574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6">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-158750</wp:posOffset>
            </wp:positionV>
            <wp:extent cx="26574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7">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26574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26574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26574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0">
                      <a:extLst>
                        <a:ext uri="{28A0092B-C50C-407E-A947-70E740481C1C}"/>
                      </a:extLst>
                    </a:blip>
                    <a:srcRect/>
                    <a:stretch>
                      <a:fillRect/>
                    </a:stretch>
                  </pic:blipFill>
                  <pic:spPr bwMode="auto">
                    <a:xfrm>
                      <a:off x="0" y="0"/>
                      <a:ext cx="26574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434340</wp:posOffset>
            </wp:positionV>
            <wp:extent cx="26574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26574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26574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Address of witness</w:t>
      </w:r>
    </w:p>
    <w:p>
      <w:pPr>
        <w:sectPr>
          <w:pgSz w:w="11900" w:h="16838" w:orient="portrait"/>
          <w:cols w:equalWidth="0" w:num="2">
            <w:col w:w="6104" w:space="720"/>
            <w:col w:w="4140"/>
          </w:cols>
          <w:pgMar w:left="436" w:top="261" w:right="499" w:bottom="1440" w:gutter="0" w:footer="0" w:header="0"/>
          <w:type w:val="continuous"/>
        </w:sectPr>
      </w:pPr>
    </w:p>
    <w:bookmarkStart w:id="280" w:name="page281"/>
    <w:bookmarkEnd w:id="280"/>
    <w:p>
      <w:pPr>
        <w:ind w:left="4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WRITTEN JOB DESCRIPTION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Employee’s duties and responsibilities shall be as follows:-</w:t>
      </w:r>
    </w:p>
    <w:p>
      <w:pPr>
        <w:spacing w:after="0" w:line="112" w:lineRule="exact"/>
        <w:rPr>
          <w:sz w:val="20"/>
          <w:szCs w:val="20"/>
          <w:color w:val="auto"/>
        </w:rPr>
      </w:pPr>
    </w:p>
    <w:p>
      <w:pPr>
        <w:ind w:left="1300" w:right="26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lead, in conjunction with the Board, the development of the Company’s strategy proposing changes in the strategy when appropriate for discussion with the board.</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To lead and oversee the execution of the Company’s long and short-term plans in accordance with its strategy.</w:t>
      </w:r>
    </w:p>
    <w:p>
      <w:pPr>
        <w:spacing w:after="0" w:line="146" w:lineRule="exact"/>
        <w:rPr>
          <w:rFonts w:ascii="Arial" w:cs="Arial" w:eastAsia="Arial" w:hAnsi="Arial"/>
          <w:sz w:val="19"/>
          <w:szCs w:val="19"/>
          <w:color w:val="auto"/>
        </w:rPr>
      </w:pPr>
    </w:p>
    <w:p>
      <w:pPr>
        <w:ind w:left="1300" w:hanging="764"/>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ensure the Company is appropriately organised and resourced to execute on the plans.</w:t>
      </w:r>
    </w:p>
    <w:p>
      <w:pPr>
        <w:spacing w:after="0" w:line="111" w:lineRule="exact"/>
        <w:rPr>
          <w:rFonts w:ascii="Arial" w:cs="Arial" w:eastAsia="Arial" w:hAnsi="Arial"/>
          <w:sz w:val="22"/>
          <w:szCs w:val="22"/>
          <w:color w:val="auto"/>
        </w:rPr>
      </w:pPr>
    </w:p>
    <w:p>
      <w:pPr>
        <w:ind w:left="1300" w:right="20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act as a liaison between the executive management team and the Board and ensure the board has sufficient interaction with the executive management team.</w:t>
      </w:r>
    </w:p>
    <w:p>
      <w:pPr>
        <w:spacing w:after="0" w:line="80" w:lineRule="exact"/>
        <w:rPr>
          <w:rFonts w:ascii="Arial" w:cs="Arial" w:eastAsia="Arial" w:hAnsi="Arial"/>
          <w:sz w:val="22"/>
          <w:szCs w:val="22"/>
          <w:color w:val="auto"/>
        </w:rPr>
      </w:pPr>
    </w:p>
    <w:p>
      <w:pPr>
        <w:ind w:left="1300" w:right="280" w:hanging="764"/>
        <w:spacing w:after="0" w:line="328" w:lineRule="auto"/>
        <w:tabs>
          <w:tab w:leader="none" w:pos="13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To recruit and monitor performance of the executive management team and to make recommendations to the Compensation Committee and the Board on the remuneration of the executive management team members.</w:t>
      </w:r>
    </w:p>
    <w:p>
      <w:pPr>
        <w:spacing w:after="0" w:line="10" w:lineRule="exact"/>
        <w:rPr>
          <w:rFonts w:ascii="Arial" w:cs="Arial" w:eastAsia="Arial" w:hAnsi="Arial"/>
          <w:sz w:val="19"/>
          <w:szCs w:val="19"/>
          <w:color w:val="auto"/>
        </w:rPr>
      </w:pPr>
    </w:p>
    <w:p>
      <w:pPr>
        <w:ind w:left="1300" w:right="6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communicate effectively with shareholders, employees, Government authorities, other stakeholders, and the public.</w:t>
      </w:r>
    </w:p>
    <w:p>
      <w:pPr>
        <w:spacing w:after="0" w:line="80" w:lineRule="exact"/>
        <w:rPr>
          <w:rFonts w:ascii="Arial" w:cs="Arial" w:eastAsia="Arial" w:hAnsi="Arial"/>
          <w:sz w:val="22"/>
          <w:szCs w:val="22"/>
          <w:color w:val="auto"/>
        </w:rPr>
      </w:pPr>
    </w:p>
    <w:p>
      <w:pPr>
        <w:ind w:left="130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Provide strategic input and leadership on decision making issues affecting the organization; specifically relating to the evaluation of potential mergers, acquisitions, or partnerships.</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Optimize banking relationships and work closely with CFO to foster and grow strategic financial partnerships.</w:t>
      </w:r>
    </w:p>
    <w:p>
      <w:pPr>
        <w:spacing w:after="0" w:line="146" w:lineRule="exact"/>
        <w:rPr>
          <w:rFonts w:ascii="Arial" w:cs="Arial" w:eastAsia="Arial" w:hAnsi="Arial"/>
          <w:sz w:val="19"/>
          <w:szCs w:val="19"/>
          <w:color w:val="auto"/>
        </w:rPr>
      </w:pPr>
    </w:p>
    <w:p>
      <w:pPr>
        <w:ind w:left="130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Work with finance team to develop the annual budget of the Company and ensure once authorized by the board, the annual expenditures are within this budget.</w:t>
      </w:r>
    </w:p>
    <w:p>
      <w:pPr>
        <w:spacing w:after="0" w:line="80" w:lineRule="exact"/>
        <w:rPr>
          <w:rFonts w:ascii="Arial" w:cs="Arial" w:eastAsia="Arial" w:hAnsi="Arial"/>
          <w:sz w:val="22"/>
          <w:szCs w:val="22"/>
          <w:color w:val="auto"/>
        </w:rPr>
      </w:pPr>
    </w:p>
    <w:p>
      <w:pPr>
        <w:ind w:left="1300" w:right="18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Act as a strategic advisor on contracts, negotiations, or business deals that the corporation may enter, building the appropriate contacts and relationships with these businesses.</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Evaluate company’s operational and financial structures to plan for continual improvements and growth.</w:t>
      </w:r>
    </w:p>
    <w:p>
      <w:pPr>
        <w:spacing w:after="0" w:line="123" w:lineRule="exact"/>
        <w:rPr>
          <w:rFonts w:ascii="Arial" w:cs="Arial" w:eastAsia="Arial" w:hAnsi="Arial"/>
          <w:sz w:val="21"/>
          <w:szCs w:val="21"/>
          <w:color w:val="auto"/>
        </w:rPr>
      </w:pPr>
    </w:p>
    <w:p>
      <w:pPr>
        <w:ind w:left="1300" w:right="42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Mentor and interact with members of staff at all levels to foster growth and encourage development among senior executive team and all members of staff.</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To assess the principal risks of the Company and to ensure that these risks are being monitored and managed.</w:t>
      </w:r>
    </w:p>
    <w:p>
      <w:pPr>
        <w:spacing w:after="0" w:line="146" w:lineRule="exact"/>
        <w:rPr>
          <w:rFonts w:ascii="Arial" w:cs="Arial" w:eastAsia="Arial" w:hAnsi="Arial"/>
          <w:sz w:val="19"/>
          <w:szCs w:val="19"/>
          <w:color w:val="auto"/>
        </w:rPr>
      </w:pPr>
    </w:p>
    <w:p>
      <w:pPr>
        <w:ind w:left="1300" w:hanging="764"/>
        <w:spacing w:after="0"/>
        <w:tabs>
          <w:tab w:leader="none" w:pos="13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To ensure appropriate and effective internal controls and management information systems are in place.</w:t>
      </w:r>
    </w:p>
    <w:p>
      <w:pPr>
        <w:spacing w:after="0" w:line="146" w:lineRule="exact"/>
        <w:rPr>
          <w:rFonts w:ascii="Arial" w:cs="Arial" w:eastAsia="Arial" w:hAnsi="Arial"/>
          <w:sz w:val="19"/>
          <w:szCs w:val="19"/>
          <w:color w:val="auto"/>
        </w:rPr>
      </w:pPr>
    </w:p>
    <w:p>
      <w:pPr>
        <w:ind w:left="1300" w:right="6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communicate effectively with shareholders, employees, Government authorities, other stakeholders, and the public.</w:t>
      </w:r>
    </w:p>
    <w:p>
      <w:pPr>
        <w:spacing w:after="0" w:line="80" w:lineRule="exact"/>
        <w:rPr>
          <w:rFonts w:ascii="Arial" w:cs="Arial" w:eastAsia="Arial" w:hAnsi="Arial"/>
          <w:sz w:val="22"/>
          <w:szCs w:val="22"/>
          <w:color w:val="auto"/>
        </w:rPr>
      </w:pPr>
    </w:p>
    <w:p>
      <w:pPr>
        <w:ind w:left="1300" w:right="44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keep abreast of all material undertakings and activities of the Company and all material external factors affecting the Company.</w:t>
      </w:r>
    </w:p>
    <w:p>
      <w:pPr>
        <w:spacing w:after="0" w:line="80" w:lineRule="exact"/>
        <w:rPr>
          <w:rFonts w:ascii="Arial" w:cs="Arial" w:eastAsia="Arial" w:hAnsi="Arial"/>
          <w:sz w:val="22"/>
          <w:szCs w:val="22"/>
          <w:color w:val="auto"/>
        </w:rPr>
      </w:pPr>
    </w:p>
    <w:p>
      <w:pPr>
        <w:ind w:left="1300" w:right="22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ensure that the Directors are properly informed, and that sufficient information is provided to the Board to enable the Directors to form appropriate judgments.</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 ensure the integrity of all public disclosure by the Company.</w:t>
      </w:r>
    </w:p>
    <w:p>
      <w:pPr>
        <w:spacing w:after="0" w:line="111" w:lineRule="exact"/>
        <w:rPr>
          <w:rFonts w:ascii="Arial" w:cs="Arial" w:eastAsia="Arial" w:hAnsi="Arial"/>
          <w:sz w:val="22"/>
          <w:szCs w:val="22"/>
          <w:color w:val="auto"/>
        </w:rPr>
      </w:pPr>
    </w:p>
    <w:p>
      <w:pPr>
        <w:ind w:left="1300" w:right="26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In concert with the Chairman, to develop Board agendas and to request that special meetings of the Board be called when appropriate.</w:t>
      </w:r>
    </w:p>
    <w:p>
      <w:pPr>
        <w:spacing w:after="0" w:line="80" w:lineRule="exact"/>
        <w:rPr>
          <w:rFonts w:ascii="Arial" w:cs="Arial" w:eastAsia="Arial" w:hAnsi="Arial"/>
          <w:sz w:val="22"/>
          <w:szCs w:val="22"/>
          <w:color w:val="auto"/>
        </w:rPr>
      </w:pPr>
    </w:p>
    <w:p>
      <w:pPr>
        <w:ind w:left="1300" w:right="640" w:hanging="764"/>
        <w:spacing w:after="0" w:line="250"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Sit on committees of the Board where appropriate as determined by the Board and seek input from those committees (for example the R&amp;D Committee) as required.</w:t>
      </w:r>
    </w:p>
    <w:p>
      <w:pPr>
        <w:spacing w:after="0" w:line="107" w:lineRule="exact"/>
        <w:rPr>
          <w:rFonts w:ascii="Arial" w:cs="Arial" w:eastAsia="Arial" w:hAnsi="Arial"/>
          <w:sz w:val="22"/>
          <w:szCs w:val="22"/>
          <w:color w:val="auto"/>
        </w:rPr>
      </w:pPr>
    </w:p>
    <w:p>
      <w:pPr>
        <w:ind w:left="5400" w:hanging="130"/>
        <w:spacing w:after="0"/>
        <w:tabs>
          <w:tab w:leader="none" w:pos="540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0960"/>
          </w:cols>
          <w:pgMar w:left="440" w:top="261" w:right="499" w:bottom="1440" w:gutter="0" w:footer="0" w:header="0"/>
        </w:sectPr>
      </w:pPr>
    </w:p>
    <w:bookmarkStart w:id="281" w:name="page282"/>
    <w:bookmarkEnd w:id="281"/>
    <w:p>
      <w:pPr>
        <w:jc w:val="center"/>
        <w:ind w:right="-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06"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CHANGE IN CONTROL AND SEVERANCE</w:t>
      </w:r>
    </w:p>
    <w:p>
      <w:pPr>
        <w:spacing w:after="0" w:line="233" w:lineRule="exact"/>
        <w:rPr>
          <w:sz w:val="20"/>
          <w:szCs w:val="20"/>
          <w:color w:val="auto"/>
        </w:rPr>
      </w:pPr>
    </w:p>
    <w:p>
      <w:pPr>
        <w:ind w:left="764" w:hanging="764"/>
        <w:spacing w:after="0"/>
        <w:tabs>
          <w:tab w:leader="none" w:pos="764" w:val="left"/>
        </w:tabs>
        <w:numPr>
          <w:ilvl w:val="0"/>
          <w:numId w:val="199"/>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w:t>
      </w:r>
    </w:p>
    <w:p>
      <w:pPr>
        <w:spacing w:after="0" w:line="118" w:lineRule="exact"/>
        <w:rPr>
          <w:sz w:val="20"/>
          <w:szCs w:val="20"/>
          <w:color w:val="auto"/>
        </w:rPr>
      </w:pPr>
    </w:p>
    <w:p>
      <w:pPr>
        <w:ind w:left="764" w:hanging="768"/>
        <w:spacing w:after="0" w:line="236" w:lineRule="auto"/>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The Board recognizes that the possibility of an acquisition of the Company or an involuntary termination can be a distraction to you and can cause you to consider alternative employment opportunities. The Board has determined that it is in the best interests of Mereo BioPharma Group plc (the “</w:t>
      </w:r>
      <w:r>
        <w:rPr>
          <w:rFonts w:ascii="Arial" w:cs="Arial" w:eastAsia="Arial" w:hAnsi="Arial"/>
          <w:sz w:val="22"/>
          <w:szCs w:val="22"/>
          <w:b w:val="1"/>
          <w:bCs w:val="1"/>
          <w:color w:val="auto"/>
        </w:rPr>
        <w:t>Company</w:t>
      </w:r>
      <w:r>
        <w:rPr>
          <w:rFonts w:ascii="Arial" w:cs="Arial" w:eastAsia="Arial" w:hAnsi="Arial"/>
          <w:sz w:val="22"/>
          <w:szCs w:val="22"/>
          <w:color w:val="auto"/>
        </w:rPr>
        <w:t>”) and its shareholders to assure that the Company will have your continued dedication and objectivity, notwithstanding the possibility, threat or occurrence of such an event.</w:t>
      </w:r>
    </w:p>
    <w:p>
      <w:pPr>
        <w:spacing w:after="0" w:line="93"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Board believes that it is in the best interests of the Company to provide you with an incentive to continue your employment and to motivate you to maximize the value of the Company upon a Change in Control (as defined below) for the benefit of the Company’s shareholders.</w:t>
      </w:r>
    </w:p>
    <w:p>
      <w:pPr>
        <w:spacing w:after="0" w:line="92" w:lineRule="exact"/>
        <w:rPr>
          <w:sz w:val="20"/>
          <w:szCs w:val="20"/>
          <w:color w:val="auto"/>
        </w:rPr>
      </w:pPr>
    </w:p>
    <w:p>
      <w:pPr>
        <w:jc w:val="both"/>
        <w:ind w:left="764" w:right="460" w:hanging="768"/>
        <w:spacing w:after="0" w:line="257" w:lineRule="auto"/>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The Board believes that it is imperative to provide you with severance benefits upon certain terminations of your service to the Company that enhance your financial security and provide incentive and encouragement to you to remain with the Company notwithstanding the possibility of such an event.</w:t>
      </w:r>
    </w:p>
    <w:p>
      <w:pPr>
        <w:spacing w:after="0" w:line="7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otherwise defined herein, capitalized terms used in this Agreement are defined in paragraph 5 below.</w:t>
      </w:r>
    </w:p>
    <w:p>
      <w:pPr>
        <w:spacing w:after="0" w:line="112" w:lineRule="exact"/>
        <w:rPr>
          <w:sz w:val="20"/>
          <w:szCs w:val="20"/>
          <w:color w:val="auto"/>
        </w:rPr>
      </w:pPr>
    </w:p>
    <w:p>
      <w:pPr>
        <w:ind w:left="764" w:right="680" w:hanging="768"/>
        <w:spacing w:after="0" w:line="328" w:lineRule="auto"/>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You agree that the Contract is amended to insert the provisions below. In the event of any conflict between the provisions of the Contract and this Schedule II, the provisions of this Schedule II shall prevail.</w:t>
      </w:r>
    </w:p>
    <w:p>
      <w:pPr>
        <w:spacing w:after="0" w:line="247" w:lineRule="exact"/>
        <w:rPr>
          <w:sz w:val="20"/>
          <w:szCs w:val="20"/>
          <w:color w:val="auto"/>
        </w:rPr>
      </w:pPr>
    </w:p>
    <w:p>
      <w:pPr>
        <w:ind w:left="764" w:hanging="764"/>
        <w:spacing w:after="0"/>
        <w:tabs>
          <w:tab w:leader="none" w:pos="764"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Covered Termination During a Change in Control Period</w:t>
      </w:r>
    </w:p>
    <w:p>
      <w:pPr>
        <w:spacing w:after="0" w:line="118" w:lineRule="exact"/>
        <w:rPr>
          <w:sz w:val="20"/>
          <w:szCs w:val="20"/>
          <w:color w:val="auto"/>
        </w:rPr>
      </w:pPr>
    </w:p>
    <w:p>
      <w:pPr>
        <w:ind w:left="764" w:hanging="768"/>
        <w:spacing w:after="0" w:line="279" w:lineRule="auto"/>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If you experience a Covered Termination during a Change in Control Period, then, subject to (i) you delivering to the Company an executed Settlement Agreement that becomes effective and irrevocable in accordance with paragraph 9.1 below, or such shorter period of time specified by the Company, following such Covered Termination and (ii) your continued compliance with clauses 16, 17 and 21 of the Contract, then in addition to any accrued but unpaid salary, benefits, holiday and expense reimbursements through the Covered Termination Date payable in accordance with applicable law, the Company shall provide you with the following:</w:t>
      </w:r>
    </w:p>
    <w:p>
      <w:pPr>
        <w:spacing w:after="0" w:line="56" w:lineRule="exact"/>
        <w:rPr>
          <w:sz w:val="20"/>
          <w:szCs w:val="20"/>
          <w:color w:val="auto"/>
        </w:rPr>
      </w:pPr>
    </w:p>
    <w:p>
      <w:pPr>
        <w:jc w:val="both"/>
        <w:ind w:left="2204" w:right="140" w:hanging="768"/>
        <w:spacing w:after="0" w:line="273" w:lineRule="auto"/>
        <w:tabs>
          <w:tab w:leader="none" w:pos="218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The Company shall pay you an amount equal to the sum of (i) your annual base salary at the rate in effect immediately prior to the Covered Termination Date during the period of time commencing on the Covered Termination Date and ending on the eighteen (18)-month anniversary thereof and</w:t>
      </w:r>
    </w:p>
    <w:p>
      <w:pPr>
        <w:spacing w:after="0" w:line="1" w:lineRule="exact"/>
        <w:rPr>
          <w:sz w:val="20"/>
          <w:szCs w:val="20"/>
          <w:color w:val="auto"/>
        </w:rPr>
      </w:pPr>
    </w:p>
    <w:p>
      <w:pPr>
        <w:ind w:left="2204" w:right="180" w:hanging="4"/>
        <w:spacing w:after="0" w:line="233" w:lineRule="auto"/>
        <w:tabs>
          <w:tab w:leader="none" w:pos="252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your target annual bonus assuming achievement of performance goals at one hundred percent (100%) of target, payable in a cash lump sum, less applicable withholdings, on the first payroll date following the date the Settlement Agreement becomes effective and irrevocable in accordance with paragraph 9.1 below.</w:t>
      </w:r>
    </w:p>
    <w:p>
      <w:pPr>
        <w:spacing w:after="0" w:line="120" w:lineRule="exact"/>
        <w:rPr>
          <w:rFonts w:ascii="Arial" w:cs="Arial" w:eastAsia="Arial" w:hAnsi="Arial"/>
          <w:sz w:val="22"/>
          <w:szCs w:val="22"/>
          <w:color w:val="auto"/>
        </w:rPr>
      </w:pPr>
    </w:p>
    <w:p>
      <w:pPr>
        <w:ind w:left="5404" w:hanging="130"/>
        <w:spacing w:after="0"/>
        <w:tabs>
          <w:tab w:leader="none" w:pos="5404" w:val="left"/>
        </w:tabs>
        <w:numPr>
          <w:ilvl w:val="1"/>
          <w:numId w:val="201"/>
        </w:numPr>
        <w:rPr>
          <w:rFonts w:ascii="Arial" w:cs="Arial" w:eastAsia="Arial" w:hAnsi="Arial"/>
          <w:sz w:val="22"/>
          <w:szCs w:val="22"/>
          <w:color w:val="auto"/>
        </w:rPr>
      </w:pPr>
      <w:r>
        <w:rPr>
          <w:rFonts w:ascii="Arial" w:cs="Arial" w:eastAsia="Arial" w:hAnsi="Arial"/>
          <w:sz w:val="22"/>
          <w:szCs w:val="22"/>
          <w:color w:val="auto"/>
        </w:rPr>
        <w:t>27 -</w:t>
      </w:r>
    </w:p>
    <w:p>
      <w:pPr>
        <w:sectPr>
          <w:pgSz w:w="11900" w:h="16838" w:orient="portrait"/>
          <w:cols w:equalWidth="0" w:num="1">
            <w:col w:w="10984"/>
          </w:cols>
          <w:pgMar w:left="436" w:top="261" w:right="479" w:bottom="1440" w:gutter="0" w:footer="0" w:header="0"/>
        </w:sectPr>
      </w:pPr>
    </w:p>
    <w:bookmarkStart w:id="282" w:name="page283"/>
    <w:bookmarkEnd w:id="282"/>
    <w:p>
      <w:pPr>
        <w:ind w:left="2204" w:right="100" w:hanging="768"/>
        <w:spacing w:after="0" w:line="282" w:lineRule="auto"/>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r>
      <w:r>
        <w:rPr>
          <w:sz w:val="20"/>
          <w:szCs w:val="20"/>
          <w:color w:val="auto"/>
        </w:rPr>
        <w:tab/>
      </w:r>
      <w:r>
        <w:rPr>
          <w:rFonts w:ascii="Arial" w:cs="Arial" w:eastAsia="Arial" w:hAnsi="Arial"/>
          <w:sz w:val="19"/>
          <w:szCs w:val="19"/>
          <w:color w:val="auto"/>
        </w:rPr>
        <w:t>Each outstanding and unvested equity award held in the Company that vests solely based on the passage of time held by you as of the Covered Termination Date shall automatically become vested and, if applicable, exercisable and any forfeiture restrictions or rights of repurchase thereon shall immediately lapse with respect to one percent (100%) of the ordinary shares of the Company subject thereto, as of immediately prior to the Covered Termination Date.</w:t>
      </w:r>
    </w:p>
    <w:p>
      <w:pPr>
        <w:spacing w:after="0" w:line="290" w:lineRule="exact"/>
        <w:rPr>
          <w:sz w:val="20"/>
          <w:szCs w:val="20"/>
          <w:color w:val="auto"/>
        </w:rPr>
      </w:pPr>
    </w:p>
    <w:p>
      <w:pPr>
        <w:ind w:left="764" w:hanging="764"/>
        <w:spacing w:after="0"/>
        <w:tabs>
          <w:tab w:leader="none" w:pos="764"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Certain Reduction</w:t>
      </w:r>
    </w:p>
    <w:p>
      <w:pPr>
        <w:spacing w:after="0" w:line="118" w:lineRule="exact"/>
        <w:rPr>
          <w:sz w:val="20"/>
          <w:szCs w:val="20"/>
          <w:color w:val="auto"/>
        </w:rPr>
      </w:pPr>
    </w:p>
    <w:p>
      <w:pPr>
        <w:ind w:left="764" w:hanging="768"/>
        <w:spacing w:after="0" w:line="273" w:lineRule="auto"/>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Notwithstanding anything herein to the contrary, the Company shall reduce your severance benefits under this Schedule II, in whole or in part, by any other severance benefits, pay in lieu of notice, or other similar benefits payable to you by the Company in connection with your termination, including but not limited to payments or benefits</w:t>
      </w:r>
    </w:p>
    <w:p>
      <w:pPr>
        <w:spacing w:after="0" w:line="1" w:lineRule="exact"/>
        <w:rPr>
          <w:sz w:val="20"/>
          <w:szCs w:val="20"/>
          <w:color w:val="auto"/>
        </w:rPr>
      </w:pPr>
    </w:p>
    <w:p>
      <w:pPr>
        <w:ind w:left="764" w:right="280"/>
        <w:spacing w:after="0" w:line="233" w:lineRule="auto"/>
        <w:rPr>
          <w:sz w:val="20"/>
          <w:szCs w:val="20"/>
          <w:color w:val="auto"/>
        </w:rPr>
      </w:pPr>
      <w:r>
        <w:rPr>
          <w:rFonts w:ascii="Arial" w:cs="Arial" w:eastAsia="Arial" w:hAnsi="Arial"/>
          <w:sz w:val="22"/>
          <w:szCs w:val="22"/>
          <w:color w:val="auto"/>
        </w:rPr>
        <w:t>(a) pursuant to clause 18 of the Contract; (b) required by applicable law or (c) any applicable clawback policy. The benefits provided under this Schedule II are intended to satisfy, to the greatest extent possible, any and all statutory obligations that may arise out of your termination of employment. Such reductions shall be applied on a retroactive basis, with severance benefits paid first in time being recharacterized as payments pursuant to the Company’s statutory obligation.</w:t>
      </w:r>
    </w:p>
    <w:p>
      <w:pPr>
        <w:spacing w:after="0" w:line="327" w:lineRule="exact"/>
        <w:rPr>
          <w:sz w:val="20"/>
          <w:szCs w:val="20"/>
          <w:color w:val="auto"/>
        </w:rPr>
      </w:pPr>
    </w:p>
    <w:p>
      <w:pPr>
        <w:ind w:left="764" w:hanging="764"/>
        <w:spacing w:after="0"/>
        <w:tabs>
          <w:tab w:leader="none" w:pos="764" w:val="left"/>
        </w:tabs>
        <w:numPr>
          <w:ilvl w:val="0"/>
          <w:numId w:val="203"/>
        </w:numPr>
        <w:rPr>
          <w:rFonts w:ascii="Arial" w:cs="Arial" w:eastAsia="Arial" w:hAnsi="Arial"/>
          <w:sz w:val="22"/>
          <w:szCs w:val="22"/>
          <w:b w:val="1"/>
          <w:bCs w:val="1"/>
          <w:color w:val="auto"/>
        </w:rPr>
      </w:pPr>
      <w:r>
        <w:rPr>
          <w:rFonts w:ascii="Arial" w:cs="Arial" w:eastAsia="Arial" w:hAnsi="Arial"/>
          <w:sz w:val="22"/>
          <w:szCs w:val="22"/>
          <w:b w:val="1"/>
          <w:bCs w:val="1"/>
          <w:color w:val="auto"/>
        </w:rPr>
        <w:t>Deemed Resignation</w:t>
      </w:r>
    </w:p>
    <w:p>
      <w:pPr>
        <w:spacing w:after="0" w:line="118" w:lineRule="exact"/>
        <w:rPr>
          <w:sz w:val="20"/>
          <w:szCs w:val="20"/>
          <w:color w:val="auto"/>
        </w:rPr>
      </w:pPr>
    </w:p>
    <w:p>
      <w:pPr>
        <w:ind w:left="764" w:right="700" w:hanging="768"/>
        <w:spacing w:after="0" w:line="250" w:lineRule="auto"/>
        <w:tabs>
          <w:tab w:leader="none" w:pos="744"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provisions of clause 18.4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have the meaning set out in clause 19.1 of the Contract.</w:t>
      </w:r>
    </w:p>
    <w:p>
      <w:pPr>
        <w:spacing w:after="0" w:line="112" w:lineRule="exact"/>
        <w:rPr>
          <w:sz w:val="20"/>
          <w:szCs w:val="20"/>
          <w:color w:val="auto"/>
        </w:rPr>
      </w:pPr>
    </w:p>
    <w:p>
      <w:pPr>
        <w:ind w:left="764" w:right="120" w:hanging="768"/>
        <w:spacing w:after="0" w:line="273" w:lineRule="auto"/>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(i) the acquisition by any person or group of affiliated or associated persons of more than fifty percent (50%) of the outstanding capital shares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w:t>
      </w:r>
    </w:p>
    <w:p>
      <w:pPr>
        <w:spacing w:after="0" w:line="2" w:lineRule="exact"/>
        <w:rPr>
          <w:sz w:val="20"/>
          <w:szCs w:val="20"/>
          <w:color w:val="auto"/>
        </w:rPr>
      </w:pPr>
    </w:p>
    <w:p>
      <w:pPr>
        <w:ind w:left="764" w:firstLine="5"/>
        <w:spacing w:after="0" w:line="266" w:lineRule="auto"/>
        <w:tabs>
          <w:tab w:leader="none" w:pos="1142"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consummation of any merger involving the Company in which, immediately after giving effect to such merger, less than a majority of the total voting power of outstanding stock of the surviving or resulting entity is then “beneficially owned”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w:t>
      </w:r>
    </w:p>
    <w:p>
      <w:pPr>
        <w:spacing w:after="0" w:line="4" w:lineRule="exact"/>
        <w:rPr>
          <w:rFonts w:ascii="Arial" w:cs="Arial" w:eastAsia="Arial" w:hAnsi="Arial"/>
          <w:sz w:val="19"/>
          <w:szCs w:val="19"/>
          <w:color w:val="auto"/>
        </w:rPr>
      </w:pPr>
    </w:p>
    <w:p>
      <w:pPr>
        <w:ind w:left="764" w:right="80"/>
        <w:spacing w:after="0" w:line="232" w:lineRule="auto"/>
        <w:rPr>
          <w:rFonts w:ascii="Arial" w:cs="Arial" w:eastAsia="Arial" w:hAnsi="Arial"/>
          <w:sz w:val="19"/>
          <w:szCs w:val="19"/>
          <w:color w:val="auto"/>
        </w:rPr>
      </w:pPr>
      <w:r>
        <w:rPr>
          <w:rFonts w:ascii="Arial" w:cs="Arial" w:eastAsia="Arial" w:hAnsi="Arial"/>
          <w:sz w:val="22"/>
          <w:szCs w:val="22"/>
          <w:color w:val="auto"/>
        </w:rPr>
        <w:t>(B)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In the event of any conflict between the provisions of this clause 5.2 of Schedule II and the provisions of the Mereo Equity Incentive Plan, the terms of this Schedule II shall prevail.</w:t>
      </w:r>
    </w:p>
    <w:p>
      <w:pPr>
        <w:spacing w:after="0" w:line="121" w:lineRule="exact"/>
        <w:rPr>
          <w:rFonts w:ascii="Arial" w:cs="Arial" w:eastAsia="Arial" w:hAnsi="Arial"/>
          <w:sz w:val="19"/>
          <w:szCs w:val="19"/>
          <w:color w:val="auto"/>
        </w:rPr>
      </w:pPr>
    </w:p>
    <w:p>
      <w:pPr>
        <w:ind w:left="5404" w:hanging="130"/>
        <w:spacing w:after="0"/>
        <w:tabs>
          <w:tab w:leader="none" w:pos="5404" w:val="left"/>
        </w:tabs>
        <w:numPr>
          <w:ilvl w:val="1"/>
          <w:numId w:val="205"/>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004"/>
          </w:cols>
          <w:pgMar w:left="436" w:top="267" w:right="459" w:bottom="1440" w:gutter="0" w:footer="0" w:header="0"/>
        </w:sectPr>
      </w:pPr>
    </w:p>
    <w:bookmarkStart w:id="283" w:name="page284"/>
    <w:bookmarkEnd w:id="283"/>
    <w:p>
      <w:pPr>
        <w:ind w:left="764" w:right="20" w:hanging="768"/>
        <w:spacing w:after="0" w:line="256"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means the period commencing on a Change in Control and ending 12 months after such Change in Control.</w:t>
      </w:r>
    </w:p>
    <w:p>
      <w:pPr>
        <w:spacing w:after="0" w:line="68" w:lineRule="exact"/>
        <w:rPr>
          <w:sz w:val="20"/>
          <w:szCs w:val="20"/>
          <w:color w:val="auto"/>
        </w:rPr>
      </w:pPr>
    </w:p>
    <w:p>
      <w:pPr>
        <w:ind w:left="764" w:right="100" w:hanging="768"/>
        <w:spacing w:after="0" w:line="256" w:lineRule="auto"/>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Covered Termination</w:t>
      </w:r>
      <w:r>
        <w:rPr>
          <w:rFonts w:ascii="Arial" w:cs="Arial" w:eastAsia="Arial" w:hAnsi="Arial"/>
          <w:sz w:val="22"/>
          <w:szCs w:val="22"/>
          <w:color w:val="auto"/>
        </w:rPr>
        <w:t>” means the termination of your employment by the Company other than for Cause or by you for Good Reason, and shall not include a termination due to your death or disability.</w:t>
      </w:r>
    </w:p>
    <w:p>
      <w:pPr>
        <w:spacing w:after="0" w:line="6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Termination Date</w:t>
      </w:r>
      <w:r>
        <w:rPr>
          <w:rFonts w:ascii="Arial" w:cs="Arial" w:eastAsia="Arial" w:hAnsi="Arial"/>
          <w:sz w:val="19"/>
          <w:szCs w:val="19"/>
          <w:color w:val="auto"/>
        </w:rPr>
        <w:t>” means the date on which you experience a Covered Termination.</w:t>
      </w:r>
    </w:p>
    <w:p>
      <w:pPr>
        <w:spacing w:after="0" w:line="112" w:lineRule="exact"/>
        <w:rPr>
          <w:sz w:val="20"/>
          <w:szCs w:val="20"/>
          <w:color w:val="auto"/>
        </w:rPr>
      </w:pPr>
    </w:p>
    <w:p>
      <w:pPr>
        <w:ind w:left="764" w:right="200" w:hanging="768"/>
        <w:spacing w:after="0" w:line="272" w:lineRule="auto"/>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your resignation from employment with the Company after the occurrence, without your written consent, of any of the following: (i) a material reduction in your authorities, duties and responsibilities; (ii) a material reduction by the Company in your base salary from your base salary in effect immediately prior to such reduction, except in connection with a reduction in salary affecting all senior management employees of the Group Company; or (iii) a relocation of your office that increases your one-way commute by more than thirty-five</w:t>
      </w:r>
    </w:p>
    <w:p>
      <w:pPr>
        <w:spacing w:after="0" w:line="1" w:lineRule="exact"/>
        <w:rPr>
          <w:sz w:val="20"/>
          <w:szCs w:val="20"/>
          <w:color w:val="auto"/>
        </w:rPr>
      </w:pPr>
    </w:p>
    <w:p>
      <w:pPr>
        <w:ind w:left="764" w:firstLine="5"/>
        <w:spacing w:after="0" w:line="266" w:lineRule="auto"/>
        <w:tabs>
          <w:tab w:leader="none" w:pos="117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miles, except that required travel on the Company’s business to an extent substantially consistent with your historical business travel obligations shall not be considered a relocation. Notwithstanding the foregoing, a resignation shall not be for “Good Reason” unless the event or condition giving rise to such resignation continues more than thirty</w:t>
      </w:r>
    </w:p>
    <w:p>
      <w:pPr>
        <w:spacing w:after="0" w:line="2" w:lineRule="exact"/>
        <w:rPr>
          <w:rFonts w:ascii="Arial" w:cs="Arial" w:eastAsia="Arial" w:hAnsi="Arial"/>
          <w:sz w:val="19"/>
          <w:szCs w:val="19"/>
          <w:color w:val="auto"/>
        </w:rPr>
      </w:pPr>
    </w:p>
    <w:p>
      <w:pPr>
        <w:ind w:left="764" w:right="120" w:firstLine="5"/>
        <w:spacing w:after="0" w:line="234" w:lineRule="auto"/>
        <w:tabs>
          <w:tab w:leader="none" w:pos="117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days following your written notice of such condition provided to the Company within sixty (60) days of the first occurrence of such event or condition and such resignation is effective within thirty (30) days following the end of such notice period.</w:t>
      </w:r>
    </w:p>
    <w:p>
      <w:pPr>
        <w:spacing w:after="0" w:line="87" w:lineRule="exact"/>
        <w:rPr>
          <w:sz w:val="20"/>
          <w:szCs w:val="20"/>
          <w:color w:val="auto"/>
        </w:rPr>
      </w:pPr>
    </w:p>
    <w:p>
      <w:pPr>
        <w:ind w:left="764" w:right="620" w:hanging="768"/>
        <w:spacing w:after="0" w:line="256" w:lineRule="auto"/>
        <w:tabs>
          <w:tab w:leader="none" w:pos="744"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Settlement Agreement</w:t>
      </w:r>
      <w:r>
        <w:rPr>
          <w:rFonts w:ascii="Arial" w:cs="Arial" w:eastAsia="Arial" w:hAnsi="Arial"/>
          <w:sz w:val="22"/>
          <w:szCs w:val="22"/>
          <w:color w:val="auto"/>
        </w:rPr>
        <w:t>” means an appropriate waiver of all claims against the Company in a form reasonably acceptable to the Company.</w:t>
      </w:r>
    </w:p>
    <w:p>
      <w:pPr>
        <w:spacing w:after="0" w:line="311" w:lineRule="exact"/>
        <w:rPr>
          <w:sz w:val="20"/>
          <w:szCs w:val="20"/>
          <w:color w:val="auto"/>
        </w:rPr>
      </w:pPr>
    </w:p>
    <w:p>
      <w:pPr>
        <w:ind w:left="764" w:hanging="764"/>
        <w:spacing w:after="0"/>
        <w:tabs>
          <w:tab w:leader="none" w:pos="764"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p>
    <w:p>
      <w:pPr>
        <w:spacing w:after="0" w:line="118"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Any successor to the Company (whether direct or indirect and whether by purchase, merger, consolidation, liquidation or otherwise) to all or substantially all of the Company’s business or assets shall assume the obligations under this Schedule II and agree expressly to perform the obligations under this Schedule II in the same manner and to the same extent as the Company would be required to perform such obligations in the absence of a succession. For all purposes under this Schedule II, the term “Company” shall include any successor to the Company’s business or assets which executes and delivers the assumption agreement described in this paragraph 6.1 or which becomes bound by the terms of this Schedule II by operation of law.</w:t>
      </w:r>
    </w:p>
    <w:p>
      <w:pPr>
        <w:spacing w:after="0" w:line="90" w:lineRule="exact"/>
        <w:rPr>
          <w:sz w:val="20"/>
          <w:szCs w:val="20"/>
          <w:color w:val="auto"/>
        </w:rPr>
      </w:pPr>
    </w:p>
    <w:p>
      <w:pPr>
        <w:jc w:val="right"/>
        <w:ind w:left="4" w:right="500"/>
        <w:spacing w:after="0" w:line="328" w:lineRule="auto"/>
        <w:rPr>
          <w:sz w:val="20"/>
          <w:szCs w:val="20"/>
          <w:color w:val="auto"/>
        </w:rPr>
      </w:pPr>
      <w:r>
        <w:rPr>
          <w:rFonts w:ascii="Arial" w:cs="Arial" w:eastAsia="Arial" w:hAnsi="Arial"/>
          <w:sz w:val="19"/>
          <w:szCs w:val="19"/>
          <w:color w:val="auto"/>
        </w:rPr>
        <w:t>6.2     The terms of this Schedule II and your rights hereunder shall inure to the benefit of, and be enforceable by, your personal or legal representatives, executors, administrators, successors, heirs, distributees, devisees and legatees.</w:t>
      </w:r>
    </w:p>
    <w:p>
      <w:pPr>
        <w:spacing w:after="0" w:line="247" w:lineRule="exact"/>
        <w:rPr>
          <w:sz w:val="20"/>
          <w:szCs w:val="20"/>
          <w:color w:val="auto"/>
        </w:rPr>
      </w:pPr>
    </w:p>
    <w:p>
      <w:pPr>
        <w:ind w:left="764" w:hanging="764"/>
        <w:spacing w:after="0"/>
        <w:tabs>
          <w:tab w:leader="none" w:pos="764"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right="860" w:hanging="768"/>
        <w:spacing w:after="0" w:line="250"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provisions of clause 35 of the Contract shall apply to this Schedule II as if references to the Contract are references to this Schedule II.</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004"/>
          </w:cols>
          <w:pgMar w:left="436" w:top="261" w:right="459" w:bottom="1440" w:gutter="0" w:footer="0" w:header="0"/>
        </w:sectPr>
      </w:pPr>
    </w:p>
    <w:bookmarkStart w:id="284" w:name="page285"/>
    <w:bookmarkEnd w:id="284"/>
    <w:p>
      <w:pPr>
        <w:ind w:left="764" w:hanging="764"/>
        <w:spacing w:after="0"/>
        <w:tabs>
          <w:tab w:leader="none" w:pos="764" w:val="left"/>
        </w:tabs>
        <w:numPr>
          <w:ilvl w:val="0"/>
          <w:numId w:val="210"/>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p>
    <w:p>
      <w:pPr>
        <w:spacing w:after="0" w:line="118"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The provisions of clauses 32 and 33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Notwithstanding anything to the contrary in this Schedule II, to the extent that any payments due under this Schedule</w:t>
      </w:r>
    </w:p>
    <w:p>
      <w:pPr>
        <w:spacing w:after="0" w:line="8" w:lineRule="exact"/>
        <w:rPr>
          <w:sz w:val="20"/>
          <w:szCs w:val="20"/>
          <w:color w:val="auto"/>
        </w:rPr>
      </w:pPr>
    </w:p>
    <w:p>
      <w:pPr>
        <w:ind w:left="764" w:firstLine="5"/>
        <w:spacing w:after="0" w:line="243" w:lineRule="auto"/>
        <w:tabs>
          <w:tab w:leader="none" w:pos="962"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as a result of your termination of employment are subject to your execution and delivery of a Settlement Agreement, (A) if you fail to execute the Settlement Agreement on or prior to the Settlement Agreement Expiration Date (as defined below) or the Settlement Agreement does not become effective and irrevocable within 60 days following the Covered Termination Date (or such shorter period specified by the Company), you shall not be entitled to any payments or benefits otherwise conditioned on the Settlement Agreement, and (B) in any case where your Covered Termination Date and the last day the Settlement Agreement may be considered or, if applicable, revoked fall in two separate taxable years, any payments required to be made to you that are conditioned on the Settlement Agreement shall commence or be made in the later taxable year. For purposes hereof, “</w:t>
      </w:r>
      <w:r>
        <w:rPr>
          <w:rFonts w:ascii="Arial" w:cs="Arial" w:eastAsia="Arial" w:hAnsi="Arial"/>
          <w:sz w:val="21"/>
          <w:szCs w:val="21"/>
          <w:b w:val="1"/>
          <w:bCs w:val="1"/>
          <w:color w:val="auto"/>
        </w:rPr>
        <w:t>Settlement Expiration Date</w:t>
      </w:r>
      <w:r>
        <w:rPr>
          <w:rFonts w:ascii="Arial" w:cs="Arial" w:eastAsia="Arial" w:hAnsi="Arial"/>
          <w:sz w:val="21"/>
          <w:szCs w:val="21"/>
          <w:color w:val="auto"/>
        </w:rPr>
        <w:t>” shall mean the date that is twenty one (21) days following the date upon which the Company timely delivers the Settlement Agreement to you.</w:t>
      </w:r>
    </w:p>
    <w:p>
      <w:pPr>
        <w:spacing w:after="0" w:line="88" w:lineRule="exact"/>
        <w:rPr>
          <w:sz w:val="20"/>
          <w:szCs w:val="20"/>
          <w:color w:val="auto"/>
        </w:rPr>
      </w:pPr>
    </w:p>
    <w:p>
      <w:pPr>
        <w:ind w:left="764" w:right="680" w:hanging="768"/>
        <w:spacing w:after="0" w:line="250"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The Company shall be entitled to withhold from any amounts payable under this Schedule any local or foreign withholding or other taxes or charges which the Company is required to withhold.</w:t>
      </w:r>
    </w:p>
    <w:p>
      <w:pPr>
        <w:spacing w:after="0" w:line="80" w:lineRule="exact"/>
        <w:rPr>
          <w:sz w:val="20"/>
          <w:szCs w:val="20"/>
          <w:color w:val="auto"/>
        </w:rPr>
      </w:pPr>
    </w:p>
    <w:p>
      <w:pPr>
        <w:jc w:val="both"/>
        <w:ind w:left="764" w:right="40" w:hanging="768"/>
        <w:spacing w:after="0" w:line="287" w:lineRule="auto"/>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No provision of this Schedule II shall be modified, waived or discharged unless the modification, waiver or discharge is agreed to in writing and signed by you and by an authorized officer of the Company (other than you). No waiver by either party of any breach of, or of compliance with, any condition or provision of this Schedule II by the other party shall be considered a waiver of any other condition or provision or of the same condition or provision at another time.</w:t>
      </w:r>
    </w:p>
    <w:p>
      <w:pPr>
        <w:spacing w:after="0" w:line="48" w:lineRule="exact"/>
        <w:rPr>
          <w:sz w:val="20"/>
          <w:szCs w:val="20"/>
          <w:color w:val="auto"/>
        </w:rPr>
      </w:pPr>
    </w:p>
    <w:p>
      <w:pPr>
        <w:ind w:left="764" w:right="160" w:hanging="768"/>
        <w:spacing w:after="0" w:line="249"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Whenever possible, each provision of this Schedule II will be interpreted in such manner as to be effective and valid under applicable law, but if any provision of this Schedule II is held to be invalid or unenforceable in any respect under any applicable law or rule in any jurisdiction, such invalidity or unenforceability will not affect any other provision or any other jurisdiction, but this Schedule II will be reformed, construed and enforced in such jurisdiction as if such invalid or unenforceable provisions had never been contained herein.</w:t>
      </w:r>
    </w:p>
    <w:p>
      <w:pPr>
        <w:spacing w:after="0" w:line="84"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The provisions of clauses 36 and 37 of the Contract shall apply to this Schedule II as if references to the Contract are references to this Schedule II.</w:t>
      </w:r>
    </w:p>
    <w:p>
      <w:pPr>
        <w:spacing w:after="0" w:line="8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You acknowledge that (i) you have consulted with or have had the opportunity to consult with independent counsel of your own choice concerning this Schedule II, and have been advised to do so by the Company, and (ii) that you have read and understand this Schedule II, are fully aware of its legal effect, and have entered into it freely based on your own judgment.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- 30 -</w:t>
      </w:r>
    </w:p>
    <w:p>
      <w:pPr>
        <w:sectPr>
          <w:pgSz w:w="11900" w:h="16838" w:orient="portrait"/>
          <w:cols w:equalWidth="0" w:num="1">
            <w:col w:w="11004"/>
          </w:cols>
          <w:pgMar w:left="436" w:top="261" w:right="459" w:bottom="1440" w:gutter="0" w:footer="0" w:header="0"/>
        </w:sectPr>
      </w:pPr>
    </w:p>
    <w:bookmarkStart w:id="285" w:name="page286"/>
    <w:bookmarkEnd w:id="285"/>
    <w:p>
      <w:pPr>
        <w:jc w:val="right"/>
        <w:spacing w:after="0"/>
        <w:rPr>
          <w:sz w:val="20"/>
          <w:szCs w:val="20"/>
          <w:color w:val="auto"/>
        </w:rPr>
      </w:pPr>
      <w:r>
        <w:rPr>
          <w:rFonts w:ascii="Arial" w:cs="Arial" w:eastAsia="Arial" w:hAnsi="Arial"/>
          <w:sz w:val="22"/>
          <w:szCs w:val="22"/>
          <w:b w:val="1"/>
          <w:bCs w:val="1"/>
          <w:color w:val="auto"/>
        </w:rPr>
        <w:t>Exhibit 4.34</w:t>
      </w:r>
    </w:p>
    <w:p>
      <w:pPr>
        <w:spacing w:after="0" w:line="213" w:lineRule="exact"/>
        <w:rPr>
          <w:sz w:val="20"/>
          <w:szCs w:val="20"/>
          <w:color w:val="auto"/>
        </w:rPr>
      </w:pPr>
    </w:p>
    <w:p>
      <w:pPr>
        <w:ind w:left="4"/>
        <w:spacing w:after="0"/>
        <w:rPr>
          <w:sz w:val="20"/>
          <w:szCs w:val="20"/>
          <w:color w:val="auto"/>
        </w:rPr>
      </w:pPr>
      <w:r>
        <w:rPr>
          <w:rFonts w:ascii="Arial" w:cs="Arial" w:eastAsia="Arial" w:hAnsi="Arial"/>
          <w:sz w:val="22"/>
          <w:szCs w:val="22"/>
          <w:color w:val="auto"/>
        </w:rPr>
        <w:t>THIS AMENDED AND RESTATED CONTRACT OF EMPLOYMENT dated August 2021 is made</w:t>
      </w:r>
    </w:p>
    <w:p>
      <w:pPr>
        <w:spacing w:after="0" w:line="30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BETWEEN:</w:t>
      </w:r>
    </w:p>
    <w:p>
      <w:pPr>
        <w:spacing w:after="0" w:line="116" w:lineRule="exact"/>
        <w:rPr>
          <w:sz w:val="20"/>
          <w:szCs w:val="20"/>
          <w:color w:val="auto"/>
        </w:rPr>
      </w:pPr>
    </w:p>
    <w:p>
      <w:pPr>
        <w:ind w:left="644" w:right="160" w:hanging="644"/>
        <w:spacing w:after="0" w:line="267" w:lineRule="auto"/>
        <w:tabs>
          <w:tab w:leader="none" w:pos="644" w:val="left"/>
        </w:tabs>
        <w:numPr>
          <w:ilvl w:val="0"/>
          <w:numId w:val="213"/>
        </w:numPr>
        <w:rPr>
          <w:rFonts w:ascii="Arial" w:cs="Arial" w:eastAsia="Arial" w:hAnsi="Arial"/>
          <w:sz w:val="20"/>
          <w:szCs w:val="20"/>
          <w:color w:val="auto"/>
        </w:rPr>
      </w:pPr>
      <w:r>
        <w:rPr>
          <w:rFonts w:ascii="Arial" w:cs="Arial" w:eastAsia="Arial" w:hAnsi="Arial"/>
          <w:sz w:val="20"/>
          <w:szCs w:val="20"/>
          <w:b w:val="1"/>
          <w:bCs w:val="1"/>
          <w:color w:val="auto"/>
        </w:rPr>
        <w:t>MEREO BIOPHARMA GROUP PLC</w:t>
      </w:r>
      <w:r>
        <w:rPr>
          <w:rFonts w:ascii="Arial" w:cs="Arial" w:eastAsia="Arial" w:hAnsi="Arial"/>
          <w:sz w:val="20"/>
          <w:szCs w:val="20"/>
          <w:color w:val="auto"/>
        </w:rPr>
        <w:t>, (a company incorporated in England and Wales and registered under number 9481161,</w:t>
      </w:r>
      <w:r>
        <w:rPr>
          <w:rFonts w:ascii="Arial" w:cs="Arial" w:eastAsia="Arial" w:hAnsi="Arial"/>
          <w:sz w:val="20"/>
          <w:szCs w:val="20"/>
          <w:b w:val="1"/>
          <w:bCs w:val="1"/>
          <w:color w:val="auto"/>
        </w:rPr>
        <w:t xml:space="preserve"> </w:t>
      </w:r>
      <w:r>
        <w:rPr>
          <w:rFonts w:ascii="Arial" w:cs="Arial" w:eastAsia="Arial" w:hAnsi="Arial"/>
          <w:sz w:val="20"/>
          <w:szCs w:val="20"/>
          <w:color w:val="auto"/>
        </w:rPr>
        <w:t>whose registered office is at 1 Cavendish Place, London W1G 0QF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68" w:lineRule="exact"/>
        <w:rPr>
          <w:rFonts w:ascii="Arial" w:cs="Arial" w:eastAsia="Arial" w:hAnsi="Arial"/>
          <w:sz w:val="20"/>
          <w:szCs w:val="20"/>
          <w:color w:val="auto"/>
        </w:rPr>
      </w:pPr>
    </w:p>
    <w:p>
      <w:pPr>
        <w:ind w:left="644" w:hanging="644"/>
        <w:spacing w:after="0"/>
        <w:tabs>
          <w:tab w:leader="none" w:pos="644" w:val="left"/>
        </w:tabs>
        <w:numPr>
          <w:ilvl w:val="0"/>
          <w:numId w:val="213"/>
        </w:numPr>
        <w:rPr>
          <w:rFonts w:ascii="Arial" w:cs="Arial" w:eastAsia="Arial" w:hAnsi="Arial"/>
          <w:sz w:val="20"/>
          <w:szCs w:val="20"/>
          <w:color w:val="auto"/>
        </w:rPr>
      </w:pPr>
      <w:r>
        <w:rPr>
          <w:rFonts w:ascii="Arial" w:cs="Arial" w:eastAsia="Arial" w:hAnsi="Arial"/>
          <w:sz w:val="20"/>
          <w:szCs w:val="20"/>
          <w:b w:val="1"/>
          <w:bCs w:val="1"/>
          <w:color w:val="auto"/>
        </w:rPr>
        <w:t>CHRISTINE FOX</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black"/>
        </w:rPr>
        <w:t>25 Redcliffe Square, Flat 2, London, SW10</w:t>
      </w:r>
    </w:p>
    <w:p>
      <w:pPr>
        <w:spacing w:after="0" w:line="217" w:lineRule="exact"/>
        <w:rPr>
          <w:sz w:val="20"/>
          <w:szCs w:val="20"/>
          <w:color w:val="auto"/>
        </w:rPr>
      </w:pPr>
    </w:p>
    <w:p>
      <w:pPr>
        <w:ind w:left="4" w:right="60"/>
        <w:spacing w:after="0"/>
        <w:rPr>
          <w:sz w:val="20"/>
          <w:szCs w:val="20"/>
          <w:color w:val="auto"/>
        </w:rPr>
      </w:pPr>
      <w:r>
        <w:rPr>
          <w:rFonts w:ascii="Arial" w:cs="Arial" w:eastAsia="Arial" w:hAnsi="Arial"/>
          <w:sz w:val="22"/>
          <w:szCs w:val="22"/>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333" w:lineRule="exact"/>
        <w:rPr>
          <w:sz w:val="20"/>
          <w:szCs w:val="20"/>
          <w:color w:val="auto"/>
        </w:rPr>
      </w:pPr>
    </w:p>
    <w:p>
      <w:pPr>
        <w:ind w:left="644" w:hanging="644"/>
        <w:spacing w:after="0"/>
        <w:tabs>
          <w:tab w:leader="none" w:pos="644" w:val="left"/>
        </w:tabs>
        <w:numPr>
          <w:ilvl w:val="0"/>
          <w:numId w:val="214"/>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12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The definitions and rules of interpretation in this clause 1 apply in this Contract.</w:t>
      </w:r>
    </w:p>
    <w:p>
      <w:pPr>
        <w:spacing w:after="0" w:line="115"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b w:val="1"/>
          <w:bCs w:val="1"/>
          <w:color w:val="auto"/>
        </w:rPr>
        <w:t>Appointment</w:t>
      </w:r>
      <w:r>
        <w:rPr>
          <w:rFonts w:ascii="Arial" w:cs="Arial" w:eastAsia="Arial" w:hAnsi="Arial"/>
          <w:sz w:val="18"/>
          <w:szCs w:val="18"/>
          <w:color w:val="auto"/>
        </w:rPr>
        <w:t>: the employment of the Employee by the Company on the terms of this Contract.</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Associated Employer</w:t>
      </w:r>
      <w:r>
        <w:rPr>
          <w:rFonts w:ascii="Arial" w:cs="Arial" w:eastAsia="Arial" w:hAnsi="Arial"/>
          <w:sz w:val="16"/>
          <w:szCs w:val="16"/>
          <w:color w:val="auto"/>
        </w:rPr>
        <w:t>: has the meaning given to it in the Employment Rights Act 1996.</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b w:val="1"/>
          <w:bCs w:val="1"/>
          <w:color w:val="auto"/>
        </w:rPr>
        <w:t>Board</w:t>
      </w:r>
      <w:r>
        <w:rPr>
          <w:rFonts w:ascii="Arial" w:cs="Arial" w:eastAsia="Arial" w:hAnsi="Arial"/>
          <w:sz w:val="18"/>
          <w:szCs w:val="18"/>
          <w:color w:val="auto"/>
        </w:rPr>
        <w:t>: the board of directors of the Company (including any committee of the board duly appointed by it).</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b w:val="1"/>
          <w:bCs w:val="1"/>
          <w:color w:val="auto"/>
        </w:rPr>
        <w:t xml:space="preserve">Commencement Date </w:t>
      </w:r>
      <w:r>
        <w:rPr>
          <w:rFonts w:ascii="Arial" w:cs="Arial" w:eastAsia="Arial" w:hAnsi="Arial"/>
          <w:sz w:val="16"/>
          <w:szCs w:val="16"/>
          <w:color w:val="auto"/>
        </w:rPr>
        <w:t>4 January 2021.</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b w:val="1"/>
          <w:bCs w:val="1"/>
          <w:color w:val="auto"/>
        </w:rPr>
        <w:t>Confidential Information</w:t>
      </w:r>
      <w:r>
        <w:rPr>
          <w:rFonts w:ascii="Arial" w:cs="Arial" w:eastAsia="Arial" w:hAnsi="Arial"/>
          <w:sz w:val="18"/>
          <w:szCs w:val="18"/>
          <w:color w:val="auto"/>
        </w:rPr>
        <w:t>: all of</w:t>
      </w:r>
    </w:p>
    <w:p>
      <w:pPr>
        <w:spacing w:after="0" w:line="127" w:lineRule="exact"/>
        <w:rPr>
          <w:sz w:val="20"/>
          <w:szCs w:val="20"/>
          <w:color w:val="auto"/>
        </w:rPr>
      </w:pPr>
    </w:p>
    <w:p>
      <w:pPr>
        <w:ind w:left="2624" w:right="80" w:hanging="653"/>
        <w:spacing w:after="0" w:line="282" w:lineRule="auto"/>
        <w:tabs>
          <w:tab w:leader="none" w:pos="26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66" w:lineRule="exact"/>
        <w:rPr>
          <w:rFonts w:ascii="Arial" w:cs="Arial" w:eastAsia="Arial" w:hAnsi="Arial"/>
          <w:sz w:val="18"/>
          <w:szCs w:val="18"/>
          <w:color w:val="auto"/>
        </w:rPr>
      </w:pPr>
    </w:p>
    <w:p>
      <w:pPr>
        <w:jc w:val="both"/>
        <w:ind w:left="2624" w:right="220" w:hanging="653"/>
        <w:spacing w:after="0" w:line="250" w:lineRule="auto"/>
        <w:tabs>
          <w:tab w:leader="none" w:pos="2624" w:val="left"/>
        </w:tabs>
        <w:numPr>
          <w:ilvl w:val="0"/>
          <w:numId w:val="215"/>
        </w:numPr>
        <w:rPr>
          <w:rFonts w:ascii="Arial" w:cs="Arial" w:eastAsia="Arial" w:hAnsi="Arial"/>
          <w:sz w:val="20"/>
          <w:szCs w:val="20"/>
          <w:color w:val="auto"/>
        </w:rPr>
      </w:pPr>
      <w:r>
        <w:rPr>
          <w:rFonts w:ascii="Arial" w:cs="Arial" w:eastAsia="Arial" w:hAnsi="Arial"/>
          <w:sz w:val="20"/>
          <w:szCs w:val="20"/>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91" w:lineRule="exact"/>
        <w:rPr>
          <w:rFonts w:ascii="Arial" w:cs="Arial" w:eastAsia="Arial" w:hAnsi="Arial"/>
          <w:sz w:val="20"/>
          <w:szCs w:val="20"/>
          <w:color w:val="auto"/>
        </w:rPr>
      </w:pPr>
    </w:p>
    <w:p>
      <w:pPr>
        <w:ind w:left="2624" w:right="60" w:hanging="653"/>
        <w:spacing w:after="0" w:line="250" w:lineRule="auto"/>
        <w:tabs>
          <w:tab w:leader="none" w:pos="2624" w:val="left"/>
        </w:tabs>
        <w:numPr>
          <w:ilvl w:val="0"/>
          <w:numId w:val="215"/>
        </w:numPr>
        <w:rPr>
          <w:rFonts w:ascii="Arial" w:cs="Arial" w:eastAsia="Arial" w:hAnsi="Arial"/>
          <w:sz w:val="20"/>
          <w:szCs w:val="20"/>
          <w:color w:val="auto"/>
        </w:rPr>
      </w:pPr>
      <w:r>
        <w:rPr>
          <w:rFonts w:ascii="Arial" w:cs="Arial" w:eastAsia="Arial" w:hAnsi="Arial"/>
          <w:sz w:val="20"/>
          <w:szCs w:val="20"/>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113" w:lineRule="exact"/>
        <w:rPr>
          <w:rFonts w:ascii="Arial" w:cs="Arial" w:eastAsia="Arial" w:hAnsi="Arial"/>
          <w:sz w:val="20"/>
          <w:szCs w:val="20"/>
          <w:color w:val="auto"/>
        </w:rPr>
      </w:pPr>
    </w:p>
    <w:p>
      <w:pPr>
        <w:ind w:left="5464" w:hanging="136"/>
        <w:spacing w:after="0"/>
        <w:tabs>
          <w:tab w:leader="none" w:pos="5464" w:val="left"/>
        </w:tabs>
        <w:numPr>
          <w:ilvl w:val="1"/>
          <w:numId w:val="215"/>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024"/>
          </w:cols>
          <w:pgMar w:left="436" w:top="112" w:right="439" w:bottom="1440" w:gutter="0" w:footer="0" w:header="0"/>
        </w:sectPr>
      </w:pPr>
    </w:p>
    <w:bookmarkStart w:id="286" w:name="page287"/>
    <w:bookmarkEnd w:id="286"/>
    <w:p>
      <w:pPr>
        <w:ind w:left="1620" w:hanging="653"/>
        <w:spacing w:after="0" w:line="287" w:lineRule="auto"/>
        <w:tabs>
          <w:tab w:leader="none" w:pos="1620" w:val="left"/>
        </w:tabs>
        <w:numPr>
          <w:ilvl w:val="0"/>
          <w:numId w:val="21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details of the employees, officers and workers of and consultants to the Company or any Group Company their job skills and capabilities and of the remuneration and other benefits paid to them;</w:t>
      </w:r>
    </w:p>
    <w:p>
      <w:pPr>
        <w:spacing w:after="0" w:line="57" w:lineRule="exact"/>
        <w:rPr>
          <w:rFonts w:ascii="Arial" w:cs="Arial" w:eastAsia="Arial" w:hAnsi="Arial"/>
          <w:sz w:val="19"/>
          <w:szCs w:val="19"/>
          <w:color w:val="auto"/>
        </w:rPr>
      </w:pPr>
    </w:p>
    <w:p>
      <w:pPr>
        <w:jc w:val="both"/>
        <w:ind w:left="1620" w:right="20" w:hanging="653"/>
        <w:spacing w:after="0" w:line="263" w:lineRule="auto"/>
        <w:tabs>
          <w:tab w:leader="none" w:pos="162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81" w:lineRule="exact"/>
        <w:rPr>
          <w:rFonts w:ascii="Arial" w:cs="Arial" w:eastAsia="Arial" w:hAnsi="Arial"/>
          <w:sz w:val="19"/>
          <w:szCs w:val="19"/>
          <w:color w:val="auto"/>
        </w:rPr>
      </w:pPr>
    </w:p>
    <w:p>
      <w:pPr>
        <w:ind w:left="1620" w:right="260" w:hanging="653"/>
        <w:spacing w:after="0" w:line="378" w:lineRule="auto"/>
        <w:tabs>
          <w:tab w:leader="none" w:pos="16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confidential reports or research commissioned by or provided to the Company or any Group Company and any trade secrets and confidential transactions of the Company or any Group Company;</w:t>
      </w:r>
    </w:p>
    <w:p>
      <w:pPr>
        <w:ind w:left="1620" w:right="380" w:hanging="653"/>
        <w:spacing w:after="0" w:line="250" w:lineRule="auto"/>
        <w:tabs>
          <w:tab w:leader="none" w:pos="162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91" w:lineRule="exact"/>
        <w:rPr>
          <w:rFonts w:ascii="Arial" w:cs="Arial" w:eastAsia="Arial" w:hAnsi="Arial"/>
          <w:sz w:val="20"/>
          <w:szCs w:val="20"/>
          <w:color w:val="auto"/>
        </w:rPr>
      </w:pPr>
    </w:p>
    <w:p>
      <w:pPr>
        <w:ind w:left="1620" w:right="260" w:hanging="653"/>
        <w:spacing w:after="0" w:line="244" w:lineRule="auto"/>
        <w:tabs>
          <w:tab w:leader="none" w:pos="162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99" w:lineRule="exact"/>
        <w:rPr>
          <w:rFonts w:ascii="Arial" w:cs="Arial" w:eastAsia="Arial" w:hAnsi="Arial"/>
          <w:sz w:val="20"/>
          <w:szCs w:val="20"/>
          <w:color w:val="auto"/>
        </w:rPr>
      </w:pPr>
    </w:p>
    <w:p>
      <w:pPr>
        <w:ind w:left="1620" w:right="680" w:hanging="653"/>
        <w:spacing w:after="0" w:line="260" w:lineRule="auto"/>
        <w:tabs>
          <w:tab w:leader="none" w:pos="162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details of any advertising, marketing or promotional campaign which the Company or any Group Company is to conduct; and</w:t>
      </w:r>
    </w:p>
    <w:p>
      <w:pPr>
        <w:spacing w:after="0" w:line="82" w:lineRule="exact"/>
        <w:rPr>
          <w:rFonts w:ascii="Arial" w:cs="Arial" w:eastAsia="Arial" w:hAnsi="Arial"/>
          <w:sz w:val="20"/>
          <w:szCs w:val="20"/>
          <w:color w:val="auto"/>
        </w:rPr>
      </w:pPr>
    </w:p>
    <w:p>
      <w:pPr>
        <w:ind w:left="1620" w:right="20" w:hanging="653"/>
        <w:spacing w:after="0" w:line="250" w:lineRule="auto"/>
        <w:tabs>
          <w:tab w:leader="none" w:pos="162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85" w:lineRule="exact"/>
        <w:rPr>
          <w:sz w:val="20"/>
          <w:szCs w:val="20"/>
          <w:color w:val="auto"/>
        </w:rPr>
      </w:pPr>
    </w:p>
    <w:p>
      <w:pPr>
        <w:ind w:left="960" w:right="80" w:hanging="647"/>
        <w:spacing w:after="0" w:line="253" w:lineRule="auto"/>
        <w:tabs>
          <w:tab w:leader="none" w:pos="9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b w:val="1"/>
          <w:bCs w:val="1"/>
          <w:color w:val="auto"/>
        </w:rPr>
        <w:t xml:space="preserve">Documents: </w:t>
      </w:r>
      <w:r>
        <w:rPr>
          <w:rFonts w:ascii="Arial" w:cs="Arial" w:eastAsia="Arial" w:hAnsi="Arial"/>
          <w:sz w:val="20"/>
          <w:szCs w:val="20"/>
          <w:color w:val="auto"/>
        </w:rPr>
        <w:t>documents, manuals, disks, memory, notebooks, tapes (including copies) or any other medium,</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or not eye-readable, on which information (whether confidential or otherwise) may from time to time be referred to, written or recorded.</w:t>
      </w:r>
    </w:p>
    <w:p>
      <w:pPr>
        <w:spacing w:after="0" w:line="83" w:lineRule="exact"/>
        <w:rPr>
          <w:sz w:val="20"/>
          <w:szCs w:val="20"/>
          <w:color w:val="auto"/>
        </w:rPr>
      </w:pPr>
    </w:p>
    <w:p>
      <w:pPr>
        <w:ind w:left="960" w:right="60" w:hanging="647"/>
        <w:spacing w:after="0" w:line="267" w:lineRule="auto"/>
        <w:tabs>
          <w:tab w:leader="none" w:pos="9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b w:val="1"/>
          <w:bCs w:val="1"/>
          <w:color w:val="auto"/>
        </w:rPr>
        <w:t>Group Company</w:t>
      </w:r>
      <w:r>
        <w:rPr>
          <w:rFonts w:ascii="Arial" w:cs="Arial" w:eastAsia="Arial" w:hAnsi="Arial"/>
          <w:sz w:val="20"/>
          <w:szCs w:val="20"/>
          <w:color w:val="auto"/>
        </w:rPr>
        <w:t>: the Company, its Subsidiaries or Holding Companies from time to time and any Subsidiary of</w:t>
      </w:r>
      <w:r>
        <w:rPr>
          <w:rFonts w:ascii="Arial" w:cs="Arial" w:eastAsia="Arial" w:hAnsi="Arial"/>
          <w:sz w:val="20"/>
          <w:szCs w:val="20"/>
          <w:b w:val="1"/>
          <w:bCs w:val="1"/>
          <w:color w:val="auto"/>
        </w:rPr>
        <w:t xml:space="preserve"> </w:t>
      </w:r>
      <w:r>
        <w:rPr>
          <w:rFonts w:ascii="Arial" w:cs="Arial" w:eastAsia="Arial" w:hAnsi="Arial"/>
          <w:sz w:val="20"/>
          <w:szCs w:val="20"/>
          <w:color w:val="auto"/>
        </w:rPr>
        <w:t>any Holding Company from time to time.</w:t>
      </w:r>
    </w:p>
    <w:p>
      <w:pPr>
        <w:spacing w:after="0" w:line="9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980"/>
          </w:cols>
          <w:pgMar w:left="1440" w:top="271" w:right="479" w:bottom="1440" w:gutter="0" w:footer="0" w:header="0"/>
        </w:sectPr>
      </w:pPr>
    </w:p>
    <w:bookmarkStart w:id="287" w:name="page288"/>
    <w:bookmarkEnd w:id="287"/>
    <w:p>
      <w:pPr>
        <w:ind w:left="960" w:right="560" w:hanging="647"/>
        <w:spacing w:after="0" w:line="267" w:lineRule="auto"/>
        <w:tabs>
          <w:tab w:leader="none" w:pos="94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w:t>
      </w:r>
      <w:r>
        <w:rPr>
          <w:sz w:val="20"/>
          <w:szCs w:val="20"/>
          <w:color w:val="auto"/>
        </w:rPr>
        <w:tab/>
      </w:r>
      <w:r>
        <w:rPr>
          <w:rFonts w:ascii="Arial" w:cs="Arial" w:eastAsia="Arial" w:hAnsi="Arial"/>
          <w:sz w:val="20"/>
          <w:szCs w:val="20"/>
          <w:b w:val="1"/>
          <w:bCs w:val="1"/>
          <w:color w:val="auto"/>
        </w:rPr>
        <w:t>Incapacity</w:t>
      </w:r>
      <w:r>
        <w:rPr>
          <w:rFonts w:ascii="Arial" w:cs="Arial" w:eastAsia="Arial" w:hAnsi="Arial"/>
          <w:sz w:val="20"/>
          <w:szCs w:val="20"/>
          <w:color w:val="auto"/>
        </w:rPr>
        <w:t>: any sickness, injury or other medical disorder or condition which prevents the Employee from</w:t>
      </w:r>
      <w:r>
        <w:rPr>
          <w:rFonts w:ascii="Arial" w:cs="Arial" w:eastAsia="Arial" w:hAnsi="Arial"/>
          <w:sz w:val="20"/>
          <w:szCs w:val="20"/>
          <w:b w:val="1"/>
          <w:bCs w:val="1"/>
          <w:color w:val="auto"/>
        </w:rPr>
        <w:t xml:space="preserve"> </w:t>
      </w:r>
      <w:r>
        <w:rPr>
          <w:rFonts w:ascii="Arial" w:cs="Arial" w:eastAsia="Arial" w:hAnsi="Arial"/>
          <w:sz w:val="20"/>
          <w:szCs w:val="20"/>
          <w:color w:val="auto"/>
        </w:rPr>
        <w:t>carrying out his duties.</w:t>
      </w:r>
    </w:p>
    <w:p>
      <w:pPr>
        <w:spacing w:after="0" w:line="69" w:lineRule="exact"/>
        <w:rPr>
          <w:sz w:val="20"/>
          <w:szCs w:val="20"/>
          <w:color w:val="auto"/>
        </w:rPr>
      </w:pPr>
    </w:p>
    <w:p>
      <w:pPr>
        <w:ind w:left="960" w:right="800" w:hanging="647"/>
        <w:spacing w:after="0" w:line="267" w:lineRule="auto"/>
        <w:tabs>
          <w:tab w:leader="none" w:pos="9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20"/>
          <w:szCs w:val="20"/>
          <w:b w:val="1"/>
          <w:bCs w:val="1"/>
          <w:color w:val="auto"/>
        </w:rPr>
        <w:t xml:space="preserve">Key Employee: </w:t>
      </w:r>
      <w:r>
        <w:rPr>
          <w:rFonts w:ascii="Arial" w:cs="Arial" w:eastAsia="Arial" w:hAnsi="Arial"/>
          <w:sz w:val="20"/>
          <w:szCs w:val="20"/>
          <w:color w:val="auto"/>
        </w:rPr>
        <w:t>any employee or contractor who is or was (in the Period) employed or engaged to your</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w:t>
      </w:r>
    </w:p>
    <w:p>
      <w:pPr>
        <w:spacing w:after="0" w:line="75" w:lineRule="exact"/>
        <w:rPr>
          <w:sz w:val="20"/>
          <w:szCs w:val="20"/>
          <w:color w:val="auto"/>
        </w:rPr>
      </w:pPr>
    </w:p>
    <w:p>
      <w:pPr>
        <w:ind w:left="1620" w:hanging="653"/>
        <w:spacing w:after="0"/>
        <w:tabs>
          <w:tab w:leader="none" w:pos="162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at management grade; or</w:t>
      </w:r>
    </w:p>
    <w:p>
      <w:pPr>
        <w:spacing w:after="0" w:line="121" w:lineRule="exact"/>
        <w:rPr>
          <w:rFonts w:ascii="Arial" w:cs="Arial" w:eastAsia="Arial" w:hAnsi="Arial"/>
          <w:sz w:val="20"/>
          <w:szCs w:val="20"/>
          <w:color w:val="auto"/>
        </w:rPr>
      </w:pPr>
    </w:p>
    <w:p>
      <w:pPr>
        <w:ind w:left="1620" w:hanging="653"/>
        <w:spacing w:after="0"/>
        <w:tabs>
          <w:tab w:leader="none" w:pos="162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in a senior capacity; or</w:t>
      </w:r>
    </w:p>
    <w:p>
      <w:pPr>
        <w:spacing w:after="0" w:line="121" w:lineRule="exact"/>
        <w:rPr>
          <w:rFonts w:ascii="Arial" w:cs="Arial" w:eastAsia="Arial" w:hAnsi="Arial"/>
          <w:sz w:val="20"/>
          <w:szCs w:val="20"/>
          <w:color w:val="auto"/>
        </w:rPr>
      </w:pPr>
    </w:p>
    <w:p>
      <w:pPr>
        <w:ind w:left="1620" w:right="80" w:hanging="653"/>
        <w:spacing w:after="0" w:line="260" w:lineRule="auto"/>
        <w:tabs>
          <w:tab w:leader="none" w:pos="162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in a capacity in which he has access to or obtained Confidential Information and in respect of whom you exercised control or had managerial responsibility.</w:t>
      </w:r>
    </w:p>
    <w:p>
      <w:pPr>
        <w:spacing w:after="0" w:line="76" w:lineRule="exact"/>
        <w:rPr>
          <w:sz w:val="20"/>
          <w:szCs w:val="20"/>
          <w:color w:val="auto"/>
        </w:rPr>
      </w:pPr>
    </w:p>
    <w:p>
      <w:pPr>
        <w:ind w:left="960" w:hanging="647"/>
        <w:spacing w:after="0" w:line="246" w:lineRule="auto"/>
        <w:rPr>
          <w:sz w:val="20"/>
          <w:szCs w:val="20"/>
          <w:color w:val="auto"/>
        </w:rPr>
      </w:pPr>
      <w:r>
        <w:rPr>
          <w:rFonts w:ascii="Arial" w:cs="Arial" w:eastAsia="Arial" w:hAnsi="Arial"/>
          <w:sz w:val="20"/>
          <w:szCs w:val="20"/>
          <w:color w:val="auto"/>
        </w:rPr>
        <w:t xml:space="preserve">1.1.10 </w:t>
      </w:r>
      <w:r>
        <w:rPr>
          <w:rFonts w:ascii="Arial" w:cs="Arial" w:eastAsia="Arial" w:hAnsi="Arial"/>
          <w:sz w:val="20"/>
          <w:szCs w:val="20"/>
          <w:b w:val="1"/>
          <w:bCs w:val="1"/>
          <w:color w:val="auto"/>
        </w:rPr>
        <w:t>Know-how:</w:t>
      </w:r>
      <w:r>
        <w:rPr>
          <w:rFonts w:ascii="Arial" w:cs="Arial" w:eastAsia="Arial" w:hAnsi="Arial"/>
          <w:sz w:val="20"/>
          <w:szCs w:val="20"/>
          <w:color w:val="auto"/>
        </w:rPr>
        <w:t xml:space="preserve"> information (including without limitation that comprised in formulae, specifications, designs, drawings, component lists, 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90"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b w:val="1"/>
          <w:bCs w:val="1"/>
          <w:color w:val="auto"/>
        </w:rPr>
        <w:t>Manager</w:t>
      </w:r>
      <w:r>
        <w:rPr>
          <w:rFonts w:ascii="Arial" w:cs="Arial" w:eastAsia="Arial" w:hAnsi="Arial"/>
          <w:sz w:val="18"/>
          <w:szCs w:val="18"/>
          <w:color w:val="auto"/>
        </w:rPr>
        <w:t>: Denise Scots-Knight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1.1.12  </w:t>
      </w:r>
      <w:r>
        <w:rPr>
          <w:rFonts w:ascii="Arial" w:cs="Arial" w:eastAsia="Arial" w:hAnsi="Arial"/>
          <w:sz w:val="20"/>
          <w:szCs w:val="20"/>
          <w:b w:val="1"/>
          <w:bCs w:val="1"/>
          <w:color w:val="auto"/>
        </w:rPr>
        <w:t>Period:</w:t>
      </w:r>
      <w:r>
        <w:rPr>
          <w:rFonts w:ascii="Arial" w:cs="Arial" w:eastAsia="Arial" w:hAnsi="Arial"/>
          <w:sz w:val="20"/>
          <w:szCs w:val="20"/>
          <w:color w:val="auto"/>
        </w:rPr>
        <w:t xml:space="preserve"> the period of 6 months immediately prior to the Termination Date.</w:t>
      </w:r>
    </w:p>
    <w:p>
      <w:pPr>
        <w:spacing w:after="0" w:line="121" w:lineRule="exact"/>
        <w:rPr>
          <w:sz w:val="20"/>
          <w:szCs w:val="20"/>
          <w:color w:val="auto"/>
        </w:rPr>
      </w:pPr>
    </w:p>
    <w:p>
      <w:pPr>
        <w:jc w:val="both"/>
        <w:ind w:left="960" w:right="220" w:hanging="647"/>
        <w:spacing w:after="0" w:line="253"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b w:val="1"/>
          <w:bCs w:val="1"/>
          <w:color w:val="auto"/>
        </w:rPr>
        <w:t>Permitted Interest:</w:t>
      </w:r>
      <w:r>
        <w:rPr>
          <w:rFonts w:ascii="Arial" w:cs="Arial" w:eastAsia="Arial" w:hAnsi="Arial"/>
          <w:sz w:val="20"/>
          <w:szCs w:val="20"/>
          <w:color w:val="auto"/>
        </w:rPr>
        <w:t xml:space="preserve"> an interest in any class of shares or other securities of any company which are traded on a recognised investment exchange which amount to not more than 3% of such class of issued shares or securities and an interest in any units of any authorised unit trust.</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1.1.14  </w:t>
      </w:r>
      <w:r>
        <w:rPr>
          <w:rFonts w:ascii="Arial" w:cs="Arial" w:eastAsia="Arial" w:hAnsi="Arial"/>
          <w:sz w:val="20"/>
          <w:szCs w:val="20"/>
          <w:b w:val="1"/>
          <w:bCs w:val="1"/>
          <w:color w:val="auto"/>
        </w:rPr>
        <w:t>Restricted Area:</w:t>
      </w:r>
      <w:r>
        <w:rPr>
          <w:rFonts w:ascii="Arial" w:cs="Arial" w:eastAsia="Arial" w:hAnsi="Arial"/>
          <w:sz w:val="20"/>
          <w:szCs w:val="20"/>
          <w:color w:val="auto"/>
        </w:rPr>
        <w:t xml:space="preserve"> England, Scotland, Wales or Northern Ireland.</w:t>
      </w:r>
    </w:p>
    <w:p>
      <w:pPr>
        <w:spacing w:after="0" w:line="121" w:lineRule="exact"/>
        <w:rPr>
          <w:sz w:val="20"/>
          <w:szCs w:val="20"/>
          <w:color w:val="auto"/>
        </w:rPr>
      </w:pPr>
    </w:p>
    <w:p>
      <w:pPr>
        <w:ind w:left="960" w:right="220" w:hanging="647"/>
        <w:spacing w:after="0" w:line="272" w:lineRule="auto"/>
        <w:rPr>
          <w:sz w:val="20"/>
          <w:szCs w:val="20"/>
          <w:color w:val="auto"/>
        </w:rPr>
      </w:pPr>
      <w:r>
        <w:rPr>
          <w:rFonts w:ascii="Arial" w:cs="Arial" w:eastAsia="Arial" w:hAnsi="Arial"/>
          <w:sz w:val="19"/>
          <w:szCs w:val="19"/>
          <w:color w:val="auto"/>
        </w:rPr>
        <w:t xml:space="preserve">1.1.15 </w:t>
      </w:r>
      <w:r>
        <w:rPr>
          <w:rFonts w:ascii="Arial" w:cs="Arial" w:eastAsia="Arial" w:hAnsi="Arial"/>
          <w:sz w:val="19"/>
          <w:szCs w:val="19"/>
          <w:b w:val="1"/>
          <w:bCs w:val="1"/>
          <w:color w:val="auto"/>
        </w:rPr>
        <w:t>Restricted Business:</w:t>
      </w:r>
      <w:r>
        <w:rPr>
          <w:rFonts w:ascii="Arial" w:cs="Arial" w:eastAsia="Arial" w:hAnsi="Arial"/>
          <w:sz w:val="19"/>
          <w:szCs w:val="19"/>
          <w:color w:val="auto"/>
        </w:rPr>
        <w:t xml:space="preserve"> the research, acquisition, development and / or commercialisation of innovative therapeutics by the Company or any Group Company as at the Termination Date and with which the Employee was involved to a material extent on the Termination Date or at any time during the Period.</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1.1.16  </w:t>
      </w:r>
      <w:r>
        <w:rPr>
          <w:rFonts w:ascii="Arial" w:cs="Arial" w:eastAsia="Arial" w:hAnsi="Arial"/>
          <w:sz w:val="20"/>
          <w:szCs w:val="20"/>
          <w:b w:val="1"/>
          <w:bCs w:val="1"/>
          <w:color w:val="auto"/>
        </w:rPr>
        <w:t>SSP</w:t>
      </w:r>
      <w:r>
        <w:rPr>
          <w:rFonts w:ascii="Arial" w:cs="Arial" w:eastAsia="Arial" w:hAnsi="Arial"/>
          <w:sz w:val="20"/>
          <w:szCs w:val="20"/>
          <w:color w:val="auto"/>
        </w:rPr>
        <w:t>: statutory sick pay.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1.1.17  </w:t>
      </w:r>
      <w:r>
        <w:rPr>
          <w:rFonts w:ascii="Arial" w:cs="Arial" w:eastAsia="Arial" w:hAnsi="Arial"/>
          <w:sz w:val="20"/>
          <w:szCs w:val="20"/>
          <w:b w:val="1"/>
          <w:bCs w:val="1"/>
          <w:color w:val="auto"/>
        </w:rPr>
        <w:t>Staff Handbook</w:t>
      </w:r>
      <w:r>
        <w:rPr>
          <w:rFonts w:ascii="Arial" w:cs="Arial" w:eastAsia="Arial" w:hAnsi="Arial"/>
          <w:sz w:val="20"/>
          <w:szCs w:val="20"/>
          <w:color w:val="auto"/>
        </w:rPr>
        <w:t>: the Company’s staff handbook as amended from time to time.</w:t>
      </w:r>
    </w:p>
    <w:p>
      <w:pPr>
        <w:spacing w:after="0" w:line="121" w:lineRule="exact"/>
        <w:rPr>
          <w:sz w:val="20"/>
          <w:szCs w:val="20"/>
          <w:color w:val="auto"/>
        </w:rPr>
      </w:pPr>
    </w:p>
    <w:p>
      <w:pPr>
        <w:ind w:left="960" w:right="160" w:hanging="647"/>
        <w:spacing w:after="0" w:line="294"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b w:val="1"/>
          <w:bCs w:val="1"/>
          <w:color w:val="auto"/>
        </w:rPr>
        <w:t>Subsidiary and Holding Company</w:t>
      </w:r>
      <w:r>
        <w:rPr>
          <w:rFonts w:ascii="Arial" w:cs="Arial" w:eastAsia="Arial" w:hAnsi="Arial"/>
          <w:sz w:val="18"/>
          <w:szCs w:val="18"/>
          <w:color w:val="auto"/>
        </w:rPr>
        <w:t>: in relation to a company mean “subsidiary” and “holding company” as defined in section 1159 of the Companies Act 2006 and a company shall be treated, for the purposes only of the membership requirement contained in subsections 1159(1)(b) and (c), as a member of another company</w:t>
      </w:r>
    </w:p>
    <w:p>
      <w:pPr>
        <w:spacing w:after="0" w:line="7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9960"/>
          </w:cols>
          <w:pgMar w:left="1440" w:top="265" w:right="499" w:bottom="1440" w:gutter="0" w:footer="0" w:header="0"/>
        </w:sectPr>
      </w:pPr>
    </w:p>
    <w:bookmarkStart w:id="288" w:name="page289"/>
    <w:bookmarkEnd w:id="288"/>
    <w:p>
      <w:pPr>
        <w:ind w:left="1964" w:right="8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 if its shares in that other company are registered in the name of (a) another person (or its nominee), whether by way of security or in connection with the taking of security, or (b) a nominee.</w:t>
      </w:r>
    </w:p>
    <w:p>
      <w:pPr>
        <w:spacing w:after="0" w:line="76"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 xml:space="preserve">1.1.19  </w:t>
      </w:r>
      <w:r>
        <w:rPr>
          <w:rFonts w:ascii="Arial" w:cs="Arial" w:eastAsia="Arial" w:hAnsi="Arial"/>
          <w:sz w:val="20"/>
          <w:szCs w:val="20"/>
          <w:b w:val="1"/>
          <w:bCs w:val="1"/>
          <w:color w:val="auto"/>
        </w:rPr>
        <w:t>Termination Date:</w:t>
      </w:r>
      <w:r>
        <w:rPr>
          <w:rFonts w:ascii="Arial" w:cs="Arial" w:eastAsia="Arial" w:hAnsi="Arial"/>
          <w:sz w:val="20"/>
          <w:szCs w:val="20"/>
          <w:color w:val="auto"/>
        </w:rPr>
        <w:t xml:space="preserve"> the date of termination or expiration of this Contract.</w:t>
      </w:r>
    </w:p>
    <w:p>
      <w:pPr>
        <w:spacing w:after="0" w:line="12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The headings in this Contract are inserted for convenience only and shall not affect its construction.</w:t>
      </w:r>
    </w:p>
    <w:p>
      <w:pPr>
        <w:spacing w:after="0" w:line="121" w:lineRule="exact"/>
        <w:rPr>
          <w:sz w:val="20"/>
          <w:szCs w:val="20"/>
          <w:color w:val="auto"/>
        </w:rPr>
      </w:pPr>
    </w:p>
    <w:p>
      <w:pPr>
        <w:ind w:left="644" w:right="160" w:hanging="647"/>
        <w:spacing w:after="0" w:line="287" w:lineRule="auto"/>
        <w:tabs>
          <w:tab w:leader="none" w:pos="624"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color w:val="auto"/>
        </w:rPr>
        <w:t>A reference to a particular law is a reference to it as it is in force for the time being taking account of any amendment, extension, or re-enactment and includes any subordinate legislation for the time being in force made under it.</w:t>
      </w:r>
    </w:p>
    <w:p>
      <w:pPr>
        <w:spacing w:after="0" w:line="58"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Unless the context otherwise requires, a reference to one gender shall include a reference to the other genders.</w:t>
      </w:r>
    </w:p>
    <w:p>
      <w:pPr>
        <w:spacing w:after="0" w:line="12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Unless the context otherwise requires, words in the singular include the plural and in the plural include the singular.</w:t>
      </w:r>
    </w:p>
    <w:p>
      <w:pPr>
        <w:spacing w:after="0" w:line="12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The schedules to this Contract form part of (and are incorporated into) this Contract.</w:t>
      </w:r>
    </w:p>
    <w:p>
      <w:pPr>
        <w:spacing w:after="0" w:line="358" w:lineRule="exact"/>
        <w:rPr>
          <w:sz w:val="20"/>
          <w:szCs w:val="20"/>
          <w:color w:val="auto"/>
        </w:rPr>
      </w:pPr>
    </w:p>
    <w:p>
      <w:pPr>
        <w:ind w:left="644" w:hanging="644"/>
        <w:spacing w:after="0"/>
        <w:tabs>
          <w:tab w:leader="none" w:pos="644" w:val="left"/>
        </w:tabs>
        <w:numPr>
          <w:ilvl w:val="0"/>
          <w:numId w:val="218"/>
        </w:numPr>
        <w:rPr>
          <w:rFonts w:ascii="Arial" w:cs="Arial" w:eastAsia="Arial" w:hAnsi="Arial"/>
          <w:sz w:val="20"/>
          <w:szCs w:val="20"/>
          <w:b w:val="1"/>
          <w:bCs w:val="1"/>
          <w:color w:val="auto"/>
        </w:rPr>
      </w:pPr>
      <w:r>
        <w:rPr>
          <w:rFonts w:ascii="Arial" w:cs="Arial" w:eastAsia="Arial" w:hAnsi="Arial"/>
          <w:sz w:val="20"/>
          <w:szCs w:val="20"/>
          <w:b w:val="1"/>
          <w:bCs w:val="1"/>
          <w:color w:val="auto"/>
        </w:rPr>
        <w:t>Term of Appointment</w:t>
      </w:r>
    </w:p>
    <w:p>
      <w:pPr>
        <w:spacing w:after="0" w:line="127" w:lineRule="exact"/>
        <w:rPr>
          <w:sz w:val="20"/>
          <w:szCs w:val="20"/>
          <w:color w:val="auto"/>
        </w:rPr>
      </w:pPr>
    </w:p>
    <w:p>
      <w:pPr>
        <w:ind w:left="644" w:hanging="647"/>
        <w:spacing w:after="0" w:line="250" w:lineRule="auto"/>
        <w:tabs>
          <w:tab w:leader="none" w:pos="624"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The Appointment shall commence on the Commencement Date and shall continue, subject to the remaining terms of this Contract, until terminated by either party giving the other not less than 6 months’ prior notice (or the statutory minimum notice, whichever is the greater) in writing.</w:t>
      </w:r>
    </w:p>
    <w:p>
      <w:pPr>
        <w:spacing w:after="0" w:line="9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[This clause intentionally blank].</w:t>
      </w:r>
    </w:p>
    <w:p>
      <w:pPr>
        <w:spacing w:after="0" w:line="12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No employment with a previous employer counts towards the Employee’s period of continuous employment with the Company.</w:t>
      </w:r>
    </w:p>
    <w:p>
      <w:pPr>
        <w:spacing w:after="0" w:line="121" w:lineRule="exact"/>
        <w:rPr>
          <w:sz w:val="20"/>
          <w:szCs w:val="20"/>
          <w:color w:val="auto"/>
        </w:rPr>
      </w:pPr>
    </w:p>
    <w:p>
      <w:pPr>
        <w:ind w:left="644" w:right="240" w:hanging="647"/>
        <w:spacing w:after="0" w:line="260" w:lineRule="auto"/>
        <w:tabs>
          <w:tab w:leader="none" w:pos="624"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The Employee consents to the transfer of his employment under this Contract to an Associated Employer at any time during the Appointment.</w:t>
      </w:r>
    </w:p>
    <w:p>
      <w:pPr>
        <w:spacing w:after="0" w:line="319" w:lineRule="exact"/>
        <w:rPr>
          <w:sz w:val="20"/>
          <w:szCs w:val="20"/>
          <w:color w:val="auto"/>
        </w:rPr>
      </w:pPr>
    </w:p>
    <w:p>
      <w:pPr>
        <w:ind w:left="644" w:hanging="644"/>
        <w:spacing w:after="0"/>
        <w:tabs>
          <w:tab w:leader="none" w:pos="644" w:val="left"/>
        </w:tabs>
        <w:numPr>
          <w:ilvl w:val="0"/>
          <w:numId w:val="219"/>
        </w:numPr>
        <w:rPr>
          <w:rFonts w:ascii="Arial" w:cs="Arial" w:eastAsia="Arial" w:hAnsi="Arial"/>
          <w:sz w:val="20"/>
          <w:szCs w:val="20"/>
          <w:b w:val="1"/>
          <w:bCs w:val="1"/>
          <w:color w:val="auto"/>
        </w:rPr>
      </w:pPr>
      <w:r>
        <w:rPr>
          <w:rFonts w:ascii="Arial" w:cs="Arial" w:eastAsia="Arial" w:hAnsi="Arial"/>
          <w:sz w:val="20"/>
          <w:szCs w:val="20"/>
          <w:b w:val="1"/>
          <w:bCs w:val="1"/>
          <w:color w:val="auto"/>
        </w:rPr>
        <w:t>Employee Warranties</w:t>
      </w:r>
    </w:p>
    <w:p>
      <w:pPr>
        <w:spacing w:after="0" w:line="127" w:lineRule="exact"/>
        <w:rPr>
          <w:sz w:val="20"/>
          <w:szCs w:val="20"/>
          <w:color w:val="auto"/>
        </w:rPr>
      </w:pPr>
    </w:p>
    <w:p>
      <w:pPr>
        <w:ind w:left="644" w:right="100" w:hanging="647"/>
        <w:spacing w:after="0" w:line="316" w:lineRule="auto"/>
        <w:tabs>
          <w:tab w:leader="none" w:pos="624"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35" w:lineRule="exact"/>
        <w:rPr>
          <w:sz w:val="20"/>
          <w:szCs w:val="20"/>
          <w:color w:val="auto"/>
        </w:rPr>
      </w:pPr>
    </w:p>
    <w:p>
      <w:pPr>
        <w:ind w:left="644" w:right="340" w:hanging="647"/>
        <w:spacing w:after="0" w:line="250" w:lineRule="auto"/>
        <w:tabs>
          <w:tab w:leader="none" w:pos="624"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91" w:lineRule="exact"/>
        <w:rPr>
          <w:sz w:val="20"/>
          <w:szCs w:val="20"/>
          <w:color w:val="auto"/>
        </w:rPr>
      </w:pPr>
    </w:p>
    <w:p>
      <w:pPr>
        <w:ind w:left="644" w:right="80" w:hanging="647"/>
        <w:spacing w:after="0" w:line="260" w:lineRule="auto"/>
        <w:tabs>
          <w:tab w:leader="none" w:pos="624"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You warrant that you are entitled to work in the UK without any additional approvals and will notify the Company immediately if you cease to be so entitled at any time during the Appointment.</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004"/>
          </w:cols>
          <w:pgMar w:left="436" w:top="271" w:right="459" w:bottom="1440" w:gutter="0" w:footer="0" w:header="0"/>
        </w:sectPr>
      </w:pPr>
    </w:p>
    <w:bookmarkStart w:id="289" w:name="page290"/>
    <w:bookmarkEnd w:id="289"/>
    <w:p>
      <w:pPr>
        <w:ind w:left="644" w:hanging="644"/>
        <w:spacing w:after="0"/>
        <w:tabs>
          <w:tab w:leader="none" w:pos="644" w:val="left"/>
        </w:tabs>
        <w:numPr>
          <w:ilvl w:val="0"/>
          <w:numId w:val="220"/>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Job Title and Reporting</w:t>
      </w:r>
    </w:p>
    <w:p>
      <w:pPr>
        <w:spacing w:after="0" w:line="109" w:lineRule="exact"/>
        <w:rPr>
          <w:sz w:val="20"/>
          <w:szCs w:val="20"/>
          <w:color w:val="auto"/>
        </w:rPr>
      </w:pPr>
    </w:p>
    <w:p>
      <w:pPr>
        <w:ind w:left="764" w:right="840"/>
        <w:spacing w:after="0" w:line="250" w:lineRule="auto"/>
        <w:rPr>
          <w:sz w:val="20"/>
          <w:szCs w:val="20"/>
          <w:color w:val="auto"/>
        </w:rPr>
      </w:pPr>
      <w:r>
        <w:rPr>
          <w:rFonts w:ascii="Arial" w:cs="Arial" w:eastAsia="Arial" w:hAnsi="Arial"/>
          <w:sz w:val="22"/>
          <w:szCs w:val="22"/>
          <w:color w:val="auto"/>
        </w:rPr>
        <w:t>Your job title is ‘Chief Financial Officer’ and you will report to the Manager or such other person as may be authorised by the Company and notified to you.</w:t>
      </w:r>
    </w:p>
    <w:p>
      <w:pPr>
        <w:spacing w:after="0" w:line="322" w:lineRule="exact"/>
        <w:rPr>
          <w:sz w:val="20"/>
          <w:szCs w:val="20"/>
          <w:color w:val="auto"/>
        </w:rPr>
      </w:pPr>
    </w:p>
    <w:p>
      <w:pPr>
        <w:ind w:left="644" w:hanging="644"/>
        <w:spacing w:after="0"/>
        <w:tabs>
          <w:tab w:leader="none" w:pos="644" w:val="left"/>
        </w:tabs>
        <w:numPr>
          <w:ilvl w:val="0"/>
          <w:numId w:val="221"/>
        </w:numPr>
        <w:rPr>
          <w:rFonts w:ascii="Arial" w:cs="Arial" w:eastAsia="Arial" w:hAnsi="Arial"/>
          <w:sz w:val="20"/>
          <w:szCs w:val="20"/>
          <w:b w:val="1"/>
          <w:bCs w:val="1"/>
          <w:color w:val="auto"/>
        </w:rPr>
      </w:pPr>
      <w:r>
        <w:rPr>
          <w:rFonts w:ascii="Arial" w:cs="Arial" w:eastAsia="Arial" w:hAnsi="Arial"/>
          <w:sz w:val="20"/>
          <w:szCs w:val="20"/>
          <w:b w:val="1"/>
          <w:bCs w:val="1"/>
          <w:color w:val="auto"/>
        </w:rPr>
        <w:t>Job Description and Duties</w:t>
      </w:r>
    </w:p>
    <w:p>
      <w:pPr>
        <w:spacing w:after="0" w:line="127" w:lineRule="exact"/>
        <w:rPr>
          <w:sz w:val="20"/>
          <w:szCs w:val="20"/>
          <w:color w:val="auto"/>
        </w:rPr>
      </w:pPr>
    </w:p>
    <w:p>
      <w:pPr>
        <w:ind w:left="644" w:right="20" w:hanging="647"/>
        <w:spacing w:after="0" w:line="246" w:lineRule="auto"/>
        <w:tabs>
          <w:tab w:leader="none" w:pos="624"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9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You must perform your job to the best of your ability and to comply with any duties implied by law.</w:t>
      </w:r>
    </w:p>
    <w:p>
      <w:pPr>
        <w:spacing w:after="0" w:line="12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During the Appointment you shall:</w:t>
      </w:r>
    </w:p>
    <w:p>
      <w:pPr>
        <w:spacing w:after="0" w:line="121" w:lineRule="exact"/>
        <w:rPr>
          <w:sz w:val="20"/>
          <w:szCs w:val="20"/>
          <w:color w:val="auto"/>
        </w:rPr>
      </w:pPr>
    </w:p>
    <w:p>
      <w:pPr>
        <w:ind w:left="1964" w:right="20" w:hanging="647"/>
        <w:spacing w:after="0" w:line="260" w:lineRule="auto"/>
        <w:tabs>
          <w:tab w:leader="none" w:pos="1944" w:val="left"/>
        </w:tabs>
        <w:rPr>
          <w:sz w:val="20"/>
          <w:szCs w:val="20"/>
          <w:color w:val="auto"/>
        </w:rPr>
      </w:pPr>
      <w:r>
        <w:rPr>
          <w:rFonts w:ascii="Arial" w:cs="Arial" w:eastAsia="Arial" w:hAnsi="Arial"/>
          <w:sz w:val="20"/>
          <w:szCs w:val="20"/>
          <w:color w:val="auto"/>
        </w:rPr>
        <w:t>5.3.1</w:t>
        <w:tab/>
        <w:t>unless prevented by Incapacity, devote substantially the whole of your time, attention and abilities to the business of the Company and any Group Company of which you are an officer or consultant;</w:t>
      </w:r>
    </w:p>
    <w:p>
      <w:pPr>
        <w:spacing w:after="0" w:line="82" w:lineRule="exact"/>
        <w:rPr>
          <w:sz w:val="20"/>
          <w:szCs w:val="20"/>
          <w:color w:val="auto"/>
        </w:rPr>
      </w:pPr>
    </w:p>
    <w:p>
      <w:pPr>
        <w:jc w:val="center"/>
        <w:ind w:left="1280" w:right="460"/>
        <w:spacing w:after="0" w:line="287" w:lineRule="auto"/>
        <w:rPr>
          <w:sz w:val="20"/>
          <w:szCs w:val="20"/>
          <w:color w:val="auto"/>
        </w:rPr>
      </w:pPr>
      <w:r>
        <w:rPr>
          <w:rFonts w:ascii="Arial" w:cs="Arial" w:eastAsia="Arial" w:hAnsi="Arial"/>
          <w:sz w:val="19"/>
          <w:szCs w:val="19"/>
          <w:color w:val="auto"/>
        </w:rPr>
        <w:t>5.3.2   diligently exercise such powers and perform such duties as may from time to time be assigned to you by the Company together with such person or persons as the Company may appoint to act jointly with you;</w:t>
      </w:r>
    </w:p>
    <w:p>
      <w:pPr>
        <w:spacing w:after="0" w:line="58"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5.3.3</w:t>
      </w:r>
      <w:r>
        <w:rPr>
          <w:sz w:val="20"/>
          <w:szCs w:val="20"/>
          <w:color w:val="auto"/>
        </w:rPr>
        <w:tab/>
      </w:r>
      <w:r>
        <w:rPr>
          <w:rFonts w:ascii="Arial" w:cs="Arial" w:eastAsia="Arial" w:hAnsi="Arial"/>
          <w:sz w:val="18"/>
          <w:szCs w:val="18"/>
          <w:color w:val="auto"/>
        </w:rPr>
        <w:t>comply with all reasonable and lawful directions given to you by the Company;</w:t>
      </w:r>
    </w:p>
    <w:p>
      <w:pPr>
        <w:spacing w:after="0" w:line="121" w:lineRule="exact"/>
        <w:rPr>
          <w:sz w:val="20"/>
          <w:szCs w:val="20"/>
          <w:color w:val="auto"/>
        </w:rPr>
      </w:pPr>
    </w:p>
    <w:p>
      <w:pPr>
        <w:ind w:left="1964" w:right="480" w:hanging="647"/>
        <w:spacing w:after="0" w:line="260" w:lineRule="auto"/>
        <w:tabs>
          <w:tab w:leader="none" w:pos="1944" w:val="left"/>
        </w:tabs>
        <w:rPr>
          <w:sz w:val="20"/>
          <w:szCs w:val="20"/>
          <w:color w:val="auto"/>
        </w:rPr>
      </w:pPr>
      <w:r>
        <w:rPr>
          <w:rFonts w:ascii="Arial" w:cs="Arial" w:eastAsia="Arial" w:hAnsi="Arial"/>
          <w:sz w:val="20"/>
          <w:szCs w:val="20"/>
          <w:color w:val="auto"/>
        </w:rPr>
        <w:t>5.3.4</w:t>
        <w:tab/>
        <w:t>promptly make such reports to your Manager in connection with the affairs of any Group Company on such matters and at such times as are reasonably required;</w:t>
      </w:r>
    </w:p>
    <w:p>
      <w:pPr>
        <w:spacing w:after="0" w:line="82" w:lineRule="exact"/>
        <w:rPr>
          <w:sz w:val="20"/>
          <w:szCs w:val="20"/>
          <w:color w:val="auto"/>
        </w:rPr>
      </w:pPr>
    </w:p>
    <w:p>
      <w:pPr>
        <w:ind w:left="1964" w:right="140" w:hanging="647"/>
        <w:spacing w:after="0" w:line="260" w:lineRule="auto"/>
        <w:tabs>
          <w:tab w:leader="none" w:pos="1944" w:val="left"/>
        </w:tabs>
        <w:rPr>
          <w:sz w:val="20"/>
          <w:szCs w:val="20"/>
          <w:color w:val="auto"/>
        </w:rPr>
      </w:pPr>
      <w:r>
        <w:rPr>
          <w:rFonts w:ascii="Arial" w:cs="Arial" w:eastAsia="Arial" w:hAnsi="Arial"/>
          <w:sz w:val="20"/>
          <w:szCs w:val="20"/>
          <w:color w:val="auto"/>
        </w:rPr>
        <w:t>5.3.5</w:t>
        <w:tab/>
        <w:t>report your own wrongdoing and any wrongdoing or proposed wrongdoing of any other employee or director of any Group Company to your Manager immediately on becoming aware of it;</w:t>
      </w:r>
    </w:p>
    <w:p>
      <w:pPr>
        <w:spacing w:after="0" w:line="82"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5.3.6</w:t>
      </w:r>
      <w:r>
        <w:rPr>
          <w:sz w:val="20"/>
          <w:szCs w:val="20"/>
          <w:color w:val="auto"/>
        </w:rPr>
        <w:tab/>
      </w:r>
      <w:r>
        <w:rPr>
          <w:rFonts w:ascii="Arial" w:cs="Arial" w:eastAsia="Arial" w:hAnsi="Arial"/>
          <w:sz w:val="16"/>
          <w:szCs w:val="16"/>
          <w:color w:val="auto"/>
        </w:rPr>
        <w:t>use your best endeavours to promote, protect, develop and extend the business of any Group Company; and</w:t>
      </w:r>
    </w:p>
    <w:p>
      <w:pPr>
        <w:spacing w:after="0" w:line="121" w:lineRule="exact"/>
        <w:rPr>
          <w:sz w:val="20"/>
          <w:szCs w:val="20"/>
          <w:color w:val="auto"/>
        </w:rPr>
      </w:pPr>
    </w:p>
    <w:p>
      <w:pPr>
        <w:ind w:left="1964" w:right="220" w:hanging="647"/>
        <w:spacing w:after="0" w:line="250" w:lineRule="auto"/>
        <w:tabs>
          <w:tab w:leader="none" w:pos="1944" w:val="left"/>
        </w:tabs>
        <w:rPr>
          <w:sz w:val="20"/>
          <w:szCs w:val="20"/>
          <w:color w:val="auto"/>
        </w:rPr>
      </w:pPr>
      <w:r>
        <w:rPr>
          <w:rFonts w:ascii="Arial" w:cs="Arial" w:eastAsia="Arial" w:hAnsi="Arial"/>
          <w:sz w:val="20"/>
          <w:szCs w:val="20"/>
          <w:color w:val="auto"/>
        </w:rPr>
        <w:t>5.3.7</w:t>
        <w:tab/>
        <w:t>consent to the Company monitoring and recording any use that you make of the Company’s electronic communications systems for the purpose of ensuring that the Company’s rules are being complied with and for legitimate business purposes.</w:t>
      </w:r>
    </w:p>
    <w:p>
      <w:pPr>
        <w:spacing w:after="0" w:line="9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You shall comply with the Company’s anti-corruption and bribery policy and related procedures at all times.</w:t>
      </w:r>
    </w:p>
    <w:p>
      <w:pPr>
        <w:spacing w:after="0" w:line="12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color w:val="auto"/>
        </w:rPr>
        <w:t>You shall comply with any rules, policies and procedures set out in the Staff Handbook. The Staff Handbook does not form part of</w:t>
      </w:r>
    </w:p>
    <w:p>
      <w:pPr>
        <w:spacing w:after="0" w:line="16" w:lineRule="exact"/>
        <w:rPr>
          <w:sz w:val="20"/>
          <w:szCs w:val="20"/>
          <w:color w:val="auto"/>
        </w:rPr>
      </w:pPr>
    </w:p>
    <w:p>
      <w:pPr>
        <w:ind w:left="644" w:right="680"/>
        <w:spacing w:after="0" w:line="244" w:lineRule="auto"/>
        <w:rPr>
          <w:sz w:val="20"/>
          <w:szCs w:val="20"/>
          <w:color w:val="auto"/>
        </w:rPr>
      </w:pPr>
      <w:r>
        <w:rPr>
          <w:rFonts w:ascii="Arial" w:cs="Arial" w:eastAsia="Arial" w:hAnsi="Arial"/>
          <w:sz w:val="20"/>
          <w:szCs w:val="20"/>
          <w:color w:val="auto"/>
        </w:rPr>
        <w:t>this Contract and the Company may amend it at any time. To the extent that there is any conflict between the terms of this Contract and the Staff Handbook, this Contract shall prevail.</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0964"/>
          </w:cols>
          <w:pgMar w:left="436" w:top="265" w:right="499" w:bottom="1440" w:gutter="0" w:footer="0" w:header="0"/>
        </w:sectPr>
      </w:pPr>
    </w:p>
    <w:bookmarkStart w:id="290" w:name="page291"/>
    <w:bookmarkEnd w:id="290"/>
    <w:p>
      <w:pPr>
        <w:ind w:left="644" w:right="360" w:hanging="647"/>
        <w:spacing w:after="0" w:line="250"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w:t>
      </w:r>
      <w:r>
        <w:rPr>
          <w:sz w:val="20"/>
          <w:szCs w:val="20"/>
          <w:color w:val="auto"/>
        </w:rPr>
        <w:tab/>
      </w:r>
      <w:r>
        <w:rPr>
          <w:rFonts w:ascii="Arial" w:cs="Arial" w:eastAsia="Arial" w:hAnsi="Arial"/>
          <w:sz w:val="20"/>
          <w:szCs w:val="20"/>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8" w:lineRule="exact"/>
        <w:rPr>
          <w:sz w:val="20"/>
          <w:szCs w:val="20"/>
          <w:color w:val="auto"/>
        </w:rPr>
      </w:pPr>
    </w:p>
    <w:p>
      <w:pPr>
        <w:ind w:left="644" w:hanging="644"/>
        <w:spacing w:after="0"/>
        <w:tabs>
          <w:tab w:leader="none" w:pos="644" w:val="left"/>
        </w:tabs>
        <w:numPr>
          <w:ilvl w:val="0"/>
          <w:numId w:val="222"/>
        </w:numPr>
        <w:rPr>
          <w:rFonts w:ascii="Arial" w:cs="Arial" w:eastAsia="Arial" w:hAnsi="Arial"/>
          <w:sz w:val="20"/>
          <w:szCs w:val="20"/>
          <w:b w:val="1"/>
          <w:bCs w:val="1"/>
          <w:color w:val="auto"/>
        </w:rPr>
      </w:pPr>
      <w:r>
        <w:rPr>
          <w:rFonts w:ascii="Arial" w:cs="Arial" w:eastAsia="Arial" w:hAnsi="Arial"/>
          <w:sz w:val="20"/>
          <w:szCs w:val="20"/>
          <w:b w:val="1"/>
          <w:bCs w:val="1"/>
          <w:color w:val="auto"/>
        </w:rPr>
        <w:t>Location</w:t>
      </w:r>
    </w:p>
    <w:p>
      <w:pPr>
        <w:spacing w:after="0" w:line="127" w:lineRule="exact"/>
        <w:rPr>
          <w:sz w:val="20"/>
          <w:szCs w:val="20"/>
          <w:color w:val="auto"/>
        </w:rPr>
      </w:pPr>
    </w:p>
    <w:p>
      <w:pPr>
        <w:ind w:left="644" w:right="40" w:hanging="647"/>
        <w:spacing w:after="0" w:line="260" w:lineRule="auto"/>
        <w:tabs>
          <w:tab w:leader="none" w:pos="624"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Your normal place of work is the Company’s offices at 1 Cavendish Place, London W1G 0QF or such other place as the Company may reasonably determine for the proper performance and exercise of your duties.</w:t>
      </w:r>
    </w:p>
    <w:p>
      <w:pPr>
        <w:spacing w:after="0" w:line="82" w:lineRule="exact"/>
        <w:rPr>
          <w:sz w:val="20"/>
          <w:szCs w:val="20"/>
          <w:color w:val="auto"/>
        </w:rPr>
      </w:pPr>
    </w:p>
    <w:p>
      <w:pPr>
        <w:ind w:left="644" w:right="20" w:hanging="647"/>
        <w:spacing w:after="0" w:line="250" w:lineRule="auto"/>
        <w:tabs>
          <w:tab w:leader="none" w:pos="624"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91" w:lineRule="exact"/>
        <w:rPr>
          <w:sz w:val="20"/>
          <w:szCs w:val="20"/>
          <w:color w:val="auto"/>
        </w:rPr>
      </w:pPr>
    </w:p>
    <w:p>
      <w:pPr>
        <w:ind w:left="644" w:right="240" w:hanging="647"/>
        <w:spacing w:after="0" w:line="260" w:lineRule="auto"/>
        <w:tabs>
          <w:tab w:leader="none" w:pos="624"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You agree to travel on any Group Company’s business (both within the United Kingdom and abroad) as may be required for the proper performance of your duties under the Appointment.</w:t>
      </w:r>
    </w:p>
    <w:p>
      <w:pPr>
        <w:spacing w:after="0" w:line="319" w:lineRule="exact"/>
        <w:rPr>
          <w:sz w:val="20"/>
          <w:szCs w:val="20"/>
          <w:color w:val="auto"/>
        </w:rPr>
      </w:pPr>
    </w:p>
    <w:p>
      <w:pPr>
        <w:ind w:left="644" w:hanging="644"/>
        <w:spacing w:after="0"/>
        <w:tabs>
          <w:tab w:leader="none" w:pos="644" w:val="left"/>
        </w:tabs>
        <w:numPr>
          <w:ilvl w:val="0"/>
          <w:numId w:val="223"/>
        </w:numPr>
        <w:rPr>
          <w:rFonts w:ascii="Arial" w:cs="Arial" w:eastAsia="Arial" w:hAnsi="Arial"/>
          <w:sz w:val="20"/>
          <w:szCs w:val="20"/>
          <w:b w:val="1"/>
          <w:bCs w:val="1"/>
          <w:color w:val="auto"/>
        </w:rPr>
      </w:pPr>
      <w:r>
        <w:rPr>
          <w:rFonts w:ascii="Arial" w:cs="Arial" w:eastAsia="Arial" w:hAnsi="Arial"/>
          <w:sz w:val="20"/>
          <w:szCs w:val="20"/>
          <w:b w:val="1"/>
          <w:bCs w:val="1"/>
          <w:color w:val="auto"/>
        </w:rPr>
        <w:t>Hours of Work</w:t>
      </w:r>
    </w:p>
    <w:p>
      <w:pPr>
        <w:spacing w:after="0" w:line="127" w:lineRule="exact"/>
        <w:rPr>
          <w:sz w:val="20"/>
          <w:szCs w:val="20"/>
          <w:color w:val="auto"/>
        </w:rPr>
      </w:pPr>
    </w:p>
    <w:p>
      <w:pPr>
        <w:ind w:left="644" w:right="40" w:hanging="647"/>
        <w:spacing w:after="0" w:line="250" w:lineRule="auto"/>
        <w:tabs>
          <w:tab w:leader="none" w:pos="624"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Your normal working hours are from 09:00 to 17:00 on each week day, excluding public and bank holidays of England and Wales, together with such additional hours, on week days (including public and bank holidays of England and Wales) or weekends, as may be necessary for the proper performance of your duties.</w:t>
      </w:r>
    </w:p>
    <w:p>
      <w:pPr>
        <w:spacing w:after="0" w:line="85" w:lineRule="exact"/>
        <w:rPr>
          <w:sz w:val="20"/>
          <w:szCs w:val="20"/>
          <w:color w:val="auto"/>
        </w:rPr>
      </w:pPr>
    </w:p>
    <w:p>
      <w:pPr>
        <w:ind w:left="644" w:hanging="647"/>
        <w:spacing w:after="0" w:line="253" w:lineRule="auto"/>
        <w:tabs>
          <w:tab w:leader="none" w:pos="624"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Regulation 4(1) of the Working Time Regulations 1998 (the “</w:t>
      </w:r>
      <w:r>
        <w:rPr>
          <w:rFonts w:ascii="Arial" w:cs="Arial" w:eastAsia="Arial" w:hAnsi="Arial"/>
          <w:sz w:val="20"/>
          <w:szCs w:val="20"/>
          <w:b w:val="1"/>
          <w:bCs w:val="1"/>
          <w:color w:val="auto"/>
        </w:rPr>
        <w:t>WTR</w:t>
      </w:r>
      <w:r>
        <w:rPr>
          <w:rFonts w:ascii="Arial" w:cs="Arial" w:eastAsia="Arial" w:hAnsi="Arial"/>
          <w:sz w:val="20"/>
          <w:szCs w:val="20"/>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71" w:lineRule="exact"/>
        <w:rPr>
          <w:sz w:val="20"/>
          <w:szCs w:val="20"/>
          <w:color w:val="auto"/>
        </w:rPr>
      </w:pPr>
    </w:p>
    <w:p>
      <w:pPr>
        <w:ind w:left="764"/>
        <w:spacing w:after="0" w:line="236" w:lineRule="auto"/>
        <w:rPr>
          <w:sz w:val="20"/>
          <w:szCs w:val="20"/>
          <w:color w:val="auto"/>
        </w:rPr>
      </w:pPr>
      <w:r>
        <w:rPr>
          <w:rFonts w:ascii="Arial" w:cs="Arial" w:eastAsia="Arial" w:hAnsi="Arial"/>
          <w:sz w:val="22"/>
          <w:szCs w:val="22"/>
          <w:color w:val="auto"/>
        </w:rPr>
        <w:t>You acknowledge that you hold an executive position with certain autonomous decision taking powers and that the duration of your working time is not measured or predetermined. You agree that you are therefore not subject to regulation 4(1) of the Working Time Regulations 1998 but without prejudice to that you accept that by signing this Contract you have agreed that, insofar as it would apply to your employment with the Company, regulation 4(1) of the Working Time Regulations 1998 shall not apply.</w:t>
      </w:r>
    </w:p>
    <w:p>
      <w:pPr>
        <w:spacing w:after="0" w:line="9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At any time during the Appointment, you or the Company may give three months’ prior written notice that the opt-out of clause</w:t>
      </w:r>
    </w:p>
    <w:p>
      <w:pPr>
        <w:spacing w:after="0" w:line="1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7.2 should no longer apply and it will cease to apply with effect from the expiry of the said notice.</w:t>
      </w:r>
    </w:p>
    <w:p>
      <w:pPr>
        <w:spacing w:after="0" w:line="105" w:lineRule="exact"/>
        <w:rPr>
          <w:sz w:val="20"/>
          <w:szCs w:val="20"/>
          <w:color w:val="auto"/>
        </w:rPr>
      </w:pPr>
    </w:p>
    <w:p>
      <w:pPr>
        <w:ind w:left="644" w:right="440" w:hanging="647"/>
        <w:spacing w:after="0" w:line="260" w:lineRule="auto"/>
        <w:tabs>
          <w:tab w:leader="none" w:pos="624"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You will comply with any requests made or measures imposed to enable the Company and/or you to monitor and record your working time.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004"/>
          </w:cols>
          <w:pgMar w:left="436" w:top="271" w:right="459" w:bottom="1440" w:gutter="0" w:footer="0" w:header="0"/>
        </w:sectPr>
      </w:pPr>
    </w:p>
    <w:bookmarkStart w:id="291" w:name="page292"/>
    <w:bookmarkEnd w:id="291"/>
    <w:p>
      <w:pPr>
        <w:ind w:left="644" w:hanging="644"/>
        <w:spacing w:after="0"/>
        <w:tabs>
          <w:tab w:leader="none" w:pos="644" w:val="left"/>
        </w:tabs>
        <w:numPr>
          <w:ilvl w:val="0"/>
          <w:numId w:val="224"/>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Salary</w:t>
      </w:r>
    </w:p>
    <w:p>
      <w:pPr>
        <w:spacing w:after="0" w:line="121" w:lineRule="exact"/>
        <w:rPr>
          <w:sz w:val="20"/>
          <w:szCs w:val="20"/>
          <w:color w:val="auto"/>
        </w:rPr>
      </w:pPr>
    </w:p>
    <w:p>
      <w:pPr>
        <w:ind w:left="644" w:hanging="647"/>
        <w:spacing w:after="0" w:line="253" w:lineRule="auto"/>
        <w:tabs>
          <w:tab w:leader="none" w:pos="624"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 xml:space="preserve">Your salary is £250,000 per annum (the </w:t>
      </w:r>
      <w:r>
        <w:rPr>
          <w:rFonts w:ascii="Arial" w:cs="Arial" w:eastAsia="Arial" w:hAnsi="Arial"/>
          <w:sz w:val="20"/>
          <w:szCs w:val="20"/>
          <w:b w:val="1"/>
          <w:bCs w:val="1"/>
          <w:color w:val="auto"/>
        </w:rPr>
        <w:t>“Salary”</w:t>
      </w:r>
      <w:r>
        <w:rPr>
          <w:rFonts w:ascii="Arial" w:cs="Arial" w:eastAsia="Arial" w:hAnsi="Arial"/>
          <w:sz w:val="20"/>
          <w:szCs w:val="20"/>
          <w:color w:val="auto"/>
        </w:rPr>
        <w:t>), less statutory and voluntary deduction. The Salary shall accrue from day to day and be payable by equal monthly instalments in arrears on the last business day of each calendar month directly into your UK bank or building society account.</w:t>
      </w:r>
    </w:p>
    <w:p>
      <w:pPr>
        <w:spacing w:after="0" w:line="89" w:lineRule="exact"/>
        <w:rPr>
          <w:sz w:val="20"/>
          <w:szCs w:val="20"/>
          <w:color w:val="auto"/>
        </w:rPr>
      </w:pPr>
    </w:p>
    <w:p>
      <w:pPr>
        <w:ind w:left="644" w:hanging="647"/>
        <w:spacing w:after="0" w:line="260" w:lineRule="auto"/>
        <w:tabs>
          <w:tab w:leader="none" w:pos="624"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You will receive no additional payment for any overtime worked. Your Salary will include any director’s, company secretary’s and other fees and emoluments due to you as an officer of the Company or of any Group Company.</w:t>
      </w:r>
    </w:p>
    <w:p>
      <w:pPr>
        <w:spacing w:after="0" w:line="82" w:lineRule="exact"/>
        <w:rPr>
          <w:sz w:val="20"/>
          <w:szCs w:val="20"/>
          <w:color w:val="auto"/>
        </w:rPr>
      </w:pPr>
    </w:p>
    <w:p>
      <w:pPr>
        <w:ind w:left="644" w:right="160" w:hanging="647"/>
        <w:spacing w:after="0" w:line="250" w:lineRule="auto"/>
        <w:tabs>
          <w:tab w:leader="none" w:pos="624"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Your Salary will be reviewed by your Manager annually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91" w:lineRule="exact"/>
        <w:rPr>
          <w:sz w:val="20"/>
          <w:szCs w:val="20"/>
          <w:color w:val="auto"/>
        </w:rPr>
      </w:pPr>
    </w:p>
    <w:p>
      <w:pPr>
        <w:ind w:left="644" w:right="100" w:hanging="647"/>
        <w:spacing w:after="0" w:line="259" w:lineRule="auto"/>
        <w:tabs>
          <w:tab w:leader="none" w:pos="624"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84" w:lineRule="exact"/>
        <w:rPr>
          <w:sz w:val="20"/>
          <w:szCs w:val="20"/>
          <w:color w:val="auto"/>
        </w:rPr>
      </w:pPr>
    </w:p>
    <w:p>
      <w:pPr>
        <w:ind w:left="644" w:right="140" w:hanging="647"/>
        <w:spacing w:after="0" w:line="250" w:lineRule="auto"/>
        <w:tabs>
          <w:tab w:leader="none" w:pos="624"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20"/>
          <w:szCs w:val="20"/>
          <w:color w:val="auto"/>
        </w:rPr>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28" w:lineRule="exact"/>
        <w:rPr>
          <w:sz w:val="20"/>
          <w:szCs w:val="20"/>
          <w:color w:val="auto"/>
        </w:rPr>
      </w:pPr>
    </w:p>
    <w:p>
      <w:pPr>
        <w:ind w:left="644" w:hanging="644"/>
        <w:spacing w:after="0"/>
        <w:tabs>
          <w:tab w:leader="none" w:pos="644" w:val="left"/>
        </w:tabs>
        <w:numPr>
          <w:ilvl w:val="0"/>
          <w:numId w:val="225"/>
        </w:numPr>
        <w:rPr>
          <w:rFonts w:ascii="Arial" w:cs="Arial" w:eastAsia="Arial" w:hAnsi="Arial"/>
          <w:sz w:val="20"/>
          <w:szCs w:val="20"/>
          <w:b w:val="1"/>
          <w:bCs w:val="1"/>
          <w:color w:val="auto"/>
        </w:rPr>
      </w:pPr>
      <w:r>
        <w:rPr>
          <w:rFonts w:ascii="Arial" w:cs="Arial" w:eastAsia="Arial" w:hAnsi="Arial"/>
          <w:sz w:val="20"/>
          <w:szCs w:val="20"/>
          <w:b w:val="1"/>
          <w:bCs w:val="1"/>
          <w:color w:val="auto"/>
        </w:rPr>
        <w:t>Discretionary Bonus</w:t>
      </w:r>
    </w:p>
    <w:p>
      <w:pPr>
        <w:spacing w:after="0" w:line="127" w:lineRule="exact"/>
        <w:rPr>
          <w:sz w:val="20"/>
          <w:szCs w:val="20"/>
          <w:color w:val="auto"/>
        </w:rPr>
      </w:pPr>
    </w:p>
    <w:p>
      <w:pPr>
        <w:ind w:left="644" w:right="140" w:hanging="647"/>
        <w:spacing w:after="0" w:line="269" w:lineRule="auto"/>
        <w:tabs>
          <w:tab w:leader="none" w:pos="624"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75" w:lineRule="exact"/>
        <w:rPr>
          <w:sz w:val="20"/>
          <w:szCs w:val="20"/>
          <w:color w:val="auto"/>
        </w:rPr>
      </w:pPr>
    </w:p>
    <w:p>
      <w:pPr>
        <w:ind w:left="644" w:right="620" w:hanging="647"/>
        <w:spacing w:after="0" w:line="260" w:lineRule="auto"/>
        <w:tabs>
          <w:tab w:leader="none" w:pos="624"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The terms of the discretionary bonus scheme are determined by the Company in its absolute discretion and the Company is entitled in its absolute discretion to change the terms of this scheme from year to year.</w:t>
      </w:r>
    </w:p>
    <w:p>
      <w:pPr>
        <w:spacing w:after="0" w:line="82" w:lineRule="exact"/>
        <w:rPr>
          <w:sz w:val="20"/>
          <w:szCs w:val="20"/>
          <w:color w:val="auto"/>
        </w:rPr>
      </w:pPr>
    </w:p>
    <w:p>
      <w:pPr>
        <w:ind w:left="644" w:right="200" w:hanging="647"/>
        <w:spacing w:after="0" w:line="378" w:lineRule="auto"/>
        <w:tabs>
          <w:tab w:leader="none" w:pos="624"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color w:val="auto"/>
        </w:rPr>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1" w:lineRule="exact"/>
        <w:rPr>
          <w:sz w:val="20"/>
          <w:szCs w:val="20"/>
          <w:color w:val="auto"/>
        </w:rPr>
      </w:pPr>
    </w:p>
    <w:p>
      <w:pPr>
        <w:ind w:left="644" w:right="520" w:hanging="647"/>
        <w:spacing w:after="0" w:line="260" w:lineRule="auto"/>
        <w:tabs>
          <w:tab w:leader="none" w:pos="624"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If you commence employment part way through the calendar year any sum calculated in accordance with clause 9.2 shall be pro-rated, as appropriate.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004"/>
          </w:cols>
          <w:pgMar w:left="436" w:top="265" w:right="459" w:bottom="1440" w:gutter="0" w:footer="0" w:header="0"/>
        </w:sectPr>
      </w:pPr>
    </w:p>
    <w:bookmarkStart w:id="292" w:name="page293"/>
    <w:bookmarkEnd w:id="292"/>
    <w:p>
      <w:pPr>
        <w:ind w:left="644" w:right="300" w:hanging="647"/>
        <w:spacing w:after="0" w:line="316"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9.5</w:t>
      </w:r>
      <w:r>
        <w:rPr>
          <w:sz w:val="20"/>
          <w:szCs w:val="20"/>
          <w:color w:val="auto"/>
        </w:rPr>
        <w:tab/>
      </w:r>
      <w:r>
        <w:rPr>
          <w:rFonts w:ascii="Arial" w:cs="Arial" w:eastAsia="Arial" w:hAnsi="Arial"/>
          <w:sz w:val="18"/>
          <w:szCs w:val="18"/>
          <w:color w:val="auto"/>
        </w:rPr>
        <w:t>Save as provided in Schedule II, if you are working your period of notice (given by either you or the Company) at the date any bonus is payable to you, or the Appointment is terminated prior to that date, no bonus or pro-rata bonus shall be payable.</w:t>
      </w:r>
    </w:p>
    <w:p>
      <w:pPr>
        <w:spacing w:after="0" w:line="3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6"/>
          <w:szCs w:val="16"/>
          <w:color w:val="auto"/>
        </w:rPr>
        <w:t>Any discretionary bonus payable in accordance with this clause 9 shall not be pensionable.</w:t>
      </w:r>
    </w:p>
    <w:p>
      <w:pPr>
        <w:spacing w:after="0" w:line="358" w:lineRule="exact"/>
        <w:rPr>
          <w:sz w:val="20"/>
          <w:szCs w:val="20"/>
          <w:color w:val="auto"/>
        </w:rPr>
      </w:pPr>
    </w:p>
    <w:p>
      <w:pPr>
        <w:ind w:left="644" w:hanging="644"/>
        <w:spacing w:after="0"/>
        <w:tabs>
          <w:tab w:leader="none" w:pos="644" w:val="left"/>
        </w:tabs>
        <w:numPr>
          <w:ilvl w:val="0"/>
          <w:numId w:val="226"/>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127" w:lineRule="exact"/>
        <w:rPr>
          <w:sz w:val="20"/>
          <w:szCs w:val="20"/>
          <w:color w:val="auto"/>
        </w:rPr>
      </w:pPr>
    </w:p>
    <w:p>
      <w:pPr>
        <w:jc w:val="both"/>
        <w:ind w:left="644" w:hanging="647"/>
        <w:spacing w:after="0" w:line="269" w:lineRule="auto"/>
        <w:tabs>
          <w:tab w:leader="none" w:pos="624"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7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You shall comply with the Company’s expenses policy as set out in the Staff Handbook from time to time.</w:t>
      </w:r>
    </w:p>
    <w:p>
      <w:pPr>
        <w:spacing w:after="0" w:line="121" w:lineRule="exact"/>
        <w:rPr>
          <w:sz w:val="20"/>
          <w:szCs w:val="20"/>
          <w:color w:val="auto"/>
        </w:rPr>
      </w:pPr>
    </w:p>
    <w:p>
      <w:pPr>
        <w:jc w:val="both"/>
        <w:ind w:left="644" w:right="140" w:hanging="647"/>
        <w:spacing w:after="0" w:line="250" w:lineRule="auto"/>
        <w:tabs>
          <w:tab w:leader="none" w:pos="624" w:val="left"/>
        </w:tabs>
        <w:rPr>
          <w:sz w:val="20"/>
          <w:szCs w:val="20"/>
          <w:color w:val="auto"/>
        </w:rPr>
      </w:pPr>
      <w:r>
        <w:rPr>
          <w:rFonts w:ascii="Arial" w:cs="Arial" w:eastAsia="Arial" w:hAnsi="Arial"/>
          <w:sz w:val="20"/>
          <w:szCs w:val="20"/>
          <w:color w:val="auto"/>
        </w:rPr>
        <w:t>10.3</w:t>
        <w:tab/>
        <w:t>Any expenses charged to a Company credit card must be documented in accordance with Company procedures and approved by the Chief Executive Officer within one month of the date that the credit card statement is received. No personal expenditure may be charged to Company credit cards.</w:t>
      </w:r>
    </w:p>
    <w:p>
      <w:pPr>
        <w:spacing w:after="0" w:line="328" w:lineRule="exact"/>
        <w:rPr>
          <w:sz w:val="20"/>
          <w:szCs w:val="20"/>
          <w:color w:val="auto"/>
        </w:rPr>
      </w:pPr>
    </w:p>
    <w:p>
      <w:pPr>
        <w:ind w:left="644" w:hanging="644"/>
        <w:spacing w:after="0"/>
        <w:tabs>
          <w:tab w:leader="none" w:pos="644" w:val="left"/>
        </w:tabs>
        <w:numPr>
          <w:ilvl w:val="0"/>
          <w:numId w:val="227"/>
        </w:numPr>
        <w:rPr>
          <w:rFonts w:ascii="Arial" w:cs="Arial" w:eastAsia="Arial" w:hAnsi="Arial"/>
          <w:sz w:val="20"/>
          <w:szCs w:val="20"/>
          <w:b w:val="1"/>
          <w:bCs w:val="1"/>
          <w:color w:val="auto"/>
        </w:rPr>
      </w:pPr>
      <w:r>
        <w:rPr>
          <w:rFonts w:ascii="Arial" w:cs="Arial" w:eastAsia="Arial" w:hAnsi="Arial"/>
          <w:sz w:val="20"/>
          <w:szCs w:val="20"/>
          <w:b w:val="1"/>
          <w:bCs w:val="1"/>
          <w:color w:val="auto"/>
        </w:rPr>
        <w:t>Other Employment</w:t>
      </w:r>
    </w:p>
    <w:p>
      <w:pPr>
        <w:spacing w:after="0" w:line="127" w:lineRule="exact"/>
        <w:rPr>
          <w:sz w:val="20"/>
          <w:szCs w:val="20"/>
          <w:color w:val="auto"/>
        </w:rPr>
      </w:pPr>
    </w:p>
    <w:p>
      <w:pPr>
        <w:ind w:left="644" w:right="140" w:hanging="647"/>
        <w:spacing w:after="0" w:line="260" w:lineRule="auto"/>
        <w:tabs>
          <w:tab w:leader="none" w:pos="624" w:val="left"/>
        </w:tabs>
        <w:rPr>
          <w:sz w:val="20"/>
          <w:szCs w:val="20"/>
          <w:color w:val="auto"/>
        </w:rPr>
      </w:pPr>
      <w:r>
        <w:rPr>
          <w:rFonts w:ascii="Arial" w:cs="Arial" w:eastAsia="Arial" w:hAnsi="Arial"/>
          <w:sz w:val="20"/>
          <w:szCs w:val="20"/>
          <w:color w:val="auto"/>
        </w:rPr>
        <w:t>11.1</w:t>
        <w:tab/>
        <w:t>You must devote substantially the whole of your time, attention and abilities during your normal hours of work to your duties for the Company.</w:t>
      </w:r>
    </w:p>
    <w:p>
      <w:pPr>
        <w:spacing w:after="0" w:line="82" w:lineRule="exact"/>
        <w:rPr>
          <w:sz w:val="20"/>
          <w:szCs w:val="20"/>
          <w:color w:val="auto"/>
        </w:rPr>
      </w:pPr>
    </w:p>
    <w:p>
      <w:pPr>
        <w:ind w:left="644" w:right="20" w:hanging="647"/>
        <w:spacing w:after="0" w:line="243" w:lineRule="auto"/>
        <w:tabs>
          <w:tab w:leader="none" w:pos="624" w:val="left"/>
        </w:tabs>
        <w:rPr>
          <w:sz w:val="20"/>
          <w:szCs w:val="20"/>
          <w:color w:val="auto"/>
        </w:rPr>
      </w:pPr>
      <w:r>
        <w:rPr>
          <w:rFonts w:ascii="Arial" w:cs="Arial" w:eastAsia="Arial" w:hAnsi="Arial"/>
          <w:sz w:val="20"/>
          <w:szCs w:val="20"/>
          <w:color w:val="auto"/>
        </w:rPr>
        <w:t>11.2</w:t>
        <w:tab/>
        <w:t>Without the prior written approval of the Chief Executive Officer, you may not, whether directly or indirectly, undertake any other job (including voluntary work) or carry on a business, of whatever kind, during your hours of work for the Company. Without the prior written approval of the Chief Executive Officer,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w:t>
      </w:r>
    </w:p>
    <w:p>
      <w:pPr>
        <w:spacing w:after="0" w:line="98" w:lineRule="exact"/>
        <w:rPr>
          <w:sz w:val="20"/>
          <w:szCs w:val="20"/>
          <w:color w:val="auto"/>
        </w:rPr>
      </w:pPr>
    </w:p>
    <w:p>
      <w:pPr>
        <w:ind w:left="644" w:right="320" w:hanging="647"/>
        <w:spacing w:after="0" w:line="250" w:lineRule="auto"/>
        <w:tabs>
          <w:tab w:leader="none" w:pos="624" w:val="left"/>
        </w:tabs>
        <w:rPr>
          <w:sz w:val="20"/>
          <w:szCs w:val="20"/>
          <w:color w:val="auto"/>
        </w:rPr>
      </w:pPr>
      <w:r>
        <w:rPr>
          <w:rFonts w:ascii="Arial" w:cs="Arial" w:eastAsia="Arial" w:hAnsi="Arial"/>
          <w:sz w:val="20"/>
          <w:szCs w:val="20"/>
          <w:color w:val="auto"/>
        </w:rPr>
        <w:t>11.3</w:t>
        <w:tab/>
        <w:t>You may not at any time during the period of your employment by the Company without the prior written consent of the Chief Executive Officer engage, whether directly or indirectly, in any business or employment which is similar to or in any way connected with the business of the Company.</w:t>
      </w:r>
    </w:p>
    <w:p>
      <w:pPr>
        <w:spacing w:after="0" w:line="328" w:lineRule="exact"/>
        <w:rPr>
          <w:sz w:val="20"/>
          <w:szCs w:val="20"/>
          <w:color w:val="auto"/>
        </w:rPr>
      </w:pPr>
    </w:p>
    <w:p>
      <w:pPr>
        <w:ind w:left="644" w:hanging="644"/>
        <w:spacing w:after="0"/>
        <w:tabs>
          <w:tab w:leader="none" w:pos="644" w:val="left"/>
        </w:tabs>
        <w:numPr>
          <w:ilvl w:val="0"/>
          <w:numId w:val="228"/>
        </w:numPr>
        <w:rPr>
          <w:rFonts w:ascii="Arial" w:cs="Arial" w:eastAsia="Arial" w:hAnsi="Arial"/>
          <w:sz w:val="20"/>
          <w:szCs w:val="20"/>
          <w:b w:val="1"/>
          <w:bCs w:val="1"/>
          <w:color w:val="auto"/>
        </w:rPr>
      </w:pPr>
      <w:r>
        <w:rPr>
          <w:rFonts w:ascii="Arial" w:cs="Arial" w:eastAsia="Arial" w:hAnsi="Arial"/>
          <w:sz w:val="20"/>
          <w:szCs w:val="20"/>
          <w:b w:val="1"/>
          <w:bCs w:val="1"/>
          <w:color w:val="auto"/>
        </w:rPr>
        <w:t>Holidays</w:t>
      </w:r>
    </w:p>
    <w:p>
      <w:pPr>
        <w:spacing w:after="0" w:line="127" w:lineRule="exact"/>
        <w:rPr>
          <w:sz w:val="20"/>
          <w:szCs w:val="20"/>
          <w:color w:val="auto"/>
        </w:rPr>
      </w:pPr>
    </w:p>
    <w:p>
      <w:pPr>
        <w:jc w:val="both"/>
        <w:ind w:left="644" w:right="440" w:hanging="647"/>
        <w:spacing w:after="0" w:line="250" w:lineRule="auto"/>
        <w:tabs>
          <w:tab w:leader="none" w:pos="624" w:val="left"/>
        </w:tabs>
        <w:rPr>
          <w:sz w:val="20"/>
          <w:szCs w:val="20"/>
          <w:color w:val="auto"/>
        </w:rPr>
      </w:pPr>
      <w:r>
        <w:rPr>
          <w:rFonts w:ascii="Arial" w:cs="Arial" w:eastAsia="Arial" w:hAnsi="Arial"/>
          <w:sz w:val="20"/>
          <w:szCs w:val="20"/>
          <w:color w:val="auto"/>
        </w:rPr>
        <w:t>12.1</w:t>
        <w:tab/>
        <w:t>In addition to the usual public and bank holidays of England and Wales, you shall be entitled to 25 days’ paid holiday in each complete holiday year worked (and pro rata for any holiday year worked in part) to be taken at such time or times as shall be agreed by your Manager.</w:t>
      </w:r>
    </w:p>
    <w:p>
      <w:pPr>
        <w:spacing w:after="0" w:line="9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color w:val="auto"/>
        </w:rPr>
        <w:t>The holiday year runs from 1 January each year to the following 31 December.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0984"/>
          </w:cols>
          <w:pgMar w:left="436" w:top="271" w:right="479" w:bottom="1440" w:gutter="0" w:footer="0" w:header="0"/>
        </w:sectPr>
      </w:pPr>
    </w:p>
    <w:bookmarkStart w:id="293" w:name="page294"/>
    <w:bookmarkEnd w:id="293"/>
    <w:p>
      <w:pPr>
        <w:ind w:left="644" w:right="380" w:hanging="647"/>
        <w:spacing w:after="0" w:line="260"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12.3</w:t>
        <w:tab/>
        <w:t>Although the Company will agree to your proposed holiday dates wherever possible, it reserves the right to withhold approval where necessary to protect the interests of the business.</w:t>
      </w:r>
    </w:p>
    <w:p>
      <w:pPr>
        <w:spacing w:after="0" w:line="82" w:lineRule="exact"/>
        <w:rPr>
          <w:sz w:val="20"/>
          <w:szCs w:val="20"/>
          <w:color w:val="auto"/>
        </w:rPr>
      </w:pPr>
    </w:p>
    <w:p>
      <w:pPr>
        <w:ind w:left="644" w:right="20" w:hanging="647"/>
        <w:spacing w:after="0" w:line="316" w:lineRule="auto"/>
        <w:tabs>
          <w:tab w:leader="none" w:pos="624"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The Company reserves the right to require you to take holiday on certain days to be determined by the Company of up to five days in each holiday year. The Company will notify you of any such requirement prior to the commencement of each holiday year.</w:t>
      </w:r>
    </w:p>
    <w:p>
      <w:pPr>
        <w:spacing w:after="0" w:line="35" w:lineRule="exact"/>
        <w:rPr>
          <w:sz w:val="20"/>
          <w:szCs w:val="20"/>
          <w:color w:val="auto"/>
        </w:rPr>
      </w:pPr>
    </w:p>
    <w:p>
      <w:pPr>
        <w:ind w:left="644" w:right="260" w:hanging="647"/>
        <w:spacing w:after="0" w:line="316" w:lineRule="auto"/>
        <w:tabs>
          <w:tab w:leader="none" w:pos="624"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A maximum of five days untaken holiday entitlement may be carried forward from one holiday year subject to the prior written agreement of your Manager to the next and no money will be paid in lieu of any such untaken holiday entitlement.</w:t>
      </w:r>
    </w:p>
    <w:p>
      <w:pPr>
        <w:spacing w:after="0" w:line="35" w:lineRule="exact"/>
        <w:rPr>
          <w:sz w:val="20"/>
          <w:szCs w:val="20"/>
          <w:color w:val="auto"/>
        </w:rPr>
      </w:pPr>
    </w:p>
    <w:p>
      <w:pPr>
        <w:ind w:left="644" w:right="80" w:hanging="647"/>
        <w:spacing w:after="0" w:line="246" w:lineRule="auto"/>
        <w:tabs>
          <w:tab w:leader="none" w:pos="624" w:val="left"/>
        </w:tabs>
        <w:rPr>
          <w:sz w:val="20"/>
          <w:szCs w:val="20"/>
          <w:color w:val="auto"/>
        </w:rPr>
      </w:pPr>
      <w:r>
        <w:rPr>
          <w:rFonts w:ascii="Arial" w:cs="Arial" w:eastAsia="Arial" w:hAnsi="Arial"/>
          <w:sz w:val="20"/>
          <w:szCs w:val="20"/>
          <w:color w:val="auto"/>
        </w:rPr>
        <w:t>12.6</w:t>
        <w:tab/>
        <w:t>On termination of the Appointment you shall be entitled to be paid in lieu of holiday accrued but untaken in the holiday year in which termination takes place. Your entitlement to holiday will be calculated on the basis that each day of paid holiday is equal to 1/260 of your salary. Alternatively, you will be required to repay to the Company pay for any holiday taken in excess of your entitlement at the same rate.</w:t>
      </w:r>
    </w:p>
    <w:p>
      <w:pPr>
        <w:spacing w:after="0" w:line="97" w:lineRule="exact"/>
        <w:rPr>
          <w:sz w:val="20"/>
          <w:szCs w:val="20"/>
          <w:color w:val="auto"/>
        </w:rPr>
      </w:pPr>
    </w:p>
    <w:p>
      <w:pPr>
        <w:jc w:val="both"/>
        <w:ind w:left="644" w:right="540" w:hanging="647"/>
        <w:spacing w:after="0" w:line="250" w:lineRule="auto"/>
        <w:tabs>
          <w:tab w:leader="none" w:pos="624" w:val="left"/>
        </w:tabs>
        <w:rPr>
          <w:sz w:val="20"/>
          <w:szCs w:val="20"/>
          <w:color w:val="auto"/>
        </w:rPr>
      </w:pPr>
      <w:r>
        <w:rPr>
          <w:rFonts w:ascii="Arial" w:cs="Arial" w:eastAsia="Arial" w:hAnsi="Arial"/>
          <w:sz w:val="20"/>
          <w:szCs w:val="20"/>
          <w:color w:val="auto"/>
        </w:rPr>
        <w:t>12.7</w:t>
        <w:tab/>
        <w:t>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91" w:lineRule="exact"/>
        <w:rPr>
          <w:sz w:val="20"/>
          <w:szCs w:val="20"/>
          <w:color w:val="auto"/>
        </w:rPr>
      </w:pPr>
    </w:p>
    <w:p>
      <w:pPr>
        <w:ind w:left="644" w:right="460" w:hanging="647"/>
        <w:spacing w:after="0" w:line="260" w:lineRule="auto"/>
        <w:tabs>
          <w:tab w:leader="none" w:pos="624" w:val="left"/>
        </w:tabs>
        <w:rPr>
          <w:sz w:val="20"/>
          <w:szCs w:val="20"/>
          <w:color w:val="auto"/>
        </w:rPr>
      </w:pPr>
      <w:r>
        <w:rPr>
          <w:rFonts w:ascii="Arial" w:cs="Arial" w:eastAsia="Arial" w:hAnsi="Arial"/>
          <w:sz w:val="20"/>
          <w:szCs w:val="20"/>
          <w:color w:val="auto"/>
        </w:rPr>
        <w:t>12.8</w:t>
        <w:tab/>
        <w:t>The Company may require you to take any outstanding holiday entitlement during your notice period or during any period of garden leave as referred to in clause 20.</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color w:val="auto"/>
        </w:rPr>
        <w:t>The holiday year is also the leave year for parental leave purposes.</w:t>
      </w:r>
    </w:p>
    <w:p>
      <w:pPr>
        <w:spacing w:after="0" w:line="358" w:lineRule="exact"/>
        <w:rPr>
          <w:sz w:val="20"/>
          <w:szCs w:val="20"/>
          <w:color w:val="auto"/>
        </w:rPr>
      </w:pPr>
    </w:p>
    <w:p>
      <w:pPr>
        <w:ind w:left="644" w:hanging="644"/>
        <w:spacing w:after="0"/>
        <w:tabs>
          <w:tab w:leader="none" w:pos="644" w:val="left"/>
        </w:tabs>
        <w:numPr>
          <w:ilvl w:val="0"/>
          <w:numId w:val="229"/>
        </w:numPr>
        <w:rPr>
          <w:rFonts w:ascii="Arial" w:cs="Arial" w:eastAsia="Arial" w:hAnsi="Arial"/>
          <w:sz w:val="20"/>
          <w:szCs w:val="20"/>
          <w:b w:val="1"/>
          <w:bCs w:val="1"/>
          <w:color w:val="auto"/>
        </w:rPr>
      </w:pPr>
      <w:r>
        <w:rPr>
          <w:rFonts w:ascii="Arial" w:cs="Arial" w:eastAsia="Arial" w:hAnsi="Arial"/>
          <w:sz w:val="20"/>
          <w:szCs w:val="20"/>
          <w:b w:val="1"/>
          <w:bCs w:val="1"/>
          <w:color w:val="auto"/>
        </w:rPr>
        <w:t>Notification of Sickness or Other Absence</w:t>
      </w:r>
    </w:p>
    <w:p>
      <w:pPr>
        <w:spacing w:after="0" w:line="127" w:lineRule="exact"/>
        <w:rPr>
          <w:sz w:val="20"/>
          <w:szCs w:val="20"/>
          <w:color w:val="auto"/>
        </w:rPr>
      </w:pPr>
    </w:p>
    <w:p>
      <w:pPr>
        <w:ind w:left="644" w:right="720" w:hanging="647"/>
        <w:spacing w:after="0" w:line="260" w:lineRule="auto"/>
        <w:tabs>
          <w:tab w:leader="none" w:pos="624" w:val="left"/>
        </w:tabs>
        <w:rPr>
          <w:sz w:val="20"/>
          <w:szCs w:val="20"/>
          <w:color w:val="auto"/>
        </w:rPr>
      </w:pPr>
      <w:r>
        <w:rPr>
          <w:rFonts w:ascii="Arial" w:cs="Arial" w:eastAsia="Arial" w:hAnsi="Arial"/>
          <w:sz w:val="20"/>
          <w:szCs w:val="20"/>
          <w:color w:val="auto"/>
        </w:rPr>
        <w:t>13.1</w:t>
        <w:tab/>
        <w:t>If you are absent from work for any reason and your absence has not previously been authorised by your Manager you, or someone on your behalf, must inform your Manager by 10.00 am on each day of absence.</w:t>
      </w:r>
    </w:p>
    <w:p>
      <w:pPr>
        <w:spacing w:after="0" w:line="204" w:lineRule="exact"/>
        <w:rPr>
          <w:sz w:val="20"/>
          <w:szCs w:val="20"/>
          <w:color w:val="auto"/>
        </w:rPr>
      </w:pPr>
    </w:p>
    <w:p>
      <w:pPr>
        <w:ind w:left="644" w:right="520" w:hanging="647"/>
        <w:spacing w:after="0" w:line="260" w:lineRule="auto"/>
        <w:tabs>
          <w:tab w:leader="none" w:pos="624"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Any unauthorised absence must be properly explained and in the case of an absence of uncertain duration you must keep the Company informed on a daily basis until you have provided the Company with a medical certificate.</w:t>
      </w:r>
    </w:p>
    <w:p>
      <w:pPr>
        <w:spacing w:after="0" w:line="2" w:lineRule="exact"/>
        <w:rPr>
          <w:sz w:val="20"/>
          <w:szCs w:val="20"/>
          <w:color w:val="auto"/>
        </w:rPr>
      </w:pPr>
    </w:p>
    <w:p>
      <w:pPr>
        <w:jc w:val="both"/>
        <w:ind w:left="644" w:right="240" w:hanging="647"/>
        <w:spacing w:after="0" w:line="241" w:lineRule="auto"/>
        <w:tabs>
          <w:tab w:leader="none" w:pos="624" w:val="left"/>
        </w:tabs>
        <w:rPr>
          <w:sz w:val="20"/>
          <w:szCs w:val="20"/>
          <w:color w:val="auto"/>
        </w:rPr>
      </w:pPr>
      <w:r>
        <w:rPr>
          <w:rFonts w:ascii="Arial" w:cs="Arial" w:eastAsia="Arial" w:hAnsi="Arial"/>
          <w:sz w:val="20"/>
          <w:szCs w:val="20"/>
          <w:color w:val="auto"/>
        </w:rPr>
        <w:t>13.3</w:t>
        <w:tab/>
        <w:t>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101" w:lineRule="exact"/>
        <w:rPr>
          <w:sz w:val="20"/>
          <w:szCs w:val="20"/>
          <w:color w:val="auto"/>
        </w:rPr>
      </w:pPr>
    </w:p>
    <w:p>
      <w:pPr>
        <w:ind w:left="644" w:hanging="647"/>
        <w:spacing w:after="0" w:line="246" w:lineRule="auto"/>
        <w:tabs>
          <w:tab w:leader="none" w:pos="624" w:val="left"/>
        </w:tabs>
        <w:rPr>
          <w:sz w:val="20"/>
          <w:szCs w:val="20"/>
          <w:color w:val="auto"/>
        </w:rPr>
      </w:pPr>
      <w:r>
        <w:rPr>
          <w:rFonts w:ascii="Arial" w:cs="Arial" w:eastAsia="Arial" w:hAnsi="Arial"/>
          <w:sz w:val="20"/>
          <w:szCs w:val="20"/>
          <w:color w:val="auto"/>
        </w:rPr>
        <w:t>13.4</w:t>
        <w:tab/>
        <w:t>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004"/>
          </w:cols>
          <w:pgMar w:left="436" w:top="271" w:right="459" w:bottom="1440" w:gutter="0" w:footer="0" w:header="0"/>
        </w:sectPr>
      </w:pPr>
    </w:p>
    <w:bookmarkStart w:id="294" w:name="page295"/>
    <w:bookmarkEnd w:id="294"/>
    <w:p>
      <w:pPr>
        <w:ind w:left="644" w:right="340" w:hanging="647"/>
        <w:spacing w:after="0" w:line="260"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w:t>
        <w:tab/>
        <w:t>Failure to comply with the above procedures may result in disciplinary action and/or the loss of Company sick pay (referred to below) and may also disqualify you from receiving Statutory Sick Pay.</w:t>
      </w:r>
    </w:p>
    <w:p>
      <w:pPr>
        <w:spacing w:after="0" w:line="82" w:lineRule="exact"/>
        <w:rPr>
          <w:sz w:val="20"/>
          <w:szCs w:val="20"/>
          <w:color w:val="auto"/>
        </w:rPr>
      </w:pPr>
    </w:p>
    <w:p>
      <w:pPr>
        <w:ind w:left="644" w:right="260" w:hanging="647"/>
        <w:spacing w:after="0" w:line="260" w:lineRule="auto"/>
        <w:tabs>
          <w:tab w:leader="none" w:pos="624" w:val="left"/>
        </w:tabs>
        <w:rPr>
          <w:sz w:val="20"/>
          <w:szCs w:val="20"/>
          <w:color w:val="auto"/>
        </w:rPr>
      </w:pPr>
      <w:r>
        <w:rPr>
          <w:rFonts w:ascii="Arial" w:cs="Arial" w:eastAsia="Arial" w:hAnsi="Arial"/>
          <w:sz w:val="20"/>
          <w:szCs w:val="20"/>
          <w:color w:val="auto"/>
        </w:rPr>
        <w:t>13.6</w:t>
        <w:tab/>
        <w:t>Your “qualifying days” for Statutory Sick Pay purposes are those days of the week on which you are due to work in accordance with this contract of employment.</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You shall:</w:t>
      </w:r>
    </w:p>
    <w:p>
      <w:pPr>
        <w:spacing w:after="0" w:line="121" w:lineRule="exact"/>
        <w:rPr>
          <w:sz w:val="20"/>
          <w:szCs w:val="20"/>
          <w:color w:val="auto"/>
        </w:rPr>
      </w:pPr>
    </w:p>
    <w:p>
      <w:pPr>
        <w:ind w:left="1304" w:right="20" w:hanging="647"/>
        <w:spacing w:after="0" w:line="260" w:lineRule="auto"/>
        <w:rPr>
          <w:sz w:val="20"/>
          <w:szCs w:val="20"/>
          <w:color w:val="auto"/>
        </w:rPr>
      </w:pPr>
      <w:r>
        <w:rPr>
          <w:rFonts w:ascii="Arial" w:cs="Arial" w:eastAsia="Arial" w:hAnsi="Arial"/>
          <w:sz w:val="20"/>
          <w:szCs w:val="20"/>
          <w:color w:val="auto"/>
        </w:rPr>
        <w:t>13.7.1 agree to consent to a medical examination (at the Company’s expense) by a doctor nominated by the Company or your GP or any relevant consultant at any time should the Company so require; and</w:t>
      </w:r>
    </w:p>
    <w:p>
      <w:pPr>
        <w:spacing w:after="0" w:line="82" w:lineRule="exact"/>
        <w:rPr>
          <w:sz w:val="20"/>
          <w:szCs w:val="20"/>
          <w:color w:val="auto"/>
        </w:rPr>
      </w:pPr>
    </w:p>
    <w:p>
      <w:pPr>
        <w:ind w:left="1304" w:right="60" w:hanging="647"/>
        <w:spacing w:after="0" w:line="260" w:lineRule="auto"/>
        <w:rPr>
          <w:sz w:val="20"/>
          <w:szCs w:val="20"/>
          <w:color w:val="auto"/>
        </w:rPr>
      </w:pPr>
      <w:r>
        <w:rPr>
          <w:rFonts w:ascii="Arial" w:cs="Arial" w:eastAsia="Arial" w:hAnsi="Arial"/>
          <w:sz w:val="20"/>
          <w:szCs w:val="20"/>
          <w:color w:val="auto"/>
        </w:rPr>
        <w:t>13.7.2 authorise such medical practitioner to disclose to or discuss with the Company (or its medical adviser) any matters arising from such examination.</w:t>
      </w:r>
    </w:p>
    <w:p>
      <w:pPr>
        <w:spacing w:after="0" w:line="82" w:lineRule="exact"/>
        <w:rPr>
          <w:sz w:val="20"/>
          <w:szCs w:val="20"/>
          <w:color w:val="auto"/>
        </w:rPr>
      </w:pPr>
    </w:p>
    <w:p>
      <w:pPr>
        <w:ind w:left="644" w:right="520" w:hanging="647"/>
        <w:spacing w:after="0" w:line="316" w:lineRule="auto"/>
        <w:tabs>
          <w:tab w:leader="none" w:pos="624"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color w:val="auto"/>
        </w:rPr>
        <w:t>The rights of the Company to terminate the Appointment under the terms of this Contract apply even when such termination would or might cause you to forfeit any entitlement to sick pay, payments under the medical scheme, or other benefits.</w:t>
      </w:r>
    </w:p>
    <w:p>
      <w:pPr>
        <w:spacing w:after="0" w:line="272" w:lineRule="exact"/>
        <w:rPr>
          <w:sz w:val="20"/>
          <w:szCs w:val="20"/>
          <w:color w:val="auto"/>
        </w:rPr>
      </w:pPr>
    </w:p>
    <w:p>
      <w:pPr>
        <w:ind w:left="644" w:hanging="644"/>
        <w:spacing w:after="0"/>
        <w:tabs>
          <w:tab w:leader="none" w:pos="644" w:val="left"/>
        </w:tabs>
        <w:numPr>
          <w:ilvl w:val="0"/>
          <w:numId w:val="230"/>
        </w:numPr>
        <w:rPr>
          <w:rFonts w:ascii="Arial" w:cs="Arial" w:eastAsia="Arial" w:hAnsi="Arial"/>
          <w:sz w:val="20"/>
          <w:szCs w:val="20"/>
          <w:b w:val="1"/>
          <w:bCs w:val="1"/>
          <w:color w:val="auto"/>
        </w:rPr>
      </w:pPr>
      <w:r>
        <w:rPr>
          <w:rFonts w:ascii="Arial" w:cs="Arial" w:eastAsia="Arial" w:hAnsi="Arial"/>
          <w:sz w:val="20"/>
          <w:szCs w:val="20"/>
          <w:b w:val="1"/>
          <w:bCs w:val="1"/>
          <w:color w:val="auto"/>
        </w:rPr>
        <w:t>Sick Pay</w:t>
      </w:r>
    </w:p>
    <w:p>
      <w:pPr>
        <w:spacing w:after="0" w:line="127" w:lineRule="exact"/>
        <w:rPr>
          <w:sz w:val="20"/>
          <w:szCs w:val="20"/>
          <w:color w:val="auto"/>
        </w:rPr>
      </w:pPr>
    </w:p>
    <w:p>
      <w:pPr>
        <w:ind w:left="644" w:hanging="647"/>
        <w:spacing w:after="0" w:line="321" w:lineRule="auto"/>
        <w:tabs>
          <w:tab w:leader="none" w:pos="624"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color w:val="auto"/>
        </w:rPr>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39" w:lineRule="exact"/>
        <w:rPr>
          <w:sz w:val="20"/>
          <w:szCs w:val="20"/>
          <w:color w:val="auto"/>
        </w:rPr>
      </w:pPr>
    </w:p>
    <w:p>
      <w:pPr>
        <w:ind w:left="644" w:right="120" w:hanging="647"/>
        <w:spacing w:after="0" w:line="260" w:lineRule="auto"/>
        <w:tabs>
          <w:tab w:leader="none" w:pos="624"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color w:val="auto"/>
        </w:rPr>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86" w:lineRule="exact"/>
        <w:rPr>
          <w:sz w:val="20"/>
          <w:szCs w:val="20"/>
          <w:color w:val="auto"/>
        </w:rPr>
      </w:pPr>
    </w:p>
    <w:p>
      <w:pPr>
        <w:ind w:left="644" w:right="140" w:hanging="647"/>
        <w:spacing w:after="0" w:line="260" w:lineRule="auto"/>
        <w:tabs>
          <w:tab w:leader="none" w:pos="624" w:val="left"/>
        </w:tabs>
        <w:rPr>
          <w:sz w:val="20"/>
          <w:szCs w:val="20"/>
          <w:color w:val="auto"/>
        </w:rPr>
      </w:pPr>
      <w:r>
        <w:rPr>
          <w:rFonts w:ascii="Arial" w:cs="Arial" w:eastAsia="Arial" w:hAnsi="Arial"/>
          <w:sz w:val="20"/>
          <w:szCs w:val="20"/>
          <w:color w:val="auto"/>
        </w:rPr>
        <w:t>14.3</w:t>
        <w:tab/>
        <w:t>The Company reserves the right to withhold payment of Company sick pay if you fail to comply with the provisions of clause 13 or if you are subject to disciplinary proceedings.</w:t>
      </w:r>
    </w:p>
    <w:p>
      <w:pPr>
        <w:spacing w:after="0" w:line="319" w:lineRule="exact"/>
        <w:rPr>
          <w:sz w:val="20"/>
          <w:szCs w:val="20"/>
          <w:color w:val="auto"/>
        </w:rPr>
      </w:pPr>
    </w:p>
    <w:p>
      <w:pPr>
        <w:ind w:left="644" w:hanging="644"/>
        <w:spacing w:after="0"/>
        <w:tabs>
          <w:tab w:leader="none" w:pos="644" w:val="left"/>
        </w:tabs>
        <w:numPr>
          <w:ilvl w:val="0"/>
          <w:numId w:val="231"/>
        </w:numPr>
        <w:rPr>
          <w:rFonts w:ascii="Arial" w:cs="Arial" w:eastAsia="Arial" w:hAnsi="Arial"/>
          <w:sz w:val="20"/>
          <w:szCs w:val="20"/>
          <w:b w:val="1"/>
          <w:bCs w:val="1"/>
          <w:color w:val="auto"/>
        </w:rPr>
      </w:pPr>
      <w:r>
        <w:rPr>
          <w:rFonts w:ascii="Arial" w:cs="Arial" w:eastAsia="Arial" w:hAnsi="Arial"/>
          <w:sz w:val="20"/>
          <w:szCs w:val="20"/>
          <w:b w:val="1"/>
          <w:bCs w:val="1"/>
          <w:color w:val="auto"/>
        </w:rPr>
        <w:t>Other Benefits</w:t>
      </w:r>
    </w:p>
    <w:p>
      <w:pPr>
        <w:spacing w:after="0" w:line="121" w:lineRule="exact"/>
        <w:rPr>
          <w:sz w:val="20"/>
          <w:szCs w:val="20"/>
          <w:color w:val="auto"/>
        </w:rPr>
      </w:pPr>
    </w:p>
    <w:p>
      <w:pPr>
        <w:ind w:left="644" w:right="60" w:hanging="647"/>
        <w:spacing w:after="0" w:line="248" w:lineRule="auto"/>
        <w:tabs>
          <w:tab w:leader="none" w:pos="624"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0"/>
          <w:szCs w:val="20"/>
          <w:b w:val="1"/>
          <w:bCs w:val="1"/>
          <w:color w:val="auto"/>
        </w:rPr>
        <w:t xml:space="preserve">Pension. </w:t>
      </w:r>
      <w:r>
        <w:rPr>
          <w:rFonts w:ascii="Arial" w:cs="Arial" w:eastAsia="Arial" w:hAnsi="Arial"/>
          <w:sz w:val="20"/>
          <w:szCs w:val="20"/>
          <w:color w:val="auto"/>
        </w:rPr>
        <w:t>You are eligible to join the Company’s group personal pension scheme. Membership of and benefits under the scheme</w:t>
      </w:r>
      <w:r>
        <w:rPr>
          <w:rFonts w:ascii="Arial" w:cs="Arial" w:eastAsia="Arial" w:hAnsi="Arial"/>
          <w:sz w:val="20"/>
          <w:szCs w:val="20"/>
          <w:b w:val="1"/>
          <w:bCs w:val="1"/>
          <w:color w:val="auto"/>
        </w:rPr>
        <w:t xml:space="preserve"> </w:t>
      </w:r>
      <w:r>
        <w:rPr>
          <w:rFonts w:ascii="Arial" w:cs="Arial" w:eastAsia="Arial" w:hAnsi="Arial"/>
          <w:sz w:val="20"/>
          <w:szCs w:val="20"/>
          <w:color w:val="auto"/>
        </w:rPr>
        <w:t>are strictly subject to the rules of the scheme as amended from time to time. The Company expressly reserves the right in its discretion to amend or terminate the pension scheme. The Company shall contribute to the Company’s pension scheme an amount equal to 10% of your</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004"/>
          </w:cols>
          <w:pgMar w:left="436" w:top="271" w:right="459" w:bottom="1440" w:gutter="0" w:footer="0" w:header="0"/>
        </w:sectPr>
      </w:pPr>
    </w:p>
    <w:bookmarkStart w:id="295" w:name="page296"/>
    <w:bookmarkEnd w:id="295"/>
    <w:p>
      <w:pPr>
        <w:ind w:left="640"/>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 pro-rata amount equal to 10% of your basic salary in lieu of a pension contribution to you as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74" w:lineRule="exact"/>
        <w:rPr>
          <w:sz w:val="20"/>
          <w:szCs w:val="20"/>
          <w:color w:val="auto"/>
        </w:rPr>
      </w:pPr>
    </w:p>
    <w:p>
      <w:pPr>
        <w:ind w:left="640" w:right="540" w:hanging="647"/>
        <w:spacing w:after="0" w:line="260" w:lineRule="auto"/>
        <w:tabs>
          <w:tab w:leader="none" w:pos="620" w:val="left"/>
        </w:tabs>
        <w:rPr>
          <w:sz w:val="20"/>
          <w:szCs w:val="20"/>
          <w:color w:val="auto"/>
        </w:rPr>
      </w:pPr>
      <w:r>
        <w:rPr>
          <w:rFonts w:ascii="Arial" w:cs="Arial" w:eastAsia="Arial" w:hAnsi="Arial"/>
          <w:sz w:val="20"/>
          <w:szCs w:val="20"/>
          <w:color w:val="auto"/>
        </w:rPr>
        <w:t>15.2</w:t>
        <w:tab/>
        <w:t>The Company will comply with the employer pension duties in respect of your employment in accordance with Part I of the Pensions Act 2008.</w:t>
      </w:r>
    </w:p>
    <w:p>
      <w:pPr>
        <w:spacing w:after="0" w:line="8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color w:val="auto"/>
        </w:rPr>
        <w:t>A contracting-out certificate under the Pension Schemes Act 1993 is not in force in respect of the Appointment.</w:t>
      </w:r>
    </w:p>
    <w:p>
      <w:pPr>
        <w:spacing w:after="0" w:line="121" w:lineRule="exact"/>
        <w:rPr>
          <w:sz w:val="20"/>
          <w:szCs w:val="20"/>
          <w:color w:val="auto"/>
        </w:rPr>
      </w:pPr>
    </w:p>
    <w:p>
      <w:pPr>
        <w:jc w:val="both"/>
        <w:ind w:left="640" w:right="120" w:hanging="647"/>
        <w:spacing w:after="0" w:line="250" w:lineRule="auto"/>
        <w:tabs>
          <w:tab w:leader="none" w:pos="620" w:val="left"/>
        </w:tabs>
        <w:rPr>
          <w:sz w:val="20"/>
          <w:szCs w:val="20"/>
          <w:color w:val="auto"/>
        </w:rPr>
      </w:pPr>
      <w:r>
        <w:rPr>
          <w:rFonts w:ascii="Arial" w:cs="Arial" w:eastAsia="Arial" w:hAnsi="Arial"/>
          <w:sz w:val="20"/>
          <w:szCs w:val="20"/>
          <w:color w:val="auto"/>
        </w:rPr>
        <w:t>15.4</w:t>
        <w:tab/>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85" w:lineRule="exact"/>
        <w:rPr>
          <w:sz w:val="20"/>
          <w:szCs w:val="20"/>
          <w:color w:val="auto"/>
        </w:rPr>
      </w:pPr>
    </w:p>
    <w:p>
      <w:pPr>
        <w:ind w:left="1300" w:right="700" w:hanging="647"/>
        <w:spacing w:after="0" w:line="267" w:lineRule="auto"/>
        <w:rPr>
          <w:sz w:val="20"/>
          <w:szCs w:val="20"/>
          <w:color w:val="auto"/>
        </w:rPr>
      </w:pPr>
      <w:r>
        <w:rPr>
          <w:rFonts w:ascii="Arial" w:cs="Arial" w:eastAsia="Arial" w:hAnsi="Arial"/>
          <w:sz w:val="20"/>
          <w:szCs w:val="20"/>
          <w:color w:val="auto"/>
        </w:rPr>
        <w:t xml:space="preserve">15.4.1 </w:t>
      </w:r>
      <w:r>
        <w:rPr>
          <w:rFonts w:ascii="Arial" w:cs="Arial" w:eastAsia="Arial" w:hAnsi="Arial"/>
          <w:sz w:val="20"/>
          <w:szCs w:val="20"/>
          <w:b w:val="1"/>
          <w:bCs w:val="1"/>
          <w:color w:val="auto"/>
        </w:rPr>
        <w:t>Medical Scheme.</w:t>
      </w:r>
      <w:r>
        <w:rPr>
          <w:rFonts w:ascii="Arial" w:cs="Arial" w:eastAsia="Arial" w:hAnsi="Arial"/>
          <w:sz w:val="20"/>
          <w:szCs w:val="20"/>
          <w:color w:val="auto"/>
        </w:rPr>
        <w:t xml:space="preserve"> You and your immediate family shall be entitled to participate in the medical insurance scheme maintained from time to time by the Company for the benefit of employees.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15.4.2  </w:t>
      </w:r>
      <w:r>
        <w:rPr>
          <w:rFonts w:ascii="Arial" w:cs="Arial" w:eastAsia="Arial" w:hAnsi="Arial"/>
          <w:sz w:val="20"/>
          <w:szCs w:val="20"/>
          <w:b w:val="1"/>
          <w:bCs w:val="1"/>
          <w:color w:val="auto"/>
        </w:rPr>
        <w:t>Life Assurance Scheme.</w:t>
      </w:r>
      <w:r>
        <w:rPr>
          <w:rFonts w:ascii="Arial" w:cs="Arial" w:eastAsia="Arial" w:hAnsi="Arial"/>
          <w:sz w:val="20"/>
          <w:szCs w:val="20"/>
          <w:color w:val="auto"/>
        </w:rPr>
        <w:t xml:space="preserve"> The Company shall maintain for you life assurance of four times your Salary.</w:t>
      </w:r>
    </w:p>
    <w:p>
      <w:pPr>
        <w:spacing w:after="0" w:line="121" w:lineRule="exact"/>
        <w:rPr>
          <w:sz w:val="20"/>
          <w:szCs w:val="20"/>
          <w:color w:val="auto"/>
        </w:rPr>
      </w:pPr>
    </w:p>
    <w:p>
      <w:pPr>
        <w:ind w:left="1300" w:right="60" w:hanging="647"/>
        <w:spacing w:after="0" w:line="267" w:lineRule="auto"/>
        <w:rPr>
          <w:sz w:val="20"/>
          <w:szCs w:val="20"/>
          <w:color w:val="auto"/>
        </w:rPr>
      </w:pPr>
      <w:r>
        <w:rPr>
          <w:rFonts w:ascii="Arial" w:cs="Arial" w:eastAsia="Arial" w:hAnsi="Arial"/>
          <w:sz w:val="20"/>
          <w:szCs w:val="20"/>
          <w:color w:val="auto"/>
        </w:rPr>
        <w:t xml:space="preserve">15.4.3 </w:t>
      </w:r>
      <w:r>
        <w:rPr>
          <w:rFonts w:ascii="Arial" w:cs="Arial" w:eastAsia="Arial" w:hAnsi="Arial"/>
          <w:sz w:val="20"/>
          <w:szCs w:val="20"/>
          <w:b w:val="1"/>
          <w:bCs w:val="1"/>
          <w:color w:val="auto"/>
        </w:rPr>
        <w:t>Income protection.</w:t>
      </w:r>
      <w:r>
        <w:rPr>
          <w:rFonts w:ascii="Arial" w:cs="Arial" w:eastAsia="Arial" w:hAnsi="Arial"/>
          <w:sz w:val="20"/>
          <w:szCs w:val="20"/>
          <w:color w:val="auto"/>
        </w:rPr>
        <w:t xml:space="preserve"> You will be eligible to participate in such income protection schemes as the Company may from time to time operate for employees of your level.</w:t>
      </w:r>
    </w:p>
    <w:p>
      <w:pPr>
        <w:spacing w:after="0" w:line="75" w:lineRule="exact"/>
        <w:rPr>
          <w:sz w:val="20"/>
          <w:szCs w:val="20"/>
          <w:color w:val="auto"/>
        </w:rPr>
      </w:pPr>
    </w:p>
    <w:p>
      <w:pPr>
        <w:ind w:left="640" w:right="40" w:hanging="647"/>
        <w:spacing w:after="0" w:line="250" w:lineRule="auto"/>
        <w:tabs>
          <w:tab w:leader="none" w:pos="620" w:val="left"/>
        </w:tabs>
        <w:rPr>
          <w:sz w:val="20"/>
          <w:szCs w:val="20"/>
          <w:color w:val="auto"/>
        </w:rPr>
      </w:pPr>
      <w:r>
        <w:rPr>
          <w:rFonts w:ascii="Arial" w:cs="Arial" w:eastAsia="Arial" w:hAnsi="Arial"/>
          <w:sz w:val="20"/>
          <w:szCs w:val="20"/>
          <w:color w:val="auto"/>
        </w:rPr>
        <w:t>15.5</w:t>
        <w:tab/>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9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6"/>
          <w:szCs w:val="16"/>
          <w:color w:val="auto"/>
        </w:rPr>
        <w:t>Participation in any insurance or assurance scheme provided for you under this Contract: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15.6.1  is absolutely subject to its terms and conditions from time to time in force;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15.6.2  is conditional on you satisfying any applicable requirements of the insurers;</w:t>
      </w:r>
    </w:p>
    <w:p>
      <w:pPr>
        <w:spacing w:after="0" w:line="121" w:lineRule="exact"/>
        <w:rPr>
          <w:sz w:val="20"/>
          <w:szCs w:val="20"/>
          <w:color w:val="auto"/>
        </w:rPr>
      </w:pPr>
    </w:p>
    <w:p>
      <w:pPr>
        <w:ind w:left="1960" w:right="440" w:hanging="647"/>
        <w:spacing w:after="0" w:line="316" w:lineRule="auto"/>
        <w:rPr>
          <w:sz w:val="20"/>
          <w:szCs w:val="20"/>
          <w:color w:val="auto"/>
        </w:rPr>
      </w:pPr>
      <w:r>
        <w:rPr>
          <w:rFonts w:ascii="Arial" w:cs="Arial" w:eastAsia="Arial" w:hAnsi="Arial"/>
          <w:sz w:val="18"/>
          <w:szCs w:val="18"/>
          <w:color w:val="auto"/>
        </w:rPr>
        <w:t>15.6.3 is subject to you and any insured dependants satisfying the normal underwriting requirements of the relevant insurance provider and the relevant premium being at a rate which the Company considers reasonable; and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000"/>
          </w:cols>
          <w:pgMar w:left="440" w:top="271" w:right="459" w:bottom="1440" w:gutter="0" w:footer="0" w:header="0"/>
        </w:sectPr>
      </w:pPr>
    </w:p>
    <w:bookmarkStart w:id="296" w:name="page297"/>
    <w:bookmarkEnd w:id="296"/>
    <w:p>
      <w:pPr>
        <w:ind w:left="1304"/>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15.6.4  will end when you attain whichever is the greater of the age of 65 and the state pensionable age.</w:t>
      </w:r>
    </w:p>
    <w:p>
      <w:pPr>
        <w:spacing w:after="0" w:line="12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16"/>
          <w:szCs w:val="16"/>
          <w:color w:val="auto"/>
        </w:rPr>
        <w:t>The Company reserves the right at any time, on three months’ written notice, to withdraw any insurance or other benefits set out in</w:t>
      </w:r>
    </w:p>
    <w:p>
      <w:pPr>
        <w:spacing w:after="0" w:line="16" w:lineRule="exact"/>
        <w:rPr>
          <w:sz w:val="20"/>
          <w:szCs w:val="20"/>
          <w:color w:val="auto"/>
        </w:rPr>
      </w:pPr>
    </w:p>
    <w:p>
      <w:pPr>
        <w:ind w:left="644" w:right="60"/>
        <w:spacing w:after="0" w:line="241" w:lineRule="auto"/>
        <w:rPr>
          <w:sz w:val="20"/>
          <w:szCs w:val="20"/>
          <w:color w:val="auto"/>
        </w:rPr>
      </w:pPr>
      <w:r>
        <w:rPr>
          <w:rFonts w:ascii="Arial" w:cs="Arial" w:eastAsia="Arial" w:hAnsi="Arial"/>
          <w:sz w:val="20"/>
          <w:szCs w:val="20"/>
          <w:color w:val="auto"/>
        </w:rPr>
        <w:t>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101" w:lineRule="exact"/>
        <w:rPr>
          <w:sz w:val="20"/>
          <w:szCs w:val="20"/>
          <w:color w:val="auto"/>
        </w:rPr>
      </w:pPr>
    </w:p>
    <w:p>
      <w:pPr>
        <w:ind w:left="644" w:right="60" w:hanging="647"/>
        <w:spacing w:after="0" w:line="243" w:lineRule="auto"/>
        <w:tabs>
          <w:tab w:leader="none" w:pos="624" w:val="left"/>
        </w:tabs>
        <w:rPr>
          <w:sz w:val="20"/>
          <w:szCs w:val="20"/>
          <w:color w:val="auto"/>
        </w:rPr>
      </w:pPr>
      <w:r>
        <w:rPr>
          <w:rFonts w:ascii="Arial" w:cs="Arial" w:eastAsia="Arial" w:hAnsi="Arial"/>
          <w:sz w:val="20"/>
          <w:szCs w:val="20"/>
          <w:color w:val="auto"/>
        </w:rPr>
        <w:t>15.8</w:t>
        <w:tab/>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338" w:lineRule="exact"/>
        <w:rPr>
          <w:sz w:val="20"/>
          <w:szCs w:val="20"/>
          <w:color w:val="auto"/>
        </w:rPr>
      </w:pPr>
    </w:p>
    <w:p>
      <w:pPr>
        <w:ind w:left="644" w:hanging="644"/>
        <w:spacing w:after="0"/>
        <w:tabs>
          <w:tab w:leader="none" w:pos="644" w:val="left"/>
        </w:tabs>
        <w:numPr>
          <w:ilvl w:val="0"/>
          <w:numId w:val="232"/>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127" w:lineRule="exact"/>
        <w:rPr>
          <w:sz w:val="20"/>
          <w:szCs w:val="20"/>
          <w:color w:val="auto"/>
        </w:rPr>
      </w:pPr>
    </w:p>
    <w:p>
      <w:pPr>
        <w:ind w:left="644" w:right="160" w:hanging="647"/>
        <w:spacing w:after="0" w:line="260" w:lineRule="auto"/>
        <w:tabs>
          <w:tab w:leader="none" w:pos="624" w:val="left"/>
        </w:tabs>
        <w:rPr>
          <w:sz w:val="20"/>
          <w:szCs w:val="20"/>
          <w:color w:val="auto"/>
        </w:rPr>
      </w:pPr>
      <w:r>
        <w:rPr>
          <w:rFonts w:ascii="Arial" w:cs="Arial" w:eastAsia="Arial" w:hAnsi="Arial"/>
          <w:sz w:val="20"/>
          <w:szCs w:val="20"/>
          <w:color w:val="auto"/>
        </w:rPr>
        <w:t>16.1</w:t>
        <w:tab/>
        <w:t>You agree and acknowledge that during the course of your employment and in pursuance of the discharge of your duties you will make, create, produce and generate intellectual property rights, including Inventions.</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Inventions</w:t>
      </w:r>
    </w:p>
    <w:p>
      <w:pPr>
        <w:spacing w:after="0" w:line="121" w:lineRule="exact"/>
        <w:rPr>
          <w:sz w:val="20"/>
          <w:szCs w:val="20"/>
          <w:color w:val="auto"/>
        </w:rPr>
      </w:pPr>
    </w:p>
    <w:p>
      <w:pPr>
        <w:ind w:left="1304" w:hanging="647"/>
        <w:spacing w:after="0" w:line="291" w:lineRule="auto"/>
        <w:rPr>
          <w:sz w:val="20"/>
          <w:szCs w:val="20"/>
          <w:color w:val="auto"/>
        </w:rPr>
      </w:pPr>
      <w:r>
        <w:rPr>
          <w:rFonts w:ascii="Arial" w:cs="Arial" w:eastAsia="Arial" w:hAnsi="Arial"/>
          <w:sz w:val="18"/>
          <w:szCs w:val="18"/>
          <w:color w:val="auto"/>
        </w:rPr>
        <w:t>16.2.1 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18"/>
          <w:szCs w:val="18"/>
          <w:b w:val="1"/>
          <w:bCs w:val="1"/>
          <w:color w:val="auto"/>
        </w:rPr>
        <w:t>an Invention</w:t>
      </w:r>
      <w:r>
        <w:rPr>
          <w:rFonts w:ascii="Arial" w:cs="Arial" w:eastAsia="Arial" w:hAnsi="Arial"/>
          <w:sz w:val="18"/>
          <w:szCs w:val="18"/>
          <w:color w:val="auto"/>
        </w:rPr>
        <w:t>”), you shall promptly give to a Director of the Company full written details thereof.</w:t>
      </w:r>
    </w:p>
    <w:p>
      <w:pPr>
        <w:spacing w:after="0" w:line="57" w:lineRule="exact"/>
        <w:rPr>
          <w:sz w:val="20"/>
          <w:szCs w:val="20"/>
          <w:color w:val="auto"/>
        </w:rPr>
      </w:pPr>
    </w:p>
    <w:p>
      <w:pPr>
        <w:ind w:left="1304" w:right="200" w:hanging="647"/>
        <w:spacing w:after="0" w:line="244" w:lineRule="auto"/>
        <w:rPr>
          <w:sz w:val="20"/>
          <w:szCs w:val="20"/>
          <w:color w:val="auto"/>
        </w:rPr>
      </w:pPr>
      <w:r>
        <w:rPr>
          <w:rFonts w:ascii="Arial" w:cs="Arial" w:eastAsia="Arial" w:hAnsi="Arial"/>
          <w:sz w:val="20"/>
          <w:szCs w:val="20"/>
          <w:color w:val="auto"/>
        </w:rPr>
        <w:t>16.2.2 If the Invention is a patentable invention within the meaning of Section 1 of the Patents Act 1977 and, according to the provisions of Section 39 of that Act it belongs to you (“</w:t>
      </w:r>
      <w:r>
        <w:rPr>
          <w:rFonts w:ascii="Arial" w:cs="Arial" w:eastAsia="Arial" w:hAnsi="Arial"/>
          <w:sz w:val="20"/>
          <w:szCs w:val="20"/>
          <w:b w:val="1"/>
          <w:bCs w:val="1"/>
          <w:color w:val="auto"/>
        </w:rPr>
        <w:t>Personal Invention</w:t>
      </w:r>
      <w:r>
        <w:rPr>
          <w:rFonts w:ascii="Arial" w:cs="Arial" w:eastAsia="Arial" w:hAnsi="Arial"/>
          <w:sz w:val="20"/>
          <w:szCs w:val="20"/>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100" w:lineRule="exact"/>
        <w:rPr>
          <w:sz w:val="20"/>
          <w:szCs w:val="20"/>
          <w:color w:val="auto"/>
        </w:rPr>
      </w:pPr>
    </w:p>
    <w:p>
      <w:pPr>
        <w:ind w:left="1304" w:right="20" w:hanging="647"/>
        <w:spacing w:after="0" w:line="316" w:lineRule="auto"/>
        <w:rPr>
          <w:sz w:val="20"/>
          <w:szCs w:val="20"/>
          <w:color w:val="auto"/>
        </w:rPr>
      </w:pPr>
      <w:r>
        <w:rPr>
          <w:rFonts w:ascii="Arial" w:cs="Arial" w:eastAsia="Arial" w:hAnsi="Arial"/>
          <w:sz w:val="16"/>
          <w:szCs w:val="16"/>
          <w:color w:val="auto"/>
        </w:rPr>
        <w:t>16.2.3 Subject to clause 16.2.4, any Invention created in the course of your employment by the Company shall belong to the Company (“</w:t>
      </w:r>
      <w:r>
        <w:rPr>
          <w:rFonts w:ascii="Arial" w:cs="Arial" w:eastAsia="Arial" w:hAnsi="Arial"/>
          <w:sz w:val="16"/>
          <w:szCs w:val="16"/>
          <w:b w:val="1"/>
          <w:bCs w:val="1"/>
          <w:color w:val="auto"/>
        </w:rPr>
        <w:t>Company Inventions</w:t>
      </w:r>
      <w:r>
        <w:rPr>
          <w:rFonts w:ascii="Arial" w:cs="Arial" w:eastAsia="Arial" w:hAnsi="Arial"/>
          <w:sz w:val="16"/>
          <w:szCs w:val="16"/>
          <w:color w:val="auto"/>
        </w:rPr>
        <w:t>”). Any and all intellectual property rights in or relating to any and all such Company Inventions shall be owned by the Company. You hereby irrevocably assign to the Company (by way of present assignment of present and future rights) with full title guarantee absolutely and free from all encumbrances all right, title and interest in and to all intellectual property rights in or relating to Company Inventions and all materials embodying such rights to the fullest extent permitted by law together with all accrued rights of action in respect of any infringement of such rights.</w:t>
      </w:r>
    </w:p>
    <w:p>
      <w:pPr>
        <w:spacing w:after="0" w:line="6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024"/>
          </w:cols>
          <w:pgMar w:left="436" w:top="271" w:right="439" w:bottom="1440" w:gutter="0" w:footer="0" w:header="0"/>
        </w:sectPr>
      </w:pPr>
    </w:p>
    <w:bookmarkStart w:id="297" w:name="page298"/>
    <w:bookmarkEnd w:id="297"/>
    <w:p>
      <w:pPr>
        <w:ind w:left="1420" w:right="40"/>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they do not so vest automatically by operation of law or under this Contract, you shall hold all such rights and inventions on trust for the exclusive benefit of the Company, and shall not transfer them to a third party or encumber them and shall on demand assign them to the Company without payment or other condition. You shall execute (both during and after the termination of your employment) all documents and do all things necessary to substantiate the Company’s rights in Company Inventions and to obtain registration or protection thereof in the Company’s name in any country.</w:t>
      </w:r>
    </w:p>
    <w:p>
      <w:pPr>
        <w:spacing w:after="0" w:line="101" w:lineRule="exact"/>
        <w:rPr>
          <w:sz w:val="20"/>
          <w:szCs w:val="20"/>
          <w:color w:val="auto"/>
        </w:rPr>
      </w:pPr>
    </w:p>
    <w:p>
      <w:pPr>
        <w:ind w:left="1300" w:right="140" w:hanging="647"/>
        <w:spacing w:after="0" w:line="272" w:lineRule="auto"/>
        <w:rPr>
          <w:sz w:val="20"/>
          <w:szCs w:val="20"/>
          <w:color w:val="auto"/>
        </w:rPr>
      </w:pPr>
      <w:r>
        <w:rPr>
          <w:rFonts w:ascii="Arial" w:cs="Arial" w:eastAsia="Arial" w:hAnsi="Arial"/>
          <w:sz w:val="18"/>
          <w:szCs w:val="18"/>
          <w:color w:val="auto"/>
        </w:rPr>
        <w:t>16.2.4 Where the Company Invention relates to a chemical compound, being the chemical compound itself of assets associated therewith (“</w:t>
      </w:r>
      <w:r>
        <w:rPr>
          <w:rFonts w:ascii="Arial" w:cs="Arial" w:eastAsia="Arial" w:hAnsi="Arial"/>
          <w:sz w:val="18"/>
          <w:szCs w:val="18"/>
          <w:b w:val="1"/>
          <w:bCs w:val="1"/>
          <w:color w:val="auto"/>
        </w:rPr>
        <w:t>Compounds</w:t>
      </w:r>
      <w:r>
        <w:rPr>
          <w:rFonts w:ascii="Arial" w:cs="Arial" w:eastAsia="Arial" w:hAnsi="Arial"/>
          <w:sz w:val="18"/>
          <w:szCs w:val="18"/>
          <w:color w:val="auto"/>
        </w:rPr>
        <w:t>”), any and all intellectual property rights in or relating to that Company Invention shall, with effect from their creation, automatically belong to and vest in the Subsidiary formed to undertake the research, development or commercialisation of that Compound. Insofar as they do not so vest automatically by operation of law or under this Contract, you shall hold all such rights and inventions on trust for the exclusive benefit of the Subsidiary, and shall not transfer them to a third party or encumber them and shall on demand assign them to the Subsidiary without payment or other condition. You shall execute (both during and after the termination of your employment) all documents and do all things necessary to substantiate the Subsidiary’s rights in the Compounds and to obtain registration or protection thereof in the Subsidiary’s name in any country.</w:t>
      </w:r>
    </w:p>
    <w:p>
      <w:pPr>
        <w:spacing w:after="0" w:line="76" w:lineRule="exact"/>
        <w:rPr>
          <w:sz w:val="20"/>
          <w:szCs w:val="20"/>
          <w:color w:val="auto"/>
        </w:rPr>
      </w:pPr>
    </w:p>
    <w:p>
      <w:pPr>
        <w:ind w:left="1300" w:right="140" w:hanging="647"/>
        <w:spacing w:after="0" w:line="243" w:lineRule="auto"/>
        <w:rPr>
          <w:sz w:val="20"/>
          <w:szCs w:val="20"/>
          <w:color w:val="auto"/>
        </w:rPr>
      </w:pPr>
      <w:r>
        <w:rPr>
          <w:rFonts w:ascii="Arial" w:cs="Arial" w:eastAsia="Arial" w:hAnsi="Arial"/>
          <w:sz w:val="20"/>
          <w:szCs w:val="20"/>
          <w:color w:val="auto"/>
        </w:rPr>
        <w:t>16.2.5 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color w:val="auto"/>
        </w:rPr>
        <w:t>Copyright and other rights</w:t>
      </w:r>
    </w:p>
    <w:p>
      <w:pPr>
        <w:spacing w:after="0" w:line="121" w:lineRule="exact"/>
        <w:rPr>
          <w:sz w:val="20"/>
          <w:szCs w:val="20"/>
          <w:color w:val="auto"/>
        </w:rPr>
      </w:pPr>
    </w:p>
    <w:p>
      <w:pPr>
        <w:ind w:left="1300" w:hanging="647"/>
        <w:spacing w:after="0" w:line="272" w:lineRule="auto"/>
        <w:rPr>
          <w:sz w:val="20"/>
          <w:szCs w:val="20"/>
          <w:color w:val="auto"/>
        </w:rPr>
      </w:pPr>
      <w:r>
        <w:rPr>
          <w:rFonts w:ascii="Arial" w:cs="Arial" w:eastAsia="Arial" w:hAnsi="Arial"/>
          <w:sz w:val="18"/>
          <w:szCs w:val="18"/>
          <w:color w:val="auto"/>
        </w:rPr>
        <w:t>16.3.1 If while employed by the Company you, whether on your own or with any other person, create any copyright work or design (including without limitation any literary, dramatic, musical or artistic work, and any film, 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8"/>
          <w:szCs w:val="18"/>
          <w:b w:val="1"/>
          <w:bCs w:val="1"/>
          <w:color w:val="auto"/>
        </w:rPr>
        <w:t>Protected Work</w:t>
      </w:r>
      <w:r>
        <w:rPr>
          <w:rFonts w:ascii="Arial" w:cs="Arial" w:eastAsia="Arial" w:hAnsi="Arial"/>
          <w:sz w:val="18"/>
          <w:szCs w:val="18"/>
          <w:color w:val="auto"/>
        </w:rPr>
        <w:t>”), you shall promptly disclose to the Chief Executive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000"/>
          </w:cols>
          <w:pgMar w:left="440" w:top="271" w:right="459" w:bottom="1440" w:gutter="0" w:footer="0" w:header="0"/>
        </w:sectPr>
      </w:pPr>
    </w:p>
    <w:bookmarkStart w:id="298" w:name="page299"/>
    <w:bookmarkEnd w:id="298"/>
    <w:p>
      <w:pPr>
        <w:ind w:left="1300" w:right="100" w:hanging="647"/>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16.3.2 All proprietary rights in any Protected Work created by you in the course of your employment by the Company shall automatically vest in the Company, save that where a Protected Work relates to a Compound, all proprietary rights in that Protected Work shall, with effect from their creation, automatically belong to and vest in the Subsidiary formed to undertake the research, development or commercialisation of that Compound.</w:t>
      </w:r>
    </w:p>
    <w:p>
      <w:pPr>
        <w:spacing w:after="0" w:line="82" w:lineRule="exact"/>
        <w:rPr>
          <w:sz w:val="20"/>
          <w:szCs w:val="20"/>
          <w:color w:val="auto"/>
        </w:rPr>
      </w:pPr>
    </w:p>
    <w:p>
      <w:pPr>
        <w:ind w:left="1300" w:right="40" w:hanging="647"/>
        <w:spacing w:after="0" w:line="257" w:lineRule="auto"/>
        <w:rPr>
          <w:sz w:val="20"/>
          <w:szCs w:val="20"/>
          <w:color w:val="auto"/>
        </w:rPr>
      </w:pPr>
      <w:r>
        <w:rPr>
          <w:rFonts w:ascii="Arial" w:cs="Arial" w:eastAsia="Arial" w:hAnsi="Arial"/>
          <w:sz w:val="19"/>
          <w:szCs w:val="19"/>
          <w:color w:val="auto"/>
        </w:rPr>
        <w:t>16.3.3 To the extent that the Company, or, in the case of a Compound, the Subsidiary is not already the owner of the copyright, design rights, trade marks, database rights and other intellectual or industrial and commercial property rights (“</w:t>
      </w:r>
      <w:r>
        <w:rPr>
          <w:rFonts w:ascii="Arial" w:cs="Arial" w:eastAsia="Arial" w:hAnsi="Arial"/>
          <w:sz w:val="19"/>
          <w:szCs w:val="19"/>
          <w:b w:val="1"/>
          <w:b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color w:val="auto"/>
        </w:rPr>
        <w:t>Rights</w:t>
      </w:r>
      <w:r>
        <w:rPr>
          <w:rFonts w:ascii="Arial" w:cs="Arial" w:eastAsia="Arial" w:hAnsi="Arial"/>
          <w:sz w:val="19"/>
          <w:szCs w:val="19"/>
          <w:color w:val="auto"/>
        </w:rPr>
        <w:t>”) in a Protected Work pursuant to clause 16.3.2 you shall hold the Protected Work and the Rights on trust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Subsidiary (as appropriate)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or Subsidiary (as appropriate) absolutely together with all accrued rights of action in respect of any infringement of the same.</w:t>
      </w:r>
    </w:p>
    <w:p>
      <w:pPr>
        <w:spacing w:after="0" w:line="86" w:lineRule="exact"/>
        <w:rPr>
          <w:sz w:val="20"/>
          <w:szCs w:val="20"/>
          <w:color w:val="auto"/>
        </w:rPr>
      </w:pPr>
    </w:p>
    <w:p>
      <w:pPr>
        <w:ind w:left="640" w:hanging="647"/>
        <w:spacing w:after="0" w:line="321" w:lineRule="auto"/>
        <w:tabs>
          <w:tab w:leader="none" w:pos="62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6"/>
          <w:szCs w:val="16"/>
          <w:color w:val="auto"/>
        </w:rPr>
        <w:t>You shall, without charge to but at the cost of the Company, execute all documents and do all acts, things and matters beneficial to, required or necessary (both during and after the termination of your employment) to vest rights in the Company (or its Subsidiary, or its successors, as appropriate), or substantiate the Company’s (or its Subsidiary’s, or its successor’s, as appropriate) rights, in any Company Inventions, the Rights and Protected Works and to obtain protection for the Company Inventions, Rights and Protected Works in the Company’s (or its Subsidiary’s or its successor’s, as appropriate) name in any country.</w:t>
      </w:r>
    </w:p>
    <w:p>
      <w:pPr>
        <w:spacing w:after="0" w:line="39" w:lineRule="exact"/>
        <w:rPr>
          <w:sz w:val="20"/>
          <w:szCs w:val="20"/>
          <w:color w:val="auto"/>
        </w:rPr>
      </w:pPr>
    </w:p>
    <w:p>
      <w:pPr>
        <w:ind w:left="640" w:right="140" w:hanging="647"/>
        <w:spacing w:after="0" w:line="246" w:lineRule="auto"/>
        <w:tabs>
          <w:tab w:leader="none" w:pos="620" w:val="left"/>
        </w:tabs>
        <w:rPr>
          <w:sz w:val="20"/>
          <w:szCs w:val="20"/>
          <w:color w:val="auto"/>
        </w:rPr>
      </w:pPr>
      <w:r>
        <w:rPr>
          <w:rFonts w:ascii="Arial" w:cs="Arial" w:eastAsia="Arial" w:hAnsi="Arial"/>
          <w:sz w:val="20"/>
          <w:szCs w:val="20"/>
          <w:color w:val="auto"/>
        </w:rPr>
        <w:t>16.5</w:t>
        <w:tab/>
        <w:t>Should you create a Company Invention or any Rights in a Protected Work in relation to a Compound for which a Subsidiary has not yet been formed at the time of such creation, you agree to hold such Company Invention and Rights on trust pending the formation of such Subsidiary and shall be deemed automatically to have assigned such Company Invention and Rights to that Subsidiary from the moment it becomes a Group Company.</w:t>
      </w:r>
    </w:p>
    <w:p>
      <w:pPr>
        <w:spacing w:after="0" w:line="97" w:lineRule="exact"/>
        <w:rPr>
          <w:sz w:val="20"/>
          <w:szCs w:val="20"/>
          <w:color w:val="auto"/>
        </w:rPr>
      </w:pPr>
    </w:p>
    <w:p>
      <w:pPr>
        <w:ind w:left="640" w:right="100" w:hanging="647"/>
        <w:spacing w:after="0" w:line="246" w:lineRule="auto"/>
        <w:tabs>
          <w:tab w:leader="none" w:pos="620" w:val="left"/>
        </w:tabs>
        <w:rPr>
          <w:sz w:val="20"/>
          <w:szCs w:val="20"/>
          <w:color w:val="auto"/>
        </w:rPr>
      </w:pPr>
      <w:r>
        <w:rPr>
          <w:rFonts w:ascii="Arial" w:cs="Arial" w:eastAsia="Arial" w:hAnsi="Arial"/>
          <w:sz w:val="20"/>
          <w:szCs w:val="20"/>
          <w:color w:val="auto"/>
        </w:rPr>
        <w:t>16.6</w:t>
        <w:tab/>
        <w:t>To the extent permitted by law, you hereby irrevocably and unconditionally waive any and all moral rights conferred by Chapter IV of the Copyright Designs and Patents Act 1988 or any rights of a similar nature under laws now or in the future in force in any other jurisdiction in and to any and all Protected Work, such waiver being given in favour of the Company, its successors in title and assigns.</w:t>
      </w:r>
    </w:p>
    <w:p>
      <w:pPr>
        <w:spacing w:after="0" w:line="97" w:lineRule="exact"/>
        <w:rPr>
          <w:sz w:val="20"/>
          <w:szCs w:val="20"/>
          <w:color w:val="auto"/>
        </w:rPr>
      </w:pPr>
    </w:p>
    <w:p>
      <w:pPr>
        <w:jc w:val="both"/>
        <w:ind w:left="640" w:right="100" w:hanging="647"/>
        <w:spacing w:after="0" w:line="282" w:lineRule="auto"/>
        <w:tabs>
          <w:tab w:leader="none" w:pos="62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You hereby irrevocably appoint the Company to be your attorney to execute and do any such instrument or thing and generally to use your name for the purpose of giving the Company or its nominee the benefit of this clause 16 and acknowledge in favour of a third party that a certificate in writing signed by any Director or the Company Secretary that any instrument or act falls within the authority conferred by this clause 16 shall be conclusive evidence that such is the case.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000"/>
          </w:cols>
          <w:pgMar w:left="440" w:top="271" w:right="459" w:bottom="1440" w:gutter="0" w:footer="0" w:header="0"/>
        </w:sectPr>
      </w:pPr>
    </w:p>
    <w:bookmarkStart w:id="299" w:name="page300"/>
    <w:bookmarkEnd w:id="299"/>
    <w:p>
      <w:pPr>
        <w:ind w:left="644" w:right="20" w:hanging="647"/>
        <w:spacing w:after="0" w:line="260"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16.8</w:t>
        <w:tab/>
        <w:t>The provisions of this clause 16 will not be affected by the termination of this Contract for whatever reason and will continue after it ends.</w:t>
      </w:r>
    </w:p>
    <w:p>
      <w:pPr>
        <w:spacing w:after="0" w:line="319" w:lineRule="exact"/>
        <w:rPr>
          <w:sz w:val="20"/>
          <w:szCs w:val="20"/>
          <w:color w:val="auto"/>
        </w:rPr>
      </w:pPr>
    </w:p>
    <w:p>
      <w:pPr>
        <w:ind w:left="644" w:hanging="644"/>
        <w:spacing w:after="0"/>
        <w:tabs>
          <w:tab w:leader="none" w:pos="644" w:val="left"/>
        </w:tabs>
        <w:numPr>
          <w:ilvl w:val="0"/>
          <w:numId w:val="233"/>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27" w:lineRule="exact"/>
        <w:rPr>
          <w:sz w:val="20"/>
          <w:szCs w:val="20"/>
          <w:color w:val="auto"/>
        </w:rPr>
      </w:pPr>
    </w:p>
    <w:p>
      <w:pPr>
        <w:ind w:left="644" w:right="160" w:hanging="647"/>
        <w:spacing w:after="0" w:line="260" w:lineRule="auto"/>
        <w:tabs>
          <w:tab w:leader="none" w:pos="624" w:val="left"/>
        </w:tabs>
        <w:rPr>
          <w:sz w:val="20"/>
          <w:szCs w:val="20"/>
          <w:color w:val="auto"/>
        </w:rPr>
      </w:pPr>
      <w:r>
        <w:rPr>
          <w:rFonts w:ascii="Arial" w:cs="Arial" w:eastAsia="Arial" w:hAnsi="Arial"/>
          <w:sz w:val="20"/>
          <w:szCs w:val="20"/>
          <w:color w:val="auto"/>
        </w:rPr>
        <w:t>17.1</w:t>
        <w:tab/>
        <w:t>You acknowledge that in the course of the Appointment you will have access to Confidential Information. You therefore agree to accept the restrictions in this clause 17.</w:t>
      </w:r>
    </w:p>
    <w:p>
      <w:pPr>
        <w:spacing w:after="0" w:line="82" w:lineRule="exact"/>
        <w:rPr>
          <w:sz w:val="20"/>
          <w:szCs w:val="20"/>
          <w:color w:val="auto"/>
        </w:rPr>
      </w:pPr>
    </w:p>
    <w:p>
      <w:pPr>
        <w:ind w:left="644" w:right="40" w:hanging="647"/>
        <w:spacing w:after="0" w:line="269" w:lineRule="auto"/>
        <w:tabs>
          <w:tab w:leader="none" w:pos="624"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color w:val="auto"/>
        </w:rPr>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75"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17.2.1  any use or disclosure authorised by the Board in writing or required by law;</w:t>
      </w:r>
    </w:p>
    <w:p>
      <w:pPr>
        <w:spacing w:after="0" w:line="121" w:lineRule="exact"/>
        <w:rPr>
          <w:sz w:val="20"/>
          <w:szCs w:val="20"/>
          <w:color w:val="auto"/>
        </w:rPr>
      </w:pPr>
    </w:p>
    <w:p>
      <w:pPr>
        <w:ind w:left="1964" w:right="520" w:hanging="647"/>
        <w:spacing w:after="0" w:line="260" w:lineRule="auto"/>
        <w:rPr>
          <w:sz w:val="20"/>
          <w:szCs w:val="20"/>
          <w:color w:val="auto"/>
        </w:rPr>
      </w:pPr>
      <w:r>
        <w:rPr>
          <w:rFonts w:ascii="Arial" w:cs="Arial" w:eastAsia="Arial" w:hAnsi="Arial"/>
          <w:sz w:val="20"/>
          <w:szCs w:val="20"/>
          <w:color w:val="auto"/>
        </w:rPr>
        <w:t>17.2.2 any information which is already in, or comes into, the public domain other than through your unauthorised disclosure; or</w:t>
      </w:r>
    </w:p>
    <w:p>
      <w:pPr>
        <w:spacing w:after="0" w:line="82" w:lineRule="exact"/>
        <w:rPr>
          <w:sz w:val="20"/>
          <w:szCs w:val="20"/>
          <w:color w:val="auto"/>
        </w:rPr>
      </w:pPr>
    </w:p>
    <w:p>
      <w:pPr>
        <w:jc w:val="center"/>
        <w:ind w:right="36"/>
        <w:spacing w:after="0"/>
        <w:rPr>
          <w:sz w:val="20"/>
          <w:szCs w:val="20"/>
          <w:color w:val="auto"/>
        </w:rPr>
      </w:pPr>
      <w:r>
        <w:rPr>
          <w:rFonts w:ascii="Arial" w:cs="Arial" w:eastAsia="Arial" w:hAnsi="Arial"/>
          <w:sz w:val="20"/>
          <w:szCs w:val="20"/>
          <w:color w:val="auto"/>
        </w:rPr>
        <w:t>17.2.3  any protected disclosure within the meaning of section 43A of the Employment Rights Act 1996.</w:t>
      </w:r>
    </w:p>
    <w:p>
      <w:pPr>
        <w:spacing w:after="0" w:line="121" w:lineRule="exact"/>
        <w:rPr>
          <w:sz w:val="20"/>
          <w:szCs w:val="20"/>
          <w:color w:val="auto"/>
        </w:rPr>
      </w:pPr>
    </w:p>
    <w:p>
      <w:pPr>
        <w:jc w:val="both"/>
        <w:ind w:left="644" w:right="460" w:hanging="647"/>
        <w:spacing w:after="0" w:line="250" w:lineRule="auto"/>
        <w:tabs>
          <w:tab w:leader="none" w:pos="624" w:val="left"/>
        </w:tabs>
        <w:rPr>
          <w:sz w:val="20"/>
          <w:szCs w:val="20"/>
          <w:color w:val="auto"/>
        </w:rPr>
      </w:pPr>
      <w:r>
        <w:rPr>
          <w:rFonts w:ascii="Arial" w:cs="Arial" w:eastAsia="Arial" w:hAnsi="Arial"/>
          <w:sz w:val="20"/>
          <w:szCs w:val="20"/>
          <w:color w:val="auto"/>
        </w:rPr>
        <w:t>17.3</w:t>
        <w:tab/>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328" w:lineRule="exact"/>
        <w:rPr>
          <w:sz w:val="20"/>
          <w:szCs w:val="20"/>
          <w:color w:val="auto"/>
        </w:rPr>
      </w:pPr>
    </w:p>
    <w:p>
      <w:pPr>
        <w:ind w:left="644" w:hanging="644"/>
        <w:spacing w:after="0"/>
        <w:tabs>
          <w:tab w:leader="none" w:pos="644" w:val="left"/>
        </w:tabs>
        <w:numPr>
          <w:ilvl w:val="0"/>
          <w:numId w:val="234"/>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27" w:lineRule="exact"/>
        <w:rPr>
          <w:sz w:val="20"/>
          <w:szCs w:val="20"/>
          <w:color w:val="auto"/>
        </w:rPr>
      </w:pPr>
    </w:p>
    <w:p>
      <w:pPr>
        <w:ind w:left="644" w:right="60" w:hanging="647"/>
        <w:spacing w:after="0" w:line="260" w:lineRule="auto"/>
        <w:tabs>
          <w:tab w:leader="none" w:pos="624" w:val="left"/>
        </w:tabs>
        <w:rPr>
          <w:sz w:val="20"/>
          <w:szCs w:val="20"/>
          <w:color w:val="auto"/>
        </w:rPr>
      </w:pPr>
      <w:r>
        <w:rPr>
          <w:rFonts w:ascii="Arial" w:cs="Arial" w:eastAsia="Arial" w:hAnsi="Arial"/>
          <w:sz w:val="20"/>
          <w:szCs w:val="20"/>
          <w:color w:val="auto"/>
        </w:rPr>
        <w:t>18.1</w:t>
        <w:tab/>
        <w:t>You or the Company may terminate the Appointment on written notice of 6 months or the statutory minimum notice, whichever is the greater.</w:t>
      </w:r>
    </w:p>
    <w:p>
      <w:pPr>
        <w:spacing w:after="0" w:line="82" w:lineRule="exact"/>
        <w:rPr>
          <w:sz w:val="20"/>
          <w:szCs w:val="20"/>
          <w:color w:val="auto"/>
        </w:rPr>
      </w:pPr>
    </w:p>
    <w:p>
      <w:pPr>
        <w:ind w:left="644" w:right="140" w:hanging="647"/>
        <w:spacing w:after="0" w:line="257" w:lineRule="auto"/>
        <w:tabs>
          <w:tab w:leader="none" w:pos="624"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and a payment in lieu of any contractual benefits under clause 15 (excluding bonus) which you would have been entitled to receive under this Contract during the notice period referred to at clause 2.2 or 18.1 (or, if notice has already been given, during the remainder of such notice period) (subject to statutory deductions)</w:t>
      </w:r>
    </w:p>
    <w:p>
      <w:pPr>
        <w:spacing w:after="0" w:line="90" w:lineRule="exact"/>
        <w:rPr>
          <w:sz w:val="20"/>
          <w:szCs w:val="20"/>
          <w:color w:val="auto"/>
        </w:rPr>
      </w:pPr>
    </w:p>
    <w:p>
      <w:pPr>
        <w:ind w:left="644" w:hanging="647"/>
        <w:spacing w:after="0" w:line="250" w:lineRule="auto"/>
        <w:tabs>
          <w:tab w:leader="none" w:pos="624" w:val="left"/>
        </w:tabs>
        <w:rPr>
          <w:sz w:val="20"/>
          <w:szCs w:val="20"/>
          <w:color w:val="auto"/>
        </w:rPr>
      </w:pPr>
      <w:r>
        <w:rPr>
          <w:rFonts w:ascii="Arial" w:cs="Arial" w:eastAsia="Arial" w:hAnsi="Arial"/>
          <w:sz w:val="20"/>
          <w:szCs w:val="20"/>
          <w:color w:val="auto"/>
        </w:rPr>
        <w:t>18.3</w:t>
        <w:tab/>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91" w:lineRule="exact"/>
        <w:rPr>
          <w:sz w:val="20"/>
          <w:szCs w:val="20"/>
          <w:color w:val="auto"/>
        </w:rPr>
      </w:pPr>
    </w:p>
    <w:p>
      <w:pPr>
        <w:ind w:left="644" w:right="20" w:hanging="647"/>
        <w:spacing w:after="0" w:line="260" w:lineRule="auto"/>
        <w:tabs>
          <w:tab w:leader="none" w:pos="624" w:val="left"/>
        </w:tabs>
        <w:rPr>
          <w:sz w:val="20"/>
          <w:szCs w:val="20"/>
          <w:color w:val="auto"/>
        </w:rPr>
      </w:pPr>
      <w:r>
        <w:rPr>
          <w:rFonts w:ascii="Arial" w:cs="Arial" w:eastAsia="Arial" w:hAnsi="Arial"/>
          <w:sz w:val="20"/>
          <w:szCs w:val="20"/>
          <w:color w:val="auto"/>
        </w:rPr>
        <w:t>18.4</w:t>
        <w:tab/>
        <w:t>Upon the termination of your employment with the Company for whatever reason or after notice having been served at the request of the Company or if you shall</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1004"/>
          </w:cols>
          <w:pgMar w:left="436" w:top="271" w:right="459" w:bottom="1440" w:gutter="0" w:footer="0" w:header="0"/>
        </w:sectPr>
      </w:pPr>
    </w:p>
    <w:bookmarkStart w:id="300" w:name="page301"/>
    <w:bookmarkEnd w:id="300"/>
    <w:p>
      <w:pPr>
        <w:ind w:left="644" w:right="20"/>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98" w:lineRule="exact"/>
        <w:rPr>
          <w:sz w:val="20"/>
          <w:szCs w:val="20"/>
          <w:color w:val="auto"/>
        </w:rPr>
      </w:pPr>
    </w:p>
    <w:p>
      <w:pPr>
        <w:ind w:left="644" w:right="120" w:hanging="647"/>
        <w:spacing w:after="0" w:line="250" w:lineRule="auto"/>
        <w:tabs>
          <w:tab w:leader="none" w:pos="624" w:val="left"/>
        </w:tabs>
        <w:rPr>
          <w:sz w:val="20"/>
          <w:szCs w:val="20"/>
          <w:color w:val="auto"/>
        </w:rPr>
      </w:pPr>
      <w:r>
        <w:rPr>
          <w:rFonts w:ascii="Arial" w:cs="Arial" w:eastAsia="Arial" w:hAnsi="Arial"/>
          <w:sz w:val="20"/>
          <w:szCs w:val="20"/>
          <w:color w:val="auto"/>
        </w:rPr>
        <w:t>18.5</w:t>
        <w:tab/>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9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8"/>
          <w:szCs w:val="18"/>
          <w:color w:val="auto"/>
        </w:rPr>
        <w:t>The Company may at its absolute discretion during any period of notice given by either party:</w:t>
      </w:r>
    </w:p>
    <w:p>
      <w:pPr>
        <w:spacing w:after="0" w:line="121" w:lineRule="exact"/>
        <w:rPr>
          <w:sz w:val="20"/>
          <w:szCs w:val="20"/>
          <w:color w:val="auto"/>
        </w:rPr>
      </w:pPr>
    </w:p>
    <w:p>
      <w:pPr>
        <w:jc w:val="center"/>
        <w:ind w:left="1080"/>
        <w:spacing w:after="0" w:line="287" w:lineRule="auto"/>
        <w:rPr>
          <w:sz w:val="20"/>
          <w:szCs w:val="20"/>
          <w:color w:val="auto"/>
        </w:rPr>
      </w:pPr>
      <w:r>
        <w:rPr>
          <w:rFonts w:ascii="Arial" w:cs="Arial" w:eastAsia="Arial" w:hAnsi="Arial"/>
          <w:sz w:val="19"/>
          <w:szCs w:val="19"/>
          <w:color w:val="auto"/>
        </w:rPr>
        <w:t>18.6.1  appoint a person to perform your duties jointly with you or, during any period of garden leave pursuant to clause 20 and/or during any period of suspension pursuant to clause 24.2, to perform all or some of your duties in your place; and/or</w:t>
      </w:r>
    </w:p>
    <w:p>
      <w:pPr>
        <w:spacing w:after="0" w:line="58" w:lineRule="exact"/>
        <w:rPr>
          <w:sz w:val="20"/>
          <w:szCs w:val="20"/>
          <w:color w:val="auto"/>
        </w:rPr>
      </w:pPr>
    </w:p>
    <w:p>
      <w:pPr>
        <w:ind w:left="1304" w:right="100" w:hanging="647"/>
        <w:spacing w:after="0" w:line="260" w:lineRule="auto"/>
        <w:rPr>
          <w:sz w:val="20"/>
          <w:szCs w:val="20"/>
          <w:color w:val="auto"/>
        </w:rPr>
      </w:pPr>
      <w:r>
        <w:rPr>
          <w:rFonts w:ascii="Arial" w:cs="Arial" w:eastAsia="Arial" w:hAnsi="Arial"/>
          <w:sz w:val="20"/>
          <w:szCs w:val="20"/>
          <w:color w:val="auto"/>
        </w:rPr>
        <w:t>18.6.2 suspend or cancel your access to the Company’s IT and telephone systems including, but not limited to, voicemail, email, internet and the Company’s intranet.</w:t>
      </w:r>
    </w:p>
    <w:p>
      <w:pPr>
        <w:spacing w:after="0" w:line="82" w:lineRule="exact"/>
        <w:rPr>
          <w:sz w:val="20"/>
          <w:szCs w:val="20"/>
          <w:color w:val="auto"/>
        </w:rPr>
      </w:pPr>
    </w:p>
    <w:p>
      <w:pPr>
        <w:ind w:left="644" w:right="60" w:hanging="647"/>
        <w:spacing w:after="0" w:line="260" w:lineRule="auto"/>
        <w:tabs>
          <w:tab w:leader="none" w:pos="624" w:val="left"/>
        </w:tabs>
        <w:rPr>
          <w:sz w:val="20"/>
          <w:szCs w:val="20"/>
          <w:color w:val="auto"/>
        </w:rPr>
      </w:pPr>
      <w:r>
        <w:rPr>
          <w:rFonts w:ascii="Arial" w:cs="Arial" w:eastAsia="Arial" w:hAnsi="Arial"/>
          <w:sz w:val="20"/>
          <w:szCs w:val="20"/>
          <w:color w:val="auto"/>
        </w:rPr>
        <w:t>18.7</w:t>
        <w:tab/>
        <w:t>This clause 18 is subject to the provisions of Schedule II appended to this Contract. In the event of conflict between this clause 18 and the provisions of Schedule II, the provisions of Schedule II shall prevail.</w:t>
      </w:r>
    </w:p>
    <w:p>
      <w:pPr>
        <w:spacing w:after="0" w:line="319" w:lineRule="exact"/>
        <w:rPr>
          <w:sz w:val="20"/>
          <w:szCs w:val="20"/>
          <w:color w:val="auto"/>
        </w:rPr>
      </w:pPr>
    </w:p>
    <w:p>
      <w:pPr>
        <w:ind w:left="644" w:hanging="644"/>
        <w:spacing w:after="0"/>
        <w:tabs>
          <w:tab w:leader="none" w:pos="644" w:val="left"/>
        </w:tabs>
        <w:numPr>
          <w:ilvl w:val="0"/>
          <w:numId w:val="235"/>
        </w:numPr>
        <w:rPr>
          <w:rFonts w:ascii="Arial" w:cs="Arial" w:eastAsia="Arial" w:hAnsi="Arial"/>
          <w:sz w:val="20"/>
          <w:szCs w:val="20"/>
          <w:b w:val="1"/>
          <w:bCs w:val="1"/>
          <w:color w:val="auto"/>
        </w:rPr>
      </w:pPr>
      <w:r>
        <w:rPr>
          <w:rFonts w:ascii="Arial" w:cs="Arial" w:eastAsia="Arial" w:hAnsi="Arial"/>
          <w:sz w:val="20"/>
          <w:szCs w:val="20"/>
          <w:b w:val="1"/>
          <w:bCs w:val="1"/>
          <w:color w:val="auto"/>
        </w:rPr>
        <w:t>Summary Termination</w:t>
      </w:r>
    </w:p>
    <w:p>
      <w:pPr>
        <w:spacing w:after="0" w:line="12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color w:val="auto"/>
        </w:rPr>
        <w:t>The Company is entitled to terminate the Appointment by summary notice in writing and without payment in lieu of notice for</w:t>
      </w:r>
    </w:p>
    <w:p>
      <w:pPr>
        <w:spacing w:after="0" w:line="16" w:lineRule="exact"/>
        <w:rPr>
          <w:sz w:val="20"/>
          <w:szCs w:val="20"/>
          <w:color w:val="auto"/>
        </w:rPr>
      </w:pPr>
    </w:p>
    <w:p>
      <w:pPr>
        <w:ind w:left="644"/>
        <w:spacing w:after="0"/>
        <w:rPr>
          <w:sz w:val="20"/>
          <w:szCs w:val="20"/>
          <w:color w:val="auto"/>
        </w:rPr>
      </w:pPr>
      <w:r>
        <w:rPr>
          <w:rFonts w:ascii="Arial" w:cs="Arial" w:eastAsia="Arial" w:hAnsi="Arial"/>
          <w:sz w:val="20"/>
          <w:szCs w:val="20"/>
          <w:color w:val="auto"/>
        </w:rPr>
        <w:t>Cause, meaning if you:</w:t>
      </w:r>
    </w:p>
    <w:p>
      <w:pPr>
        <w:spacing w:after="0" w:line="105"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19.1.1  are guilty of any gross misconduct affecting the business of any Group Company;</w:t>
      </w:r>
    </w:p>
    <w:p>
      <w:pPr>
        <w:spacing w:after="0" w:line="121" w:lineRule="exact"/>
        <w:rPr>
          <w:sz w:val="20"/>
          <w:szCs w:val="20"/>
          <w:color w:val="auto"/>
        </w:rPr>
      </w:pPr>
    </w:p>
    <w:p>
      <w:pPr>
        <w:ind w:left="1304" w:right="360" w:hanging="647"/>
        <w:spacing w:after="0" w:line="260" w:lineRule="auto"/>
        <w:rPr>
          <w:sz w:val="20"/>
          <w:szCs w:val="20"/>
          <w:color w:val="auto"/>
        </w:rPr>
      </w:pPr>
      <w:r>
        <w:rPr>
          <w:rFonts w:ascii="Arial" w:cs="Arial" w:eastAsia="Arial" w:hAnsi="Arial"/>
          <w:sz w:val="20"/>
          <w:szCs w:val="20"/>
          <w:color w:val="auto"/>
        </w:rPr>
        <w:t>19.1.2 commit any serious breach or repeated or continued (after warning) any material breach of your obligations under this Contract;</w:t>
      </w:r>
    </w:p>
    <w:p>
      <w:pPr>
        <w:spacing w:after="0" w:line="82" w:lineRule="exact"/>
        <w:rPr>
          <w:sz w:val="20"/>
          <w:szCs w:val="20"/>
          <w:color w:val="auto"/>
        </w:rPr>
      </w:pPr>
    </w:p>
    <w:p>
      <w:pPr>
        <w:ind w:left="1304" w:right="200" w:hanging="647"/>
        <w:spacing w:after="0" w:line="260" w:lineRule="auto"/>
        <w:rPr>
          <w:sz w:val="20"/>
          <w:szCs w:val="20"/>
          <w:color w:val="auto"/>
        </w:rPr>
      </w:pPr>
      <w:r>
        <w:rPr>
          <w:rFonts w:ascii="Arial" w:cs="Arial" w:eastAsia="Arial" w:hAnsi="Arial"/>
          <w:sz w:val="20"/>
          <w:szCs w:val="20"/>
          <w:color w:val="auto"/>
        </w:rPr>
        <w:t>19.1.3 commit (by commission or omission) any act which brings or would tend to bring the Company or any Group Company into disrepute;</w:t>
      </w:r>
    </w:p>
    <w:p>
      <w:pPr>
        <w:spacing w:after="0" w:line="82" w:lineRule="exact"/>
        <w:rPr>
          <w:sz w:val="20"/>
          <w:szCs w:val="20"/>
          <w:color w:val="auto"/>
        </w:rPr>
      </w:pPr>
    </w:p>
    <w:p>
      <w:pPr>
        <w:ind w:left="1304" w:right="40" w:hanging="647"/>
        <w:spacing w:after="0" w:line="260" w:lineRule="auto"/>
        <w:rPr>
          <w:sz w:val="20"/>
          <w:szCs w:val="20"/>
          <w:color w:val="auto"/>
        </w:rPr>
      </w:pPr>
      <w:r>
        <w:rPr>
          <w:rFonts w:ascii="Arial" w:cs="Arial" w:eastAsia="Arial" w:hAnsi="Arial"/>
          <w:sz w:val="20"/>
          <w:szCs w:val="20"/>
          <w:color w:val="auto"/>
        </w:rPr>
        <w:t>19.1.4 fail to perform your duties to a satisfactory standard after having received a written warning from the Company relating to the same;</w:t>
      </w:r>
    </w:p>
    <w:p>
      <w:pPr>
        <w:spacing w:after="0" w:line="82"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19.1.5  are guilty of any dishonesty, gross misconduct or wilful neglect of duty;</w:t>
      </w:r>
    </w:p>
    <w:p>
      <w:pPr>
        <w:spacing w:after="0" w:line="12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19.1.6  damage Company property maliciously;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004"/>
          </w:cols>
          <w:pgMar w:left="436" w:top="271" w:right="459" w:bottom="1440" w:gutter="0" w:footer="0" w:header="0"/>
        </w:sectPr>
      </w:pPr>
    </w:p>
    <w:bookmarkStart w:id="301" w:name="page302"/>
    <w:bookmarkEnd w:id="301"/>
    <w:p>
      <w:pPr>
        <w:ind w:left="644"/>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19.1.7  falsify attendance or sickness or other records;</w:t>
      </w:r>
    </w:p>
    <w:p>
      <w:pPr>
        <w:spacing w:after="0" w:line="12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19.1.8  falsify any data during the course of your employment;</w:t>
      </w:r>
    </w:p>
    <w:p>
      <w:pPr>
        <w:spacing w:after="0" w:line="12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19.1.9  conduct yourself in a manner materially adverse to the interests of the Company or any Group Company;</w:t>
      </w:r>
    </w:p>
    <w:p>
      <w:pPr>
        <w:spacing w:after="0" w:line="12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19.1.10 are, in the reasonable opinion of the Board, negligent and incompetent in the performance of your duties;</w:t>
      </w:r>
    </w:p>
    <w:p>
      <w:pPr>
        <w:spacing w:after="0" w:line="121" w:lineRule="exact"/>
        <w:rPr>
          <w:sz w:val="20"/>
          <w:szCs w:val="20"/>
          <w:color w:val="auto"/>
        </w:rPr>
      </w:pPr>
    </w:p>
    <w:p>
      <w:pPr>
        <w:ind w:left="1304" w:right="400" w:hanging="647"/>
        <w:spacing w:after="0" w:line="260" w:lineRule="auto"/>
        <w:rPr>
          <w:sz w:val="20"/>
          <w:szCs w:val="20"/>
          <w:color w:val="auto"/>
        </w:rPr>
      </w:pPr>
      <w:r>
        <w:rPr>
          <w:rFonts w:ascii="Arial" w:cs="Arial" w:eastAsia="Arial" w:hAnsi="Arial"/>
          <w:sz w:val="20"/>
          <w:szCs w:val="20"/>
          <w:color w:val="auto"/>
        </w:rPr>
        <w:t>19.1.11 have a bankruptcy order made against you or enter into a voluntary arrangement within the meaning of section 253 Insolvency Act 1986;</w:t>
      </w:r>
    </w:p>
    <w:p>
      <w:pPr>
        <w:spacing w:after="0" w:line="82"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19.1.12 consume or distribute narcotics on Company premises;</w:t>
      </w:r>
    </w:p>
    <w:p>
      <w:pPr>
        <w:spacing w:after="0" w:line="121" w:lineRule="exact"/>
        <w:rPr>
          <w:sz w:val="20"/>
          <w:szCs w:val="20"/>
          <w:color w:val="auto"/>
        </w:rPr>
      </w:pPr>
    </w:p>
    <w:p>
      <w:pPr>
        <w:ind w:left="1304" w:right="40" w:hanging="647"/>
        <w:spacing w:after="0" w:line="316" w:lineRule="auto"/>
        <w:rPr>
          <w:sz w:val="20"/>
          <w:szCs w:val="20"/>
          <w:color w:val="auto"/>
        </w:rPr>
      </w:pPr>
      <w:r>
        <w:rPr>
          <w:rFonts w:ascii="Arial" w:cs="Arial" w:eastAsia="Arial" w:hAnsi="Arial"/>
          <w:sz w:val="18"/>
          <w:szCs w:val="18"/>
          <w:color w:val="auto"/>
        </w:rPr>
        <w:t>19.1.13 are convicted of any criminal offence (other than an offence under any road traffic legislation in the United Kingdom or elsewhere for which a fine or non-custodial penalty is imposed) whether or not in the course of your employment;</w:t>
      </w:r>
    </w:p>
    <w:p>
      <w:pPr>
        <w:spacing w:after="0" w:line="35" w:lineRule="exact"/>
        <w:rPr>
          <w:sz w:val="20"/>
          <w:szCs w:val="20"/>
          <w:color w:val="auto"/>
        </w:rPr>
      </w:pPr>
    </w:p>
    <w:p>
      <w:pPr>
        <w:jc w:val="both"/>
        <w:ind w:left="1304" w:right="260" w:hanging="647"/>
        <w:spacing w:after="0" w:line="250" w:lineRule="auto"/>
        <w:rPr>
          <w:sz w:val="20"/>
          <w:szCs w:val="20"/>
          <w:color w:val="auto"/>
        </w:rPr>
      </w:pPr>
      <w:r>
        <w:rPr>
          <w:rFonts w:ascii="Arial" w:cs="Arial" w:eastAsia="Arial" w:hAnsi="Arial"/>
          <w:sz w:val="20"/>
          <w:szCs w:val="20"/>
          <w:color w:val="auto"/>
        </w:rPr>
        <w:t>19.1.14 are, in the opinion of a medical practitioner who is treating you, physically or mentally incapable of performing your duties and may remain so for more than three months and the medical practitioner has given a medical opinion to the Board to that effect;</w:t>
      </w:r>
    </w:p>
    <w:p>
      <w:pPr>
        <w:spacing w:after="0" w:line="9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19.1.15 cease to be eligible to work in the United Kingdom;</w:t>
      </w:r>
    </w:p>
    <w:p>
      <w:pPr>
        <w:spacing w:after="0" w:line="121" w:lineRule="exact"/>
        <w:rPr>
          <w:sz w:val="20"/>
          <w:szCs w:val="20"/>
          <w:color w:val="auto"/>
        </w:rPr>
      </w:pPr>
    </w:p>
    <w:p>
      <w:pPr>
        <w:ind w:left="1304" w:right="300" w:hanging="647"/>
        <w:spacing w:after="0" w:line="260" w:lineRule="auto"/>
        <w:rPr>
          <w:sz w:val="20"/>
          <w:szCs w:val="20"/>
          <w:color w:val="auto"/>
        </w:rPr>
      </w:pPr>
      <w:r>
        <w:rPr>
          <w:rFonts w:ascii="Arial" w:cs="Arial" w:eastAsia="Arial" w:hAnsi="Arial"/>
          <w:sz w:val="20"/>
          <w:szCs w:val="20"/>
          <w:color w:val="auto"/>
        </w:rPr>
        <w:t>19.1.16 knowingly commit any deliberate act which amounts to discrimination, victimisation or harassment on any unlawful ground;</w:t>
      </w:r>
    </w:p>
    <w:p>
      <w:pPr>
        <w:spacing w:after="0" w:line="82" w:lineRule="exact"/>
        <w:rPr>
          <w:sz w:val="20"/>
          <w:szCs w:val="20"/>
          <w:color w:val="auto"/>
        </w:rPr>
      </w:pPr>
    </w:p>
    <w:p>
      <w:pPr>
        <w:ind w:left="644"/>
        <w:spacing w:after="0"/>
        <w:rPr>
          <w:sz w:val="20"/>
          <w:szCs w:val="20"/>
          <w:color w:val="auto"/>
        </w:rPr>
      </w:pPr>
      <w:r>
        <w:rPr>
          <w:rFonts w:ascii="Arial" w:cs="Arial" w:eastAsia="Arial" w:hAnsi="Arial"/>
          <w:sz w:val="20"/>
          <w:szCs w:val="20"/>
          <w:color w:val="auto"/>
        </w:rPr>
        <w:t>19.1.17 are in breach of the Company’s anti-corruption and bribery policy and related procedures;</w:t>
      </w:r>
    </w:p>
    <w:p>
      <w:pPr>
        <w:spacing w:after="0" w:line="121" w:lineRule="exact"/>
        <w:rPr>
          <w:sz w:val="20"/>
          <w:szCs w:val="20"/>
          <w:color w:val="auto"/>
        </w:rPr>
      </w:pPr>
    </w:p>
    <w:p>
      <w:pPr>
        <w:ind w:left="1304" w:right="1020" w:hanging="647"/>
        <w:spacing w:after="0" w:line="260" w:lineRule="auto"/>
        <w:rPr>
          <w:sz w:val="20"/>
          <w:szCs w:val="20"/>
          <w:color w:val="auto"/>
        </w:rPr>
      </w:pPr>
      <w:r>
        <w:rPr>
          <w:rFonts w:ascii="Arial" w:cs="Arial" w:eastAsia="Arial" w:hAnsi="Arial"/>
          <w:sz w:val="20"/>
          <w:szCs w:val="20"/>
          <w:color w:val="auto"/>
        </w:rPr>
        <w:t>19.1.18 are guilty of a serious breach of any rules issued by the Company from time to time regarding its electronic communications systems;</w:t>
      </w:r>
    </w:p>
    <w:p>
      <w:pPr>
        <w:spacing w:after="0" w:line="8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19.1.19 are unable by reason of Incapacity to perform his duties under this Contract for an aggregate period of 26 weeks in any</w:t>
      </w:r>
    </w:p>
    <w:p>
      <w:pPr>
        <w:spacing w:after="0" w:line="39"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52-week period; or</w:t>
      </w:r>
    </w:p>
    <w:p>
      <w:pPr>
        <w:spacing w:after="0" w:line="105" w:lineRule="exact"/>
        <w:rPr>
          <w:sz w:val="20"/>
          <w:szCs w:val="20"/>
          <w:color w:val="auto"/>
        </w:rPr>
      </w:pPr>
    </w:p>
    <w:p>
      <w:pPr>
        <w:ind w:left="1304" w:right="260" w:hanging="647"/>
        <w:spacing w:after="0" w:line="260" w:lineRule="auto"/>
        <w:rPr>
          <w:sz w:val="20"/>
          <w:szCs w:val="20"/>
          <w:color w:val="auto"/>
        </w:rPr>
      </w:pPr>
      <w:r>
        <w:rPr>
          <w:rFonts w:ascii="Arial" w:cs="Arial" w:eastAsia="Arial" w:hAnsi="Arial"/>
          <w:sz w:val="20"/>
          <w:szCs w:val="20"/>
          <w:color w:val="auto"/>
        </w:rPr>
        <w:t>19.1.20 commit any other offence of a similar gravity to the examples under this clause 19.1, which are neither exclusive nor exhaustive.</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8"/>
          <w:szCs w:val="18"/>
          <w:color w:val="auto"/>
        </w:rPr>
        <w:t>Any delay by the Company in exercising such right of termination shall not constitute a waiver of that right.</w:t>
      </w:r>
    </w:p>
    <w:p>
      <w:pPr>
        <w:spacing w:after="0" w:line="121" w:lineRule="exact"/>
        <w:rPr>
          <w:sz w:val="20"/>
          <w:szCs w:val="20"/>
          <w:color w:val="auto"/>
        </w:rPr>
      </w:pPr>
    </w:p>
    <w:p>
      <w:pPr>
        <w:ind w:left="644" w:right="180" w:hanging="647"/>
        <w:spacing w:after="0" w:line="316" w:lineRule="auto"/>
        <w:tabs>
          <w:tab w:leader="none" w:pos="624"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8"/>
          <w:szCs w:val="18"/>
          <w:color w:val="auto"/>
        </w:rPr>
        <w:t>The termination by the Company of the Appointment pursuant to this clause 19 will be without prejudice to any claim that the Company may have for damages arising from any breach of this Contract by you that gives rise to such termination.</w:t>
      </w:r>
    </w:p>
    <w:p>
      <w:pPr>
        <w:spacing w:after="0" w:line="272" w:lineRule="exact"/>
        <w:rPr>
          <w:sz w:val="20"/>
          <w:szCs w:val="20"/>
          <w:color w:val="auto"/>
        </w:rPr>
      </w:pPr>
    </w:p>
    <w:p>
      <w:pPr>
        <w:ind w:left="644" w:hanging="644"/>
        <w:spacing w:after="0"/>
        <w:tabs>
          <w:tab w:leader="none" w:pos="644" w:val="left"/>
        </w:tabs>
        <w:numPr>
          <w:ilvl w:val="0"/>
          <w:numId w:val="236"/>
        </w:numPr>
        <w:rPr>
          <w:rFonts w:ascii="Arial" w:cs="Arial" w:eastAsia="Arial" w:hAnsi="Arial"/>
          <w:sz w:val="20"/>
          <w:szCs w:val="20"/>
          <w:b w:val="1"/>
          <w:bCs w:val="1"/>
          <w:color w:val="auto"/>
        </w:rPr>
      </w:pPr>
      <w:r>
        <w:rPr>
          <w:rFonts w:ascii="Arial" w:cs="Arial" w:eastAsia="Arial" w:hAnsi="Arial"/>
          <w:sz w:val="20"/>
          <w:szCs w:val="20"/>
          <w:b w:val="1"/>
          <w:bCs w:val="1"/>
          <w:color w:val="auto"/>
        </w:rPr>
        <w:t>Garden Leave</w:t>
      </w:r>
    </w:p>
    <w:p>
      <w:pPr>
        <w:spacing w:after="0" w:line="127" w:lineRule="exact"/>
        <w:rPr>
          <w:sz w:val="20"/>
          <w:szCs w:val="20"/>
          <w:color w:val="auto"/>
        </w:rPr>
      </w:pPr>
    </w:p>
    <w:p>
      <w:pPr>
        <w:ind w:left="644" w:hanging="647"/>
        <w:spacing w:after="0" w:line="260" w:lineRule="auto"/>
        <w:tabs>
          <w:tab w:leader="none" w:pos="624" w:val="left"/>
        </w:tabs>
        <w:rPr>
          <w:sz w:val="20"/>
          <w:szCs w:val="20"/>
          <w:color w:val="auto"/>
        </w:rPr>
      </w:pPr>
      <w:r>
        <w:rPr>
          <w:rFonts w:ascii="Arial" w:cs="Arial" w:eastAsia="Arial" w:hAnsi="Arial"/>
          <w:sz w:val="20"/>
          <w:szCs w:val="20"/>
          <w:color w:val="auto"/>
        </w:rPr>
        <w:t>20.1</w:t>
        <w:tab/>
        <w:t>After notice of termination has been given by either party pursuant to clause 18 provided that the Company continues to provide you with your normal Salary and</w:t>
      </w:r>
    </w:p>
    <w:p>
      <w:pPr>
        <w:spacing w:after="0" w:line="105" w:lineRule="exact"/>
        <w:rPr>
          <w:sz w:val="20"/>
          <w:szCs w:val="20"/>
          <w:color w:val="auto"/>
        </w:rPr>
      </w:pPr>
    </w:p>
    <w:p>
      <w:pPr>
        <w:jc w:val="center"/>
        <w:ind w:right="-223"/>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0804"/>
          </w:cols>
          <w:pgMar w:left="436" w:top="271" w:right="659" w:bottom="1440" w:gutter="0" w:footer="0" w:header="0"/>
        </w:sectPr>
      </w:pPr>
    </w:p>
    <w:bookmarkStart w:id="302" w:name="page303"/>
    <w:bookmarkEnd w:id="302"/>
    <w:p>
      <w:pPr>
        <w:jc w:val="both"/>
        <w:ind w:left="644" w:right="280"/>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9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20.1.1  exclude you from the premises of the Company and any Group Company; and/or</w:t>
      </w:r>
    </w:p>
    <w:p>
      <w:pPr>
        <w:spacing w:after="0" w:line="12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20.1.2  require you to carry out specified duties other than your normal duties or to carry out no duties; and/or</w:t>
      </w:r>
    </w:p>
    <w:p>
      <w:pPr>
        <w:spacing w:after="0" w:line="12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20.1.3  withdraw any powers vested in you; and/or</w:t>
      </w:r>
    </w:p>
    <w:p>
      <w:pPr>
        <w:spacing w:after="0" w:line="121" w:lineRule="exact"/>
        <w:rPr>
          <w:sz w:val="20"/>
          <w:szCs w:val="20"/>
          <w:color w:val="auto"/>
        </w:rPr>
      </w:pPr>
    </w:p>
    <w:p>
      <w:pPr>
        <w:ind w:left="1304" w:right="20" w:hanging="647"/>
        <w:spacing w:after="0" w:line="260" w:lineRule="auto"/>
        <w:rPr>
          <w:sz w:val="20"/>
          <w:szCs w:val="20"/>
          <w:color w:val="auto"/>
        </w:rPr>
      </w:pPr>
      <w:r>
        <w:rPr>
          <w:rFonts w:ascii="Arial" w:cs="Arial" w:eastAsia="Arial" w:hAnsi="Arial"/>
          <w:sz w:val="20"/>
          <w:szCs w:val="20"/>
          <w:color w:val="auto"/>
        </w:rPr>
        <w:t>20.1.4 instruct you not to communicate orally or in writing with suppliers, customers, employees, agents/or representatives of the Company or any Group Company until the Appointment has terminated.</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color w:val="auto"/>
        </w:rPr>
        <w:t>During any period of garden leave you shall:</w:t>
      </w:r>
    </w:p>
    <w:p>
      <w:pPr>
        <w:spacing w:after="0" w:line="121" w:lineRule="exact"/>
        <w:rPr>
          <w:sz w:val="20"/>
          <w:szCs w:val="20"/>
          <w:color w:val="auto"/>
        </w:rPr>
      </w:pPr>
    </w:p>
    <w:p>
      <w:pPr>
        <w:ind w:left="1304" w:right="640" w:hanging="647"/>
        <w:spacing w:after="0" w:line="260" w:lineRule="auto"/>
        <w:rPr>
          <w:sz w:val="20"/>
          <w:szCs w:val="20"/>
          <w:color w:val="auto"/>
        </w:rPr>
      </w:pPr>
      <w:r>
        <w:rPr>
          <w:rFonts w:ascii="Arial" w:cs="Arial" w:eastAsia="Arial" w:hAnsi="Arial"/>
          <w:sz w:val="20"/>
          <w:szCs w:val="20"/>
          <w:color w:val="auto"/>
        </w:rPr>
        <w:t>20.2.1 continue to receive your Salary and all contractual benefits in the usual way and subject to the terms of any benefit arrangement;</w:t>
      </w:r>
    </w:p>
    <w:p>
      <w:pPr>
        <w:spacing w:after="0" w:line="82" w:lineRule="exact"/>
        <w:rPr>
          <w:sz w:val="20"/>
          <w:szCs w:val="20"/>
          <w:color w:val="auto"/>
        </w:rPr>
      </w:pPr>
    </w:p>
    <w:p>
      <w:pPr>
        <w:ind w:left="644"/>
        <w:spacing w:after="0"/>
        <w:rPr>
          <w:sz w:val="20"/>
          <w:szCs w:val="20"/>
          <w:color w:val="auto"/>
        </w:rPr>
      </w:pPr>
      <w:r>
        <w:rPr>
          <w:rFonts w:ascii="Arial" w:cs="Arial" w:eastAsia="Arial" w:hAnsi="Arial"/>
          <w:sz w:val="19"/>
          <w:szCs w:val="19"/>
          <w:color w:val="auto"/>
        </w:rPr>
        <w:t>20.2.2  remain an employee of the Company and bound by the terms of your contract of employment with the Company;</w:t>
      </w:r>
    </w:p>
    <w:p>
      <w:pPr>
        <w:spacing w:after="0" w:line="133" w:lineRule="exact"/>
        <w:rPr>
          <w:sz w:val="20"/>
          <w:szCs w:val="20"/>
          <w:color w:val="auto"/>
        </w:rPr>
      </w:pPr>
    </w:p>
    <w:p>
      <w:pPr>
        <w:ind w:left="1304" w:right="180" w:hanging="647"/>
        <w:spacing w:after="0" w:line="260" w:lineRule="auto"/>
        <w:rPr>
          <w:sz w:val="20"/>
          <w:szCs w:val="20"/>
          <w:color w:val="auto"/>
        </w:rPr>
      </w:pPr>
      <w:r>
        <w:rPr>
          <w:rFonts w:ascii="Arial" w:cs="Arial" w:eastAsia="Arial" w:hAnsi="Arial"/>
          <w:sz w:val="20"/>
          <w:szCs w:val="20"/>
          <w:color w:val="auto"/>
        </w:rPr>
        <w:t>20.2.3 not, without the prior written consent of your Manager, attend your place of work or any other premises of the Company or any Group Company;</w:t>
      </w:r>
    </w:p>
    <w:p>
      <w:pPr>
        <w:spacing w:after="0" w:line="82" w:lineRule="exact"/>
        <w:rPr>
          <w:sz w:val="20"/>
          <w:szCs w:val="20"/>
          <w:color w:val="auto"/>
        </w:rPr>
      </w:pPr>
    </w:p>
    <w:p>
      <w:pPr>
        <w:ind w:left="1304" w:right="200" w:hanging="647"/>
        <w:spacing w:after="0" w:line="250" w:lineRule="auto"/>
        <w:rPr>
          <w:sz w:val="20"/>
          <w:szCs w:val="20"/>
          <w:color w:val="auto"/>
        </w:rPr>
      </w:pPr>
      <w:r>
        <w:rPr>
          <w:rFonts w:ascii="Arial" w:cs="Arial" w:eastAsia="Arial" w:hAnsi="Arial"/>
          <w:sz w:val="20"/>
          <w:szCs w:val="20"/>
          <w:color w:val="auto"/>
        </w:rPr>
        <w:t>20.2.4 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91" w:lineRule="exact"/>
        <w:rPr>
          <w:sz w:val="20"/>
          <w:szCs w:val="20"/>
          <w:color w:val="auto"/>
        </w:rPr>
      </w:pPr>
    </w:p>
    <w:p>
      <w:pPr>
        <w:jc w:val="both"/>
        <w:ind w:left="1304" w:hanging="647"/>
        <w:spacing w:after="0" w:line="250" w:lineRule="auto"/>
        <w:rPr>
          <w:sz w:val="20"/>
          <w:szCs w:val="20"/>
          <w:color w:val="auto"/>
        </w:rPr>
      </w:pPr>
      <w:r>
        <w:rPr>
          <w:rFonts w:ascii="Arial" w:cs="Arial" w:eastAsia="Arial" w:hAnsi="Arial"/>
          <w:sz w:val="20"/>
          <w:szCs w:val="20"/>
          <w:color w:val="auto"/>
        </w:rPr>
        <w:t>20.2.5 (except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8" w:lineRule="exact"/>
        <w:rPr>
          <w:sz w:val="20"/>
          <w:szCs w:val="20"/>
          <w:color w:val="auto"/>
        </w:rPr>
      </w:pPr>
    </w:p>
    <w:p>
      <w:pPr>
        <w:ind w:left="644" w:hanging="644"/>
        <w:spacing w:after="0"/>
        <w:tabs>
          <w:tab w:leader="none" w:pos="644" w:val="left"/>
        </w:tabs>
        <w:numPr>
          <w:ilvl w:val="0"/>
          <w:numId w:val="237"/>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after Employment</w:t>
      </w:r>
    </w:p>
    <w:p>
      <w:pPr>
        <w:spacing w:after="0" w:line="127" w:lineRule="exact"/>
        <w:rPr>
          <w:sz w:val="20"/>
          <w:szCs w:val="20"/>
          <w:color w:val="auto"/>
        </w:rPr>
      </w:pPr>
    </w:p>
    <w:p>
      <w:pPr>
        <w:ind w:left="644" w:right="300" w:hanging="647"/>
        <w:spacing w:after="0" w:line="263" w:lineRule="auto"/>
        <w:tabs>
          <w:tab w:leader="none" w:pos="624"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You shall not, save in respect of a Permitted Interest or with the prior written consent of the Company, for a period of 6 months from the Termination Date 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82" w:lineRule="exact"/>
        <w:rPr>
          <w:sz w:val="20"/>
          <w:szCs w:val="20"/>
          <w:color w:val="auto"/>
        </w:rPr>
      </w:pPr>
    </w:p>
    <w:p>
      <w:pPr>
        <w:ind w:left="644" w:right="80" w:hanging="647"/>
        <w:spacing w:after="0" w:line="260" w:lineRule="auto"/>
        <w:tabs>
          <w:tab w:leader="none" w:pos="624" w:val="left"/>
        </w:tabs>
        <w:rPr>
          <w:sz w:val="20"/>
          <w:szCs w:val="20"/>
          <w:color w:val="auto"/>
        </w:rPr>
      </w:pPr>
      <w:r>
        <w:rPr>
          <w:rFonts w:ascii="Arial" w:cs="Arial" w:eastAsia="Arial" w:hAnsi="Arial"/>
          <w:sz w:val="20"/>
          <w:szCs w:val="20"/>
          <w:color w:val="auto"/>
        </w:rPr>
        <w:t>21.2</w:t>
        <w:tab/>
        <w:t>You shall not for a period of 6 months from the Termination Date, in competition with the Company, either on your own behalf or on behalf of any person, firm or company in relation to the Restricted Business, directly or indirectly:</w:t>
      </w:r>
    </w:p>
    <w:p>
      <w:pPr>
        <w:spacing w:after="0" w:line="82" w:lineRule="exact"/>
        <w:rPr>
          <w:sz w:val="20"/>
          <w:szCs w:val="20"/>
          <w:color w:val="auto"/>
        </w:rPr>
      </w:pPr>
    </w:p>
    <w:p>
      <w:pPr>
        <w:ind w:left="1304" w:right="20" w:hanging="647"/>
        <w:spacing w:after="0" w:line="260" w:lineRule="auto"/>
        <w:rPr>
          <w:sz w:val="20"/>
          <w:szCs w:val="20"/>
          <w:color w:val="auto"/>
        </w:rPr>
      </w:pPr>
      <w:r>
        <w:rPr>
          <w:rFonts w:ascii="Arial" w:cs="Arial" w:eastAsia="Arial" w:hAnsi="Arial"/>
          <w:sz w:val="20"/>
          <w:szCs w:val="20"/>
          <w:color w:val="auto"/>
        </w:rPr>
        <w:t>21.2.1 deal with or accept custom from any person, firm or company who was a client or customer of the Company or any Group Company during the</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004"/>
          </w:cols>
          <w:pgMar w:left="436" w:top="271" w:right="459" w:bottom="1440" w:gutter="0" w:footer="0" w:header="0"/>
        </w:sectPr>
      </w:pPr>
    </w:p>
    <w:bookmarkStart w:id="303" w:name="page304"/>
    <w:bookmarkEnd w:id="303"/>
    <w:p>
      <w:pPr>
        <w:ind w:left="1280" w:right="18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with whom you have been actively engaged or involved or of whom you have acquired Confidential Information or trade secrets by virtue of your duties hereunder during the Period; or</w:t>
      </w:r>
    </w:p>
    <w:p>
      <w:pPr>
        <w:spacing w:after="0" w:line="82" w:lineRule="exact"/>
        <w:rPr>
          <w:sz w:val="20"/>
          <w:szCs w:val="20"/>
          <w:color w:val="auto"/>
        </w:rPr>
      </w:pPr>
    </w:p>
    <w:p>
      <w:pPr>
        <w:jc w:val="both"/>
        <w:ind w:left="1280" w:right="140" w:hanging="647"/>
        <w:spacing w:after="0" w:line="342" w:lineRule="auto"/>
        <w:rPr>
          <w:sz w:val="20"/>
          <w:szCs w:val="20"/>
          <w:color w:val="auto"/>
        </w:rPr>
      </w:pPr>
      <w:r>
        <w:rPr>
          <w:rFonts w:ascii="Arial" w:cs="Arial" w:eastAsia="Arial" w:hAnsi="Arial"/>
          <w:sz w:val="16"/>
          <w:szCs w:val="16"/>
          <w:color w:val="auto"/>
        </w:rPr>
        <w:t>21.2.2 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23" w:lineRule="exact"/>
        <w:rPr>
          <w:sz w:val="20"/>
          <w:szCs w:val="20"/>
          <w:color w:val="auto"/>
        </w:rPr>
      </w:pPr>
    </w:p>
    <w:p>
      <w:pPr>
        <w:ind w:left="1940" w:right="620" w:hanging="647"/>
        <w:spacing w:after="0" w:line="260" w:lineRule="auto"/>
        <w:rPr>
          <w:sz w:val="20"/>
          <w:szCs w:val="20"/>
          <w:color w:val="auto"/>
        </w:rPr>
      </w:pPr>
      <w:r>
        <w:rPr>
          <w:rFonts w:ascii="Arial" w:cs="Arial" w:eastAsia="Arial" w:hAnsi="Arial"/>
          <w:sz w:val="20"/>
          <w:szCs w:val="20"/>
          <w:color w:val="auto"/>
        </w:rPr>
        <w:t>21.2.3 deal with or interfere with any company from whom the Company or any Group Company has licensed or acquired intellectual property.</w:t>
      </w:r>
    </w:p>
    <w:p>
      <w:pPr>
        <w:spacing w:after="0" w:line="82" w:lineRule="exact"/>
        <w:rPr>
          <w:sz w:val="20"/>
          <w:szCs w:val="20"/>
          <w:color w:val="auto"/>
        </w:rPr>
      </w:pPr>
    </w:p>
    <w:p>
      <w:pPr>
        <w:ind w:left="620" w:right="60" w:hanging="647"/>
        <w:spacing w:after="0" w:line="260" w:lineRule="auto"/>
        <w:tabs>
          <w:tab w:leader="none" w:pos="600" w:val="left"/>
        </w:tabs>
        <w:rPr>
          <w:sz w:val="20"/>
          <w:szCs w:val="20"/>
          <w:color w:val="auto"/>
        </w:rPr>
      </w:pPr>
      <w:r>
        <w:rPr>
          <w:rFonts w:ascii="Arial" w:cs="Arial" w:eastAsia="Arial" w:hAnsi="Arial"/>
          <w:sz w:val="20"/>
          <w:szCs w:val="20"/>
          <w:color w:val="auto"/>
        </w:rPr>
        <w:t>21.3</w:t>
        <w:tab/>
        <w:t>You shall not for a period of 9 months from the Termination Date, in competition with the Company, either on your own behalf or on behalf of any person, firm or company in relation to the Restricted Business, directly or indirectly:</w:t>
      </w:r>
    </w:p>
    <w:p>
      <w:pPr>
        <w:spacing w:after="0" w:line="82" w:lineRule="exact"/>
        <w:rPr>
          <w:sz w:val="20"/>
          <w:szCs w:val="20"/>
          <w:color w:val="auto"/>
        </w:rPr>
      </w:pPr>
    </w:p>
    <w:p>
      <w:pPr>
        <w:ind w:left="1280" w:hanging="647"/>
        <w:spacing w:after="0" w:line="246" w:lineRule="auto"/>
        <w:rPr>
          <w:sz w:val="20"/>
          <w:szCs w:val="20"/>
          <w:color w:val="auto"/>
        </w:rPr>
      </w:pPr>
      <w:r>
        <w:rPr>
          <w:rFonts w:ascii="Arial" w:cs="Arial" w:eastAsia="Arial" w:hAnsi="Arial"/>
          <w:sz w:val="20"/>
          <w:szCs w:val="20"/>
          <w:color w:val="auto"/>
        </w:rPr>
        <w:t>21.3.1 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97" w:lineRule="exact"/>
        <w:rPr>
          <w:sz w:val="20"/>
          <w:szCs w:val="20"/>
          <w:color w:val="auto"/>
        </w:rPr>
      </w:pPr>
    </w:p>
    <w:p>
      <w:pPr>
        <w:ind w:left="1280" w:right="20" w:hanging="647"/>
        <w:spacing w:after="0" w:line="246" w:lineRule="auto"/>
        <w:rPr>
          <w:sz w:val="20"/>
          <w:szCs w:val="20"/>
          <w:color w:val="auto"/>
        </w:rPr>
      </w:pPr>
      <w:r>
        <w:rPr>
          <w:rFonts w:ascii="Arial" w:cs="Arial" w:eastAsia="Arial" w:hAnsi="Arial"/>
          <w:sz w:val="20"/>
          <w:szCs w:val="20"/>
          <w:color w:val="auto"/>
        </w:rPr>
        <w:t>21.3.2 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97" w:lineRule="exact"/>
        <w:rPr>
          <w:sz w:val="20"/>
          <w:szCs w:val="20"/>
          <w:color w:val="auto"/>
        </w:rPr>
      </w:pPr>
    </w:p>
    <w:p>
      <w:pPr>
        <w:ind w:left="1280" w:right="100" w:hanging="647"/>
        <w:spacing w:after="0" w:line="260" w:lineRule="auto"/>
        <w:rPr>
          <w:sz w:val="20"/>
          <w:szCs w:val="20"/>
          <w:color w:val="auto"/>
        </w:rPr>
      </w:pPr>
      <w:r>
        <w:rPr>
          <w:rFonts w:ascii="Arial" w:cs="Arial" w:eastAsia="Arial" w:hAnsi="Arial"/>
          <w:sz w:val="20"/>
          <w:szCs w:val="20"/>
          <w:color w:val="auto"/>
        </w:rPr>
        <w:t>21.3.3 interfere or seek to interfere with the continuance, or any of the terms, of the supply of goods or services to the Company or any Group Company;</w:t>
      </w:r>
    </w:p>
    <w:p>
      <w:pPr>
        <w:spacing w:after="0" w:line="64" w:lineRule="exact"/>
        <w:rPr>
          <w:sz w:val="20"/>
          <w:szCs w:val="20"/>
          <w:color w:val="auto"/>
        </w:rPr>
      </w:pPr>
    </w:p>
    <w:p>
      <w:pPr>
        <w:ind w:left="740" w:right="220"/>
        <w:spacing w:after="0"/>
        <w:rPr>
          <w:sz w:val="20"/>
          <w:szCs w:val="20"/>
          <w:color w:val="auto"/>
        </w:rPr>
      </w:pPr>
      <w:r>
        <w:rPr>
          <w:rFonts w:ascii="Arial" w:cs="Arial" w:eastAsia="Arial" w:hAnsi="Arial"/>
          <w:sz w:val="22"/>
          <w:szCs w:val="22"/>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96" w:lineRule="exact"/>
        <w:rPr>
          <w:sz w:val="20"/>
          <w:szCs w:val="20"/>
          <w:color w:val="auto"/>
        </w:rPr>
      </w:pPr>
    </w:p>
    <w:p>
      <w:pPr>
        <w:ind w:left="620" w:right="280" w:hanging="647"/>
        <w:spacing w:after="0" w:line="244" w:lineRule="auto"/>
        <w:tabs>
          <w:tab w:leader="none" w:pos="600" w:val="left"/>
        </w:tabs>
        <w:rPr>
          <w:sz w:val="20"/>
          <w:szCs w:val="20"/>
          <w:color w:val="auto"/>
        </w:rPr>
      </w:pPr>
      <w:r>
        <w:rPr>
          <w:rFonts w:ascii="Arial" w:cs="Arial" w:eastAsia="Arial" w:hAnsi="Arial"/>
          <w:sz w:val="20"/>
          <w:szCs w:val="20"/>
          <w:color w:val="auto"/>
        </w:rPr>
        <w:t>21.4</w:t>
        <w:tab/>
        <w:t>You shall not for a period of 6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0960"/>
          </w:cols>
          <w:pgMar w:left="460" w:top="271" w:right="479" w:bottom="1440" w:gutter="0" w:footer="0" w:header="0"/>
        </w:sectPr>
      </w:pPr>
    </w:p>
    <w:bookmarkStart w:id="304" w:name="page305"/>
    <w:bookmarkEnd w:id="304"/>
    <w:p>
      <w:pPr>
        <w:ind w:left="644" w:right="40" w:hanging="647"/>
        <w:spacing w:after="0" w:line="260"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w:t>
        <w:tab/>
        <w:t>You shall not, at any time after the Termination Date, either on your own behalf or on behalf of any other person, firm or company directly or indirectly:</w:t>
      </w:r>
    </w:p>
    <w:p>
      <w:pPr>
        <w:spacing w:after="0" w:line="82" w:lineRule="exact"/>
        <w:rPr>
          <w:sz w:val="20"/>
          <w:szCs w:val="20"/>
          <w:color w:val="auto"/>
        </w:rPr>
      </w:pPr>
    </w:p>
    <w:p>
      <w:pPr>
        <w:ind w:left="1304" w:right="160" w:hanging="647"/>
        <w:spacing w:after="0" w:line="244" w:lineRule="auto"/>
        <w:rPr>
          <w:sz w:val="20"/>
          <w:szCs w:val="20"/>
          <w:color w:val="auto"/>
        </w:rPr>
      </w:pPr>
      <w:r>
        <w:rPr>
          <w:rFonts w:ascii="Arial" w:cs="Arial" w:eastAsia="Arial" w:hAnsi="Arial"/>
          <w:sz w:val="20"/>
          <w:szCs w:val="20"/>
          <w:color w:val="auto"/>
        </w:rPr>
        <w:t>21.5.1 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100" w:lineRule="exact"/>
        <w:rPr>
          <w:sz w:val="20"/>
          <w:szCs w:val="20"/>
          <w:color w:val="auto"/>
        </w:rPr>
      </w:pPr>
    </w:p>
    <w:p>
      <w:pPr>
        <w:ind w:left="1304" w:right="100" w:hanging="647"/>
        <w:spacing w:after="0" w:line="260" w:lineRule="auto"/>
        <w:rPr>
          <w:sz w:val="20"/>
          <w:szCs w:val="20"/>
          <w:color w:val="auto"/>
        </w:rPr>
      </w:pPr>
      <w:r>
        <w:rPr>
          <w:rFonts w:ascii="Arial" w:cs="Arial" w:eastAsia="Arial" w:hAnsi="Arial"/>
          <w:sz w:val="19"/>
          <w:szCs w:val="19"/>
          <w:color w:val="auto"/>
        </w:rPr>
        <w:t>21.5.2 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9"/>
          <w:szCs w:val="19"/>
          <w:b w:val="1"/>
          <w:bCs w:val="1"/>
          <w:color w:val="auto"/>
        </w:rPr>
        <w:t>Relevant Personnel</w:t>
      </w:r>
      <w:r>
        <w:rPr>
          <w:rFonts w:ascii="Arial" w:cs="Arial" w:eastAsia="Arial" w:hAnsi="Arial"/>
          <w:sz w:val="19"/>
          <w:szCs w:val="19"/>
          <w:color w:val="auto"/>
        </w:rPr>
        <w:t>”) and/or which may be disparaging or derogatory to any of the Company or any Group Company or any Relevant Personnel.</w:t>
      </w:r>
    </w:p>
    <w:p>
      <w:pPr>
        <w:spacing w:after="0" w:line="86" w:lineRule="exact"/>
        <w:rPr>
          <w:sz w:val="20"/>
          <w:szCs w:val="20"/>
          <w:color w:val="auto"/>
        </w:rPr>
      </w:pPr>
    </w:p>
    <w:p>
      <w:pPr>
        <w:ind w:left="644" w:right="300" w:hanging="647"/>
        <w:spacing w:after="0" w:line="260" w:lineRule="auto"/>
        <w:tabs>
          <w:tab w:leader="none" w:pos="624" w:val="left"/>
        </w:tabs>
        <w:rPr>
          <w:sz w:val="20"/>
          <w:szCs w:val="20"/>
          <w:color w:val="auto"/>
        </w:rPr>
      </w:pPr>
      <w:r>
        <w:rPr>
          <w:rFonts w:ascii="Arial" w:cs="Arial" w:eastAsia="Arial" w:hAnsi="Arial"/>
          <w:sz w:val="20"/>
          <w:szCs w:val="20"/>
          <w:color w:val="auto"/>
        </w:rPr>
        <w:t>21.6</w:t>
        <w:tab/>
        <w:t>The period of the restrictions in clauses 21.1 to 21.4 inclusive shall be reduced by the period, if any, spent by you during which you are placed on garden leave in accordance with clause 20.</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color w:val="auto"/>
        </w:rPr>
        <w:t>You agree to notify your new employer of the restrictions contained within clauses 21.1 to 21.4 inclusive.</w:t>
      </w:r>
    </w:p>
    <w:p>
      <w:pPr>
        <w:spacing w:after="0" w:line="121" w:lineRule="exact"/>
        <w:rPr>
          <w:sz w:val="20"/>
          <w:szCs w:val="20"/>
          <w:color w:val="auto"/>
        </w:rPr>
      </w:pPr>
    </w:p>
    <w:p>
      <w:pPr>
        <w:ind w:left="644" w:hanging="647"/>
        <w:spacing w:after="0" w:line="276" w:lineRule="auto"/>
        <w:tabs>
          <w:tab w:leader="none" w:pos="624"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8"/>
          <w:szCs w:val="18"/>
          <w:color w:val="auto"/>
        </w:rPr>
        <w:t>You acknowledge that, in the course of your employment, you are likely to have dealings with the clients, customers, suppliers and other contacts of the Company. 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307" w:lineRule="exact"/>
        <w:rPr>
          <w:sz w:val="20"/>
          <w:szCs w:val="20"/>
          <w:color w:val="auto"/>
        </w:rPr>
      </w:pPr>
    </w:p>
    <w:p>
      <w:pPr>
        <w:ind w:left="644" w:hanging="644"/>
        <w:spacing w:after="0"/>
        <w:tabs>
          <w:tab w:leader="none" w:pos="644" w:val="left"/>
        </w:tabs>
        <w:numPr>
          <w:ilvl w:val="0"/>
          <w:numId w:val="238"/>
        </w:numPr>
        <w:rPr>
          <w:rFonts w:ascii="Arial" w:cs="Arial" w:eastAsia="Arial" w:hAnsi="Arial"/>
          <w:sz w:val="20"/>
          <w:szCs w:val="20"/>
          <w:b w:val="1"/>
          <w:bCs w:val="1"/>
          <w:color w:val="auto"/>
        </w:rPr>
      </w:pPr>
      <w:r>
        <w:rPr>
          <w:rFonts w:ascii="Arial" w:cs="Arial" w:eastAsia="Arial" w:hAnsi="Arial"/>
          <w:sz w:val="20"/>
          <w:szCs w:val="20"/>
          <w:b w:val="1"/>
          <w:bCs w:val="1"/>
          <w:color w:val="auto"/>
        </w:rPr>
        <w:t>Company Property</w:t>
      </w:r>
    </w:p>
    <w:p>
      <w:pPr>
        <w:spacing w:after="0" w:line="127" w:lineRule="exact"/>
        <w:rPr>
          <w:sz w:val="20"/>
          <w:szCs w:val="20"/>
          <w:color w:val="auto"/>
        </w:rPr>
      </w:pPr>
    </w:p>
    <w:p>
      <w:pPr>
        <w:ind w:left="644" w:right="280" w:hanging="647"/>
        <w:spacing w:after="0" w:line="260" w:lineRule="auto"/>
        <w:tabs>
          <w:tab w:leader="none" w:pos="624" w:val="left"/>
        </w:tabs>
        <w:rPr>
          <w:sz w:val="20"/>
          <w:szCs w:val="20"/>
          <w:color w:val="auto"/>
        </w:rPr>
      </w:pPr>
      <w:r>
        <w:rPr>
          <w:rFonts w:ascii="Arial" w:cs="Arial" w:eastAsia="Arial" w:hAnsi="Arial"/>
          <w:sz w:val="20"/>
          <w:szCs w:val="20"/>
          <w:color w:val="auto"/>
        </w:rPr>
        <w:t>22.1</w:t>
        <w:tab/>
        <w:t>All Documents and other property (including mobile telephones, laptop computers and other technical equipment) provided for your use by the Company, remain the property of the Company or any Group Company.</w:t>
      </w:r>
    </w:p>
    <w:p>
      <w:pPr>
        <w:spacing w:after="0" w:line="82" w:lineRule="exact"/>
        <w:rPr>
          <w:sz w:val="20"/>
          <w:szCs w:val="20"/>
          <w:color w:val="auto"/>
        </w:rPr>
      </w:pPr>
    </w:p>
    <w:p>
      <w:pPr>
        <w:ind w:left="644" w:hanging="647"/>
        <w:spacing w:after="0" w:line="260" w:lineRule="auto"/>
        <w:tabs>
          <w:tab w:leader="none" w:pos="624" w:val="left"/>
        </w:tabs>
        <w:rPr>
          <w:sz w:val="20"/>
          <w:szCs w:val="20"/>
          <w:color w:val="auto"/>
        </w:rPr>
      </w:pPr>
      <w:r>
        <w:rPr>
          <w:rFonts w:ascii="Arial" w:cs="Arial" w:eastAsia="Arial" w:hAnsi="Arial"/>
          <w:sz w:val="20"/>
          <w:szCs w:val="20"/>
          <w:color w:val="auto"/>
        </w:rPr>
        <w:t>22.2</w:t>
        <w:tab/>
        <w:t>Any Documents or other property in your possession and or obtained by you in the course of your employment shall be returned to your Manager at any time on request and in any event prior to the Termination Date.</w:t>
      </w:r>
    </w:p>
    <w:p>
      <w:pPr>
        <w:spacing w:after="0" w:line="82" w:lineRule="exact"/>
        <w:rPr>
          <w:sz w:val="20"/>
          <w:szCs w:val="20"/>
          <w:color w:val="auto"/>
        </w:rPr>
      </w:pPr>
    </w:p>
    <w:p>
      <w:pPr>
        <w:ind w:left="644" w:right="140" w:hanging="647"/>
        <w:spacing w:after="0" w:line="269" w:lineRule="auto"/>
        <w:tabs>
          <w:tab w:leader="none" w:pos="624"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color w:val="auto"/>
        </w:rPr>
        <w:t>At any time upon request and in any event prior to the Termination Date you must irretrievably delete any information relating to the business of the Company or any Group Company stored on any magnetic or optical disk or memory and all matter derived from such sources which is in your possession or under your control outside the Company’s premises.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004"/>
          </w:cols>
          <w:pgMar w:left="436" w:top="271" w:right="459" w:bottom="1440" w:gutter="0" w:footer="0" w:header="0"/>
        </w:sectPr>
      </w:pPr>
    </w:p>
    <w:bookmarkStart w:id="305" w:name="page306"/>
    <w:bookmarkEnd w:id="305"/>
    <w:p>
      <w:pPr>
        <w:ind w:left="644" w:hanging="644"/>
        <w:spacing w:after="0"/>
        <w:tabs>
          <w:tab w:leader="none" w:pos="644" w:val="left"/>
        </w:tabs>
        <w:numPr>
          <w:ilvl w:val="0"/>
          <w:numId w:val="239"/>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Grievance Procedure</w:t>
      </w:r>
    </w:p>
    <w:p>
      <w:pPr>
        <w:spacing w:after="0" w:line="109" w:lineRule="exact"/>
        <w:rPr>
          <w:sz w:val="20"/>
          <w:szCs w:val="20"/>
          <w:color w:val="auto"/>
        </w:rPr>
      </w:pPr>
    </w:p>
    <w:p>
      <w:pPr>
        <w:ind w:left="764"/>
        <w:spacing w:after="0" w:line="279" w:lineRule="auto"/>
        <w:rPr>
          <w:sz w:val="20"/>
          <w:szCs w:val="20"/>
          <w:color w:val="auto"/>
        </w:rPr>
      </w:pPr>
      <w:r>
        <w:rPr>
          <w:rFonts w:ascii="Arial" w:cs="Arial" w:eastAsia="Arial" w:hAnsi="Arial"/>
          <w:sz w:val="19"/>
          <w:szCs w:val="19"/>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Executive Officer or General Counsel.</w:t>
      </w:r>
    </w:p>
    <w:p>
      <w:pPr>
        <w:spacing w:after="0" w:line="297" w:lineRule="exact"/>
        <w:rPr>
          <w:sz w:val="20"/>
          <w:szCs w:val="20"/>
          <w:color w:val="auto"/>
        </w:rPr>
      </w:pPr>
    </w:p>
    <w:p>
      <w:pPr>
        <w:ind w:left="644" w:hanging="644"/>
        <w:spacing w:after="0"/>
        <w:tabs>
          <w:tab w:leader="none" w:pos="644" w:val="left"/>
        </w:tabs>
        <w:numPr>
          <w:ilvl w:val="0"/>
          <w:numId w:val="240"/>
        </w:numPr>
        <w:rPr>
          <w:rFonts w:ascii="Arial" w:cs="Arial" w:eastAsia="Arial" w:hAnsi="Arial"/>
          <w:sz w:val="20"/>
          <w:szCs w:val="20"/>
          <w:b w:val="1"/>
          <w:bCs w:val="1"/>
          <w:color w:val="auto"/>
        </w:rPr>
      </w:pPr>
      <w:r>
        <w:rPr>
          <w:rFonts w:ascii="Arial" w:cs="Arial" w:eastAsia="Arial" w:hAnsi="Arial"/>
          <w:sz w:val="20"/>
          <w:szCs w:val="20"/>
          <w:b w:val="1"/>
          <w:bCs w:val="1"/>
          <w:color w:val="auto"/>
        </w:rPr>
        <w:t>Disciplinary Procedure</w:t>
      </w:r>
    </w:p>
    <w:p>
      <w:pPr>
        <w:spacing w:after="0" w:line="127" w:lineRule="exact"/>
        <w:rPr>
          <w:sz w:val="20"/>
          <w:szCs w:val="20"/>
          <w:color w:val="auto"/>
        </w:rPr>
      </w:pPr>
    </w:p>
    <w:p>
      <w:pPr>
        <w:ind w:left="644" w:right="20" w:hanging="647"/>
        <w:spacing w:after="0" w:line="328" w:lineRule="auto"/>
        <w:tabs>
          <w:tab w:leader="none" w:pos="624"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6"/>
          <w:szCs w:val="16"/>
          <w:color w:val="auto"/>
        </w:rPr>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34" w:lineRule="exact"/>
        <w:rPr>
          <w:sz w:val="20"/>
          <w:szCs w:val="20"/>
          <w:color w:val="auto"/>
        </w:rPr>
      </w:pPr>
    </w:p>
    <w:p>
      <w:pPr>
        <w:ind w:left="644" w:right="300" w:hanging="647"/>
        <w:spacing w:after="0" w:line="250" w:lineRule="auto"/>
        <w:tabs>
          <w:tab w:leader="none" w:pos="624" w:val="left"/>
        </w:tabs>
        <w:rPr>
          <w:sz w:val="20"/>
          <w:szCs w:val="20"/>
          <w:color w:val="auto"/>
        </w:rPr>
      </w:pPr>
      <w:r>
        <w:rPr>
          <w:rFonts w:ascii="Arial" w:cs="Arial" w:eastAsia="Arial" w:hAnsi="Arial"/>
          <w:sz w:val="20"/>
          <w:szCs w:val="20"/>
          <w:color w:val="auto"/>
        </w:rPr>
        <w:t>24.2</w:t>
        <w:tab/>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91" w:lineRule="exact"/>
        <w:rPr>
          <w:sz w:val="20"/>
          <w:szCs w:val="20"/>
          <w:color w:val="auto"/>
        </w:rPr>
      </w:pPr>
    </w:p>
    <w:p>
      <w:pPr>
        <w:ind w:left="1964" w:right="320" w:hanging="647"/>
        <w:spacing w:after="0" w:line="260" w:lineRule="auto"/>
        <w:rPr>
          <w:sz w:val="20"/>
          <w:szCs w:val="20"/>
          <w:color w:val="auto"/>
        </w:rPr>
      </w:pPr>
      <w:r>
        <w:rPr>
          <w:rFonts w:ascii="Arial" w:cs="Arial" w:eastAsia="Arial" w:hAnsi="Arial"/>
          <w:sz w:val="20"/>
          <w:szCs w:val="20"/>
          <w:color w:val="auto"/>
        </w:rPr>
        <w:t>24.2.1 you shall continue to receive your basic salary and all contractual benefits in the usual way and subject to the terms of any benefit arrangement;</w:t>
      </w:r>
    </w:p>
    <w:p>
      <w:pPr>
        <w:spacing w:after="0" w:line="82"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24.2.2  you shall remain an employee of the Company and bound by the terms of this Contract;</w:t>
      </w:r>
    </w:p>
    <w:p>
      <w:pPr>
        <w:spacing w:after="0" w:line="121" w:lineRule="exact"/>
        <w:rPr>
          <w:sz w:val="20"/>
          <w:szCs w:val="20"/>
          <w:color w:val="auto"/>
        </w:rPr>
      </w:pPr>
    </w:p>
    <w:p>
      <w:pPr>
        <w:ind w:left="644" w:right="320" w:hanging="647"/>
        <w:spacing w:after="0" w:line="260" w:lineRule="auto"/>
        <w:tabs>
          <w:tab w:leader="none" w:pos="624" w:val="left"/>
        </w:tabs>
        <w:rPr>
          <w:sz w:val="20"/>
          <w:szCs w:val="20"/>
          <w:color w:val="auto"/>
        </w:rPr>
      </w:pPr>
      <w:r>
        <w:rPr>
          <w:rFonts w:ascii="Arial" w:cs="Arial" w:eastAsia="Arial" w:hAnsi="Arial"/>
          <w:sz w:val="20"/>
          <w:szCs w:val="20"/>
          <w:color w:val="auto"/>
        </w:rPr>
        <w:t>24.3</w:t>
        <w:tab/>
        <w:t>you shall ensure that your Manager knows where you will be and how you can be contacted during each working day (except during any periods taken as holiday in the usual way);</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24.4</w:t>
      </w:r>
      <w:r>
        <w:rPr>
          <w:sz w:val="20"/>
          <w:szCs w:val="20"/>
          <w:color w:val="auto"/>
        </w:rPr>
        <w:tab/>
      </w:r>
      <w:r>
        <w:rPr>
          <w:rFonts w:ascii="Arial" w:cs="Arial" w:eastAsia="Arial" w:hAnsi="Arial"/>
          <w:sz w:val="18"/>
          <w:szCs w:val="18"/>
          <w:color w:val="auto"/>
        </w:rPr>
        <w:t>the Company may exclude you from your place of work or any other premises of the Company or any Group Company; and</w:t>
      </w:r>
    </w:p>
    <w:p>
      <w:pPr>
        <w:spacing w:after="0" w:line="121" w:lineRule="exact"/>
        <w:rPr>
          <w:sz w:val="20"/>
          <w:szCs w:val="20"/>
          <w:color w:val="auto"/>
        </w:rPr>
      </w:pPr>
    </w:p>
    <w:p>
      <w:pPr>
        <w:ind w:left="644" w:right="200" w:hanging="647"/>
        <w:spacing w:after="0" w:line="250" w:lineRule="auto"/>
        <w:tabs>
          <w:tab w:leader="none" w:pos="624" w:val="left"/>
        </w:tabs>
        <w:rPr>
          <w:sz w:val="20"/>
          <w:szCs w:val="20"/>
          <w:color w:val="auto"/>
        </w:rPr>
      </w:pPr>
      <w:r>
        <w:rPr>
          <w:rFonts w:ascii="Arial" w:cs="Arial" w:eastAsia="Arial" w:hAnsi="Arial"/>
          <w:sz w:val="20"/>
          <w:szCs w:val="20"/>
          <w:color w:val="auto"/>
        </w:rPr>
        <w:t>24.5</w:t>
        <w:tab/>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328" w:lineRule="exact"/>
        <w:rPr>
          <w:sz w:val="20"/>
          <w:szCs w:val="20"/>
          <w:color w:val="auto"/>
        </w:rPr>
      </w:pPr>
    </w:p>
    <w:p>
      <w:pPr>
        <w:ind w:left="644" w:hanging="644"/>
        <w:spacing w:after="0"/>
        <w:tabs>
          <w:tab w:leader="none" w:pos="644" w:val="left"/>
        </w:tabs>
        <w:numPr>
          <w:ilvl w:val="0"/>
          <w:numId w:val="241"/>
        </w:numPr>
        <w:rPr>
          <w:rFonts w:ascii="Arial" w:cs="Arial" w:eastAsia="Arial" w:hAnsi="Arial"/>
          <w:sz w:val="20"/>
          <w:szCs w:val="20"/>
          <w:b w:val="1"/>
          <w:bCs w:val="1"/>
          <w:color w:val="auto"/>
        </w:rPr>
      </w:pPr>
      <w:r>
        <w:rPr>
          <w:rFonts w:ascii="Arial" w:cs="Arial" w:eastAsia="Arial" w:hAnsi="Arial"/>
          <w:sz w:val="20"/>
          <w:szCs w:val="20"/>
          <w:b w:val="1"/>
          <w:bCs w:val="1"/>
          <w:color w:val="auto"/>
        </w:rPr>
        <w:t>Collective Agreements</w:t>
      </w:r>
    </w:p>
    <w:p>
      <w:pPr>
        <w:spacing w:after="0" w:line="109" w:lineRule="exact"/>
        <w:rPr>
          <w:sz w:val="20"/>
          <w:szCs w:val="20"/>
          <w:color w:val="auto"/>
        </w:rPr>
      </w:pPr>
    </w:p>
    <w:p>
      <w:pPr>
        <w:ind w:left="764"/>
        <w:spacing w:after="0"/>
        <w:rPr>
          <w:sz w:val="20"/>
          <w:szCs w:val="20"/>
          <w:color w:val="auto"/>
        </w:rPr>
      </w:pPr>
      <w:r>
        <w:rPr>
          <w:rFonts w:ascii="Arial" w:cs="Arial" w:eastAsia="Arial" w:hAnsi="Arial"/>
          <w:sz w:val="22"/>
          <w:szCs w:val="22"/>
          <w:color w:val="auto"/>
        </w:rPr>
        <w:t>There are no collective agreements affecting your terms and conditions of employment.</w:t>
      </w:r>
    </w:p>
    <w:p>
      <w:pPr>
        <w:spacing w:after="0" w:line="139"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0904"/>
          </w:cols>
          <w:pgMar w:left="436" w:top="265" w:right="559" w:bottom="1440" w:gutter="0" w:footer="0" w:header="0"/>
        </w:sectPr>
      </w:pPr>
    </w:p>
    <w:bookmarkStart w:id="306" w:name="page307"/>
    <w:bookmarkEnd w:id="306"/>
    <w:p>
      <w:pPr>
        <w:ind w:left="644" w:hanging="644"/>
        <w:spacing w:after="0"/>
        <w:tabs>
          <w:tab w:leader="none" w:pos="644" w:val="left"/>
        </w:tabs>
        <w:numPr>
          <w:ilvl w:val="0"/>
          <w:numId w:val="242"/>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 outside the United Kingdom</w:t>
      </w:r>
    </w:p>
    <w:p>
      <w:pPr>
        <w:spacing w:after="0" w:line="127" w:lineRule="exact"/>
        <w:rPr>
          <w:sz w:val="20"/>
          <w:szCs w:val="20"/>
          <w:color w:val="auto"/>
        </w:rPr>
      </w:pPr>
    </w:p>
    <w:p>
      <w:pPr>
        <w:ind w:left="644" w:right="460" w:hanging="647"/>
        <w:spacing w:after="0" w:line="260" w:lineRule="auto"/>
        <w:tabs>
          <w:tab w:leader="none" w:pos="624" w:val="left"/>
        </w:tabs>
        <w:rPr>
          <w:sz w:val="20"/>
          <w:szCs w:val="20"/>
          <w:color w:val="auto"/>
        </w:rPr>
      </w:pPr>
      <w:r>
        <w:rPr>
          <w:rFonts w:ascii="Arial" w:cs="Arial" w:eastAsia="Arial" w:hAnsi="Arial"/>
          <w:sz w:val="20"/>
          <w:szCs w:val="20"/>
          <w:color w:val="auto"/>
        </w:rPr>
        <w:t>26.1</w:t>
        <w:tab/>
        <w:t>It is not envisaged by the Company that you will be required to travel for work purposes outside the United Kingdom for any periods longer than one month.</w:t>
      </w:r>
    </w:p>
    <w:p>
      <w:pPr>
        <w:spacing w:after="0" w:line="82" w:lineRule="exact"/>
        <w:rPr>
          <w:sz w:val="20"/>
          <w:szCs w:val="20"/>
          <w:color w:val="auto"/>
        </w:rPr>
      </w:pPr>
    </w:p>
    <w:p>
      <w:pPr>
        <w:ind w:left="644" w:right="60" w:hanging="647"/>
        <w:spacing w:after="0" w:line="260" w:lineRule="auto"/>
        <w:tabs>
          <w:tab w:leader="none" w:pos="624" w:val="left"/>
        </w:tabs>
        <w:rPr>
          <w:sz w:val="20"/>
          <w:szCs w:val="20"/>
          <w:color w:val="auto"/>
        </w:rPr>
      </w:pPr>
      <w:r>
        <w:rPr>
          <w:rFonts w:ascii="Arial" w:cs="Arial" w:eastAsia="Arial" w:hAnsi="Arial"/>
          <w:sz w:val="20"/>
          <w:szCs w:val="20"/>
          <w:color w:val="auto"/>
        </w:rPr>
        <w:t>26.2</w:t>
        <w:tab/>
        <w:t>In the event you are required to work outside the United Kingdom for a period of more than one month, the Company will consult with you and will provide the prescribed information to you.</w:t>
      </w:r>
    </w:p>
    <w:p>
      <w:pPr>
        <w:spacing w:after="0" w:line="319" w:lineRule="exact"/>
        <w:rPr>
          <w:sz w:val="20"/>
          <w:szCs w:val="20"/>
          <w:color w:val="auto"/>
        </w:rPr>
      </w:pPr>
    </w:p>
    <w:p>
      <w:pPr>
        <w:ind w:left="644" w:hanging="644"/>
        <w:spacing w:after="0"/>
        <w:tabs>
          <w:tab w:leader="none" w:pos="644" w:val="left"/>
        </w:tabs>
        <w:numPr>
          <w:ilvl w:val="0"/>
          <w:numId w:val="243"/>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w:t>
      </w:r>
    </w:p>
    <w:p>
      <w:pPr>
        <w:spacing w:after="0" w:line="109" w:lineRule="exact"/>
        <w:rPr>
          <w:sz w:val="20"/>
          <w:szCs w:val="20"/>
          <w:color w:val="auto"/>
        </w:rPr>
      </w:pPr>
    </w:p>
    <w:p>
      <w:pPr>
        <w:ind w:left="764" w:right="300"/>
        <w:spacing w:after="0" w:line="238" w:lineRule="auto"/>
        <w:rPr>
          <w:sz w:val="20"/>
          <w:szCs w:val="20"/>
          <w:color w:val="auto"/>
        </w:rPr>
      </w:pPr>
      <w:r>
        <w:rPr>
          <w:rFonts w:ascii="Arial" w:cs="Arial" w:eastAsia="Arial" w:hAnsi="Arial"/>
          <w:sz w:val="22"/>
          <w:szCs w:val="22"/>
          <w:color w:val="auto"/>
        </w:rPr>
        <w:t>For the purposes of the General Data Protection Regulation (EU) 2016/679 and the Data Protection Act 2018, the Company will hold, collect and otherwise process certain personal data as set out in the Company’s privacy notice, which is on the intranet. All personal data will be treated in accordance with applicable data protection laws and regulations.</w:t>
      </w:r>
    </w:p>
    <w:p>
      <w:pPr>
        <w:spacing w:after="0" w:line="332" w:lineRule="exact"/>
        <w:rPr>
          <w:sz w:val="20"/>
          <w:szCs w:val="20"/>
          <w:color w:val="auto"/>
        </w:rPr>
      </w:pPr>
    </w:p>
    <w:p>
      <w:pPr>
        <w:ind w:left="644" w:hanging="644"/>
        <w:spacing w:after="0"/>
        <w:tabs>
          <w:tab w:leader="none" w:pos="644" w:val="left"/>
        </w:tabs>
        <w:numPr>
          <w:ilvl w:val="0"/>
          <w:numId w:val="244"/>
        </w:numPr>
        <w:rPr>
          <w:rFonts w:ascii="Arial" w:cs="Arial" w:eastAsia="Arial" w:hAnsi="Arial"/>
          <w:sz w:val="20"/>
          <w:szCs w:val="20"/>
          <w:b w:val="1"/>
          <w:bCs w:val="1"/>
          <w:color w:val="auto"/>
        </w:rPr>
      </w:pPr>
      <w:r>
        <w:rPr>
          <w:rFonts w:ascii="Arial" w:cs="Arial" w:eastAsia="Arial" w:hAnsi="Arial"/>
          <w:sz w:val="20"/>
          <w:szCs w:val="20"/>
          <w:b w:val="1"/>
          <w:bCs w:val="1"/>
          <w:color w:val="auto"/>
        </w:rPr>
        <w:t>Monitoring</w:t>
      </w:r>
    </w:p>
    <w:p>
      <w:pPr>
        <w:spacing w:after="0" w:line="12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28.1</w:t>
      </w:r>
      <w:r>
        <w:rPr>
          <w:sz w:val="20"/>
          <w:szCs w:val="20"/>
          <w:color w:val="auto"/>
        </w:rPr>
        <w:tab/>
      </w:r>
      <w:r>
        <w:rPr>
          <w:rFonts w:ascii="Arial" w:cs="Arial" w:eastAsia="Arial" w:hAnsi="Arial"/>
          <w:sz w:val="18"/>
          <w:szCs w:val="18"/>
          <w:color w:val="auto"/>
        </w:rPr>
        <w:t>You shall comply with any electronic communication systems policies that the Company may issue from time to time.</w:t>
      </w:r>
    </w:p>
    <w:p>
      <w:pPr>
        <w:spacing w:after="0" w:line="121" w:lineRule="exact"/>
        <w:rPr>
          <w:sz w:val="20"/>
          <w:szCs w:val="20"/>
          <w:color w:val="auto"/>
        </w:rPr>
      </w:pPr>
    </w:p>
    <w:p>
      <w:pPr>
        <w:ind w:left="644" w:hanging="647"/>
        <w:spacing w:after="0" w:line="243" w:lineRule="auto"/>
        <w:tabs>
          <w:tab w:leader="none" w:pos="624" w:val="left"/>
        </w:tabs>
        <w:rPr>
          <w:sz w:val="20"/>
          <w:szCs w:val="20"/>
          <w:color w:val="auto"/>
        </w:rPr>
      </w:pPr>
      <w:r>
        <w:rPr>
          <w:rFonts w:ascii="Arial" w:cs="Arial" w:eastAsia="Arial" w:hAnsi="Arial"/>
          <w:sz w:val="20"/>
          <w:szCs w:val="20"/>
          <w:color w:val="auto"/>
        </w:rPr>
        <w:t>28.2</w:t>
        <w:tab/>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338" w:lineRule="exact"/>
        <w:rPr>
          <w:sz w:val="20"/>
          <w:szCs w:val="20"/>
          <w:color w:val="auto"/>
        </w:rPr>
      </w:pPr>
    </w:p>
    <w:p>
      <w:pPr>
        <w:ind w:left="644" w:hanging="644"/>
        <w:spacing w:after="0"/>
        <w:tabs>
          <w:tab w:leader="none" w:pos="644" w:val="left"/>
        </w:tabs>
        <w:numPr>
          <w:ilvl w:val="0"/>
          <w:numId w:val="245"/>
        </w:numPr>
        <w:rPr>
          <w:rFonts w:ascii="Arial" w:cs="Arial" w:eastAsia="Arial" w:hAnsi="Arial"/>
          <w:sz w:val="20"/>
          <w:szCs w:val="20"/>
          <w:b w:val="1"/>
          <w:bCs w:val="1"/>
          <w:color w:val="auto"/>
        </w:rPr>
      </w:pPr>
      <w:r>
        <w:rPr>
          <w:rFonts w:ascii="Arial" w:cs="Arial" w:eastAsia="Arial" w:hAnsi="Arial"/>
          <w:sz w:val="20"/>
          <w:szCs w:val="20"/>
          <w:b w:val="1"/>
          <w:bCs w:val="1"/>
          <w:color w:val="auto"/>
        </w:rPr>
        <w:t>Rules, Policies and Procedures</w:t>
      </w:r>
    </w:p>
    <w:p>
      <w:pPr>
        <w:spacing w:after="0" w:line="109" w:lineRule="exact"/>
        <w:rPr>
          <w:sz w:val="20"/>
          <w:szCs w:val="20"/>
          <w:color w:val="auto"/>
        </w:rPr>
      </w:pPr>
    </w:p>
    <w:p>
      <w:pPr>
        <w:ind w:left="764" w:right="80"/>
        <w:spacing w:after="0" w:line="236" w:lineRule="auto"/>
        <w:rPr>
          <w:sz w:val="20"/>
          <w:szCs w:val="20"/>
          <w:color w:val="auto"/>
        </w:rPr>
      </w:pPr>
      <w:r>
        <w:rPr>
          <w:rFonts w:ascii="Arial" w:cs="Arial" w:eastAsia="Arial" w:hAnsi="Arial"/>
          <w:sz w:val="22"/>
          <w:szCs w:val="22"/>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334" w:lineRule="exact"/>
        <w:rPr>
          <w:sz w:val="20"/>
          <w:szCs w:val="20"/>
          <w:color w:val="auto"/>
        </w:rPr>
      </w:pPr>
    </w:p>
    <w:p>
      <w:pPr>
        <w:ind w:left="644" w:hanging="644"/>
        <w:spacing w:after="0"/>
        <w:tabs>
          <w:tab w:leader="none" w:pos="644" w:val="left"/>
        </w:tabs>
        <w:numPr>
          <w:ilvl w:val="0"/>
          <w:numId w:val="246"/>
        </w:numPr>
        <w:rPr>
          <w:rFonts w:ascii="Arial" w:cs="Arial" w:eastAsia="Arial" w:hAnsi="Arial"/>
          <w:sz w:val="20"/>
          <w:szCs w:val="20"/>
          <w:b w:val="1"/>
          <w:bCs w:val="1"/>
          <w:color w:val="auto"/>
        </w:rPr>
      </w:pPr>
      <w:r>
        <w:rPr>
          <w:rFonts w:ascii="Arial" w:cs="Arial" w:eastAsia="Arial" w:hAnsi="Arial"/>
          <w:sz w:val="20"/>
          <w:szCs w:val="20"/>
          <w:b w:val="1"/>
          <w:bCs w:val="1"/>
          <w:color w:val="auto"/>
        </w:rPr>
        <w:t>Health and Safety</w:t>
      </w:r>
    </w:p>
    <w:p>
      <w:pPr>
        <w:spacing w:after="0" w:line="109" w:lineRule="exact"/>
        <w:rPr>
          <w:sz w:val="20"/>
          <w:szCs w:val="20"/>
          <w:color w:val="auto"/>
        </w:rPr>
      </w:pPr>
    </w:p>
    <w:p>
      <w:pPr>
        <w:ind w:left="764" w:right="120"/>
        <w:spacing w:after="0" w:line="250" w:lineRule="auto"/>
        <w:rPr>
          <w:sz w:val="20"/>
          <w:szCs w:val="20"/>
          <w:color w:val="auto"/>
        </w:rPr>
      </w:pPr>
      <w:r>
        <w:rPr>
          <w:rFonts w:ascii="Arial" w:cs="Arial" w:eastAsia="Arial" w:hAnsi="Arial"/>
          <w:sz w:val="22"/>
          <w:szCs w:val="22"/>
          <w:color w:val="auto"/>
        </w:rPr>
        <w:t>All employees and workers have a duty in law to act responsibly and to take reasonable care for the health and safety at work of both themselves and their colleagues. This duty can be carried out by:</w:t>
      </w:r>
    </w:p>
    <w:p>
      <w:pPr>
        <w:spacing w:after="0" w:line="85" w:lineRule="exact"/>
        <w:rPr>
          <w:sz w:val="20"/>
          <w:szCs w:val="20"/>
          <w:color w:val="auto"/>
        </w:rPr>
      </w:pPr>
    </w:p>
    <w:p>
      <w:pPr>
        <w:ind w:left="1304" w:hanging="656"/>
        <w:spacing w:after="0"/>
        <w:tabs>
          <w:tab w:leader="none" w:pos="1304"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working safely and efficiently;</w:t>
      </w:r>
    </w:p>
    <w:p>
      <w:pPr>
        <w:spacing w:after="0" w:line="121" w:lineRule="exact"/>
        <w:rPr>
          <w:rFonts w:ascii="Arial" w:cs="Arial" w:eastAsia="Arial" w:hAnsi="Arial"/>
          <w:sz w:val="20"/>
          <w:szCs w:val="20"/>
          <w:color w:val="auto"/>
        </w:rPr>
      </w:pPr>
    </w:p>
    <w:p>
      <w:pPr>
        <w:ind w:left="1304" w:hanging="656"/>
        <w:spacing w:after="0"/>
        <w:tabs>
          <w:tab w:leader="none" w:pos="1304" w:val="left"/>
        </w:tabs>
        <w:numPr>
          <w:ilvl w:val="0"/>
          <w:numId w:val="247"/>
        </w:numPr>
        <w:rPr>
          <w:rFonts w:ascii="Arial" w:cs="Arial" w:eastAsia="Arial" w:hAnsi="Arial"/>
          <w:sz w:val="20"/>
          <w:szCs w:val="20"/>
          <w:color w:val="auto"/>
        </w:rPr>
      </w:pPr>
      <w:r>
        <w:rPr>
          <w:rFonts w:ascii="Arial" w:cs="Arial" w:eastAsia="Arial" w:hAnsi="Arial"/>
          <w:sz w:val="20"/>
          <w:szCs w:val="20"/>
          <w:color w:val="auto"/>
        </w:rPr>
        <w:t>using any protective equipment provided and meeting statutory obligations;</w:t>
      </w:r>
    </w:p>
    <w:p>
      <w:pPr>
        <w:spacing w:after="0" w:line="121" w:lineRule="exact"/>
        <w:rPr>
          <w:rFonts w:ascii="Arial" w:cs="Arial" w:eastAsia="Arial" w:hAnsi="Arial"/>
          <w:sz w:val="20"/>
          <w:szCs w:val="20"/>
          <w:color w:val="auto"/>
        </w:rPr>
      </w:pPr>
    </w:p>
    <w:p>
      <w:pPr>
        <w:ind w:left="1304" w:hanging="656"/>
        <w:spacing w:after="0"/>
        <w:tabs>
          <w:tab w:leader="none" w:pos="1304" w:val="left"/>
        </w:tabs>
        <w:numPr>
          <w:ilvl w:val="0"/>
          <w:numId w:val="247"/>
        </w:numPr>
        <w:rPr>
          <w:rFonts w:ascii="Arial" w:cs="Arial" w:eastAsia="Arial" w:hAnsi="Arial"/>
          <w:sz w:val="20"/>
          <w:szCs w:val="20"/>
          <w:color w:val="auto"/>
        </w:rPr>
      </w:pPr>
      <w:r>
        <w:rPr>
          <w:rFonts w:ascii="Arial" w:cs="Arial" w:eastAsia="Arial" w:hAnsi="Arial"/>
          <w:sz w:val="20"/>
          <w:szCs w:val="20"/>
          <w:color w:val="auto"/>
        </w:rPr>
        <w:t>adhering to the Company procedures for securing a safe workplace.</w:t>
      </w:r>
    </w:p>
    <w:p>
      <w:pPr>
        <w:spacing w:after="0" w:line="143" w:lineRule="exact"/>
        <w:rPr>
          <w:rFonts w:ascii="Arial" w:cs="Arial" w:eastAsia="Arial" w:hAnsi="Arial"/>
          <w:sz w:val="20"/>
          <w:szCs w:val="20"/>
          <w:color w:val="auto"/>
        </w:rPr>
      </w:pPr>
    </w:p>
    <w:p>
      <w:pPr>
        <w:ind w:left="5404" w:hanging="130"/>
        <w:spacing w:after="0"/>
        <w:tabs>
          <w:tab w:leader="none" w:pos="5404" w:val="left"/>
        </w:tabs>
        <w:numPr>
          <w:ilvl w:val="1"/>
          <w:numId w:val="247"/>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1004"/>
          </w:cols>
          <w:pgMar w:left="436" w:top="265" w:right="459" w:bottom="1440" w:gutter="0" w:footer="0" w:header="0"/>
        </w:sectPr>
      </w:pPr>
    </w:p>
    <w:bookmarkStart w:id="307" w:name="page308"/>
    <w:bookmarkEnd w:id="307"/>
    <w:p>
      <w:pPr>
        <w:ind w:left="764"/>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provisions relating to health and safety can be found in the Employee Handbook.</w:t>
      </w:r>
    </w:p>
    <w:p>
      <w:pPr>
        <w:spacing w:after="0" w:line="353" w:lineRule="exact"/>
        <w:rPr>
          <w:sz w:val="20"/>
          <w:szCs w:val="20"/>
          <w:color w:val="auto"/>
        </w:rPr>
      </w:pPr>
    </w:p>
    <w:p>
      <w:pPr>
        <w:ind w:left="644" w:hanging="644"/>
        <w:spacing w:after="0"/>
        <w:tabs>
          <w:tab w:leader="none" w:pos="644" w:val="left"/>
        </w:tabs>
        <w:numPr>
          <w:ilvl w:val="0"/>
          <w:numId w:val="248"/>
        </w:numPr>
        <w:rPr>
          <w:rFonts w:ascii="Arial" w:cs="Arial" w:eastAsia="Arial" w:hAnsi="Arial"/>
          <w:sz w:val="20"/>
          <w:szCs w:val="20"/>
          <w:b w:val="1"/>
          <w:bCs w:val="1"/>
          <w:color w:val="auto"/>
        </w:rPr>
      </w:pPr>
      <w:r>
        <w:rPr>
          <w:rFonts w:ascii="Arial" w:cs="Arial" w:eastAsia="Arial" w:hAnsi="Arial"/>
          <w:sz w:val="20"/>
          <w:szCs w:val="20"/>
          <w:b w:val="1"/>
          <w:bCs w:val="1"/>
          <w:color w:val="auto"/>
        </w:rPr>
        <w:t>Contracts (Rights of Third Parties) Act 1999</w:t>
      </w:r>
    </w:p>
    <w:p>
      <w:pPr>
        <w:spacing w:after="0" w:line="109" w:lineRule="exact"/>
        <w:rPr>
          <w:sz w:val="20"/>
          <w:szCs w:val="20"/>
          <w:color w:val="auto"/>
        </w:rPr>
      </w:pPr>
    </w:p>
    <w:p>
      <w:pPr>
        <w:ind w:left="764" w:right="340"/>
        <w:spacing w:after="0"/>
        <w:rPr>
          <w:sz w:val="20"/>
          <w:szCs w:val="20"/>
          <w:color w:val="auto"/>
        </w:rPr>
      </w:pPr>
      <w:r>
        <w:rPr>
          <w:rFonts w:ascii="Arial" w:cs="Arial" w:eastAsia="Arial" w:hAnsi="Arial"/>
          <w:sz w:val="22"/>
          <w:szCs w:val="22"/>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333" w:lineRule="exact"/>
        <w:rPr>
          <w:sz w:val="20"/>
          <w:szCs w:val="20"/>
          <w:color w:val="auto"/>
        </w:rPr>
      </w:pPr>
    </w:p>
    <w:p>
      <w:pPr>
        <w:ind w:left="644" w:hanging="644"/>
        <w:spacing w:after="0"/>
        <w:tabs>
          <w:tab w:leader="none" w:pos="644" w:val="left"/>
        </w:tabs>
        <w:numPr>
          <w:ilvl w:val="0"/>
          <w:numId w:val="249"/>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109" w:lineRule="exact"/>
        <w:rPr>
          <w:sz w:val="20"/>
          <w:szCs w:val="20"/>
          <w:color w:val="auto"/>
        </w:rPr>
      </w:pPr>
    </w:p>
    <w:p>
      <w:pPr>
        <w:ind w:left="764" w:right="320"/>
        <w:spacing w:after="0" w:line="250" w:lineRule="auto"/>
        <w:rPr>
          <w:sz w:val="20"/>
          <w:szCs w:val="20"/>
          <w:color w:val="auto"/>
        </w:rPr>
      </w:pPr>
      <w:r>
        <w:rPr>
          <w:rFonts w:ascii="Arial" w:cs="Arial" w:eastAsia="Arial" w:hAnsi="Arial"/>
          <w:sz w:val="22"/>
          <w:szCs w:val="22"/>
          <w:color w:val="auto"/>
        </w:rPr>
        <w:t>This Contract shall be interpreted and construed in accordance with the laws of England and shall be subject to the jurisdiction of the English courts.</w:t>
      </w:r>
    </w:p>
    <w:p>
      <w:pPr>
        <w:spacing w:after="0" w:line="322" w:lineRule="exact"/>
        <w:rPr>
          <w:sz w:val="20"/>
          <w:szCs w:val="20"/>
          <w:color w:val="auto"/>
        </w:rPr>
      </w:pPr>
    </w:p>
    <w:p>
      <w:pPr>
        <w:ind w:left="644" w:hanging="644"/>
        <w:spacing w:after="0"/>
        <w:tabs>
          <w:tab w:leader="none" w:pos="644" w:val="left"/>
        </w:tabs>
        <w:numPr>
          <w:ilvl w:val="0"/>
          <w:numId w:val="250"/>
        </w:numPr>
        <w:rPr>
          <w:rFonts w:ascii="Arial" w:cs="Arial" w:eastAsia="Arial" w:hAnsi="Arial"/>
          <w:sz w:val="20"/>
          <w:szCs w:val="20"/>
          <w:b w:val="1"/>
          <w:bCs w:val="1"/>
          <w:color w:val="auto"/>
        </w:rPr>
      </w:pPr>
      <w:r>
        <w:rPr>
          <w:rFonts w:ascii="Arial" w:cs="Arial" w:eastAsia="Arial" w:hAnsi="Arial"/>
          <w:sz w:val="20"/>
          <w:szCs w:val="20"/>
          <w:b w:val="1"/>
          <w:bCs w:val="1"/>
          <w:color w:val="auto"/>
        </w:rPr>
        <w:t>Jurisdiction</w:t>
      </w:r>
    </w:p>
    <w:p>
      <w:pPr>
        <w:spacing w:after="0" w:line="109" w:lineRule="exact"/>
        <w:rPr>
          <w:sz w:val="20"/>
          <w:szCs w:val="20"/>
          <w:color w:val="auto"/>
        </w:rPr>
      </w:pPr>
    </w:p>
    <w:p>
      <w:pPr>
        <w:ind w:left="764" w:right="500"/>
        <w:spacing w:after="0"/>
        <w:rPr>
          <w:sz w:val="20"/>
          <w:szCs w:val="20"/>
          <w:color w:val="auto"/>
        </w:rPr>
      </w:pPr>
      <w:r>
        <w:rPr>
          <w:rFonts w:ascii="Arial" w:cs="Arial" w:eastAsia="Arial" w:hAnsi="Arial"/>
          <w:sz w:val="22"/>
          <w:szCs w:val="22"/>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33" w:lineRule="exact"/>
        <w:rPr>
          <w:sz w:val="20"/>
          <w:szCs w:val="20"/>
          <w:color w:val="auto"/>
        </w:rPr>
      </w:pPr>
    </w:p>
    <w:p>
      <w:pPr>
        <w:ind w:left="644" w:hanging="644"/>
        <w:spacing w:after="0"/>
        <w:tabs>
          <w:tab w:leader="none" w:pos="644" w:val="left"/>
        </w:tabs>
        <w:numPr>
          <w:ilvl w:val="0"/>
          <w:numId w:val="251"/>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your Terms of Employment</w:t>
      </w:r>
    </w:p>
    <w:p>
      <w:pPr>
        <w:spacing w:after="0" w:line="109" w:lineRule="exact"/>
        <w:rPr>
          <w:sz w:val="20"/>
          <w:szCs w:val="20"/>
          <w:color w:val="auto"/>
        </w:rPr>
      </w:pPr>
    </w:p>
    <w:p>
      <w:pPr>
        <w:ind w:left="764" w:right="720"/>
        <w:spacing w:after="0" w:line="328" w:lineRule="auto"/>
        <w:rPr>
          <w:sz w:val="20"/>
          <w:szCs w:val="20"/>
          <w:color w:val="auto"/>
        </w:rPr>
      </w:pPr>
      <w:r>
        <w:rPr>
          <w:rFonts w:ascii="Arial" w:cs="Arial" w:eastAsia="Arial" w:hAnsi="Arial"/>
          <w:sz w:val="19"/>
          <w:szCs w:val="19"/>
          <w:color w:val="auto"/>
        </w:rPr>
        <w:t>The Company reserves the right to make reasonable changes to any of your terms of employment. You will be notified in writing of any change as soon as possible and in any event within one month of the change.</w:t>
      </w:r>
    </w:p>
    <w:p>
      <w:pPr>
        <w:spacing w:after="0" w:line="252" w:lineRule="exact"/>
        <w:rPr>
          <w:sz w:val="20"/>
          <w:szCs w:val="20"/>
          <w:color w:val="auto"/>
        </w:rPr>
      </w:pPr>
    </w:p>
    <w:p>
      <w:pPr>
        <w:ind w:left="644" w:hanging="644"/>
        <w:spacing w:after="0"/>
        <w:tabs>
          <w:tab w:leader="none" w:pos="644" w:val="left"/>
        </w:tabs>
        <w:numPr>
          <w:ilvl w:val="0"/>
          <w:numId w:val="252"/>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27" w:lineRule="exact"/>
        <w:rPr>
          <w:sz w:val="20"/>
          <w:szCs w:val="20"/>
          <w:color w:val="auto"/>
        </w:rPr>
      </w:pPr>
    </w:p>
    <w:p>
      <w:pPr>
        <w:ind w:left="644" w:hanging="647"/>
        <w:spacing w:after="0" w:line="246" w:lineRule="auto"/>
        <w:tabs>
          <w:tab w:leader="none" w:pos="624" w:val="left"/>
        </w:tabs>
        <w:rPr>
          <w:sz w:val="20"/>
          <w:szCs w:val="20"/>
          <w:color w:val="auto"/>
        </w:rPr>
      </w:pPr>
      <w:r>
        <w:rPr>
          <w:rFonts w:ascii="Arial" w:cs="Arial" w:eastAsia="Arial" w:hAnsi="Arial"/>
          <w:sz w:val="20"/>
          <w:szCs w:val="20"/>
          <w:color w:val="auto"/>
        </w:rPr>
        <w:t>35.1</w:t>
        <w:tab/>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97" w:lineRule="exact"/>
        <w:rPr>
          <w:sz w:val="20"/>
          <w:szCs w:val="20"/>
          <w:color w:val="auto"/>
        </w:rPr>
      </w:pPr>
    </w:p>
    <w:p>
      <w:pPr>
        <w:ind w:left="644" w:right="260" w:hanging="647"/>
        <w:spacing w:after="0" w:line="260" w:lineRule="auto"/>
        <w:tabs>
          <w:tab w:leader="none" w:pos="624" w:val="left"/>
        </w:tabs>
        <w:rPr>
          <w:sz w:val="20"/>
          <w:szCs w:val="20"/>
          <w:color w:val="auto"/>
        </w:rPr>
      </w:pPr>
      <w:r>
        <w:rPr>
          <w:rFonts w:ascii="Arial" w:cs="Arial" w:eastAsia="Arial" w:hAnsi="Arial"/>
          <w:sz w:val="20"/>
          <w:szCs w:val="20"/>
          <w:color w:val="auto"/>
        </w:rPr>
        <w:t>35.2</w:t>
        <w:tab/>
        <w:t>Unless the contrary shall be proven, each such notice or communication shall be deemed to have been given or made, if sent by first class post, 48 hours after posting and, if delivered by hand, at the time of such delivery.</w:t>
      </w:r>
    </w:p>
    <w:p>
      <w:pPr>
        <w:spacing w:after="0" w:line="319" w:lineRule="exact"/>
        <w:rPr>
          <w:sz w:val="20"/>
          <w:szCs w:val="20"/>
          <w:color w:val="auto"/>
        </w:rPr>
      </w:pPr>
    </w:p>
    <w:p>
      <w:pPr>
        <w:ind w:left="644" w:hanging="644"/>
        <w:spacing w:after="0"/>
        <w:tabs>
          <w:tab w:leader="none" w:pos="644" w:val="left"/>
        </w:tabs>
        <w:numPr>
          <w:ilvl w:val="0"/>
          <w:numId w:val="253"/>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127" w:lineRule="exact"/>
        <w:rPr>
          <w:sz w:val="20"/>
          <w:szCs w:val="20"/>
          <w:color w:val="auto"/>
        </w:rPr>
      </w:pPr>
    </w:p>
    <w:p>
      <w:pPr>
        <w:ind w:left="644" w:right="80" w:hanging="647"/>
        <w:spacing w:after="0" w:line="250" w:lineRule="auto"/>
        <w:tabs>
          <w:tab w:leader="none" w:pos="624" w:val="left"/>
        </w:tabs>
        <w:rPr>
          <w:sz w:val="20"/>
          <w:szCs w:val="20"/>
          <w:color w:val="auto"/>
        </w:rPr>
      </w:pPr>
      <w:r>
        <w:rPr>
          <w:rFonts w:ascii="Arial" w:cs="Arial" w:eastAsia="Arial" w:hAnsi="Arial"/>
          <w:sz w:val="20"/>
          <w:szCs w:val="20"/>
          <w:color w:val="auto"/>
        </w:rPr>
        <w:t>36.1</w:t>
        <w:tab/>
        <w:t>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91" w:lineRule="exact"/>
        <w:rPr>
          <w:sz w:val="20"/>
          <w:szCs w:val="20"/>
          <w:color w:val="auto"/>
        </w:rPr>
      </w:pPr>
    </w:p>
    <w:p>
      <w:pPr>
        <w:jc w:val="right"/>
        <w:ind w:left="4" w:right="480"/>
        <w:spacing w:after="0" w:line="316" w:lineRule="auto"/>
        <w:rPr>
          <w:sz w:val="20"/>
          <w:szCs w:val="20"/>
          <w:color w:val="auto"/>
        </w:rPr>
      </w:pPr>
      <w:r>
        <w:rPr>
          <w:rFonts w:ascii="Arial" w:cs="Arial" w:eastAsia="Arial" w:hAnsi="Arial"/>
          <w:sz w:val="18"/>
          <w:szCs w:val="18"/>
          <w:color w:val="auto"/>
        </w:rPr>
        <w:t>36.2   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58"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004"/>
          </w:cols>
          <w:pgMar w:left="436" w:top="267" w:right="459" w:bottom="1440" w:gutter="0" w:footer="0" w:header="0"/>
        </w:sectPr>
      </w:pPr>
    </w:p>
    <w:bookmarkStart w:id="308" w:name="page309"/>
    <w:bookmarkEnd w:id="308"/>
    <w:p>
      <w:pPr>
        <w:ind w:left="644" w:hanging="647"/>
        <w:spacing w:after="0" w:line="260"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36.3</w:t>
        <w:tab/>
        <w:t>Each party agrees that it shall have no claim for innocent or negligent misrepresentation or negligent misstatement based on any statement in this Contract.</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36.4</w:t>
      </w:r>
      <w:r>
        <w:rPr>
          <w:sz w:val="20"/>
          <w:szCs w:val="20"/>
          <w:color w:val="auto"/>
        </w:rPr>
        <w:tab/>
      </w:r>
      <w:r>
        <w:rPr>
          <w:rFonts w:ascii="Arial" w:cs="Arial" w:eastAsia="Arial" w:hAnsi="Arial"/>
          <w:sz w:val="18"/>
          <w:szCs w:val="18"/>
          <w:color w:val="auto"/>
        </w:rPr>
        <w:t>Nothing in this clause shall limit or exclude any liability for fraud.</w:t>
      </w:r>
    </w:p>
    <w:p>
      <w:pPr>
        <w:spacing w:after="0" w:line="358" w:lineRule="exact"/>
        <w:rPr>
          <w:sz w:val="20"/>
          <w:szCs w:val="20"/>
          <w:color w:val="auto"/>
        </w:rPr>
      </w:pPr>
    </w:p>
    <w:p>
      <w:pPr>
        <w:ind w:left="644" w:hanging="644"/>
        <w:spacing w:after="0"/>
        <w:tabs>
          <w:tab w:leader="none" w:pos="644" w:val="left"/>
        </w:tabs>
        <w:numPr>
          <w:ilvl w:val="0"/>
          <w:numId w:val="254"/>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127" w:lineRule="exact"/>
        <w:rPr>
          <w:sz w:val="20"/>
          <w:szCs w:val="20"/>
          <w:color w:val="auto"/>
        </w:rPr>
      </w:pPr>
    </w:p>
    <w:p>
      <w:pPr>
        <w:ind w:left="644" w:right="300" w:hanging="647"/>
        <w:spacing w:after="0" w:line="260" w:lineRule="auto"/>
        <w:tabs>
          <w:tab w:leader="none" w:pos="624" w:val="left"/>
        </w:tabs>
        <w:rPr>
          <w:sz w:val="20"/>
          <w:szCs w:val="20"/>
          <w:color w:val="auto"/>
        </w:rPr>
      </w:pPr>
      <w:r>
        <w:rPr>
          <w:rFonts w:ascii="Arial" w:cs="Arial" w:eastAsia="Arial" w:hAnsi="Arial"/>
          <w:sz w:val="20"/>
          <w:szCs w:val="20"/>
          <w:color w:val="auto"/>
        </w:rPr>
        <w:t>37.1</w:t>
        <w:tab/>
        <w:t>This Contract may be executed in any number of counterparts, each of which when executed and delivered shall constitute a duplicate original, but all the counterparts shall together constitute the one agreement.</w:t>
      </w:r>
    </w:p>
    <w:p>
      <w:pPr>
        <w:spacing w:after="0" w:line="82"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37.2</w:t>
      </w:r>
      <w:r>
        <w:rPr>
          <w:sz w:val="20"/>
          <w:szCs w:val="20"/>
          <w:color w:val="auto"/>
        </w:rPr>
        <w:tab/>
      </w:r>
      <w:r>
        <w:rPr>
          <w:rFonts w:ascii="Arial" w:cs="Arial" w:eastAsia="Arial" w:hAnsi="Arial"/>
          <w:sz w:val="16"/>
          <w:szCs w:val="16"/>
          <w:color w:val="auto"/>
        </w:rPr>
        <w:t>No counterpart shall be effective until each party has executed and delivered at least one counterpart.</w:t>
      </w:r>
    </w:p>
    <w:p>
      <w:pPr>
        <w:spacing w:after="0" w:line="143" w:lineRule="exact"/>
        <w:rPr>
          <w:sz w:val="20"/>
          <w:szCs w:val="20"/>
          <w:color w:val="auto"/>
        </w:rPr>
      </w:pPr>
    </w:p>
    <w:p>
      <w:pPr>
        <w:jc w:val="center"/>
        <w:ind w:right="-223"/>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0784"/>
          </w:cols>
          <w:pgMar w:left="436" w:top="271" w:right="679" w:bottom="1440" w:gutter="0" w:footer="0" w:header="0"/>
        </w:sectPr>
      </w:pPr>
    </w:p>
    <w:bookmarkStart w:id="309" w:name="page310"/>
    <w:bookmarkEnd w:id="309"/>
    <w:p>
      <w:pPr>
        <w:ind w:left="644" w:hanging="644"/>
        <w:spacing w:after="0"/>
        <w:tabs>
          <w:tab w:leader="none" w:pos="644" w:val="left"/>
        </w:tabs>
        <w:numPr>
          <w:ilvl w:val="0"/>
          <w:numId w:val="255"/>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p>
    <w:p>
      <w:pPr>
        <w:spacing w:after="0" w:line="109" w:lineRule="exact"/>
        <w:rPr>
          <w:sz w:val="20"/>
          <w:szCs w:val="20"/>
          <w:color w:val="auto"/>
        </w:rPr>
      </w:pPr>
    </w:p>
    <w:p>
      <w:pPr>
        <w:ind w:left="764"/>
        <w:spacing w:after="0" w:line="282" w:lineRule="auto"/>
        <w:rPr>
          <w:sz w:val="20"/>
          <w:szCs w:val="20"/>
          <w:color w:val="auto"/>
        </w:rPr>
      </w:pPr>
      <w:r>
        <w:rPr>
          <w:rFonts w:ascii="Arial" w:cs="Arial" w:eastAsia="Arial" w:hAnsi="Arial"/>
          <w:sz w:val="19"/>
          <w:szCs w:val="19"/>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This document has been executed as a deed and is delivered and takes effect on the date stated at the beginning of it.</w:t>
      </w:r>
    </w:p>
    <w:p>
      <w:pPr>
        <w:sectPr>
          <w:pgSz w:w="11900" w:h="16838" w:orient="portrait"/>
          <w:cols w:equalWidth="0" w:num="1">
            <w:col w:w="10964"/>
          </w:cols>
          <w:pgMar w:left="436" w:top="265" w:right="499" w:bottom="1440" w:gutter="0" w:footer="0" w:header="0"/>
        </w:sect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22"/>
          <w:szCs w:val="22"/>
          <w:color w:val="auto"/>
        </w:rPr>
        <w:t>Signed by Mereo BioPharma Group Plc acting by:</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Arial" w:cs="Arial" w:eastAsia="Arial" w:hAnsi="Arial"/>
          <w:sz w:val="22"/>
          <w:szCs w:val="22"/>
          <w:color w:val="auto"/>
        </w:rPr>
        <w:t>Signed as a deed by</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60"/>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26574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3">
                      <a:extLst>
                        <a:ext uri="{28A0092B-C50C-407E-A947-70E740481C1C}"/>
                      </a:extLst>
                    </a:blip>
                    <a:srcRect/>
                    <a:stretch>
                      <a:fillRect/>
                    </a:stretch>
                  </pic:blipFill>
                  <pic:spPr bwMode="auto">
                    <a:xfrm>
                      <a:off x="0" y="0"/>
                      <a:ext cx="26574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-158750</wp:posOffset>
            </wp:positionV>
            <wp:extent cx="26574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4">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208915</wp:posOffset>
            </wp:positionV>
            <wp:extent cx="26574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26574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26574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7">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485775</wp:posOffset>
            </wp:positionV>
            <wp:extent cx="26574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Signature of witness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26574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26574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ectPr>
          <w:pgSz w:w="11900" w:h="16838" w:orient="portrait"/>
          <w:cols w:equalWidth="0" w:num="2">
            <w:col w:w="6104" w:space="720"/>
            <w:col w:w="4140"/>
          </w:cols>
          <w:pgMar w:left="436" w:top="265" w:right="499" w:bottom="1440" w:gutter="0" w:footer="0" w:header="0"/>
          <w:type w:val="continuous"/>
        </w:sectPr>
      </w:pPr>
    </w:p>
    <w:bookmarkStart w:id="310" w:name="page311"/>
    <w:bookmarkEnd w:id="310"/>
    <w:p>
      <w:pPr>
        <w:ind w:left="4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WRITTEN JOB DESCRIPTION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Employee’s duties and responsibilities shall be as follows:-</w:t>
      </w:r>
    </w:p>
    <w:p>
      <w:pPr>
        <w:spacing w:after="0" w:line="116" w:lineRule="exact"/>
        <w:rPr>
          <w:sz w:val="20"/>
          <w:szCs w:val="20"/>
          <w:color w:val="auto"/>
        </w:rPr>
      </w:pPr>
    </w:p>
    <w:p>
      <w:pPr>
        <w:ind w:left="1080" w:right="600" w:hanging="544"/>
        <w:spacing w:after="0" w:line="316" w:lineRule="auto"/>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manage all aspects of the finance function including management reporting, statutory reporting, taxation, treasury management and compliance and to report on these areas to the Board and any committees of the Board.</w:t>
      </w:r>
    </w:p>
    <w:p>
      <w:pPr>
        <w:spacing w:after="0" w:line="35" w:lineRule="exact"/>
        <w:rPr>
          <w:rFonts w:ascii="Arial" w:cs="Arial" w:eastAsia="Arial" w:hAnsi="Arial"/>
          <w:sz w:val="18"/>
          <w:szCs w:val="18"/>
          <w:color w:val="auto"/>
        </w:rPr>
      </w:pPr>
    </w:p>
    <w:p>
      <w:pPr>
        <w:ind w:left="1080" w:hanging="544"/>
        <w:spacing w:after="0"/>
        <w:tabs>
          <w:tab w:leader="none" w:pos="10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To co-ordinate budget preparation and to manage expenditure against budget.</w:t>
      </w:r>
    </w:p>
    <w:p>
      <w:pPr>
        <w:spacing w:after="0" w:line="121" w:lineRule="exact"/>
        <w:rPr>
          <w:rFonts w:ascii="Arial" w:cs="Arial" w:eastAsia="Arial" w:hAnsi="Arial"/>
          <w:sz w:val="20"/>
          <w:szCs w:val="20"/>
          <w:color w:val="auto"/>
        </w:rPr>
      </w:pPr>
    </w:p>
    <w:p>
      <w:pPr>
        <w:ind w:left="1080" w:right="140" w:hanging="544"/>
        <w:spacing w:after="0" w:line="260" w:lineRule="auto"/>
        <w:tabs>
          <w:tab w:leader="none" w:pos="10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To implement and maintain a suitable system of internal financial and non-financial controls, including business continuity procedures and insurance.</w:t>
      </w:r>
    </w:p>
    <w:p>
      <w:pPr>
        <w:spacing w:after="0" w:line="82" w:lineRule="exact"/>
        <w:rPr>
          <w:rFonts w:ascii="Arial" w:cs="Arial" w:eastAsia="Arial" w:hAnsi="Arial"/>
          <w:sz w:val="20"/>
          <w:szCs w:val="20"/>
          <w:color w:val="auto"/>
        </w:rPr>
      </w:pPr>
    </w:p>
    <w:p>
      <w:pPr>
        <w:ind w:left="1080" w:hanging="544"/>
        <w:spacing w:after="0"/>
        <w:tabs>
          <w:tab w:leader="none" w:pos="10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To co-ordinate reporting to investors including annual/interim reports.</w:t>
      </w:r>
    </w:p>
    <w:p>
      <w:pPr>
        <w:spacing w:after="0" w:line="121" w:lineRule="exact"/>
        <w:rPr>
          <w:rFonts w:ascii="Arial" w:cs="Arial" w:eastAsia="Arial" w:hAnsi="Arial"/>
          <w:sz w:val="20"/>
          <w:szCs w:val="20"/>
          <w:color w:val="auto"/>
        </w:rPr>
      </w:pPr>
    </w:p>
    <w:p>
      <w:pPr>
        <w:ind w:left="1080" w:hanging="544"/>
        <w:spacing w:after="0"/>
        <w:tabs>
          <w:tab w:leader="none" w:pos="10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To oversee the operations function, including IT, health and safety and buildings management.</w:t>
      </w:r>
    </w:p>
    <w:p>
      <w:pPr>
        <w:spacing w:after="0" w:line="121" w:lineRule="exact"/>
        <w:rPr>
          <w:rFonts w:ascii="Arial" w:cs="Arial" w:eastAsia="Arial" w:hAnsi="Arial"/>
          <w:sz w:val="20"/>
          <w:szCs w:val="20"/>
          <w:color w:val="auto"/>
        </w:rPr>
      </w:pPr>
    </w:p>
    <w:p>
      <w:pPr>
        <w:ind w:left="1080" w:hanging="544"/>
        <w:spacing w:after="0"/>
        <w:tabs>
          <w:tab w:leader="none" w:pos="10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To help co-ordinate public relations and investor relations activities.</w:t>
      </w:r>
    </w:p>
    <w:p>
      <w:pPr>
        <w:spacing w:after="0" w:line="121" w:lineRule="exact"/>
        <w:rPr>
          <w:rFonts w:ascii="Arial" w:cs="Arial" w:eastAsia="Arial" w:hAnsi="Arial"/>
          <w:sz w:val="20"/>
          <w:szCs w:val="20"/>
          <w:color w:val="auto"/>
        </w:rPr>
      </w:pPr>
    </w:p>
    <w:p>
      <w:pPr>
        <w:ind w:left="1080" w:hanging="544"/>
        <w:spacing w:after="0" w:line="260" w:lineRule="auto"/>
        <w:tabs>
          <w:tab w:leader="none" w:pos="10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To manage the HR function including payroll, PAYE/NI compliance, annual returns, share option scheme, life assurance and pension arrangements.</w:t>
      </w:r>
    </w:p>
    <w:p>
      <w:pPr>
        <w:spacing w:after="0" w:line="82" w:lineRule="exact"/>
        <w:rPr>
          <w:rFonts w:ascii="Arial" w:cs="Arial" w:eastAsia="Arial" w:hAnsi="Arial"/>
          <w:sz w:val="20"/>
          <w:szCs w:val="20"/>
          <w:color w:val="auto"/>
        </w:rPr>
      </w:pPr>
    </w:p>
    <w:p>
      <w:pPr>
        <w:ind w:left="1080" w:hanging="544"/>
        <w:spacing w:after="0"/>
        <w:tabs>
          <w:tab w:leader="none" w:pos="10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To provide financial support for business development activities.</w:t>
      </w:r>
    </w:p>
    <w:p>
      <w:pPr>
        <w:spacing w:after="0" w:line="121" w:lineRule="exact"/>
        <w:rPr>
          <w:rFonts w:ascii="Arial" w:cs="Arial" w:eastAsia="Arial" w:hAnsi="Arial"/>
          <w:sz w:val="20"/>
          <w:szCs w:val="20"/>
          <w:color w:val="auto"/>
        </w:rPr>
      </w:pPr>
    </w:p>
    <w:p>
      <w:pPr>
        <w:ind w:left="1080" w:hanging="544"/>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develop and maintain working relationships with key advisors, including brokers, bankers, auditors and PR advisors.</w:t>
      </w:r>
    </w:p>
    <w:p>
      <w:pPr>
        <w:spacing w:after="0" w:line="166" w:lineRule="exact"/>
        <w:rPr>
          <w:rFonts w:ascii="Arial" w:cs="Arial" w:eastAsia="Arial" w:hAnsi="Arial"/>
          <w:sz w:val="18"/>
          <w:szCs w:val="18"/>
          <w:color w:val="auto"/>
        </w:rPr>
      </w:pPr>
    </w:p>
    <w:p>
      <w:pPr>
        <w:ind w:left="5400" w:hanging="130"/>
        <w:spacing w:after="0"/>
        <w:tabs>
          <w:tab w:leader="none" w:pos="5400" w:val="left"/>
        </w:tabs>
        <w:numPr>
          <w:ilvl w:val="1"/>
          <w:numId w:val="256"/>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0940"/>
          </w:cols>
          <w:pgMar w:left="440" w:top="261" w:right="519" w:bottom="1440" w:gutter="0" w:footer="0" w:header="0"/>
        </w:sectPr>
      </w:pPr>
    </w:p>
    <w:bookmarkStart w:id="311" w:name="page312"/>
    <w:bookmarkEnd w:id="311"/>
    <w:p>
      <w:pPr>
        <w:jc w:val="center"/>
        <w:ind w:right="-4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06" w:lineRule="exact"/>
        <w:rPr>
          <w:sz w:val="20"/>
          <w:szCs w:val="20"/>
          <w:color w:val="auto"/>
        </w:rPr>
      </w:pPr>
    </w:p>
    <w:p>
      <w:pPr>
        <w:jc w:val="center"/>
        <w:ind w:right="-43"/>
        <w:spacing w:after="0"/>
        <w:rPr>
          <w:sz w:val="20"/>
          <w:szCs w:val="20"/>
          <w:color w:val="auto"/>
        </w:rPr>
      </w:pPr>
      <w:r>
        <w:rPr>
          <w:rFonts w:ascii="Arial" w:cs="Arial" w:eastAsia="Arial" w:hAnsi="Arial"/>
          <w:sz w:val="22"/>
          <w:szCs w:val="22"/>
          <w:b w:val="1"/>
          <w:bCs w:val="1"/>
          <w:color w:val="auto"/>
        </w:rPr>
        <w:t>CHANGE IN CONTROL AND SEVERANCE</w:t>
      </w:r>
    </w:p>
    <w:p>
      <w:pPr>
        <w:spacing w:after="0" w:line="238" w:lineRule="exact"/>
        <w:rPr>
          <w:sz w:val="20"/>
          <w:szCs w:val="20"/>
          <w:color w:val="auto"/>
        </w:rPr>
      </w:pPr>
    </w:p>
    <w:p>
      <w:pPr>
        <w:ind w:left="644" w:hanging="644"/>
        <w:spacing w:after="0"/>
        <w:tabs>
          <w:tab w:leader="none" w:pos="644" w:val="left"/>
        </w:tabs>
        <w:numPr>
          <w:ilvl w:val="0"/>
          <w:numId w:val="257"/>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w:t>
      </w:r>
    </w:p>
    <w:p>
      <w:pPr>
        <w:spacing w:after="0" w:line="127" w:lineRule="exact"/>
        <w:rPr>
          <w:sz w:val="20"/>
          <w:szCs w:val="20"/>
          <w:color w:val="auto"/>
        </w:rPr>
      </w:pPr>
    </w:p>
    <w:p>
      <w:pPr>
        <w:ind w:left="644" w:right="140" w:hanging="647"/>
        <w:spacing w:after="0" w:line="263" w:lineRule="auto"/>
        <w:tabs>
          <w:tab w:leader="none" w:pos="624"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The Board recognizes that the possibility of an acquisition of the Company or an involuntary termination can be a distraction to you and can cause you to consider alternative employment opportunities. The Board has determined that it is in the best interests of Mereo BioPharma Group plc (the “</w:t>
      </w:r>
      <w:r>
        <w:rPr>
          <w:rFonts w:ascii="Arial" w:cs="Arial" w:eastAsia="Arial" w:hAnsi="Arial"/>
          <w:sz w:val="19"/>
          <w:szCs w:val="19"/>
          <w:b w:val="1"/>
          <w:bCs w:val="1"/>
          <w:color w:val="auto"/>
        </w:rPr>
        <w:t>Company</w:t>
      </w:r>
      <w:r>
        <w:rPr>
          <w:rFonts w:ascii="Arial" w:cs="Arial" w:eastAsia="Arial" w:hAnsi="Arial"/>
          <w:sz w:val="19"/>
          <w:szCs w:val="19"/>
          <w:color w:val="auto"/>
        </w:rPr>
        <w:t>”) and its shareholders to assure that the Company will have your continued dedication and objectivity, notwithstanding the possibility, threat or occurrence of such an event.</w:t>
      </w:r>
    </w:p>
    <w:p>
      <w:pPr>
        <w:spacing w:after="0" w:line="82" w:lineRule="exact"/>
        <w:rPr>
          <w:sz w:val="20"/>
          <w:szCs w:val="20"/>
          <w:color w:val="auto"/>
        </w:rPr>
      </w:pPr>
    </w:p>
    <w:p>
      <w:pPr>
        <w:ind w:left="644" w:right="200" w:hanging="647"/>
        <w:spacing w:after="0" w:line="250" w:lineRule="auto"/>
        <w:tabs>
          <w:tab w:leader="none" w:pos="624"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The Board believes that it is in the best interests of the Company to provide you with an incentive to continue your employment and to motivate you to maximize the value of the Company upon a Change in Control (as defined below) for the benefit of the Company’s shareholders.</w:t>
      </w:r>
    </w:p>
    <w:p>
      <w:pPr>
        <w:spacing w:after="0" w:line="91" w:lineRule="exact"/>
        <w:rPr>
          <w:sz w:val="20"/>
          <w:szCs w:val="20"/>
          <w:color w:val="auto"/>
        </w:rPr>
      </w:pPr>
    </w:p>
    <w:p>
      <w:pPr>
        <w:ind w:left="644" w:right="280" w:hanging="647"/>
        <w:spacing w:after="0" w:line="250" w:lineRule="auto"/>
        <w:tabs>
          <w:tab w:leader="none" w:pos="624"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The Board believes that it is imperative to provide you with severance benefits upon certain terminations of your service to the Company that enhance your financial security and provide incentive and encouragement to you to remain with the Company notwithstanding the possibility of such an event.</w:t>
      </w:r>
    </w:p>
    <w:p>
      <w:pPr>
        <w:spacing w:after="0" w:line="9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Unless otherwise defined herein, capitalized terms used in this Agreement are defined in paragraph 5 below.</w:t>
      </w:r>
    </w:p>
    <w:p>
      <w:pPr>
        <w:spacing w:after="0" w:line="121" w:lineRule="exact"/>
        <w:rPr>
          <w:sz w:val="20"/>
          <w:szCs w:val="20"/>
          <w:color w:val="auto"/>
        </w:rPr>
      </w:pPr>
    </w:p>
    <w:p>
      <w:pPr>
        <w:ind w:left="644" w:right="220" w:hanging="647"/>
        <w:spacing w:after="0" w:line="260" w:lineRule="auto"/>
        <w:tabs>
          <w:tab w:leader="none" w:pos="624"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You agree that the Contract is amended to insert the provisions below. In the event of any conflict between the provisions of the Contract and this Schedule II, the provisions of this Schedule II shall prevail.</w:t>
      </w:r>
    </w:p>
    <w:p>
      <w:pPr>
        <w:spacing w:after="0" w:line="319" w:lineRule="exact"/>
        <w:rPr>
          <w:sz w:val="20"/>
          <w:szCs w:val="20"/>
          <w:color w:val="auto"/>
        </w:rPr>
      </w:pPr>
    </w:p>
    <w:p>
      <w:pPr>
        <w:ind w:left="644" w:hanging="644"/>
        <w:spacing w:after="0"/>
        <w:tabs>
          <w:tab w:leader="none" w:pos="644" w:val="left"/>
        </w:tabs>
        <w:numPr>
          <w:ilvl w:val="0"/>
          <w:numId w:val="258"/>
        </w:numPr>
        <w:rPr>
          <w:rFonts w:ascii="Arial" w:cs="Arial" w:eastAsia="Arial" w:hAnsi="Arial"/>
          <w:sz w:val="20"/>
          <w:szCs w:val="20"/>
          <w:b w:val="1"/>
          <w:bCs w:val="1"/>
          <w:color w:val="auto"/>
        </w:rPr>
      </w:pPr>
      <w:r>
        <w:rPr>
          <w:rFonts w:ascii="Arial" w:cs="Arial" w:eastAsia="Arial" w:hAnsi="Arial"/>
          <w:sz w:val="20"/>
          <w:szCs w:val="20"/>
          <w:b w:val="1"/>
          <w:bCs w:val="1"/>
          <w:color w:val="auto"/>
        </w:rPr>
        <w:t>Covered Termination During a Change in Control Period</w:t>
      </w:r>
    </w:p>
    <w:p>
      <w:pPr>
        <w:spacing w:after="0" w:line="127" w:lineRule="exact"/>
        <w:rPr>
          <w:sz w:val="20"/>
          <w:szCs w:val="20"/>
          <w:color w:val="auto"/>
        </w:rPr>
      </w:pPr>
    </w:p>
    <w:p>
      <w:pPr>
        <w:ind w:left="644" w:hanging="647"/>
        <w:spacing w:after="0" w:line="243" w:lineRule="auto"/>
        <w:tabs>
          <w:tab w:leader="none" w:pos="624"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If you experience a Covered Termination during a Change in Control Period, then, subject to (i) you delivering to the Company an executed Settlement Agreement that becomes effective and irrevocable in accordance with paragraph 9.1 below, or such shorter period of time specified by the Company, following such Covered Termination and (ii) your continued compliance with clauses 16, 17 and 21 of the Contract, then in addition to any accrued but unpaid salary, benefits, holiday and expense reimbursements through the Covered Termination Date payable in accordance with applicable law, the Company shall provide you with the following:</w:t>
      </w:r>
    </w:p>
    <w:p>
      <w:pPr>
        <w:spacing w:after="0" w:line="101" w:lineRule="exact"/>
        <w:rPr>
          <w:sz w:val="20"/>
          <w:szCs w:val="20"/>
          <w:color w:val="auto"/>
        </w:rPr>
      </w:pPr>
    </w:p>
    <w:p>
      <w:pPr>
        <w:ind w:left="1964" w:right="40" w:hanging="647"/>
        <w:spacing w:after="0" w:line="259" w:lineRule="auto"/>
        <w:tabs>
          <w:tab w:leader="none" w:pos="1944"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The Company shall pay you an amount equal to the sum of (i) your annual base salary at the rate in effect immediately prior to the Covered Termination Date during the period of time commencing on the Covered Termination Date and ending on the twelve (12)-month anniversary thereof and (ii) your target annual bonus assuming achievement of performance goals at one hundred percent (100%) of target, payable in a cash lump sum, less applicable withholdings, on the first payroll date following the date the Settlement Agreement becomes effective and irrevocable in accordance with paragraph 9.1 below.</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0964"/>
          </w:cols>
          <w:pgMar w:left="436" w:top="261" w:right="499" w:bottom="1440" w:gutter="0" w:footer="0" w:header="0"/>
        </w:sectPr>
      </w:pPr>
    </w:p>
    <w:bookmarkStart w:id="312" w:name="page313"/>
    <w:bookmarkEnd w:id="312"/>
    <w:p>
      <w:pPr>
        <w:ind w:left="1964" w:right="20" w:hanging="647"/>
        <w:spacing w:after="0" w:line="244" w:lineRule="auto"/>
        <w:tabs>
          <w:tab w:leader="none" w:pos="194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w:t>
        <w:tab/>
        <w:t>Each outstanding and unvested equity award held in the Company that vests solely based on the passage of time held by you as of the Covered Termination Date shall automatically become vested and, if applicable, exercisable and any forfeiture restrictions or rights of repurchase thereon shall immediately lapse with respect to one percent (100%) of the ordinary shares of the Company subject thereto, as of immediately prior to the Covered Termination Date.</w:t>
      </w:r>
    </w:p>
    <w:p>
      <w:pPr>
        <w:spacing w:after="0" w:line="337" w:lineRule="exact"/>
        <w:rPr>
          <w:sz w:val="20"/>
          <w:szCs w:val="20"/>
          <w:color w:val="auto"/>
        </w:rPr>
      </w:pPr>
    </w:p>
    <w:p>
      <w:pPr>
        <w:ind w:left="644" w:hanging="644"/>
        <w:spacing w:after="0"/>
        <w:tabs>
          <w:tab w:leader="none" w:pos="644"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color w:val="auto"/>
        </w:rPr>
        <w:t>Certain Reduction</w:t>
      </w:r>
    </w:p>
    <w:p>
      <w:pPr>
        <w:spacing w:after="0" w:line="127" w:lineRule="exact"/>
        <w:rPr>
          <w:sz w:val="20"/>
          <w:szCs w:val="20"/>
          <w:color w:val="auto"/>
        </w:rPr>
      </w:pPr>
    </w:p>
    <w:p>
      <w:pPr>
        <w:ind w:left="644" w:right="20" w:hanging="647"/>
        <w:spacing w:after="0" w:line="272" w:lineRule="auto"/>
        <w:tabs>
          <w:tab w:leader="none" w:pos="624"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Notwithstanding anything herein to the contrary, the Company shall reduce your severance benefits under this Schedule II, in whole or in part, by any other severance benefits, pay in lieu of notice, or other similar benefits payable to you by the Company in connection with your termination, including but not limited to payments or benefits (a) pursuant to clause 18 of the Contract;</w:t>
      </w:r>
    </w:p>
    <w:p>
      <w:pPr>
        <w:spacing w:after="0" w:line="1" w:lineRule="exact"/>
        <w:rPr>
          <w:sz w:val="20"/>
          <w:szCs w:val="20"/>
          <w:color w:val="auto"/>
        </w:rPr>
      </w:pPr>
    </w:p>
    <w:p>
      <w:pPr>
        <w:ind w:left="644" w:right="80"/>
        <w:spacing w:after="0" w:line="241" w:lineRule="auto"/>
        <w:rPr>
          <w:sz w:val="20"/>
          <w:szCs w:val="20"/>
          <w:color w:val="auto"/>
        </w:rPr>
      </w:pPr>
      <w:r>
        <w:rPr>
          <w:rFonts w:ascii="Arial" w:cs="Arial" w:eastAsia="Arial" w:hAnsi="Arial"/>
          <w:sz w:val="20"/>
          <w:szCs w:val="20"/>
          <w:color w:val="auto"/>
        </w:rPr>
        <w:t>(b) required by applicable law or (c) any applicable clawback policy. The benefits provided under this Schedule II are intended to satisfy, to the greatest extent possible, any and all statutory obligations that may arise out of your termination of employment. Such reductions shall be applied on a retroactive basis, with severance benefits paid first in time being recharacterized as payments pursuant to the Company’s statutory obligation.</w:t>
      </w:r>
    </w:p>
    <w:p>
      <w:pPr>
        <w:spacing w:after="0" w:line="336" w:lineRule="exact"/>
        <w:rPr>
          <w:sz w:val="20"/>
          <w:szCs w:val="20"/>
          <w:color w:val="auto"/>
        </w:rPr>
      </w:pPr>
    </w:p>
    <w:p>
      <w:pPr>
        <w:ind w:left="644" w:hanging="644"/>
        <w:spacing w:after="0"/>
        <w:tabs>
          <w:tab w:leader="none" w:pos="644" w:val="left"/>
        </w:tabs>
        <w:numPr>
          <w:ilvl w:val="0"/>
          <w:numId w:val="260"/>
        </w:numPr>
        <w:rPr>
          <w:rFonts w:ascii="Arial" w:cs="Arial" w:eastAsia="Arial" w:hAnsi="Arial"/>
          <w:sz w:val="20"/>
          <w:szCs w:val="20"/>
          <w:b w:val="1"/>
          <w:bCs w:val="1"/>
          <w:color w:val="auto"/>
        </w:rPr>
      </w:pPr>
      <w:r>
        <w:rPr>
          <w:rFonts w:ascii="Arial" w:cs="Arial" w:eastAsia="Arial" w:hAnsi="Arial"/>
          <w:sz w:val="20"/>
          <w:szCs w:val="20"/>
          <w:b w:val="1"/>
          <w:bCs w:val="1"/>
          <w:color w:val="auto"/>
        </w:rPr>
        <w:t>Deemed Resignation</w:t>
      </w:r>
    </w:p>
    <w:p>
      <w:pPr>
        <w:spacing w:after="0" w:line="127" w:lineRule="exact"/>
        <w:rPr>
          <w:sz w:val="20"/>
          <w:szCs w:val="20"/>
          <w:color w:val="auto"/>
        </w:rPr>
      </w:pPr>
    </w:p>
    <w:p>
      <w:pPr>
        <w:ind w:left="644" w:right="180" w:hanging="647"/>
        <w:spacing w:after="0" w:line="260" w:lineRule="auto"/>
        <w:tabs>
          <w:tab w:leader="none" w:pos="624"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The provisions of clause 18.4 of the Contract shall apply to this Schedule II as if references to the Contract are references to this Schedule II.</w:t>
      </w:r>
    </w:p>
    <w:p>
      <w:pPr>
        <w:spacing w:after="0" w:line="319" w:lineRule="exact"/>
        <w:rPr>
          <w:sz w:val="20"/>
          <w:szCs w:val="20"/>
          <w:color w:val="auto"/>
        </w:rPr>
      </w:pPr>
    </w:p>
    <w:p>
      <w:pPr>
        <w:ind w:left="644" w:hanging="644"/>
        <w:spacing w:after="0"/>
        <w:tabs>
          <w:tab w:leader="none" w:pos="644" w:val="left"/>
        </w:tabs>
        <w:numPr>
          <w:ilvl w:val="0"/>
          <w:numId w:val="261"/>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2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have the meaning set out in clause 19.1 of the Contract.</w:t>
      </w:r>
    </w:p>
    <w:p>
      <w:pPr>
        <w:spacing w:after="0" w:line="121" w:lineRule="exact"/>
        <w:rPr>
          <w:sz w:val="20"/>
          <w:szCs w:val="20"/>
          <w:color w:val="auto"/>
        </w:rPr>
      </w:pPr>
    </w:p>
    <w:p>
      <w:pPr>
        <w:ind w:left="644" w:hanging="647"/>
        <w:spacing w:after="0" w:line="270" w:lineRule="auto"/>
        <w:tabs>
          <w:tab w:leader="none" w:pos="624"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(i) the acquisition by any person or group of affiliated or associated persons of more than fifty percent (50%) of the outstanding capital shares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 (iii) the consummation of any merger involving the Company in which, immediately after giving effect to such merger, less than a majority of the total voting power of outstanding stock of the surviving or resulting entity is then “beneficially owned”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 (B)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In the event of any conflict between the provisions of this clause 5.2 of Schedule II and the provisions of the Mereo Equity Incentive Plan, the terms of this Schedule II shall prevail.</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- 28 -</w:t>
      </w:r>
    </w:p>
    <w:p>
      <w:pPr>
        <w:sectPr>
          <w:pgSz w:w="11900" w:h="16838" w:orient="portrait"/>
          <w:cols w:equalWidth="0" w:num="1">
            <w:col w:w="10964"/>
          </w:cols>
          <w:pgMar w:left="436" w:top="271" w:right="499" w:bottom="1440" w:gutter="0" w:footer="0" w:header="0"/>
        </w:sectPr>
      </w:pPr>
    </w:p>
    <w:bookmarkStart w:id="313" w:name="page314"/>
    <w:bookmarkEnd w:id="313"/>
    <w:p>
      <w:pPr>
        <w:ind w:left="644" w:right="100" w:hanging="647"/>
        <w:spacing w:after="0" w:line="267" w:lineRule="auto"/>
        <w:tabs>
          <w:tab w:leader="none" w:pos="624"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Change in Control Period</w:t>
      </w:r>
      <w:r>
        <w:rPr>
          <w:rFonts w:ascii="Arial" w:cs="Arial" w:eastAsia="Arial" w:hAnsi="Arial"/>
          <w:sz w:val="20"/>
          <w:szCs w:val="20"/>
          <w:color w:val="auto"/>
        </w:rPr>
        <w:t>” means the period commencing on a Change in Control and ending 12 months after such Change in Control.</w:t>
      </w:r>
    </w:p>
    <w:p>
      <w:pPr>
        <w:spacing w:after="0" w:line="69" w:lineRule="exact"/>
        <w:rPr>
          <w:sz w:val="20"/>
          <w:szCs w:val="20"/>
          <w:color w:val="auto"/>
        </w:rPr>
      </w:pPr>
    </w:p>
    <w:p>
      <w:pPr>
        <w:ind w:left="644" w:right="260" w:hanging="647"/>
        <w:spacing w:after="0" w:line="267" w:lineRule="auto"/>
        <w:tabs>
          <w:tab w:leader="none" w:pos="624"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Covered Termination</w:t>
      </w:r>
      <w:r>
        <w:rPr>
          <w:rFonts w:ascii="Arial" w:cs="Arial" w:eastAsia="Arial" w:hAnsi="Arial"/>
          <w:sz w:val="20"/>
          <w:szCs w:val="20"/>
          <w:color w:val="auto"/>
        </w:rPr>
        <w:t>” means the termination of your employment by the Company other than for Cause or by you for Good Reason, and shall not include a termination due to your death or disability.</w:t>
      </w:r>
    </w:p>
    <w:p>
      <w:pPr>
        <w:spacing w:after="0" w:line="69"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Covered Termination Date</w:t>
      </w:r>
      <w:r>
        <w:rPr>
          <w:rFonts w:ascii="Arial" w:cs="Arial" w:eastAsia="Arial" w:hAnsi="Arial"/>
          <w:sz w:val="18"/>
          <w:szCs w:val="18"/>
          <w:color w:val="auto"/>
        </w:rPr>
        <w:t>” means the date on which you experience a Covered Termination.</w:t>
      </w:r>
    </w:p>
    <w:p>
      <w:pPr>
        <w:spacing w:after="0" w:line="121" w:lineRule="exact"/>
        <w:rPr>
          <w:sz w:val="20"/>
          <w:szCs w:val="20"/>
          <w:color w:val="auto"/>
        </w:rPr>
      </w:pPr>
    </w:p>
    <w:p>
      <w:pPr>
        <w:ind w:left="644" w:hanging="647"/>
        <w:spacing w:after="0" w:line="256" w:lineRule="auto"/>
        <w:tabs>
          <w:tab w:leader="none" w:pos="624"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your resignation from employment with the Company after the occurrence, without your written consent, of any of the following: (i) a material reduction in your authorities, duties and responsibilities; (ii) a material reduction by the Company in your base salary from your base salary in effect immediately prior to such reduction, except in connection with a reduction in salary affecting all senior management employees of the Group Company; or (iii) a relocation of your office that increases your one-way commute by more than thirty-five (35) miles, except that required travel on the Company’s business to an extent substantially consistent with your historical business travel obligations shall not be considered a relocation. Notwithstanding the foregoing, a resignation shall not be for “Good Reason” unless the event or condition giving rise to such resignation continues more than thirty (30) days following your written notice of such condition provided to the Company within sixty (60) days of the first occurrence of such event or condition and such resignation is effective within thirty (30) days following the end of such notice period.</w:t>
      </w:r>
    </w:p>
    <w:p>
      <w:pPr>
        <w:spacing w:after="0" w:line="86" w:lineRule="exact"/>
        <w:rPr>
          <w:sz w:val="20"/>
          <w:szCs w:val="20"/>
          <w:color w:val="auto"/>
        </w:rPr>
      </w:pPr>
    </w:p>
    <w:p>
      <w:pPr>
        <w:ind w:left="644" w:right="120" w:hanging="647"/>
        <w:spacing w:after="0" w:line="267" w:lineRule="auto"/>
        <w:tabs>
          <w:tab w:leader="none" w:pos="624"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Settlement Agreement</w:t>
      </w:r>
      <w:r>
        <w:rPr>
          <w:rFonts w:ascii="Arial" w:cs="Arial" w:eastAsia="Arial" w:hAnsi="Arial"/>
          <w:sz w:val="20"/>
          <w:szCs w:val="20"/>
          <w:color w:val="auto"/>
        </w:rPr>
        <w:t>” means an appropriate waiver of all claims against the Company in a form reasonably acceptable to the Company.</w:t>
      </w:r>
    </w:p>
    <w:p>
      <w:pPr>
        <w:spacing w:after="0" w:line="312" w:lineRule="exact"/>
        <w:rPr>
          <w:sz w:val="20"/>
          <w:szCs w:val="20"/>
          <w:color w:val="auto"/>
        </w:rPr>
      </w:pPr>
    </w:p>
    <w:p>
      <w:pPr>
        <w:ind w:left="644" w:hanging="644"/>
        <w:spacing w:after="0"/>
        <w:tabs>
          <w:tab w:leader="none" w:pos="644" w:val="left"/>
        </w:tabs>
        <w:numPr>
          <w:ilvl w:val="0"/>
          <w:numId w:val="262"/>
        </w:numPr>
        <w:rPr>
          <w:rFonts w:ascii="Arial" w:cs="Arial" w:eastAsia="Arial" w:hAnsi="Arial"/>
          <w:sz w:val="20"/>
          <w:szCs w:val="20"/>
          <w:b w:val="1"/>
          <w:bCs w:val="1"/>
          <w:color w:val="auto"/>
        </w:rPr>
      </w:pPr>
      <w:r>
        <w:rPr>
          <w:rFonts w:ascii="Arial" w:cs="Arial" w:eastAsia="Arial" w:hAnsi="Arial"/>
          <w:sz w:val="20"/>
          <w:szCs w:val="20"/>
          <w:b w:val="1"/>
          <w:bCs w:val="1"/>
          <w:color w:val="auto"/>
        </w:rPr>
        <w:t>Successors</w:t>
      </w:r>
    </w:p>
    <w:p>
      <w:pPr>
        <w:spacing w:after="0" w:line="127" w:lineRule="exact"/>
        <w:rPr>
          <w:sz w:val="20"/>
          <w:szCs w:val="20"/>
          <w:color w:val="auto"/>
        </w:rPr>
      </w:pPr>
    </w:p>
    <w:p>
      <w:pPr>
        <w:ind w:left="644" w:right="220" w:hanging="647"/>
        <w:spacing w:after="0" w:line="316" w:lineRule="auto"/>
        <w:tabs>
          <w:tab w:leader="none" w:pos="624"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color w:val="auto"/>
        </w:rPr>
        <w:t>Any successor to the Company (whether direct or indirect and whether by purchase, merger, consolidation, liquidation or otherwise) to all or substantially all of the Company’s business or assets shall assume the obligations under this Schedule II and agree expressly to perform the obligations under this Schedule II in the same manner and to the same extent as the Company would be required to perform such obligations in the absence of a succession. For all purposes under this Schedule II, the term “Company” shall include any successor to the Company’s business or assets which executes and delivers the assumption agreement described in this paragraph 6.1 or which becomes bound by the terms of this Schedule II by operation of law.</w:t>
      </w:r>
    </w:p>
    <w:p>
      <w:pPr>
        <w:spacing w:after="0" w:line="45" w:lineRule="exact"/>
        <w:rPr>
          <w:sz w:val="20"/>
          <w:szCs w:val="20"/>
          <w:color w:val="auto"/>
        </w:rPr>
      </w:pPr>
    </w:p>
    <w:p>
      <w:pPr>
        <w:ind w:left="644" w:right="80" w:hanging="647"/>
        <w:spacing w:after="0" w:line="260" w:lineRule="auto"/>
        <w:tabs>
          <w:tab w:leader="none" w:pos="624"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The terms of this Schedule II and your rights hereunder shall inure to the benefit of, and be enforceable by, your personal or legal representatives, executors, administrators, successors, heirs, distributees, devisees and legatees.</w:t>
      </w:r>
    </w:p>
    <w:p>
      <w:pPr>
        <w:spacing w:after="0" w:line="319" w:lineRule="exact"/>
        <w:rPr>
          <w:sz w:val="20"/>
          <w:szCs w:val="20"/>
          <w:color w:val="auto"/>
        </w:rPr>
      </w:pPr>
    </w:p>
    <w:p>
      <w:pPr>
        <w:ind w:left="644" w:hanging="644"/>
        <w:spacing w:after="0"/>
        <w:tabs>
          <w:tab w:leader="none" w:pos="644" w:val="left"/>
        </w:tabs>
        <w:numPr>
          <w:ilvl w:val="0"/>
          <w:numId w:val="263"/>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27" w:lineRule="exact"/>
        <w:rPr>
          <w:sz w:val="20"/>
          <w:szCs w:val="20"/>
          <w:color w:val="auto"/>
        </w:rPr>
      </w:pPr>
    </w:p>
    <w:p>
      <w:pPr>
        <w:ind w:left="644" w:right="320" w:hanging="647"/>
        <w:spacing w:after="0" w:line="260" w:lineRule="auto"/>
        <w:tabs>
          <w:tab w:leader="none" w:pos="624"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The provisions of clause 35 of the Contract shall apply to this Schedule II as if references to the Contract are references to this Schedule II.</w:t>
      </w:r>
    </w:p>
    <w:p>
      <w:pPr>
        <w:spacing w:after="0" w:line="105"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0964"/>
          </w:cols>
          <w:pgMar w:left="436" w:top="265" w:right="499" w:bottom="1440" w:gutter="0" w:footer="0" w:header="0"/>
        </w:sectPr>
      </w:pPr>
    </w:p>
    <w:bookmarkStart w:id="314" w:name="page315"/>
    <w:bookmarkEnd w:id="314"/>
    <w:p>
      <w:pPr>
        <w:ind w:left="644" w:hanging="644"/>
        <w:spacing w:after="0"/>
        <w:tabs>
          <w:tab w:leader="none" w:pos="644" w:val="left"/>
        </w:tabs>
        <w:numPr>
          <w:ilvl w:val="0"/>
          <w:numId w:val="264"/>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Dispute Resolution</w:t>
      </w:r>
    </w:p>
    <w:p>
      <w:pPr>
        <w:spacing w:after="0" w:line="127" w:lineRule="exact"/>
        <w:rPr>
          <w:sz w:val="20"/>
          <w:szCs w:val="20"/>
          <w:color w:val="auto"/>
        </w:rPr>
      </w:pPr>
    </w:p>
    <w:p>
      <w:pPr>
        <w:ind w:left="644" w:right="40" w:hanging="647"/>
        <w:spacing w:after="0" w:line="260" w:lineRule="auto"/>
        <w:tabs>
          <w:tab w:leader="none" w:pos="624"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The provisions of clauses 32 and 33 of the Contract shall apply to this Schedule II as if references to the Contract are references to this Schedule II.</w:t>
      </w:r>
    </w:p>
    <w:p>
      <w:pPr>
        <w:spacing w:after="0" w:line="319" w:lineRule="exact"/>
        <w:rPr>
          <w:sz w:val="20"/>
          <w:szCs w:val="20"/>
          <w:color w:val="auto"/>
        </w:rPr>
      </w:pPr>
    </w:p>
    <w:p>
      <w:pPr>
        <w:ind w:left="644" w:hanging="644"/>
        <w:spacing w:after="0"/>
        <w:tabs>
          <w:tab w:leader="none" w:pos="644" w:val="left"/>
        </w:tabs>
        <w:numPr>
          <w:ilvl w:val="0"/>
          <w:numId w:val="265"/>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p>
    <w:p>
      <w:pPr>
        <w:spacing w:after="0" w:line="127" w:lineRule="exact"/>
        <w:rPr>
          <w:sz w:val="20"/>
          <w:szCs w:val="20"/>
          <w:color w:val="auto"/>
        </w:rPr>
      </w:pPr>
    </w:p>
    <w:p>
      <w:pPr>
        <w:ind w:left="644" w:hanging="647"/>
        <w:spacing w:after="0" w:line="255" w:lineRule="auto"/>
        <w:tabs>
          <w:tab w:leader="none" w:pos="624"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Notwithstanding anything to the contrary in this Schedule II, to the extent that any payments due under this Schedule II as a result of your termination of employment are subject to your execution and delivery of a Settlement Agreement, (A) if you fail to execute the Settlement Agreement on or prior to the Settlement Agreement Expiration Date (as defined below) or the Settlement Agreement does not become effective and irrevocable within 60 days following the Covered Termination Date (or such shorter period specified by the Company), you shall not be entitled to any payments or benefits otherwise conditioned on the Settlement Agreement, and (B) in any case where your Covered Termination Date and the last day the Settlement Agreement may be considered or, if applicable, revoked fall in two separate taxable years, any payments required to be made to you that are conditioned on the Settlement Agreement shall commence or be made in the later taxable year. For purposes hereof, “</w:t>
      </w:r>
      <w:r>
        <w:rPr>
          <w:rFonts w:ascii="Arial" w:cs="Arial" w:eastAsia="Arial" w:hAnsi="Arial"/>
          <w:sz w:val="19"/>
          <w:szCs w:val="19"/>
          <w:b w:val="1"/>
          <w:bCs w:val="1"/>
          <w:color w:val="auto"/>
        </w:rPr>
        <w:t>Settlement</w:t>
      </w:r>
      <w:r>
        <w:rPr>
          <w:rFonts w:ascii="Arial" w:cs="Arial" w:eastAsia="Arial" w:hAnsi="Arial"/>
          <w:sz w:val="19"/>
          <w:szCs w:val="19"/>
          <w:color w:val="auto"/>
        </w:rPr>
        <w:t xml:space="preserve"> </w:t>
      </w:r>
      <w:r>
        <w:rPr>
          <w:rFonts w:ascii="Arial" w:cs="Arial" w:eastAsia="Arial" w:hAnsi="Arial"/>
          <w:sz w:val="19"/>
          <w:szCs w:val="19"/>
          <w:b w:val="1"/>
          <w:bCs w:val="1"/>
          <w:color w:val="auto"/>
        </w:rPr>
        <w:t>Expiration Date</w:t>
      </w:r>
      <w:r>
        <w:rPr>
          <w:rFonts w:ascii="Arial" w:cs="Arial" w:eastAsia="Arial" w:hAnsi="Arial"/>
          <w:sz w:val="19"/>
          <w:szCs w:val="19"/>
          <w:color w:val="auto"/>
        </w:rPr>
        <w:t>” shall mean the date that is twenty one (21) days following the date upon which the Company timely delivers the</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Agreement to you.</w:t>
      </w:r>
    </w:p>
    <w:p>
      <w:pPr>
        <w:spacing w:after="0" w:line="95" w:lineRule="exact"/>
        <w:rPr>
          <w:sz w:val="20"/>
          <w:szCs w:val="20"/>
          <w:color w:val="auto"/>
        </w:rPr>
      </w:pPr>
    </w:p>
    <w:p>
      <w:pPr>
        <w:ind w:left="644" w:right="380" w:hanging="647"/>
        <w:spacing w:after="0" w:line="260" w:lineRule="auto"/>
        <w:tabs>
          <w:tab w:leader="none" w:pos="624"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The Company shall be entitled to withhold from any amounts payable under this Schedule any local or foreign withholding or other taxes or charges which the Company is required to withhold.</w:t>
      </w:r>
    </w:p>
    <w:p>
      <w:pPr>
        <w:spacing w:after="0" w:line="82" w:lineRule="exact"/>
        <w:rPr>
          <w:sz w:val="20"/>
          <w:szCs w:val="20"/>
          <w:color w:val="auto"/>
        </w:rPr>
      </w:pPr>
    </w:p>
    <w:p>
      <w:pPr>
        <w:ind w:left="644" w:right="80" w:hanging="647"/>
        <w:spacing w:after="0" w:line="263" w:lineRule="auto"/>
        <w:tabs>
          <w:tab w:leader="none" w:pos="624"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color w:val="auto"/>
        </w:rPr>
        <w:t>No provision of this Schedule II shall be modified, waived or discharged unless the modification, waiver or discharge is agreed to in writing and signed by you and by an authorized officer of the Company (other than you). No waiver by either party of any breach of, or of compliance with, any condition or provision of this Schedule II by the other party shall be considered a waiver of any other condition or provision or of the same condition or provision at another time.</w:t>
      </w:r>
    </w:p>
    <w:p>
      <w:pPr>
        <w:spacing w:after="0" w:line="82" w:lineRule="exact"/>
        <w:rPr>
          <w:sz w:val="20"/>
          <w:szCs w:val="20"/>
          <w:color w:val="auto"/>
        </w:rPr>
      </w:pPr>
    </w:p>
    <w:p>
      <w:pPr>
        <w:ind w:left="644" w:right="120" w:hanging="647"/>
        <w:spacing w:after="0" w:line="244" w:lineRule="auto"/>
        <w:tabs>
          <w:tab w:leader="none" w:pos="624"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Whenever possible, each provision of this Schedule II will be interpreted in such manner as to be effective and valid under applicable law, but if any provision of this Schedule II is held to be invalid or unenforceable in any respect under any applicable law or rule in any jurisdiction, such invalidity or unenforceability will not affect any other provision or any other jurisdiction, but this Schedule II will be reformed, construed and enforced in such jurisdiction as if such invalid or unenforceable provisions had never been contained herein.</w:t>
      </w:r>
    </w:p>
    <w:p>
      <w:pPr>
        <w:spacing w:after="0" w:line="100" w:lineRule="exact"/>
        <w:rPr>
          <w:sz w:val="20"/>
          <w:szCs w:val="20"/>
          <w:color w:val="auto"/>
        </w:rPr>
      </w:pPr>
    </w:p>
    <w:p>
      <w:pPr>
        <w:ind w:left="644" w:right="40" w:hanging="647"/>
        <w:spacing w:after="0" w:line="260" w:lineRule="auto"/>
        <w:tabs>
          <w:tab w:leader="none" w:pos="624"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The provisions of clauses 36 and 37 of the Contract shall apply to this Schedule II as if references to the Contract are references to this Schedule II.</w:t>
      </w:r>
    </w:p>
    <w:p>
      <w:pPr>
        <w:spacing w:after="0" w:line="82" w:lineRule="exact"/>
        <w:rPr>
          <w:sz w:val="20"/>
          <w:szCs w:val="20"/>
          <w:color w:val="auto"/>
        </w:rPr>
      </w:pPr>
    </w:p>
    <w:p>
      <w:pPr>
        <w:jc w:val="both"/>
        <w:ind w:left="644" w:right="240" w:hanging="647"/>
        <w:spacing w:after="0" w:line="291" w:lineRule="auto"/>
        <w:tabs>
          <w:tab w:leader="none" w:pos="624"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8"/>
          <w:szCs w:val="18"/>
          <w:color w:val="auto"/>
        </w:rPr>
        <w:t>You acknowledge that (i) you have consulted with or have had the opportunity to consult with independent counsel of your own choice concerning this Schedule II, and have been advised to do so by the Company, and (ii) that you have read and understand this Schedule II, are fully aware of its legal effect, and have entered into it freely based on your own judgment.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- 30 -</w:t>
      </w:r>
    </w:p>
    <w:p>
      <w:pPr>
        <w:sectPr>
          <w:pgSz w:w="11900" w:h="16838" w:orient="portrait"/>
          <w:cols w:equalWidth="0" w:num="1">
            <w:col w:w="11004"/>
          </w:cols>
          <w:pgMar w:left="436" w:top="265" w:right="459" w:bottom="1440" w:gutter="0" w:footer="0" w:header="0"/>
        </w:sectPr>
      </w:pPr>
    </w:p>
    <w:bookmarkStart w:id="315" w:name="page316"/>
    <w:bookmarkEnd w:id="315"/>
    <w:p>
      <w:pPr>
        <w:ind w:left="9904"/>
        <w:spacing w:after="0"/>
        <w:rPr>
          <w:sz w:val="20"/>
          <w:szCs w:val="20"/>
          <w:color w:val="auto"/>
        </w:rPr>
      </w:pPr>
      <w:r>
        <w:rPr>
          <w:rFonts w:ascii="Arial" w:cs="Arial" w:eastAsia="Arial" w:hAnsi="Arial"/>
          <w:sz w:val="19"/>
          <w:szCs w:val="19"/>
          <w:b w:val="1"/>
          <w:bCs w:val="1"/>
          <w:color w:val="auto"/>
        </w:rPr>
        <w:t>Exhibit 4.35</w:t>
      </w:r>
    </w:p>
    <w:p>
      <w:pPr>
        <w:spacing w:after="0" w:line="274" w:lineRule="exact"/>
        <w:rPr>
          <w:sz w:val="20"/>
          <w:szCs w:val="20"/>
          <w:color w:val="auto"/>
        </w:rPr>
      </w:pPr>
    </w:p>
    <w:p>
      <w:pPr>
        <w:ind w:left="4"/>
        <w:spacing w:after="0"/>
        <w:tabs>
          <w:tab w:leader="none" w:pos="9164" w:val="left"/>
        </w:tabs>
        <w:rPr>
          <w:sz w:val="20"/>
          <w:szCs w:val="20"/>
          <w:color w:val="auto"/>
        </w:rPr>
      </w:pPr>
      <w:r>
        <w:rPr>
          <w:rFonts w:ascii="Arial" w:cs="Arial" w:eastAsia="Arial" w:hAnsi="Arial"/>
          <w:sz w:val="22"/>
          <w:szCs w:val="22"/>
          <w:color w:val="auto"/>
        </w:rPr>
        <w:t>THIS AMENDED AND RESTATED CONTRACT OF EMPLOYMENT dated</w:t>
      </w:r>
      <w:r>
        <w:rPr>
          <w:sz w:val="20"/>
          <w:szCs w:val="20"/>
          <w:color w:val="auto"/>
        </w:rPr>
        <w:tab/>
      </w:r>
      <w:r>
        <w:rPr>
          <w:rFonts w:ascii="Arial" w:cs="Arial" w:eastAsia="Arial" w:hAnsi="Arial"/>
          <w:sz w:val="19"/>
          <w:szCs w:val="19"/>
          <w:color w:val="auto"/>
        </w:rPr>
        <w:t>August 2021 is made</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BETWEEN:</w:t>
      </w:r>
    </w:p>
    <w:p>
      <w:pPr>
        <w:spacing w:after="0" w:line="112" w:lineRule="exact"/>
        <w:rPr>
          <w:sz w:val="20"/>
          <w:szCs w:val="20"/>
          <w:color w:val="auto"/>
        </w:rPr>
      </w:pPr>
    </w:p>
    <w:p>
      <w:pPr>
        <w:ind w:left="764" w:right="680" w:hanging="764"/>
        <w:spacing w:after="0" w:line="333" w:lineRule="auto"/>
        <w:tabs>
          <w:tab w:leader="none" w:pos="764" w:val="left"/>
        </w:tabs>
        <w:numPr>
          <w:ilvl w:val="0"/>
          <w:numId w:val="266"/>
        </w:numPr>
        <w:rPr>
          <w:rFonts w:ascii="Arial" w:cs="Arial" w:eastAsia="Arial" w:hAnsi="Arial"/>
          <w:sz w:val="19"/>
          <w:szCs w:val="19"/>
          <w:color w:val="auto"/>
        </w:rPr>
      </w:pPr>
      <w:r>
        <w:rPr>
          <w:rFonts w:ascii="Arial" w:cs="Arial" w:eastAsia="Arial" w:hAnsi="Arial"/>
          <w:sz w:val="19"/>
          <w:szCs w:val="19"/>
          <w:b w:val="1"/>
          <w:bCs w:val="1"/>
          <w:color w:val="auto"/>
        </w:rPr>
        <w:t>MEREO BIOPHARMA GROUP PLC</w:t>
      </w:r>
      <w:r>
        <w:rPr>
          <w:rFonts w:ascii="Arial" w:cs="Arial" w:eastAsia="Arial" w:hAnsi="Arial"/>
          <w:sz w:val="19"/>
          <w:szCs w:val="19"/>
          <w:color w:val="auto"/>
        </w:rPr>
        <w:t>, (a company incorporated in England and Wales and registered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number 9481161, whose registered office is at 1 Cavendish Place, London W1G 0QF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ind w:left="764" w:hanging="764"/>
        <w:spacing w:after="0"/>
        <w:tabs>
          <w:tab w:leader="none" w:pos="764" w:val="left"/>
        </w:tabs>
        <w:numPr>
          <w:ilvl w:val="0"/>
          <w:numId w:val="266"/>
        </w:numPr>
        <w:rPr>
          <w:rFonts w:ascii="Arial" w:cs="Arial" w:eastAsia="Arial" w:hAnsi="Arial"/>
          <w:sz w:val="22"/>
          <w:szCs w:val="22"/>
          <w:color w:val="auto"/>
        </w:rPr>
      </w:pPr>
      <w:r>
        <w:rPr>
          <w:rFonts w:ascii="Arial" w:cs="Arial" w:eastAsia="Arial" w:hAnsi="Arial"/>
          <w:sz w:val="22"/>
          <w:szCs w:val="22"/>
          <w:b w:val="1"/>
          <w:bCs w:val="1"/>
          <w:color w:val="auto"/>
        </w:rPr>
        <w:t xml:space="preserve">ALASTAIR MACKINNON, </w:t>
      </w:r>
      <w:r>
        <w:rPr>
          <w:rFonts w:ascii="Arial" w:cs="Arial" w:eastAsia="Arial" w:hAnsi="Arial"/>
          <w:sz w:val="22"/>
          <w:szCs w:val="22"/>
          <w:b w:val="1"/>
          <w:bCs w:val="1"/>
          <w:color w:val="auto"/>
          <w:highlight w:val="black"/>
        </w:rPr>
        <w:t>50 Hillier Road, London SW11 6AU</w:t>
      </w:r>
    </w:p>
    <w:p>
      <w:pPr>
        <w:spacing w:after="0" w:line="212" w:lineRule="exact"/>
        <w:rPr>
          <w:sz w:val="20"/>
          <w:szCs w:val="20"/>
          <w:color w:val="auto"/>
        </w:rPr>
      </w:pPr>
    </w:p>
    <w:p>
      <w:pPr>
        <w:ind w:left="4" w:right="60"/>
        <w:spacing w:after="0"/>
        <w:rPr>
          <w:sz w:val="20"/>
          <w:szCs w:val="20"/>
          <w:color w:val="auto"/>
        </w:rPr>
      </w:pPr>
      <w:r>
        <w:rPr>
          <w:rFonts w:ascii="Arial" w:cs="Arial" w:eastAsia="Arial" w:hAnsi="Arial"/>
          <w:sz w:val="22"/>
          <w:szCs w:val="22"/>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329" w:lineRule="exact"/>
        <w:rPr>
          <w:sz w:val="20"/>
          <w:szCs w:val="20"/>
          <w:color w:val="auto"/>
        </w:rPr>
      </w:pPr>
    </w:p>
    <w:p>
      <w:pPr>
        <w:ind w:left="764" w:hanging="764"/>
        <w:spacing w:after="0"/>
        <w:tabs>
          <w:tab w:leader="none" w:pos="764"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definitions and rules of interpretation in this clause 1 apply in this Contract.</w:t>
      </w:r>
    </w:p>
    <w:p>
      <w:pPr>
        <w:spacing w:after="0" w:line="106"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Appointment</w:t>
      </w:r>
      <w:r>
        <w:rPr>
          <w:rFonts w:ascii="Arial" w:cs="Arial" w:eastAsia="Arial" w:hAnsi="Arial"/>
          <w:sz w:val="19"/>
          <w:szCs w:val="19"/>
          <w:color w:val="auto"/>
        </w:rPr>
        <w:t>: the employment of the Employee by the Company on the terms of this Contract.</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Associated Employer</w:t>
      </w:r>
      <w:r>
        <w:rPr>
          <w:rFonts w:ascii="Arial" w:cs="Arial" w:eastAsia="Arial" w:hAnsi="Arial"/>
          <w:sz w:val="19"/>
          <w:szCs w:val="19"/>
          <w:color w:val="auto"/>
        </w:rPr>
        <w:t>: has the meaning given to it in the Employment Rights Act 1996.</w:t>
      </w:r>
    </w:p>
    <w:p>
      <w:pPr>
        <w:spacing w:after="0" w:line="112" w:lineRule="exact"/>
        <w:rPr>
          <w:sz w:val="20"/>
          <w:szCs w:val="20"/>
          <w:color w:val="auto"/>
        </w:rPr>
      </w:pPr>
    </w:p>
    <w:p>
      <w:pPr>
        <w:ind w:left="2204" w:right="120" w:hanging="768"/>
        <w:spacing w:after="0" w:line="256" w:lineRule="auto"/>
        <w:tabs>
          <w:tab w:leader="none" w:pos="218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Board</w:t>
      </w:r>
      <w:r>
        <w:rPr>
          <w:rFonts w:ascii="Arial" w:cs="Arial" w:eastAsia="Arial" w:hAnsi="Arial"/>
          <w:sz w:val="22"/>
          <w:szCs w:val="22"/>
          <w:color w:val="auto"/>
        </w:rPr>
        <w:t>: the board of directors of the Company (including any committee of the board duly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by it).</w:t>
      </w:r>
    </w:p>
    <w:p>
      <w:pPr>
        <w:spacing w:after="0" w:line="68"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Commencement Date </w:t>
      </w:r>
      <w:r>
        <w:rPr>
          <w:rFonts w:ascii="Arial" w:cs="Arial" w:eastAsia="Arial" w:hAnsi="Arial"/>
          <w:sz w:val="19"/>
          <w:szCs w:val="19"/>
          <w:color w:val="auto"/>
        </w:rPr>
        <w:t>1</w:t>
      </w:r>
      <w:r>
        <w:rPr>
          <w:rFonts w:ascii="Arial" w:cs="Arial" w:eastAsia="Arial" w:hAnsi="Arial"/>
          <w:sz w:val="16"/>
          <w:szCs w:val="16"/>
          <w:color w:val="auto"/>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July 2015</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 all of</w:t>
      </w:r>
    </w:p>
    <w:p>
      <w:pPr>
        <w:spacing w:after="0" w:line="118" w:lineRule="exact"/>
        <w:rPr>
          <w:sz w:val="20"/>
          <w:szCs w:val="20"/>
          <w:color w:val="auto"/>
        </w:rPr>
      </w:pPr>
    </w:p>
    <w:p>
      <w:pPr>
        <w:ind w:left="2844" w:right="120" w:hanging="644"/>
        <w:spacing w:after="0" w:line="236" w:lineRule="auto"/>
        <w:tabs>
          <w:tab w:leader="none" w:pos="2844" w:val="left"/>
        </w:tabs>
        <w:numPr>
          <w:ilvl w:val="0"/>
          <w:numId w:val="268"/>
        </w:numPr>
        <w:rPr>
          <w:rFonts w:ascii="Arial" w:cs="Arial" w:eastAsia="Arial" w:hAnsi="Arial"/>
          <w:sz w:val="22"/>
          <w:szCs w:val="22"/>
          <w:color w:val="auto"/>
        </w:rPr>
      </w:pPr>
      <w:r>
        <w:rPr>
          <w:rFonts w:ascii="Arial" w:cs="Arial" w:eastAsia="Arial" w:hAnsi="Arial"/>
          <w:sz w:val="22"/>
          <w:szCs w:val="22"/>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92" w:lineRule="exact"/>
        <w:rPr>
          <w:rFonts w:ascii="Arial" w:cs="Arial" w:eastAsia="Arial" w:hAnsi="Arial"/>
          <w:sz w:val="22"/>
          <w:szCs w:val="22"/>
          <w:color w:val="auto"/>
        </w:rPr>
      </w:pPr>
    </w:p>
    <w:p>
      <w:pPr>
        <w:ind w:left="2844" w:right="420" w:hanging="644"/>
        <w:spacing w:after="0" w:line="297" w:lineRule="auto"/>
        <w:tabs>
          <w:tab w:leader="none" w:pos="2844" w:val="left"/>
        </w:tabs>
        <w:numPr>
          <w:ilvl w:val="0"/>
          <w:numId w:val="268"/>
        </w:numPr>
        <w:rPr>
          <w:rFonts w:ascii="Arial" w:cs="Arial" w:eastAsia="Arial" w:hAnsi="Arial"/>
          <w:sz w:val="19"/>
          <w:szCs w:val="19"/>
          <w:color w:val="auto"/>
        </w:rPr>
      </w:pPr>
      <w:r>
        <w:rPr>
          <w:rFonts w:ascii="Arial" w:cs="Arial" w:eastAsia="Arial" w:hAnsi="Arial"/>
          <w:sz w:val="19"/>
          <w:szCs w:val="19"/>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39" w:lineRule="exact"/>
        <w:rPr>
          <w:rFonts w:ascii="Arial" w:cs="Arial" w:eastAsia="Arial" w:hAnsi="Arial"/>
          <w:sz w:val="19"/>
          <w:szCs w:val="19"/>
          <w:color w:val="auto"/>
        </w:rPr>
      </w:pPr>
    </w:p>
    <w:p>
      <w:pPr>
        <w:ind w:left="2844" w:right="20" w:hanging="644"/>
        <w:spacing w:after="0" w:line="257" w:lineRule="auto"/>
        <w:tabs>
          <w:tab w:leader="none" w:pos="2844" w:val="left"/>
        </w:tabs>
        <w:numPr>
          <w:ilvl w:val="0"/>
          <w:numId w:val="268"/>
        </w:numPr>
        <w:rPr>
          <w:rFonts w:ascii="Arial" w:cs="Arial" w:eastAsia="Arial" w:hAnsi="Arial"/>
          <w:sz w:val="21"/>
          <w:szCs w:val="21"/>
          <w:color w:val="auto"/>
        </w:rPr>
      </w:pPr>
      <w:r>
        <w:rPr>
          <w:rFonts w:ascii="Arial" w:cs="Arial" w:eastAsia="Arial" w:hAnsi="Arial"/>
          <w:sz w:val="21"/>
          <w:szCs w:val="21"/>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101" w:lineRule="exact"/>
        <w:rPr>
          <w:rFonts w:ascii="Arial" w:cs="Arial" w:eastAsia="Arial" w:hAnsi="Arial"/>
          <w:sz w:val="21"/>
          <w:szCs w:val="21"/>
          <w:color w:val="auto"/>
        </w:rPr>
      </w:pPr>
    </w:p>
    <w:p>
      <w:pPr>
        <w:ind w:left="5464" w:hanging="136"/>
        <w:spacing w:after="0"/>
        <w:tabs>
          <w:tab w:leader="none" w:pos="5464" w:val="left"/>
        </w:tabs>
        <w:numPr>
          <w:ilvl w:val="1"/>
          <w:numId w:val="268"/>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024"/>
          </w:cols>
          <w:pgMar w:left="436" w:top="111" w:right="439" w:bottom="1440" w:gutter="0" w:footer="0" w:header="0"/>
        </w:sectPr>
      </w:pPr>
    </w:p>
    <w:bookmarkStart w:id="316" w:name="page317"/>
    <w:bookmarkEnd w:id="316"/>
    <w:p>
      <w:pPr>
        <w:ind w:left="1840" w:right="280" w:hanging="644"/>
        <w:spacing w:after="0"/>
        <w:tabs>
          <w:tab w:leader="none" w:pos="18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details of the employees, officers and workers of and consultants to the Company or any Group Company their job skills and capabilities and of the remuneration and other benefits paid to them;</w:t>
      </w:r>
    </w:p>
    <w:p>
      <w:pPr>
        <w:spacing w:after="0" w:line="91" w:lineRule="exact"/>
        <w:rPr>
          <w:rFonts w:ascii="Arial" w:cs="Arial" w:eastAsia="Arial" w:hAnsi="Arial"/>
          <w:sz w:val="22"/>
          <w:szCs w:val="22"/>
          <w:color w:val="auto"/>
        </w:rPr>
      </w:pPr>
    </w:p>
    <w:p>
      <w:pPr>
        <w:ind w:left="1840" w:right="160" w:hanging="644"/>
        <w:spacing w:after="0" w:line="236" w:lineRule="auto"/>
        <w:tabs>
          <w:tab w:leader="none" w:pos="18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92" w:lineRule="exact"/>
        <w:rPr>
          <w:rFonts w:ascii="Arial" w:cs="Arial" w:eastAsia="Arial" w:hAnsi="Arial"/>
          <w:sz w:val="22"/>
          <w:szCs w:val="22"/>
          <w:color w:val="auto"/>
        </w:rPr>
      </w:pPr>
    </w:p>
    <w:p>
      <w:pPr>
        <w:jc w:val="both"/>
        <w:ind w:left="1840" w:right="180" w:hanging="644"/>
        <w:spacing w:after="0"/>
        <w:tabs>
          <w:tab w:leader="none" w:pos="18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confidential reports or research commissioned by or provided to the Company or any Group Company and any trade secrets and confidential transactions of the Company or any Group Company;</w:t>
      </w:r>
    </w:p>
    <w:p>
      <w:pPr>
        <w:spacing w:after="0" w:line="91" w:lineRule="exact"/>
        <w:rPr>
          <w:rFonts w:ascii="Arial" w:cs="Arial" w:eastAsia="Arial" w:hAnsi="Arial"/>
          <w:sz w:val="22"/>
          <w:szCs w:val="22"/>
          <w:color w:val="auto"/>
        </w:rPr>
      </w:pPr>
    </w:p>
    <w:p>
      <w:pPr>
        <w:ind w:left="1840" w:right="120" w:hanging="644"/>
        <w:spacing w:after="0"/>
        <w:tabs>
          <w:tab w:leader="none" w:pos="18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91" w:lineRule="exact"/>
        <w:rPr>
          <w:rFonts w:ascii="Arial" w:cs="Arial" w:eastAsia="Arial" w:hAnsi="Arial"/>
          <w:sz w:val="22"/>
          <w:szCs w:val="22"/>
          <w:color w:val="auto"/>
        </w:rPr>
      </w:pPr>
    </w:p>
    <w:p>
      <w:pPr>
        <w:ind w:left="1840" w:hanging="644"/>
        <w:spacing w:after="0" w:line="282" w:lineRule="auto"/>
        <w:tabs>
          <w:tab w:leader="none" w:pos="184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52" w:lineRule="exact"/>
        <w:rPr>
          <w:rFonts w:ascii="Arial" w:cs="Arial" w:eastAsia="Arial" w:hAnsi="Arial"/>
          <w:sz w:val="19"/>
          <w:szCs w:val="19"/>
          <w:color w:val="auto"/>
        </w:rPr>
      </w:pPr>
    </w:p>
    <w:p>
      <w:pPr>
        <w:ind w:left="1840" w:right="340" w:hanging="644"/>
        <w:spacing w:after="0" w:line="250" w:lineRule="auto"/>
        <w:tabs>
          <w:tab w:leader="none" w:pos="184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details of any advertising, marketing or promotional campaign which the Company or any Group Company is to conduct; and</w:t>
      </w:r>
    </w:p>
    <w:p>
      <w:pPr>
        <w:spacing w:after="0" w:line="80" w:lineRule="exact"/>
        <w:rPr>
          <w:rFonts w:ascii="Arial" w:cs="Arial" w:eastAsia="Arial" w:hAnsi="Arial"/>
          <w:sz w:val="22"/>
          <w:szCs w:val="22"/>
          <w:color w:val="auto"/>
        </w:rPr>
      </w:pPr>
    </w:p>
    <w:p>
      <w:pPr>
        <w:ind w:left="1840" w:right="400" w:hanging="644"/>
        <w:spacing w:after="0" w:line="297" w:lineRule="auto"/>
        <w:tabs>
          <w:tab w:leader="none" w:pos="184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33" w:lineRule="exact"/>
        <w:rPr>
          <w:sz w:val="20"/>
          <w:szCs w:val="20"/>
          <w:color w:val="auto"/>
        </w:rPr>
      </w:pPr>
    </w:p>
    <w:p>
      <w:pPr>
        <w:ind w:left="1200" w:right="40" w:hanging="768"/>
        <w:spacing w:after="0" w:line="243" w:lineRule="auto"/>
        <w:tabs>
          <w:tab w:leader="none" w:pos="11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b w:val="1"/>
          <w:bCs w:val="1"/>
          <w:color w:val="auto"/>
        </w:rPr>
        <w:t xml:space="preserve">Documents: </w:t>
      </w:r>
      <w:r>
        <w:rPr>
          <w:rFonts w:ascii="Arial" w:cs="Arial" w:eastAsia="Arial" w:hAnsi="Arial"/>
          <w:sz w:val="22"/>
          <w:szCs w:val="22"/>
          <w:color w:val="auto"/>
        </w:rPr>
        <w:t>documents, manuals, disks, memory, notebooks, tapes (including copies)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medium, whether or not eye-readable, on which information (whether confidential or otherwise) may from time to time be referred to, written or recorded.</w:t>
      </w:r>
    </w:p>
    <w:p>
      <w:pPr>
        <w:spacing w:after="0" w:line="82" w:lineRule="exact"/>
        <w:rPr>
          <w:sz w:val="20"/>
          <w:szCs w:val="20"/>
          <w:color w:val="auto"/>
        </w:rPr>
      </w:pPr>
    </w:p>
    <w:p>
      <w:pPr>
        <w:ind w:left="1200" w:right="220" w:hanging="768"/>
        <w:spacing w:after="0" w:line="256" w:lineRule="auto"/>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b w:val="1"/>
          <w:bCs w:val="1"/>
          <w:color w:val="auto"/>
        </w:rPr>
        <w:t xml:space="preserve">Group Company </w:t>
      </w:r>
      <w:r>
        <w:rPr>
          <w:rFonts w:ascii="Arial" w:cs="Arial" w:eastAsia="Arial" w:hAnsi="Arial"/>
          <w:sz w:val="22"/>
          <w:szCs w:val="22"/>
          <w:color w:val="auto"/>
        </w:rPr>
        <w:t>: the Company, its Subsidiaries or Holding Companies from time to time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of any Holding Company from time to time.</w:t>
      </w:r>
    </w:p>
    <w:p>
      <w:pPr>
        <w:spacing w:after="0" w:line="10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980"/>
          </w:cols>
          <w:pgMar w:left="1440" w:top="267" w:right="479" w:bottom="1440" w:gutter="0" w:footer="0" w:header="0"/>
        </w:sectPr>
      </w:pPr>
    </w:p>
    <w:bookmarkStart w:id="317" w:name="page318"/>
    <w:bookmarkEnd w:id="317"/>
    <w:p>
      <w:pPr>
        <w:ind w:left="1200" w:right="60" w:hanging="768"/>
        <w:spacing w:after="0" w:line="256" w:lineRule="auto"/>
        <w:tabs>
          <w:tab w:leader="none" w:pos="11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1.1.8</w:t>
      </w:r>
      <w:r>
        <w:rPr>
          <w:sz w:val="20"/>
          <w:szCs w:val="20"/>
          <w:color w:val="auto"/>
        </w:rPr>
        <w:tab/>
      </w:r>
      <w:r>
        <w:rPr>
          <w:rFonts w:ascii="Arial" w:cs="Arial" w:eastAsia="Arial" w:hAnsi="Arial"/>
          <w:sz w:val="22"/>
          <w:szCs w:val="22"/>
          <w:b w:val="1"/>
          <w:bCs w:val="1"/>
          <w:color w:val="auto"/>
        </w:rPr>
        <w:t>Incapacity</w:t>
      </w:r>
      <w:r>
        <w:rPr>
          <w:rFonts w:ascii="Arial" w:cs="Arial" w:eastAsia="Arial" w:hAnsi="Arial"/>
          <w:sz w:val="22"/>
          <w:szCs w:val="22"/>
          <w:color w:val="auto"/>
        </w:rPr>
        <w:t>: any sickness, injury or other medical disorder or condition which prevents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from carrying out his duties.</w:t>
      </w:r>
    </w:p>
    <w:p>
      <w:pPr>
        <w:spacing w:after="0" w:line="68" w:lineRule="exact"/>
        <w:rPr>
          <w:sz w:val="20"/>
          <w:szCs w:val="20"/>
          <w:color w:val="auto"/>
        </w:rPr>
      </w:pPr>
    </w:p>
    <w:p>
      <w:pPr>
        <w:ind w:left="1200" w:right="280" w:hanging="768"/>
        <w:spacing w:after="0" w:line="256" w:lineRule="auto"/>
        <w:tabs>
          <w:tab w:leader="none" w:pos="11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any employee or contractor who is or was (in the Period) employed or engaged to</w:t>
      </w:r>
      <w:r>
        <w:rPr>
          <w:rFonts w:ascii="Arial" w:cs="Arial" w:eastAsia="Arial" w:hAnsi="Arial"/>
          <w:sz w:val="22"/>
          <w:szCs w:val="22"/>
          <w:b w:val="1"/>
          <w:bCs w:val="1"/>
          <w:color w:val="auto"/>
        </w:rPr>
        <w:t xml:space="preserve"> </w:t>
      </w:r>
      <w:r>
        <w:rPr>
          <w:rFonts w:ascii="Arial" w:cs="Arial" w:eastAsia="Arial" w:hAnsi="Arial"/>
          <w:sz w:val="22"/>
          <w:szCs w:val="22"/>
          <w:color w:val="auto"/>
        </w:rPr>
        <w:t>your knowledge:</w:t>
      </w:r>
    </w:p>
    <w:p>
      <w:pPr>
        <w:spacing w:after="0" w:line="74" w:lineRule="exact"/>
        <w:rPr>
          <w:sz w:val="20"/>
          <w:szCs w:val="20"/>
          <w:color w:val="auto"/>
        </w:rPr>
      </w:pPr>
    </w:p>
    <w:p>
      <w:pPr>
        <w:ind w:left="1840" w:hanging="644"/>
        <w:spacing w:after="0"/>
        <w:tabs>
          <w:tab w:leader="none" w:pos="184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at management grade; or</w:t>
      </w:r>
    </w:p>
    <w:p>
      <w:pPr>
        <w:spacing w:after="0" w:line="111" w:lineRule="exact"/>
        <w:rPr>
          <w:rFonts w:ascii="Arial" w:cs="Arial" w:eastAsia="Arial" w:hAnsi="Arial"/>
          <w:sz w:val="22"/>
          <w:szCs w:val="22"/>
          <w:color w:val="auto"/>
        </w:rPr>
      </w:pPr>
    </w:p>
    <w:p>
      <w:pPr>
        <w:ind w:left="1840" w:hanging="644"/>
        <w:spacing w:after="0"/>
        <w:tabs>
          <w:tab w:leader="none" w:pos="184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 a senior capacity; or</w:t>
      </w:r>
    </w:p>
    <w:p>
      <w:pPr>
        <w:spacing w:after="0" w:line="111" w:lineRule="exact"/>
        <w:rPr>
          <w:rFonts w:ascii="Arial" w:cs="Arial" w:eastAsia="Arial" w:hAnsi="Arial"/>
          <w:sz w:val="22"/>
          <w:szCs w:val="22"/>
          <w:color w:val="auto"/>
        </w:rPr>
      </w:pPr>
    </w:p>
    <w:p>
      <w:pPr>
        <w:ind w:left="1840" w:right="100" w:hanging="644"/>
        <w:spacing w:after="0" w:line="250" w:lineRule="auto"/>
        <w:tabs>
          <w:tab w:leader="none" w:pos="184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 a capacity in which he has access to or obtained Confidential Information and in respect of whom you exercised control or had managerial responsibility.</w:t>
      </w:r>
    </w:p>
    <w:p>
      <w:pPr>
        <w:spacing w:after="0" w:line="74" w:lineRule="exact"/>
        <w:rPr>
          <w:sz w:val="20"/>
          <w:szCs w:val="20"/>
          <w:color w:val="auto"/>
        </w:rPr>
      </w:pPr>
    </w:p>
    <w:p>
      <w:pPr>
        <w:ind w:left="1200" w:right="320" w:hanging="768"/>
        <w:spacing w:after="0" w:line="283" w:lineRule="auto"/>
        <w:tabs>
          <w:tab w:leader="none" w:pos="118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b w:val="1"/>
          <w:bCs w:val="1"/>
          <w:color w:val="auto"/>
        </w:rPr>
        <w:t xml:space="preserve">Know-how: </w:t>
      </w:r>
      <w:r>
        <w:rPr>
          <w:rFonts w:ascii="Arial" w:cs="Arial" w:eastAsia="Arial" w:hAnsi="Arial"/>
          <w:sz w:val="19"/>
          <w:szCs w:val="19"/>
          <w:color w:val="auto"/>
        </w:rPr>
        <w:t>information (including without limitation that comprised in formulae, specifications,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designs, drawings, component lists, 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b w:val="1"/>
          <w:bCs w:val="1"/>
          <w:color w:val="auto"/>
        </w:rPr>
        <w:t>Manager</w:t>
      </w:r>
      <w:r>
        <w:rPr>
          <w:rFonts w:ascii="Arial" w:cs="Arial" w:eastAsia="Arial" w:hAnsi="Arial"/>
          <w:sz w:val="19"/>
          <w:szCs w:val="19"/>
          <w:color w:val="auto"/>
        </w:rPr>
        <w:t>: Denise Scots-Knight</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b w:val="1"/>
          <w:bCs w:val="1"/>
          <w:color w:val="auto"/>
        </w:rPr>
        <w:t xml:space="preserve">Period: </w:t>
      </w:r>
      <w:r>
        <w:rPr>
          <w:rFonts w:ascii="Arial" w:cs="Arial" w:eastAsia="Arial" w:hAnsi="Arial"/>
          <w:sz w:val="19"/>
          <w:szCs w:val="19"/>
          <w:color w:val="auto"/>
        </w:rPr>
        <w:t>the period of 6 months immediately prior to the Termination Date.</w:t>
      </w:r>
    </w:p>
    <w:p>
      <w:pPr>
        <w:spacing w:after="0" w:line="112" w:lineRule="exact"/>
        <w:rPr>
          <w:sz w:val="20"/>
          <w:szCs w:val="20"/>
          <w:color w:val="auto"/>
        </w:rPr>
      </w:pPr>
    </w:p>
    <w:p>
      <w:pPr>
        <w:ind w:left="1200" w:right="260" w:hanging="768"/>
        <w:spacing w:after="0" w:line="300" w:lineRule="auto"/>
        <w:tabs>
          <w:tab w:leader="none" w:pos="118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b w:val="1"/>
          <w:bCs w:val="1"/>
          <w:color w:val="auto"/>
        </w:rPr>
        <w:t xml:space="preserve">Permitted Interest: </w:t>
      </w:r>
      <w:r>
        <w:rPr>
          <w:rFonts w:ascii="Arial" w:cs="Arial" w:eastAsia="Arial" w:hAnsi="Arial"/>
          <w:sz w:val="19"/>
          <w:szCs w:val="19"/>
          <w:color w:val="auto"/>
        </w:rPr>
        <w:t>an interest in any class of shares or other securities of any company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traded on a recognised investment exchange which amount to not more than 3% of such class of issued shares or securities and an interest in any units of any authorised unit trust.</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b w:val="1"/>
          <w:bCs w:val="1"/>
          <w:color w:val="auto"/>
        </w:rPr>
        <w:t xml:space="preserve">Restricted Area: </w:t>
      </w:r>
      <w:r>
        <w:rPr>
          <w:rFonts w:ascii="Arial" w:cs="Arial" w:eastAsia="Arial" w:hAnsi="Arial"/>
          <w:sz w:val="19"/>
          <w:szCs w:val="19"/>
          <w:color w:val="auto"/>
        </w:rPr>
        <w:t>England, Scotland, Wales or Northern Ireland.</w:t>
      </w:r>
    </w:p>
    <w:p>
      <w:pPr>
        <w:spacing w:after="0" w:line="112" w:lineRule="exact"/>
        <w:rPr>
          <w:sz w:val="20"/>
          <w:szCs w:val="20"/>
          <w:color w:val="auto"/>
        </w:rPr>
      </w:pPr>
    </w:p>
    <w:p>
      <w:pPr>
        <w:ind w:left="1200" w:hanging="768"/>
        <w:spacing w:after="0" w:line="300" w:lineRule="auto"/>
        <w:tabs>
          <w:tab w:leader="none" w:pos="118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b w:val="1"/>
          <w:bCs w:val="1"/>
          <w:color w:val="auto"/>
        </w:rPr>
        <w:t xml:space="preserve">Restricted Business: </w:t>
      </w:r>
      <w:r>
        <w:rPr>
          <w:rFonts w:ascii="Arial" w:cs="Arial" w:eastAsia="Arial" w:hAnsi="Arial"/>
          <w:sz w:val="19"/>
          <w:szCs w:val="19"/>
          <w:color w:val="auto"/>
        </w:rPr>
        <w:t>the research, acquisition, development and / or commercialisation of innovative</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by the Company or any Group Company as at the Termination Date and with which the Employee was involved to a material extent on the Termination Date or at any time during the Period.</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b w:val="1"/>
          <w:bCs w:val="1"/>
          <w:color w:val="auto"/>
        </w:rPr>
        <w:t>SSP</w:t>
      </w:r>
      <w:r>
        <w:rPr>
          <w:rFonts w:ascii="Arial" w:cs="Arial" w:eastAsia="Arial" w:hAnsi="Arial"/>
          <w:sz w:val="19"/>
          <w:szCs w:val="19"/>
          <w:color w:val="auto"/>
        </w:rPr>
        <w:t>: statutory sick pay.</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b w:val="1"/>
          <w:bCs w:val="1"/>
          <w:color w:val="auto"/>
        </w:rPr>
        <w:t>Staff Handbook</w:t>
      </w:r>
      <w:r>
        <w:rPr>
          <w:rFonts w:ascii="Arial" w:cs="Arial" w:eastAsia="Arial" w:hAnsi="Arial"/>
          <w:sz w:val="19"/>
          <w:szCs w:val="19"/>
          <w:color w:val="auto"/>
        </w:rPr>
        <w:t>: the Company’s staff handbook as amended from time to time.</w:t>
      </w:r>
    </w:p>
    <w:p>
      <w:pPr>
        <w:spacing w:after="0" w:line="112" w:lineRule="exact"/>
        <w:rPr>
          <w:sz w:val="20"/>
          <w:szCs w:val="20"/>
          <w:color w:val="auto"/>
        </w:rPr>
      </w:pPr>
    </w:p>
    <w:p>
      <w:pPr>
        <w:ind w:left="1200" w:right="100" w:hanging="768"/>
        <w:spacing w:after="0" w:line="239" w:lineRule="auto"/>
        <w:tabs>
          <w:tab w:leader="none" w:pos="118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22"/>
          <w:szCs w:val="22"/>
          <w:b w:val="1"/>
          <w:bCs w:val="1"/>
          <w:color w:val="auto"/>
        </w:rPr>
        <w:t>Subsidiary and Holding Company</w:t>
      </w:r>
      <w:r>
        <w:rPr>
          <w:rFonts w:ascii="Arial" w:cs="Arial" w:eastAsia="Arial" w:hAnsi="Arial"/>
          <w:sz w:val="22"/>
          <w:szCs w:val="22"/>
          <w:color w:val="auto"/>
        </w:rPr>
        <w:t>: in relation to a company mean “subsidiary” and “holding</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defined in section 1159 of the Companies Act 2006 and a company shall be treated, for the purposes only of the membership requirement contained in subsections 1159(1)(b) and (c), as a member of another company</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0000"/>
          </w:cols>
          <w:pgMar w:left="1440" w:top="261" w:right="459" w:bottom="1440" w:gutter="0" w:footer="0" w:header="0"/>
        </w:sectPr>
      </w:pPr>
    </w:p>
    <w:bookmarkStart w:id="318" w:name="page319"/>
    <w:bookmarkEnd w:id="318"/>
    <w:p>
      <w:pPr>
        <w:ind w:left="2204" w:right="1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 if its shares in that other company are registered in the name of (a) another person (or its nominee), whether by way of security or in connection with the taking of security, or (b) a nominee.</w:t>
      </w:r>
    </w:p>
    <w:p>
      <w:pPr>
        <w:spacing w:after="0" w:line="4"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the date of termination or expiration of this Contract.</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headings in this Contract are inserted for convenience only and shall not affect its construction.</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A reference to a particular law is a reference to it as it is in force for the time being taking account of any amendment,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extension, or re-enactment and includes any subordinate legislation for the time being in force made under it.</w:t>
      </w:r>
    </w:p>
    <w:p>
      <w:pPr>
        <w:spacing w:after="0" w:line="9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the context otherwise requires, a reference to one gender shall include a reference to the other genders.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Unless the context otherwise requires, words in the singular include the plural and in the plural include the singular.</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The schedules to this Contract form part of (and are incorporated into) this Contract.</w:t>
      </w:r>
    </w:p>
    <w:p>
      <w:pPr>
        <w:spacing w:after="0" w:line="349" w:lineRule="exact"/>
        <w:rPr>
          <w:sz w:val="20"/>
          <w:szCs w:val="20"/>
          <w:color w:val="auto"/>
        </w:rPr>
      </w:pPr>
    </w:p>
    <w:p>
      <w:pPr>
        <w:ind w:left="764" w:hanging="764"/>
        <w:spacing w:after="0"/>
        <w:tabs>
          <w:tab w:leader="none" w:pos="764"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Term of Appointment</w:t>
      </w:r>
    </w:p>
    <w:p>
      <w:pPr>
        <w:spacing w:after="0" w:line="118"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The Appointment shall commence on the Commencement Date and shall continue, subject to the remaining terms of this Contract, until terminated by either party giving the other not less than 6 months’ prior notice (or the statutory minimum notice, whichever is the greater) in writing.</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[This clause intentionally blank].</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No employment with a previous employer counts towards the Employee’s period of continuous employment with the Company.</w:t>
      </w:r>
    </w:p>
    <w:p>
      <w:pPr>
        <w:spacing w:after="0" w:line="80" w:lineRule="exact"/>
        <w:rPr>
          <w:sz w:val="20"/>
          <w:szCs w:val="20"/>
          <w:color w:val="auto"/>
        </w:rPr>
      </w:pPr>
    </w:p>
    <w:p>
      <w:pPr>
        <w:ind w:left="764" w:right="100" w:hanging="768"/>
        <w:spacing w:after="0" w:line="250" w:lineRule="auto"/>
        <w:tabs>
          <w:tab w:leader="none" w:pos="744"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The Employee consents to the transfer of his employment under this Contract to an Associated Employer at any time during the Appointment.</w:t>
      </w:r>
    </w:p>
    <w:p>
      <w:pPr>
        <w:spacing w:after="0" w:line="317" w:lineRule="exact"/>
        <w:rPr>
          <w:sz w:val="20"/>
          <w:szCs w:val="20"/>
          <w:color w:val="auto"/>
        </w:rPr>
      </w:pPr>
    </w:p>
    <w:p>
      <w:pPr>
        <w:ind w:left="764" w:hanging="764"/>
        <w:spacing w:after="0"/>
        <w:tabs>
          <w:tab w:leader="none" w:pos="764" w:val="left"/>
        </w:tabs>
        <w:numPr>
          <w:ilvl w:val="0"/>
          <w:numId w:val="272"/>
        </w:numPr>
        <w:rPr>
          <w:rFonts w:ascii="Arial" w:cs="Arial" w:eastAsia="Arial" w:hAnsi="Arial"/>
          <w:sz w:val="22"/>
          <w:szCs w:val="22"/>
          <w:b w:val="1"/>
          <w:bCs w:val="1"/>
          <w:color w:val="auto"/>
        </w:rPr>
      </w:pPr>
      <w:r>
        <w:rPr>
          <w:rFonts w:ascii="Arial" w:cs="Arial" w:eastAsia="Arial" w:hAnsi="Arial"/>
          <w:sz w:val="22"/>
          <w:szCs w:val="22"/>
          <w:b w:val="1"/>
          <w:bCs w:val="1"/>
          <w:color w:val="auto"/>
        </w:rPr>
        <w:t>Employee Warranties</w:t>
      </w:r>
    </w:p>
    <w:p>
      <w:pPr>
        <w:spacing w:after="0" w:line="118"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92" w:lineRule="exact"/>
        <w:rPr>
          <w:sz w:val="20"/>
          <w:szCs w:val="20"/>
          <w:color w:val="auto"/>
        </w:rPr>
      </w:pPr>
    </w:p>
    <w:p>
      <w:pPr>
        <w:ind w:left="764" w:right="40" w:hanging="768"/>
        <w:spacing w:after="0"/>
        <w:tabs>
          <w:tab w:leader="none" w:pos="744"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92" w:lineRule="exact"/>
        <w:rPr>
          <w:sz w:val="20"/>
          <w:szCs w:val="20"/>
          <w:color w:val="auto"/>
        </w:rPr>
      </w:pPr>
    </w:p>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You warrant that you are entitled to work in the UK without any additional approvals and will notify the Company immediately if you cease to be so entitled at any time during the Appointment.</w:t>
      </w:r>
    </w:p>
    <w:p>
      <w:pPr>
        <w:spacing w:after="0" w:line="107" w:lineRule="exact"/>
        <w:rPr>
          <w:sz w:val="20"/>
          <w:szCs w:val="20"/>
          <w:color w:val="auto"/>
        </w:rPr>
      </w:pPr>
    </w:p>
    <w:p>
      <w:pPr>
        <w:jc w:val="center"/>
        <w:ind w:right="-63"/>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0964"/>
          </w:cols>
          <w:pgMar w:left="436" w:top="267" w:right="499" w:bottom="1440" w:gutter="0" w:footer="0" w:header="0"/>
        </w:sectPr>
      </w:pPr>
    </w:p>
    <w:bookmarkStart w:id="319" w:name="page320"/>
    <w:bookmarkEnd w:id="319"/>
    <w:p>
      <w:pPr>
        <w:ind w:left="764" w:hanging="764"/>
        <w:spacing w:after="0"/>
        <w:tabs>
          <w:tab w:leader="none" w:pos="764" w:val="left"/>
        </w:tabs>
        <w:numPr>
          <w:ilvl w:val="0"/>
          <w:numId w:val="273"/>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Job Title and Reporting</w:t>
      </w:r>
    </w:p>
    <w:p>
      <w:pPr>
        <w:spacing w:after="0" w:line="104" w:lineRule="exact"/>
        <w:rPr>
          <w:rFonts w:ascii="Arial" w:cs="Arial" w:eastAsia="Arial" w:hAnsi="Arial"/>
          <w:sz w:val="22"/>
          <w:szCs w:val="22"/>
          <w:b w:val="1"/>
          <w:bCs w:val="1"/>
          <w:color w:val="auto"/>
        </w:rPr>
      </w:pPr>
    </w:p>
    <w:p>
      <w:pPr>
        <w:ind w:left="764" w:right="2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Your job title is ‘Chief Portfolio Management &amp; Pipeline Strategy’ and you will report to the Manager or such other person as may be authorised by the Company and notified to you.</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273"/>
        </w:numPr>
        <w:rPr>
          <w:rFonts w:ascii="Arial" w:cs="Arial" w:eastAsia="Arial" w:hAnsi="Arial"/>
          <w:sz w:val="22"/>
          <w:szCs w:val="22"/>
          <w:b w:val="1"/>
          <w:bCs w:val="1"/>
          <w:color w:val="auto"/>
        </w:rPr>
      </w:pPr>
      <w:r>
        <w:rPr>
          <w:rFonts w:ascii="Arial" w:cs="Arial" w:eastAsia="Arial" w:hAnsi="Arial"/>
          <w:sz w:val="22"/>
          <w:szCs w:val="22"/>
          <w:b w:val="1"/>
          <w:bCs w:val="1"/>
          <w:color w:val="auto"/>
        </w:rPr>
        <w:t>Job Description and Duties</w:t>
      </w:r>
    </w:p>
    <w:p>
      <w:pPr>
        <w:spacing w:after="0" w:line="118" w:lineRule="exact"/>
        <w:rPr>
          <w:sz w:val="20"/>
          <w:szCs w:val="20"/>
          <w:color w:val="auto"/>
        </w:rPr>
      </w:pPr>
    </w:p>
    <w:p>
      <w:pPr>
        <w:ind w:left="764" w:right="40" w:hanging="768"/>
        <w:spacing w:after="0" w:line="238" w:lineRule="auto"/>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You must perform your job to the best of your ability and to comply with any duties implied by law.</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During the Appointment you shall:</w:t>
      </w:r>
    </w:p>
    <w:p>
      <w:pPr>
        <w:spacing w:after="0" w:line="112" w:lineRule="exact"/>
        <w:rPr>
          <w:sz w:val="20"/>
          <w:szCs w:val="20"/>
          <w:color w:val="auto"/>
        </w:rPr>
      </w:pPr>
    </w:p>
    <w:p>
      <w:pPr>
        <w:ind w:left="2204" w:right="120" w:hanging="768"/>
        <w:spacing w:after="0" w:line="328" w:lineRule="auto"/>
        <w:tabs>
          <w:tab w:leader="none" w:pos="2184"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color w:val="auto"/>
        </w:rPr>
        <w:t>unless prevented by Incapacity, devote substantially the whole of your time, attention and abilities to the business of the Company and any Group Company of which you are an officer or consultant;</w:t>
      </w:r>
    </w:p>
    <w:p>
      <w:pPr>
        <w:spacing w:after="0" w:line="10" w:lineRule="exact"/>
        <w:rPr>
          <w:sz w:val="20"/>
          <w:szCs w:val="20"/>
          <w:color w:val="auto"/>
        </w:rPr>
      </w:pPr>
    </w:p>
    <w:p>
      <w:pPr>
        <w:jc w:val="both"/>
        <w:ind w:left="2204" w:hanging="768"/>
        <w:spacing w:after="0"/>
        <w:tabs>
          <w:tab w:leader="none" w:pos="2184" w:val="left"/>
        </w:tabs>
        <w:rPr>
          <w:sz w:val="20"/>
          <w:szCs w:val="20"/>
          <w:color w:val="auto"/>
        </w:rPr>
      </w:pPr>
      <w:r>
        <w:rPr>
          <w:rFonts w:ascii="Arial" w:cs="Arial" w:eastAsia="Arial" w:hAnsi="Arial"/>
          <w:sz w:val="22"/>
          <w:szCs w:val="22"/>
          <w:color w:val="auto"/>
        </w:rPr>
        <w:t>5.3.2</w:t>
      </w:r>
      <w:r>
        <w:rPr>
          <w:sz w:val="20"/>
          <w:szCs w:val="20"/>
          <w:color w:val="auto"/>
        </w:rPr>
        <w:tab/>
      </w:r>
      <w:r>
        <w:rPr>
          <w:rFonts w:ascii="Arial" w:cs="Arial" w:eastAsia="Arial" w:hAnsi="Arial"/>
          <w:sz w:val="22"/>
          <w:szCs w:val="22"/>
          <w:color w:val="auto"/>
        </w:rPr>
        <w:t>diligently exercise such powers and perform such duties as may from time to time be assigned to you by the Company together with such person or persons as the Company may appoint to act jointly with you;</w:t>
      </w:r>
    </w:p>
    <w:p>
      <w:pPr>
        <w:spacing w:after="0" w:line="9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5.3.3</w:t>
      </w:r>
      <w:r>
        <w:rPr>
          <w:sz w:val="20"/>
          <w:szCs w:val="20"/>
          <w:color w:val="auto"/>
        </w:rPr>
        <w:tab/>
      </w:r>
      <w:r>
        <w:rPr>
          <w:rFonts w:ascii="Arial" w:cs="Arial" w:eastAsia="Arial" w:hAnsi="Arial"/>
          <w:sz w:val="19"/>
          <w:szCs w:val="19"/>
          <w:color w:val="auto"/>
        </w:rPr>
        <w:t>comply with all reasonable and lawful directions given to you by the Company;</w:t>
      </w:r>
    </w:p>
    <w:p>
      <w:pPr>
        <w:spacing w:after="0" w:line="112" w:lineRule="exact"/>
        <w:rPr>
          <w:sz w:val="20"/>
          <w:szCs w:val="20"/>
          <w:color w:val="auto"/>
        </w:rPr>
      </w:pPr>
    </w:p>
    <w:p>
      <w:pPr>
        <w:ind w:left="2204" w:right="240" w:hanging="768"/>
        <w:spacing w:after="0" w:line="250" w:lineRule="auto"/>
        <w:tabs>
          <w:tab w:leader="none" w:pos="2184" w:val="left"/>
        </w:tabs>
        <w:rPr>
          <w:sz w:val="20"/>
          <w:szCs w:val="20"/>
          <w:color w:val="auto"/>
        </w:rPr>
      </w:pPr>
      <w:r>
        <w:rPr>
          <w:rFonts w:ascii="Arial" w:cs="Arial" w:eastAsia="Arial" w:hAnsi="Arial"/>
          <w:sz w:val="22"/>
          <w:szCs w:val="22"/>
          <w:color w:val="auto"/>
        </w:rPr>
        <w:t>5.3.4</w:t>
      </w:r>
      <w:r>
        <w:rPr>
          <w:sz w:val="20"/>
          <w:szCs w:val="20"/>
          <w:color w:val="auto"/>
        </w:rPr>
        <w:tab/>
      </w:r>
      <w:r>
        <w:rPr>
          <w:rFonts w:ascii="Arial" w:cs="Arial" w:eastAsia="Arial" w:hAnsi="Arial"/>
          <w:sz w:val="22"/>
          <w:szCs w:val="22"/>
          <w:color w:val="auto"/>
        </w:rPr>
        <w:t>promptly make such reports to your Manager in connection with the affairs of any Group Company on such matters and at such times as are reasonably required;</w:t>
      </w:r>
    </w:p>
    <w:p>
      <w:pPr>
        <w:spacing w:after="0" w:line="80" w:lineRule="exact"/>
        <w:rPr>
          <w:sz w:val="20"/>
          <w:szCs w:val="20"/>
          <w:color w:val="auto"/>
        </w:rPr>
      </w:pPr>
    </w:p>
    <w:p>
      <w:pPr>
        <w:ind w:left="2204" w:right="100" w:hanging="768"/>
        <w:spacing w:after="0" w:line="328" w:lineRule="auto"/>
        <w:tabs>
          <w:tab w:leader="none" w:pos="2184" w:val="left"/>
        </w:tabs>
        <w:rPr>
          <w:sz w:val="20"/>
          <w:szCs w:val="20"/>
          <w:color w:val="auto"/>
        </w:rPr>
      </w:pPr>
      <w:r>
        <w:rPr>
          <w:rFonts w:ascii="Arial" w:cs="Arial" w:eastAsia="Arial" w:hAnsi="Arial"/>
          <w:sz w:val="22"/>
          <w:szCs w:val="22"/>
          <w:color w:val="auto"/>
        </w:rPr>
        <w:t>5.3.5</w:t>
      </w:r>
      <w:r>
        <w:rPr>
          <w:sz w:val="20"/>
          <w:szCs w:val="20"/>
          <w:color w:val="auto"/>
        </w:rPr>
        <w:tab/>
      </w:r>
      <w:r>
        <w:rPr>
          <w:rFonts w:ascii="Arial" w:cs="Arial" w:eastAsia="Arial" w:hAnsi="Arial"/>
          <w:sz w:val="19"/>
          <w:szCs w:val="19"/>
          <w:color w:val="auto"/>
        </w:rPr>
        <w:t>report your own wrongdoing and any wrongdoing or proposed wrongdoing of any other employee or director of any Group Company to your Manager immediately on becoming aware of it;</w:t>
      </w:r>
    </w:p>
    <w:p>
      <w:pPr>
        <w:spacing w:after="0" w:line="10" w:lineRule="exact"/>
        <w:rPr>
          <w:sz w:val="20"/>
          <w:szCs w:val="20"/>
          <w:color w:val="auto"/>
        </w:rPr>
      </w:pPr>
    </w:p>
    <w:p>
      <w:pPr>
        <w:ind w:left="2204" w:right="840" w:hanging="768"/>
        <w:spacing w:after="0" w:line="250" w:lineRule="auto"/>
        <w:tabs>
          <w:tab w:leader="none" w:pos="2184" w:val="left"/>
        </w:tabs>
        <w:rPr>
          <w:sz w:val="20"/>
          <w:szCs w:val="20"/>
          <w:color w:val="auto"/>
        </w:rPr>
      </w:pPr>
      <w:r>
        <w:rPr>
          <w:rFonts w:ascii="Arial" w:cs="Arial" w:eastAsia="Arial" w:hAnsi="Arial"/>
          <w:sz w:val="22"/>
          <w:szCs w:val="22"/>
          <w:color w:val="auto"/>
        </w:rPr>
        <w:t>5.3.6</w:t>
      </w:r>
      <w:r>
        <w:rPr>
          <w:sz w:val="20"/>
          <w:szCs w:val="20"/>
          <w:color w:val="auto"/>
        </w:rPr>
        <w:tab/>
      </w:r>
      <w:r>
        <w:rPr>
          <w:rFonts w:ascii="Arial" w:cs="Arial" w:eastAsia="Arial" w:hAnsi="Arial"/>
          <w:sz w:val="22"/>
          <w:szCs w:val="22"/>
          <w:color w:val="auto"/>
        </w:rPr>
        <w:t>use your best endeavours to promote, protect, develop and extend the business of any Group Company; and</w:t>
      </w:r>
    </w:p>
    <w:p>
      <w:pPr>
        <w:spacing w:after="0" w:line="80" w:lineRule="exact"/>
        <w:rPr>
          <w:sz w:val="20"/>
          <w:szCs w:val="20"/>
          <w:color w:val="auto"/>
        </w:rPr>
      </w:pPr>
    </w:p>
    <w:p>
      <w:pPr>
        <w:ind w:left="2204" w:right="300" w:hanging="768"/>
        <w:spacing w:after="0"/>
        <w:tabs>
          <w:tab w:leader="none" w:pos="2184" w:val="left"/>
        </w:tabs>
        <w:rPr>
          <w:sz w:val="20"/>
          <w:szCs w:val="20"/>
          <w:color w:val="auto"/>
        </w:rPr>
      </w:pPr>
      <w:r>
        <w:rPr>
          <w:rFonts w:ascii="Arial" w:cs="Arial" w:eastAsia="Arial" w:hAnsi="Arial"/>
          <w:sz w:val="22"/>
          <w:szCs w:val="22"/>
          <w:color w:val="auto"/>
        </w:rPr>
        <w:t>5.3.7</w:t>
      </w:r>
      <w:r>
        <w:rPr>
          <w:sz w:val="20"/>
          <w:szCs w:val="20"/>
          <w:color w:val="auto"/>
        </w:rPr>
        <w:tab/>
      </w:r>
      <w:r>
        <w:rPr>
          <w:rFonts w:ascii="Arial" w:cs="Arial" w:eastAsia="Arial" w:hAnsi="Arial"/>
          <w:sz w:val="22"/>
          <w:szCs w:val="22"/>
          <w:color w:val="auto"/>
        </w:rPr>
        <w:t>consent to the Company monitoring and recording any use that you make of the Company’s electronic communications systems for the purpose of ensuring that the Company’s rules are being complied with and for legitimate business purposes.</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You shall comply with the Company’s anti-corruption and bribery policy and related procedures at all times.</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024"/>
          </w:cols>
          <w:pgMar w:left="436" w:top="261" w:right="439" w:bottom="1440" w:gutter="0" w:footer="0" w:header="0"/>
        </w:sectPr>
      </w:pPr>
    </w:p>
    <w:bookmarkStart w:id="320" w:name="page321"/>
    <w:bookmarkEnd w:id="320"/>
    <w:p>
      <w:pPr>
        <w:jc w:val="both"/>
        <w:ind w:left="764" w:right="60" w:hanging="768"/>
        <w:spacing w:after="0" w:line="257"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5.5</w:t>
      </w:r>
      <w:r>
        <w:rPr>
          <w:sz w:val="20"/>
          <w:szCs w:val="20"/>
          <w:color w:val="auto"/>
        </w:rPr>
        <w:tab/>
      </w:r>
      <w:r>
        <w:rPr>
          <w:rFonts w:ascii="Arial" w:cs="Arial" w:eastAsia="Arial" w:hAnsi="Arial"/>
          <w:sz w:val="21"/>
          <w:szCs w:val="21"/>
          <w:color w:val="auto"/>
        </w:rPr>
        <w:t>You shall comply with any rules, policies and procedures set out in the Staff Handbook. The Staff Handbook does not form part of this Contract and the Company may amend it at any time. To the extent that there is any conflict between the terms of this Contract and the Staff Handbook, this Contract shall prevail.</w:t>
      </w:r>
    </w:p>
    <w:p>
      <w:pPr>
        <w:spacing w:after="0" w:line="75"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9" w:lineRule="exact"/>
        <w:rPr>
          <w:sz w:val="20"/>
          <w:szCs w:val="20"/>
          <w:color w:val="auto"/>
        </w:rPr>
      </w:pPr>
    </w:p>
    <w:p>
      <w:pPr>
        <w:ind w:left="764" w:hanging="764"/>
        <w:spacing w:after="0"/>
        <w:tabs>
          <w:tab w:leader="none" w:pos="764"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Location</w:t>
      </w:r>
    </w:p>
    <w:p>
      <w:pPr>
        <w:spacing w:after="0" w:line="118" w:lineRule="exact"/>
        <w:rPr>
          <w:sz w:val="20"/>
          <w:szCs w:val="20"/>
          <w:color w:val="auto"/>
        </w:rPr>
      </w:pPr>
    </w:p>
    <w:p>
      <w:pPr>
        <w:ind w:left="764" w:right="180" w:hanging="768"/>
        <w:spacing w:after="0" w:line="274"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Your normal place of work is the Company’s offices at 1 Cavendish Place, London W1G 0QF or such other place as the Company may reasonably determine for the proper performance and exercise of your duties.</w:t>
      </w:r>
    </w:p>
    <w:p>
      <w:pPr>
        <w:spacing w:after="0" w:line="56" w:lineRule="exact"/>
        <w:rPr>
          <w:sz w:val="20"/>
          <w:szCs w:val="20"/>
          <w:color w:val="auto"/>
        </w:rPr>
      </w:pPr>
    </w:p>
    <w:p>
      <w:pPr>
        <w:ind w:left="764" w:right="60" w:hanging="768"/>
        <w:spacing w:after="0" w:line="297" w:lineRule="auto"/>
        <w:tabs>
          <w:tab w:leader="none" w:pos="744"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39" w:lineRule="exact"/>
        <w:rPr>
          <w:sz w:val="20"/>
          <w:szCs w:val="20"/>
          <w:color w:val="auto"/>
        </w:rPr>
      </w:pPr>
    </w:p>
    <w:p>
      <w:pPr>
        <w:ind w:left="764" w:right="580" w:hanging="768"/>
        <w:spacing w:after="0" w:line="250" w:lineRule="auto"/>
        <w:tabs>
          <w:tab w:leader="none" w:pos="744"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You agree to travel on any Group Company’s business (both within the United Kingdom and abroad) as may be required for the proper performance of your duties under the Appointment.</w:t>
      </w:r>
    </w:p>
    <w:p>
      <w:pPr>
        <w:spacing w:after="0" w:line="317" w:lineRule="exact"/>
        <w:rPr>
          <w:sz w:val="20"/>
          <w:szCs w:val="20"/>
          <w:color w:val="auto"/>
        </w:rPr>
      </w:pPr>
    </w:p>
    <w:p>
      <w:pPr>
        <w:ind w:left="764" w:hanging="764"/>
        <w:spacing w:after="0"/>
        <w:tabs>
          <w:tab w:leader="none" w:pos="764" w:val="left"/>
        </w:tabs>
        <w:numPr>
          <w:ilvl w:val="0"/>
          <w:numId w:val="275"/>
        </w:numPr>
        <w:rPr>
          <w:rFonts w:ascii="Arial" w:cs="Arial" w:eastAsia="Arial" w:hAnsi="Arial"/>
          <w:sz w:val="22"/>
          <w:szCs w:val="22"/>
          <w:b w:val="1"/>
          <w:bCs w:val="1"/>
          <w:color w:val="auto"/>
        </w:rPr>
      </w:pPr>
      <w:r>
        <w:rPr>
          <w:rFonts w:ascii="Arial" w:cs="Arial" w:eastAsia="Arial" w:hAnsi="Arial"/>
          <w:sz w:val="22"/>
          <w:szCs w:val="22"/>
          <w:b w:val="1"/>
          <w:bCs w:val="1"/>
          <w:color w:val="auto"/>
        </w:rPr>
        <w:t>Hours of Work</w:t>
      </w:r>
    </w:p>
    <w:p>
      <w:pPr>
        <w:spacing w:after="0" w:line="118" w:lineRule="exact"/>
        <w:rPr>
          <w:sz w:val="20"/>
          <w:szCs w:val="20"/>
          <w:color w:val="auto"/>
        </w:rPr>
      </w:pPr>
    </w:p>
    <w:p>
      <w:pPr>
        <w:jc w:val="both"/>
        <w:ind w:left="764" w:right="740" w:hanging="768"/>
        <w:spacing w:after="0" w:line="297"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Your normal working hours are from 09:00 to 17:00 on each week day, excluding public and bank holidays of England and Wales, together with such additional hours, on week days (including public and bank holidays of England and Wales) or weekends, as may be necessary for the proper performance of your duties.</w:t>
      </w:r>
    </w:p>
    <w:p>
      <w:pPr>
        <w:spacing w:after="0" w:line="33" w:lineRule="exact"/>
        <w:rPr>
          <w:sz w:val="20"/>
          <w:szCs w:val="20"/>
          <w:color w:val="auto"/>
        </w:rPr>
      </w:pPr>
    </w:p>
    <w:p>
      <w:pPr>
        <w:ind w:left="764" w:right="80" w:hanging="768"/>
        <w:spacing w:after="0" w:line="260" w:lineRule="auto"/>
        <w:tabs>
          <w:tab w:leader="none" w:pos="744"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Regulation 4(1) of the Working Time Regulations 1998 (the “</w:t>
      </w:r>
      <w:r>
        <w:rPr>
          <w:rFonts w:ascii="Arial" w:cs="Arial" w:eastAsia="Arial" w:hAnsi="Arial"/>
          <w:sz w:val="21"/>
          <w:szCs w:val="21"/>
          <w:b w:val="1"/>
          <w:bCs w:val="1"/>
          <w:color w:val="auto"/>
        </w:rPr>
        <w:t>WTR</w:t>
      </w:r>
      <w:r>
        <w:rPr>
          <w:rFonts w:ascii="Arial" w:cs="Arial" w:eastAsia="Arial" w:hAnsi="Arial"/>
          <w:sz w:val="21"/>
          <w:szCs w:val="21"/>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58" w:lineRule="exact"/>
        <w:rPr>
          <w:sz w:val="20"/>
          <w:szCs w:val="20"/>
          <w:color w:val="auto"/>
        </w:rPr>
      </w:pPr>
    </w:p>
    <w:p>
      <w:pPr>
        <w:ind w:left="764"/>
        <w:spacing w:after="0" w:line="236" w:lineRule="auto"/>
        <w:rPr>
          <w:sz w:val="20"/>
          <w:szCs w:val="20"/>
          <w:color w:val="auto"/>
        </w:rPr>
      </w:pPr>
      <w:r>
        <w:rPr>
          <w:rFonts w:ascii="Arial" w:cs="Arial" w:eastAsia="Arial" w:hAnsi="Arial"/>
          <w:sz w:val="22"/>
          <w:szCs w:val="22"/>
          <w:color w:val="auto"/>
        </w:rPr>
        <w:t>You acknowledge that you hold an executive position with certain autonomous decision taking powers and that the duration of your working time is not measured or predetermined. You agree that you are therefore not subject to regulation 4(1) of the Working Time Regulations 1998 but without prejudice to that you accept that by signing this Contract you have agreed that, insofar as it would apply to your employment with the Company, regulation 4(1) of the Working Time Regulations 1998 shall not apply.</w:t>
      </w:r>
    </w:p>
    <w:p>
      <w:pPr>
        <w:spacing w:after="0" w:line="93" w:lineRule="exact"/>
        <w:rPr>
          <w:sz w:val="20"/>
          <w:szCs w:val="20"/>
          <w:color w:val="auto"/>
        </w:rPr>
      </w:pPr>
    </w:p>
    <w:p>
      <w:pPr>
        <w:ind w:left="764" w:right="20" w:hanging="768"/>
        <w:spacing w:after="0" w:line="328" w:lineRule="auto"/>
        <w:tabs>
          <w:tab w:leader="none" w:pos="744"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At any time during the Appointment, you or the Company may give three months’ prior written notice that the opt-out of clause 7.2 should no longer apply and it will cease to apply with effect from the expiry of the said notice.</w:t>
      </w:r>
    </w:p>
    <w:p>
      <w:pPr>
        <w:spacing w:after="0" w:line="10"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You will comply with any requests made or measures imposed to enable the Company and/or you to monitor and record your working time.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004"/>
          </w:cols>
          <w:pgMar w:left="436" w:top="267" w:right="459" w:bottom="1440" w:gutter="0" w:footer="0" w:header="0"/>
        </w:sectPr>
      </w:pPr>
    </w:p>
    <w:bookmarkStart w:id="321" w:name="page322"/>
    <w:bookmarkEnd w:id="321"/>
    <w:p>
      <w:pPr>
        <w:ind w:left="764" w:hanging="764"/>
        <w:spacing w:after="0"/>
        <w:tabs>
          <w:tab w:leader="none" w:pos="764"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Salary</w:t>
      </w:r>
    </w:p>
    <w:p>
      <w:pPr>
        <w:spacing w:after="0" w:line="112" w:lineRule="exact"/>
        <w:rPr>
          <w:sz w:val="20"/>
          <w:szCs w:val="20"/>
          <w:color w:val="auto"/>
        </w:rPr>
      </w:pPr>
    </w:p>
    <w:p>
      <w:pPr>
        <w:ind w:left="764" w:hanging="768"/>
        <w:spacing w:after="0" w:line="243"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 xml:space="preserve">Your salary is £ 295,848.96 per annum (the </w:t>
      </w:r>
      <w:r>
        <w:rPr>
          <w:rFonts w:ascii="Arial" w:cs="Arial" w:eastAsia="Arial" w:hAnsi="Arial"/>
          <w:sz w:val="22"/>
          <w:szCs w:val="22"/>
          <w:b w:val="1"/>
          <w:bCs w:val="1"/>
          <w:color w:val="auto"/>
        </w:rPr>
        <w:t>“Salary”</w:t>
      </w:r>
      <w:r>
        <w:rPr>
          <w:rFonts w:ascii="Arial" w:cs="Arial" w:eastAsia="Arial" w:hAnsi="Arial"/>
          <w:sz w:val="22"/>
          <w:szCs w:val="22"/>
          <w:color w:val="auto"/>
        </w:rPr>
        <w:t>), less statutory and voluntary deduction. The Salary shall accrue from day to day and be payable by equal monthly instalments in arrears on the last business day of each calendar month directly into your UK bank or building society account.</w:t>
      </w:r>
    </w:p>
    <w:p>
      <w:pPr>
        <w:spacing w:after="0" w:line="88"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You will receive no additional payment for any overtime worked. Your Salary will include any director’s, company secretary’s and other fees and emoluments due to you as an officer of the Company or of any Group Company.</w:t>
      </w:r>
    </w:p>
    <w:p>
      <w:pPr>
        <w:spacing w:after="0" w:line="10" w:lineRule="exact"/>
        <w:rPr>
          <w:sz w:val="20"/>
          <w:szCs w:val="20"/>
          <w:color w:val="auto"/>
        </w:rPr>
      </w:pPr>
    </w:p>
    <w:p>
      <w:pPr>
        <w:jc w:val="both"/>
        <w:ind w:left="764" w:right="300" w:hanging="768"/>
        <w:spacing w:after="0" w:line="297" w:lineRule="auto"/>
        <w:tabs>
          <w:tab w:leader="none" w:pos="744"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Your Salary will be reviewed by your Manager annually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39" w:lineRule="exact"/>
        <w:rPr>
          <w:sz w:val="20"/>
          <w:szCs w:val="20"/>
          <w:color w:val="auto"/>
        </w:rPr>
      </w:pPr>
    </w:p>
    <w:p>
      <w:pPr>
        <w:ind w:left="764" w:right="160" w:hanging="768"/>
        <w:spacing w:after="0" w:line="234" w:lineRule="auto"/>
        <w:tabs>
          <w:tab w:leader="none" w:pos="744"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96" w:lineRule="exact"/>
        <w:rPr>
          <w:sz w:val="20"/>
          <w:szCs w:val="20"/>
          <w:color w:val="auto"/>
        </w:rPr>
      </w:pPr>
    </w:p>
    <w:p>
      <w:pPr>
        <w:ind w:left="764" w:right="140" w:hanging="768"/>
        <w:spacing w:after="0" w:line="257" w:lineRule="auto"/>
        <w:tabs>
          <w:tab w:leader="none" w:pos="744"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color w:val="auto"/>
        </w:rPr>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12" w:lineRule="exact"/>
        <w:rPr>
          <w:sz w:val="20"/>
          <w:szCs w:val="20"/>
          <w:color w:val="auto"/>
        </w:rPr>
      </w:pPr>
    </w:p>
    <w:p>
      <w:pPr>
        <w:ind w:left="764" w:hanging="764"/>
        <w:spacing w:after="0"/>
        <w:tabs>
          <w:tab w:leader="none" w:pos="764" w:val="left"/>
        </w:tabs>
        <w:numPr>
          <w:ilvl w:val="0"/>
          <w:numId w:val="277"/>
        </w:numPr>
        <w:rPr>
          <w:rFonts w:ascii="Arial" w:cs="Arial" w:eastAsia="Arial" w:hAnsi="Arial"/>
          <w:sz w:val="22"/>
          <w:szCs w:val="22"/>
          <w:b w:val="1"/>
          <w:bCs w:val="1"/>
          <w:color w:val="auto"/>
        </w:rPr>
      </w:pPr>
      <w:r>
        <w:rPr>
          <w:rFonts w:ascii="Arial" w:cs="Arial" w:eastAsia="Arial" w:hAnsi="Arial"/>
          <w:sz w:val="22"/>
          <w:szCs w:val="22"/>
          <w:b w:val="1"/>
          <w:bCs w:val="1"/>
          <w:color w:val="auto"/>
        </w:rPr>
        <w:t>Discretionary Bonus</w:t>
      </w:r>
    </w:p>
    <w:p>
      <w:pPr>
        <w:spacing w:after="0" w:line="118" w:lineRule="exact"/>
        <w:rPr>
          <w:sz w:val="20"/>
          <w:szCs w:val="20"/>
          <w:color w:val="auto"/>
        </w:rPr>
      </w:pPr>
    </w:p>
    <w:p>
      <w:pPr>
        <w:ind w:left="764" w:right="160" w:hanging="768"/>
        <w:spacing w:after="0" w:line="297" w:lineRule="auto"/>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39" w:lineRule="exact"/>
        <w:rPr>
          <w:sz w:val="20"/>
          <w:szCs w:val="20"/>
          <w:color w:val="auto"/>
        </w:rPr>
      </w:pPr>
    </w:p>
    <w:p>
      <w:pPr>
        <w:ind w:left="764" w:right="660" w:hanging="768"/>
        <w:spacing w:after="0" w:line="328"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The terms of the discretionary bonus scheme are determined by the Company in its absolute discretion and the Company is entitled in its absolute discretion to change the terms of this scheme from year to year.</w:t>
      </w:r>
    </w:p>
    <w:p>
      <w:pPr>
        <w:spacing w:after="0" w:line="10"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92" w:lineRule="exact"/>
        <w:rPr>
          <w:sz w:val="20"/>
          <w:szCs w:val="20"/>
          <w:color w:val="auto"/>
        </w:rPr>
      </w:pPr>
    </w:p>
    <w:p>
      <w:pPr>
        <w:ind w:left="764" w:right="200" w:hanging="768"/>
        <w:spacing w:after="0" w:line="250"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If you commence employment part way through the calendar year any sum calculated in accordance with clause 9.2 shall be pro-rated, as appropriate.</w:t>
      </w:r>
    </w:p>
    <w:p>
      <w:pPr>
        <w:spacing w:after="0" w:line="107"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0984"/>
          </w:cols>
          <w:pgMar w:left="436" w:top="261" w:right="479" w:bottom="1440" w:gutter="0" w:footer="0" w:header="0"/>
        </w:sectPr>
      </w:pPr>
    </w:p>
    <w:bookmarkStart w:id="322" w:name="page323"/>
    <w:bookmarkEnd w:id="322"/>
    <w:p>
      <w:pPr>
        <w:jc w:val="both"/>
        <w:ind w:left="764" w:right="20"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9.5</w:t>
      </w:r>
      <w:r>
        <w:rPr>
          <w:sz w:val="20"/>
          <w:szCs w:val="20"/>
          <w:color w:val="auto"/>
        </w:rPr>
        <w:tab/>
      </w:r>
      <w:r>
        <w:rPr>
          <w:rFonts w:ascii="Arial" w:cs="Arial" w:eastAsia="Arial" w:hAnsi="Arial"/>
          <w:sz w:val="22"/>
          <w:szCs w:val="22"/>
          <w:color w:val="auto"/>
        </w:rPr>
        <w:t>Save as provided in Schedule II, if you are working your period of notice (given by either you or the Company) at the date any bonus is payable to you, or the Appointment is terminated prior to that date, no bonus or pro-rata bonus shall be payable.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Any discretionary bonus payable in accordance with this clause 9 shall not be pensionable.</w:t>
      </w:r>
    </w:p>
    <w:p>
      <w:pPr>
        <w:spacing w:after="0" w:line="349" w:lineRule="exact"/>
        <w:rPr>
          <w:sz w:val="20"/>
          <w:szCs w:val="20"/>
          <w:color w:val="auto"/>
        </w:rPr>
      </w:pPr>
    </w:p>
    <w:p>
      <w:pPr>
        <w:ind w:left="764" w:hanging="764"/>
        <w:spacing w:after="0"/>
        <w:tabs>
          <w:tab w:leader="none" w:pos="764" w:val="left"/>
        </w:tabs>
        <w:numPr>
          <w:ilvl w:val="0"/>
          <w:numId w:val="278"/>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118" w:lineRule="exact"/>
        <w:rPr>
          <w:sz w:val="20"/>
          <w:szCs w:val="20"/>
          <w:color w:val="auto"/>
        </w:rPr>
      </w:pPr>
    </w:p>
    <w:p>
      <w:pPr>
        <w:ind w:left="764" w:right="360" w:hanging="768"/>
        <w:spacing w:after="0" w:line="238" w:lineRule="auto"/>
        <w:tabs>
          <w:tab w:leader="none" w:pos="744"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You shall comply with the Company’s expenses policy as set out in the Staff Handbook from time to time.</w:t>
      </w:r>
    </w:p>
    <w:p>
      <w:pPr>
        <w:spacing w:after="0" w:line="112" w:lineRule="exact"/>
        <w:rPr>
          <w:sz w:val="20"/>
          <w:szCs w:val="20"/>
          <w:color w:val="auto"/>
        </w:rPr>
      </w:pPr>
    </w:p>
    <w:p>
      <w:pPr>
        <w:jc w:val="both"/>
        <w:ind w:left="764" w:right="220" w:hanging="768"/>
        <w:spacing w:after="0"/>
        <w:tabs>
          <w:tab w:leader="none" w:pos="744"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Any expenses charged to a Company credit card must be documented in accordance with Company procedures and approved by the Chief Financial Officer within one month of the date that the credit card statement is received. No personal expenditure may be charged to Company credit cards.</w:t>
      </w:r>
    </w:p>
    <w:p>
      <w:pPr>
        <w:spacing w:after="0" w:line="329" w:lineRule="exact"/>
        <w:rPr>
          <w:sz w:val="20"/>
          <w:szCs w:val="20"/>
          <w:color w:val="auto"/>
        </w:rPr>
      </w:pPr>
    </w:p>
    <w:p>
      <w:pPr>
        <w:ind w:left="764" w:hanging="764"/>
        <w:spacing w:after="0"/>
        <w:tabs>
          <w:tab w:leader="none" w:pos="764" w:val="left"/>
        </w:tabs>
        <w:numPr>
          <w:ilvl w:val="0"/>
          <w:numId w:val="279"/>
        </w:numPr>
        <w:rPr>
          <w:rFonts w:ascii="Arial" w:cs="Arial" w:eastAsia="Arial" w:hAnsi="Arial"/>
          <w:sz w:val="22"/>
          <w:szCs w:val="22"/>
          <w:b w:val="1"/>
          <w:bCs w:val="1"/>
          <w:color w:val="auto"/>
        </w:rPr>
      </w:pPr>
      <w:r>
        <w:rPr>
          <w:rFonts w:ascii="Arial" w:cs="Arial" w:eastAsia="Arial" w:hAnsi="Arial"/>
          <w:sz w:val="22"/>
          <w:szCs w:val="22"/>
          <w:b w:val="1"/>
          <w:bCs w:val="1"/>
          <w:color w:val="auto"/>
        </w:rPr>
        <w:t>Other Employment</w:t>
      </w:r>
    </w:p>
    <w:p>
      <w:pPr>
        <w:spacing w:after="0" w:line="118" w:lineRule="exact"/>
        <w:rPr>
          <w:sz w:val="20"/>
          <w:szCs w:val="20"/>
          <w:color w:val="auto"/>
        </w:rPr>
      </w:pPr>
    </w:p>
    <w:p>
      <w:pPr>
        <w:ind w:left="764" w:right="380" w:hanging="768"/>
        <w:spacing w:after="0" w:line="250" w:lineRule="auto"/>
        <w:tabs>
          <w:tab w:leader="none" w:pos="74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You must devote substantially the whole of your time, attention and abilities during your normal hours of work to your duties for the Company.</w:t>
      </w:r>
    </w:p>
    <w:p>
      <w:pPr>
        <w:spacing w:after="0" w:line="80"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Without the prior written approval of the Board, you may not, whether directly or indirectly, undertake any other job (including voluntary work) or carry on a business, of whatever kind, during your hours of work for the Company. Without the prior written approval of the Board,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w:t>
      </w:r>
    </w:p>
    <w:p>
      <w:pPr>
        <w:spacing w:after="0" w:line="9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color w:val="auto"/>
        </w:rPr>
        <w:t>You may not at any time during the period of your employment by the Company without the prior written consent of the Chief Executive Officer engage, whether directly or indirectly, in any business or employment which is similar to or in any way connected with the business of the Company. Nothing in this clause 11.3 will prevent you from continuing with your activities relating to Phase4 Partners Limited.</w:t>
      </w:r>
    </w:p>
    <w:p>
      <w:pPr>
        <w:spacing w:after="0" w:line="327" w:lineRule="exact"/>
        <w:rPr>
          <w:sz w:val="20"/>
          <w:szCs w:val="20"/>
          <w:color w:val="auto"/>
        </w:rPr>
      </w:pPr>
    </w:p>
    <w:p>
      <w:pPr>
        <w:ind w:left="764" w:hanging="764"/>
        <w:spacing w:after="0"/>
        <w:tabs>
          <w:tab w:leader="none" w:pos="764" w:val="left"/>
        </w:tabs>
        <w:numPr>
          <w:ilvl w:val="0"/>
          <w:numId w:val="280"/>
        </w:numPr>
        <w:rPr>
          <w:rFonts w:ascii="Arial" w:cs="Arial" w:eastAsia="Arial" w:hAnsi="Arial"/>
          <w:sz w:val="22"/>
          <w:szCs w:val="22"/>
          <w:b w:val="1"/>
          <w:bCs w:val="1"/>
          <w:color w:val="auto"/>
        </w:rPr>
      </w:pPr>
      <w:r>
        <w:rPr>
          <w:rFonts w:ascii="Arial" w:cs="Arial" w:eastAsia="Arial" w:hAnsi="Arial"/>
          <w:sz w:val="22"/>
          <w:szCs w:val="22"/>
          <w:b w:val="1"/>
          <w:bCs w:val="1"/>
          <w:color w:val="auto"/>
        </w:rPr>
        <w:t>Holidays</w:t>
      </w:r>
    </w:p>
    <w:p>
      <w:pPr>
        <w:spacing w:after="0" w:line="118" w:lineRule="exact"/>
        <w:rPr>
          <w:sz w:val="20"/>
          <w:szCs w:val="20"/>
          <w:color w:val="auto"/>
        </w:rPr>
      </w:pPr>
    </w:p>
    <w:p>
      <w:pPr>
        <w:ind w:left="764" w:right="60" w:hanging="768"/>
        <w:spacing w:after="0"/>
        <w:tabs>
          <w:tab w:leader="none" w:pos="744"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In addition to the usual public and bank holidays of England and Wales, you shall be entitled to 25 days’ paid holiday in each complete holiday year worked (and pro rata for any holiday year worked in part) to be taken at such time or times as shall be agreed by your Manager.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0964"/>
          </w:cols>
          <w:pgMar w:left="436" w:top="267" w:right="499" w:bottom="1440" w:gutter="0" w:footer="0" w:header="0"/>
        </w:sectPr>
      </w:pPr>
    </w:p>
    <w:bookmarkStart w:id="323" w:name="page324"/>
    <w:bookmarkEnd w:id="323"/>
    <w:p>
      <w:pPr>
        <w:ind w:left="4"/>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w:t>
      </w:r>
      <w:r>
        <w:rPr>
          <w:sz w:val="20"/>
          <w:szCs w:val="20"/>
          <w:color w:val="auto"/>
        </w:rPr>
        <w:tab/>
      </w:r>
      <w:r>
        <w:rPr>
          <w:rFonts w:ascii="Arial" w:cs="Arial" w:eastAsia="Arial" w:hAnsi="Arial"/>
          <w:sz w:val="19"/>
          <w:szCs w:val="19"/>
          <w:color w:val="auto"/>
        </w:rPr>
        <w:t>The holiday year runs from 1 January each year to the following 31 December.</w:t>
      </w:r>
    </w:p>
    <w:p>
      <w:pPr>
        <w:spacing w:after="0" w:line="112"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color w:val="auto"/>
        </w:rPr>
        <w:t>Although the Company will agree to your proposed holiday dates wherever possible, it reserves the right to withhold approval where necessary to protect the interests of the business.</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The Company reserves the right to require you to take holiday on certain days to be determined by the Company of up to five days in each holiday year. The Company will notify you of any such requirement prior to the commencement of each holiday year.</w:t>
      </w:r>
    </w:p>
    <w:p>
      <w:pPr>
        <w:spacing w:after="0" w:line="92" w:lineRule="exact"/>
        <w:rPr>
          <w:sz w:val="20"/>
          <w:szCs w:val="20"/>
          <w:color w:val="auto"/>
        </w:rPr>
      </w:pPr>
    </w:p>
    <w:p>
      <w:pPr>
        <w:jc w:val="both"/>
        <w:ind w:left="764" w:right="280" w:hanging="768"/>
        <w:spacing w:after="0"/>
        <w:tabs>
          <w:tab w:leader="none" w:pos="744"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color w:val="auto"/>
        </w:rPr>
        <w:t>A maximum of five days untaken holiday entitlement may be carried forward from one holiday year subject to the prior written agreement of your Manager to the next and no money will be paid in lieu of any such untaken holiday entitlement.</w:t>
      </w:r>
    </w:p>
    <w:p>
      <w:pPr>
        <w:spacing w:after="0" w:line="92" w:lineRule="exact"/>
        <w:rPr>
          <w:sz w:val="20"/>
          <w:szCs w:val="20"/>
          <w:color w:val="auto"/>
        </w:rPr>
      </w:pPr>
    </w:p>
    <w:p>
      <w:pPr>
        <w:ind w:left="764" w:right="200" w:hanging="768"/>
        <w:spacing w:after="0" w:line="252" w:lineRule="auto"/>
        <w:tabs>
          <w:tab w:leader="none" w:pos="744"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color w:val="auto"/>
        </w:rPr>
        <w:t>On termination of the Appointment you shall be entitled to be paid in lieu of holiday accrued but untaken in the holiday year in which termination takes place. Your entitlement to holiday will be calculated on the basis that each day of paid holiday is equal to 1/260 of your salary. Alternatively, you will be required to repay to the Company pay for any holiday taken in excess of your entitlement at the same rate.</w:t>
      </w:r>
    </w:p>
    <w:p>
      <w:pPr>
        <w:spacing w:after="0" w:line="79" w:lineRule="exact"/>
        <w:rPr>
          <w:sz w:val="20"/>
          <w:szCs w:val="20"/>
          <w:color w:val="auto"/>
        </w:rPr>
      </w:pPr>
    </w:p>
    <w:p>
      <w:pPr>
        <w:jc w:val="both"/>
        <w:ind w:left="764" w:right="340" w:hanging="768"/>
        <w:spacing w:after="0"/>
        <w:tabs>
          <w:tab w:leader="none" w:pos="744"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color w:val="auto"/>
        </w:rPr>
        <w:t>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92" w:lineRule="exact"/>
        <w:rPr>
          <w:sz w:val="20"/>
          <w:szCs w:val="20"/>
          <w:color w:val="auto"/>
        </w:rPr>
      </w:pPr>
    </w:p>
    <w:p>
      <w:pPr>
        <w:ind w:left="764" w:right="260" w:hanging="768"/>
        <w:spacing w:after="0" w:line="250" w:lineRule="auto"/>
        <w:tabs>
          <w:tab w:leader="none" w:pos="744"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2"/>
          <w:szCs w:val="22"/>
          <w:color w:val="auto"/>
        </w:rPr>
        <w:t>The Company may require you to take any outstanding holiday entitlement during your notice period or during any period of garden leave as referred to in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The holiday year is also the leave year for parental leave purposes.</w:t>
      </w:r>
    </w:p>
    <w:p>
      <w:pPr>
        <w:spacing w:after="0" w:line="349" w:lineRule="exact"/>
        <w:rPr>
          <w:sz w:val="20"/>
          <w:szCs w:val="20"/>
          <w:color w:val="auto"/>
        </w:rPr>
      </w:pPr>
    </w:p>
    <w:p>
      <w:pPr>
        <w:ind w:left="764" w:hanging="764"/>
        <w:spacing w:after="0"/>
        <w:tabs>
          <w:tab w:leader="none" w:pos="764" w:val="left"/>
        </w:tabs>
        <w:numPr>
          <w:ilvl w:val="0"/>
          <w:numId w:val="281"/>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Sickness or Other Absence</w:t>
      </w:r>
    </w:p>
    <w:p>
      <w:pPr>
        <w:spacing w:after="0" w:line="118" w:lineRule="exact"/>
        <w:rPr>
          <w:sz w:val="20"/>
          <w:szCs w:val="20"/>
          <w:color w:val="auto"/>
        </w:rPr>
      </w:pPr>
    </w:p>
    <w:p>
      <w:pPr>
        <w:ind w:left="764" w:right="380" w:hanging="768"/>
        <w:spacing w:after="0" w:line="328" w:lineRule="auto"/>
        <w:tabs>
          <w:tab w:leader="none" w:pos="744"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If you are absent from work for any reason and your absence has not previously been authorised by your Manager you, or someone on your behalf, must inform your Manager by 10.00 am on each day of absence.</w:t>
      </w:r>
    </w:p>
    <w:p>
      <w:pPr>
        <w:spacing w:after="0" w:line="10"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Any unauthorised absence must be properly explained and in the case of an absence of uncertain duration you must keep the Company informed on a daily basis until you have provided the Company with a medical certificate.</w:t>
      </w:r>
    </w:p>
    <w:p>
      <w:pPr>
        <w:spacing w:after="0" w:line="10" w:lineRule="exact"/>
        <w:rPr>
          <w:sz w:val="20"/>
          <w:szCs w:val="20"/>
          <w:color w:val="auto"/>
        </w:rPr>
      </w:pPr>
    </w:p>
    <w:p>
      <w:pPr>
        <w:jc w:val="both"/>
        <w:ind w:left="764" w:right="40" w:hanging="768"/>
        <w:spacing w:after="0" w:line="257" w:lineRule="auto"/>
        <w:tabs>
          <w:tab w:leader="none" w:pos="744"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75" w:lineRule="exact"/>
        <w:rPr>
          <w:sz w:val="20"/>
          <w:szCs w:val="20"/>
          <w:color w:val="auto"/>
        </w:rPr>
      </w:pPr>
    </w:p>
    <w:p>
      <w:pPr>
        <w:ind w:left="764" w:right="220" w:hanging="768"/>
        <w:spacing w:after="0" w:line="287" w:lineRule="auto"/>
        <w:tabs>
          <w:tab w:leader="none" w:pos="744"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7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004"/>
          </w:cols>
          <w:pgMar w:left="436" w:top="267" w:right="459" w:bottom="1440" w:gutter="0" w:footer="0" w:header="0"/>
        </w:sectPr>
      </w:pPr>
    </w:p>
    <w:bookmarkStart w:id="324" w:name="page325"/>
    <w:bookmarkEnd w:id="324"/>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w:t>
      </w:r>
      <w:r>
        <w:rPr>
          <w:sz w:val="20"/>
          <w:szCs w:val="20"/>
          <w:color w:val="auto"/>
        </w:rPr>
        <w:tab/>
      </w:r>
      <w:r>
        <w:rPr>
          <w:rFonts w:ascii="Arial" w:cs="Arial" w:eastAsia="Arial" w:hAnsi="Arial"/>
          <w:sz w:val="22"/>
          <w:szCs w:val="22"/>
          <w:color w:val="auto"/>
        </w:rPr>
        <w:t>Failure to comply with the above procedures may result in disciplinary action and/or the loss of Company sick pay (referred to below) and may also disqualify you from receiving Statutory Sick Pay.</w:t>
      </w:r>
    </w:p>
    <w:p>
      <w:pPr>
        <w:spacing w:after="0" w:line="80" w:lineRule="exact"/>
        <w:rPr>
          <w:sz w:val="20"/>
          <w:szCs w:val="20"/>
          <w:color w:val="auto"/>
        </w:rPr>
      </w:pPr>
    </w:p>
    <w:p>
      <w:pPr>
        <w:ind w:left="764" w:right="220" w:hanging="768"/>
        <w:spacing w:after="0" w:line="250" w:lineRule="auto"/>
        <w:tabs>
          <w:tab w:leader="none" w:pos="744"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2"/>
          <w:szCs w:val="22"/>
          <w:color w:val="auto"/>
        </w:rPr>
        <w:t>Your “qualifying days” for Statutory Sick Pay purposes are those days of the week on which you are due to work in accordance with this contract of employment.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You shall:</w:t>
      </w:r>
    </w:p>
    <w:p>
      <w:pPr>
        <w:spacing w:after="0" w:line="112" w:lineRule="exact"/>
        <w:rPr>
          <w:sz w:val="20"/>
          <w:szCs w:val="20"/>
          <w:color w:val="auto"/>
        </w:rPr>
      </w:pPr>
    </w:p>
    <w:p>
      <w:pPr>
        <w:ind w:left="1424" w:hanging="647"/>
        <w:spacing w:after="0" w:line="274" w:lineRule="auto"/>
        <w:rPr>
          <w:sz w:val="20"/>
          <w:szCs w:val="20"/>
          <w:color w:val="auto"/>
        </w:rPr>
      </w:pPr>
      <w:r>
        <w:rPr>
          <w:rFonts w:ascii="Arial" w:cs="Arial" w:eastAsia="Arial" w:hAnsi="Arial"/>
          <w:sz w:val="21"/>
          <w:szCs w:val="21"/>
          <w:color w:val="auto"/>
        </w:rPr>
        <w:t>13.7.1 agree to consent to a medical examination (at the Company’s expense) by a doctor nominated by the Company or your GP or any relevant consultant at any time should the Company so require; and</w:t>
      </w:r>
    </w:p>
    <w:p>
      <w:pPr>
        <w:spacing w:after="0" w:line="56" w:lineRule="exact"/>
        <w:rPr>
          <w:sz w:val="20"/>
          <w:szCs w:val="20"/>
          <w:color w:val="auto"/>
        </w:rPr>
      </w:pPr>
    </w:p>
    <w:p>
      <w:pPr>
        <w:ind w:left="1424" w:right="360" w:hanging="647"/>
        <w:spacing w:after="0" w:line="250" w:lineRule="auto"/>
        <w:rPr>
          <w:sz w:val="20"/>
          <w:szCs w:val="20"/>
          <w:color w:val="auto"/>
        </w:rPr>
      </w:pPr>
      <w:r>
        <w:rPr>
          <w:rFonts w:ascii="Arial" w:cs="Arial" w:eastAsia="Arial" w:hAnsi="Arial"/>
          <w:sz w:val="22"/>
          <w:szCs w:val="22"/>
          <w:color w:val="auto"/>
        </w:rPr>
        <w:t>13.7.2 authorise such medical practitioner to disclose to or discuss with the Company (or its medical adviser) any matters arising from such examination.</w:t>
      </w:r>
    </w:p>
    <w:p>
      <w:pPr>
        <w:spacing w:after="0" w:line="80" w:lineRule="exact"/>
        <w:rPr>
          <w:sz w:val="20"/>
          <w:szCs w:val="20"/>
          <w:color w:val="auto"/>
        </w:rPr>
      </w:pPr>
    </w:p>
    <w:p>
      <w:pPr>
        <w:ind w:left="764" w:right="220" w:hanging="768"/>
        <w:spacing w:after="0"/>
        <w:tabs>
          <w:tab w:leader="none" w:pos="744"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2"/>
          <w:szCs w:val="22"/>
          <w:color w:val="auto"/>
        </w:rPr>
        <w:t>The rights of the Company to terminate the Appointment under the terms of this Contract apply even when such termination would or might cause you to forfeit any entitlement to sick pay, payments under the medical scheme, or other benefits.</w:t>
      </w:r>
    </w:p>
    <w:p>
      <w:pPr>
        <w:spacing w:after="0" w:line="329" w:lineRule="exact"/>
        <w:rPr>
          <w:sz w:val="20"/>
          <w:szCs w:val="20"/>
          <w:color w:val="auto"/>
        </w:rPr>
      </w:pPr>
    </w:p>
    <w:p>
      <w:pPr>
        <w:ind w:left="764" w:hanging="764"/>
        <w:spacing w:after="0"/>
        <w:tabs>
          <w:tab w:leader="none" w:pos="764" w:val="left"/>
        </w:tabs>
        <w:numPr>
          <w:ilvl w:val="0"/>
          <w:numId w:val="282"/>
        </w:numPr>
        <w:rPr>
          <w:rFonts w:ascii="Arial" w:cs="Arial" w:eastAsia="Arial" w:hAnsi="Arial"/>
          <w:sz w:val="22"/>
          <w:szCs w:val="22"/>
          <w:b w:val="1"/>
          <w:bCs w:val="1"/>
          <w:color w:val="auto"/>
        </w:rPr>
      </w:pPr>
      <w:r>
        <w:rPr>
          <w:rFonts w:ascii="Arial" w:cs="Arial" w:eastAsia="Arial" w:hAnsi="Arial"/>
          <w:sz w:val="22"/>
          <w:szCs w:val="22"/>
          <w:b w:val="1"/>
          <w:bCs w:val="1"/>
          <w:color w:val="auto"/>
        </w:rPr>
        <w:t>Sick Pay</w:t>
      </w:r>
    </w:p>
    <w:p>
      <w:pPr>
        <w:spacing w:after="0" w:line="118" w:lineRule="exact"/>
        <w:rPr>
          <w:sz w:val="20"/>
          <w:szCs w:val="20"/>
          <w:color w:val="auto"/>
        </w:rPr>
      </w:pPr>
    </w:p>
    <w:p>
      <w:pPr>
        <w:ind w:left="764" w:right="100" w:hanging="768"/>
        <w:spacing w:after="0" w:line="248" w:lineRule="auto"/>
        <w:tabs>
          <w:tab w:leader="none" w:pos="744"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82" w:lineRule="exact"/>
        <w:rPr>
          <w:sz w:val="20"/>
          <w:szCs w:val="20"/>
          <w:color w:val="auto"/>
        </w:rPr>
      </w:pPr>
    </w:p>
    <w:p>
      <w:pPr>
        <w:ind w:left="764" w:right="20" w:hanging="768"/>
        <w:spacing w:after="0" w:line="248" w:lineRule="auto"/>
        <w:tabs>
          <w:tab w:leader="none" w:pos="744"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82" w:lineRule="exact"/>
        <w:rPr>
          <w:sz w:val="20"/>
          <w:szCs w:val="20"/>
          <w:color w:val="auto"/>
        </w:rPr>
      </w:pPr>
    </w:p>
    <w:p>
      <w:pPr>
        <w:ind w:left="764" w:right="160" w:hanging="768"/>
        <w:spacing w:after="0" w:line="250" w:lineRule="auto"/>
        <w:tabs>
          <w:tab w:leader="none" w:pos="744"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color w:val="auto"/>
        </w:rPr>
        <w:t>The Company reserves the right to withhold payment of Company sick pay if you fail to comply with the provisions of clause 13 or if you are subject to disciplinary proceedings.</w:t>
      </w:r>
    </w:p>
    <w:p>
      <w:pPr>
        <w:spacing w:after="0" w:line="317" w:lineRule="exact"/>
        <w:rPr>
          <w:sz w:val="20"/>
          <w:szCs w:val="20"/>
          <w:color w:val="auto"/>
        </w:rPr>
      </w:pPr>
    </w:p>
    <w:p>
      <w:pPr>
        <w:ind w:left="764" w:hanging="764"/>
        <w:spacing w:after="0"/>
        <w:tabs>
          <w:tab w:leader="none" w:pos="764"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t>Other Benefits</w:t>
      </w:r>
    </w:p>
    <w:p>
      <w:pPr>
        <w:spacing w:after="0" w:line="112" w:lineRule="exact"/>
        <w:rPr>
          <w:sz w:val="20"/>
          <w:szCs w:val="20"/>
          <w:color w:val="auto"/>
        </w:rPr>
      </w:pPr>
    </w:p>
    <w:p>
      <w:pPr>
        <w:ind w:left="764" w:right="200" w:hanging="768"/>
        <w:spacing w:after="0" w:line="256" w:lineRule="auto"/>
        <w:tabs>
          <w:tab w:leader="none" w:pos="744"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2"/>
          <w:szCs w:val="22"/>
          <w:b w:val="1"/>
          <w:bCs w:val="1"/>
          <w:color w:val="auto"/>
        </w:rPr>
        <w:t xml:space="preserve">Pension. </w:t>
      </w:r>
      <w:r>
        <w:rPr>
          <w:rFonts w:ascii="Arial" w:cs="Arial" w:eastAsia="Arial" w:hAnsi="Arial"/>
          <w:sz w:val="22"/>
          <w:szCs w:val="22"/>
          <w:color w:val="auto"/>
        </w:rPr>
        <w:t>You are eligible to join the Company’s group personal pension scheme. Membership of and benefits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scheme are strictly subject to the rules of</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0984"/>
          </w:cols>
          <w:pgMar w:left="436" w:top="267" w:right="479" w:bottom="1440" w:gutter="0" w:footer="0" w:header="0"/>
        </w:sectPr>
      </w:pPr>
    </w:p>
    <w:bookmarkStart w:id="325" w:name="page326"/>
    <w:bookmarkEnd w:id="325"/>
    <w:p>
      <w:pPr>
        <w:ind w:left="76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scheme as amended from time to time. The Company expressly reserves the right in its discretion to amend or terminate the pension scheme. The Company shall contribute to the Company’s pension scheme an amount equal to 10% of your 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 pro-rata amount equal to 10% of your basic salary in lieu of a pension contribution to you as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66" w:lineRule="exact"/>
        <w:rPr>
          <w:sz w:val="20"/>
          <w:szCs w:val="20"/>
          <w:color w:val="auto"/>
        </w:rPr>
      </w:pPr>
    </w:p>
    <w:p>
      <w:pPr>
        <w:ind w:left="760" w:right="40" w:hanging="768"/>
        <w:spacing w:after="0" w:line="250" w:lineRule="auto"/>
        <w:tabs>
          <w:tab w:leader="none" w:pos="7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color w:val="auto"/>
        </w:rPr>
        <w:t>The Company will comply with the employer pension duties in respect of your employment in accordance with Part I of the Pensions Act 2008.</w:t>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A contracting-out certificate under the Pension Schemes Act 1993 is not in force in respect of the Appointment.</w:t>
      </w:r>
    </w:p>
    <w:p>
      <w:pPr>
        <w:spacing w:after="0" w:line="112" w:lineRule="exact"/>
        <w:rPr>
          <w:sz w:val="20"/>
          <w:szCs w:val="20"/>
          <w:color w:val="auto"/>
        </w:rPr>
      </w:pPr>
    </w:p>
    <w:p>
      <w:pPr>
        <w:ind w:left="760" w:right="460" w:hanging="768"/>
        <w:spacing w:after="0" w:line="257" w:lineRule="auto"/>
        <w:tabs>
          <w:tab w:leader="none" w:pos="7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color w:val="auto"/>
        </w:rPr>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69" w:lineRule="exact"/>
        <w:rPr>
          <w:sz w:val="20"/>
          <w:szCs w:val="20"/>
          <w:color w:val="auto"/>
        </w:rPr>
      </w:pPr>
    </w:p>
    <w:p>
      <w:pPr>
        <w:ind w:left="1420" w:right="420" w:hanging="647"/>
        <w:spacing w:after="0" w:line="280" w:lineRule="auto"/>
        <w:rPr>
          <w:sz w:val="20"/>
          <w:szCs w:val="20"/>
          <w:color w:val="auto"/>
        </w:rPr>
      </w:pPr>
      <w:r>
        <w:rPr>
          <w:rFonts w:ascii="Arial" w:cs="Arial" w:eastAsia="Arial" w:hAnsi="Arial"/>
          <w:sz w:val="21"/>
          <w:szCs w:val="21"/>
          <w:color w:val="auto"/>
        </w:rPr>
        <w:t xml:space="preserve">15.4.1 </w:t>
      </w:r>
      <w:r>
        <w:rPr>
          <w:rFonts w:ascii="Arial" w:cs="Arial" w:eastAsia="Arial" w:hAnsi="Arial"/>
          <w:sz w:val="21"/>
          <w:szCs w:val="21"/>
          <w:b w:val="1"/>
          <w:bCs w:val="1"/>
          <w:color w:val="auto"/>
        </w:rPr>
        <w:t>Medical Scheme.</w:t>
      </w:r>
      <w:r>
        <w:rPr>
          <w:rFonts w:ascii="Arial" w:cs="Arial" w:eastAsia="Arial" w:hAnsi="Arial"/>
          <w:sz w:val="21"/>
          <w:szCs w:val="21"/>
          <w:color w:val="auto"/>
        </w:rPr>
        <w:t xml:space="preserve"> You and your immediate family shall be entitled to participate in the medical insurance scheme maintained from time to time by the Company for the benefit of employees.</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15.4.2 </w:t>
      </w:r>
      <w:r>
        <w:rPr>
          <w:rFonts w:ascii="Arial" w:cs="Arial" w:eastAsia="Arial" w:hAnsi="Arial"/>
          <w:sz w:val="19"/>
          <w:szCs w:val="19"/>
          <w:b w:val="1"/>
          <w:bCs w:val="1"/>
          <w:color w:val="auto"/>
        </w:rPr>
        <w:t>Life Assurance Scheme.</w:t>
      </w:r>
      <w:r>
        <w:rPr>
          <w:rFonts w:ascii="Arial" w:cs="Arial" w:eastAsia="Arial" w:hAnsi="Arial"/>
          <w:sz w:val="19"/>
          <w:szCs w:val="19"/>
          <w:color w:val="auto"/>
        </w:rPr>
        <w:t xml:space="preserve"> The Company shall maintain for you life assurance of four times your Salary.</w:t>
      </w:r>
    </w:p>
    <w:p>
      <w:pPr>
        <w:spacing w:after="0" w:line="146" w:lineRule="exact"/>
        <w:rPr>
          <w:sz w:val="20"/>
          <w:szCs w:val="20"/>
          <w:color w:val="auto"/>
        </w:rPr>
      </w:pPr>
    </w:p>
    <w:p>
      <w:pPr>
        <w:ind w:left="1420" w:right="340" w:hanging="647"/>
        <w:spacing w:after="0" w:line="256" w:lineRule="auto"/>
        <w:rPr>
          <w:sz w:val="20"/>
          <w:szCs w:val="20"/>
          <w:color w:val="auto"/>
        </w:rPr>
      </w:pPr>
      <w:r>
        <w:rPr>
          <w:rFonts w:ascii="Arial" w:cs="Arial" w:eastAsia="Arial" w:hAnsi="Arial"/>
          <w:sz w:val="22"/>
          <w:szCs w:val="22"/>
          <w:color w:val="auto"/>
        </w:rPr>
        <w:t xml:space="preserve">15.4.3 </w:t>
      </w:r>
      <w:r>
        <w:rPr>
          <w:rFonts w:ascii="Arial" w:cs="Arial" w:eastAsia="Arial" w:hAnsi="Arial"/>
          <w:sz w:val="22"/>
          <w:szCs w:val="22"/>
          <w:b w:val="1"/>
          <w:bCs w:val="1"/>
          <w:color w:val="auto"/>
        </w:rPr>
        <w:t>Income protection.</w:t>
      </w:r>
      <w:r>
        <w:rPr>
          <w:rFonts w:ascii="Arial" w:cs="Arial" w:eastAsia="Arial" w:hAnsi="Arial"/>
          <w:sz w:val="22"/>
          <w:szCs w:val="22"/>
          <w:color w:val="auto"/>
        </w:rPr>
        <w:t xml:space="preserve"> You will be eligible to participate in such income protection schemes as the Company may from time to time operate for employees of your level.</w:t>
      </w:r>
    </w:p>
    <w:p>
      <w:pPr>
        <w:spacing w:after="0" w:line="74" w:lineRule="exact"/>
        <w:rPr>
          <w:sz w:val="20"/>
          <w:szCs w:val="20"/>
          <w:color w:val="auto"/>
        </w:rPr>
      </w:pPr>
    </w:p>
    <w:p>
      <w:pPr>
        <w:ind w:left="760" w:right="100" w:hanging="768"/>
        <w:spacing w:after="0"/>
        <w:tabs>
          <w:tab w:leader="none" w:pos="7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2"/>
          <w:szCs w:val="22"/>
          <w:color w:val="auto"/>
        </w:rPr>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9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Participation in any insurance or assurance scheme provided for you under this Contract:</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15.6.1</w:t>
      </w:r>
      <w:r>
        <w:rPr>
          <w:sz w:val="20"/>
          <w:szCs w:val="20"/>
          <w:color w:val="auto"/>
        </w:rPr>
        <w:tab/>
      </w:r>
      <w:r>
        <w:rPr>
          <w:rFonts w:ascii="Arial" w:cs="Arial" w:eastAsia="Arial" w:hAnsi="Arial"/>
          <w:sz w:val="19"/>
          <w:szCs w:val="19"/>
          <w:color w:val="auto"/>
        </w:rPr>
        <w:t>is absolutely subject to its terms and conditions from time to time in force;</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15.6.2</w:t>
      </w:r>
      <w:r>
        <w:rPr>
          <w:sz w:val="20"/>
          <w:szCs w:val="20"/>
          <w:color w:val="auto"/>
        </w:rPr>
        <w:tab/>
      </w:r>
      <w:r>
        <w:rPr>
          <w:rFonts w:ascii="Arial" w:cs="Arial" w:eastAsia="Arial" w:hAnsi="Arial"/>
          <w:sz w:val="19"/>
          <w:szCs w:val="19"/>
          <w:color w:val="auto"/>
        </w:rPr>
        <w:t>is conditional on you satisfying any applicable requirements of the insurers;</w:t>
      </w:r>
    </w:p>
    <w:p>
      <w:pPr>
        <w:spacing w:after="0" w:line="112" w:lineRule="exact"/>
        <w:rPr>
          <w:sz w:val="20"/>
          <w:szCs w:val="20"/>
          <w:color w:val="auto"/>
        </w:rPr>
      </w:pPr>
    </w:p>
    <w:p>
      <w:pPr>
        <w:jc w:val="both"/>
        <w:ind w:left="2200" w:right="120" w:hanging="768"/>
        <w:spacing w:after="0"/>
        <w:tabs>
          <w:tab w:leader="none" w:pos="2180" w:val="left"/>
        </w:tabs>
        <w:rPr>
          <w:sz w:val="20"/>
          <w:szCs w:val="20"/>
          <w:color w:val="auto"/>
        </w:rPr>
      </w:pPr>
      <w:r>
        <w:rPr>
          <w:rFonts w:ascii="Arial" w:cs="Arial" w:eastAsia="Arial" w:hAnsi="Arial"/>
          <w:sz w:val="22"/>
          <w:szCs w:val="22"/>
          <w:color w:val="auto"/>
        </w:rPr>
        <w:t>15.6.3</w:t>
        <w:tab/>
        <w:t>is subject to you and any insured dependants satisfying the normal underwriting requirements of the relevant insurance provider and the relevant premium being at a rate which the Company considers reasonable;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0960"/>
          </w:cols>
          <w:pgMar w:left="440" w:top="267" w:right="499" w:bottom="1440" w:gutter="0" w:footer="0" w:header="0"/>
        </w:sectPr>
      </w:pPr>
    </w:p>
    <w:bookmarkStart w:id="326" w:name="page327"/>
    <w:bookmarkEnd w:id="326"/>
    <w:p>
      <w:pPr>
        <w:ind w:left="1424"/>
        <w:spacing w:after="0"/>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15.6.4</w:t>
      </w:r>
      <w:r>
        <w:rPr>
          <w:sz w:val="20"/>
          <w:szCs w:val="20"/>
          <w:color w:val="auto"/>
        </w:rPr>
        <w:tab/>
      </w:r>
      <w:r>
        <w:rPr>
          <w:rFonts w:ascii="Arial" w:cs="Arial" w:eastAsia="Arial" w:hAnsi="Arial"/>
          <w:sz w:val="19"/>
          <w:szCs w:val="19"/>
          <w:color w:val="auto"/>
        </w:rPr>
        <w:t>will end when you attain whichever is the greater of the age of 65 and the state pensionable age.</w:t>
      </w:r>
    </w:p>
    <w:p>
      <w:pPr>
        <w:spacing w:after="0" w:line="112" w:lineRule="exact"/>
        <w:rPr>
          <w:sz w:val="20"/>
          <w:szCs w:val="20"/>
          <w:color w:val="auto"/>
        </w:rPr>
      </w:pPr>
    </w:p>
    <w:p>
      <w:pPr>
        <w:ind w:left="764" w:right="300" w:hanging="768"/>
        <w:spacing w:after="0" w:line="236" w:lineRule="auto"/>
        <w:tabs>
          <w:tab w:leader="none" w:pos="744"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22"/>
          <w:szCs w:val="22"/>
          <w:color w:val="auto"/>
        </w:rPr>
        <w:t>The Company reserves the right at any time, on three months’ written notice, to withdraw any insurance or other benefits set out in 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93" w:lineRule="exact"/>
        <w:rPr>
          <w:sz w:val="20"/>
          <w:szCs w:val="20"/>
          <w:color w:val="auto"/>
        </w:rPr>
      </w:pPr>
    </w:p>
    <w:p>
      <w:pPr>
        <w:ind w:left="764" w:right="120" w:hanging="768"/>
        <w:spacing w:after="0" w:line="279" w:lineRule="auto"/>
        <w:tabs>
          <w:tab w:leader="none" w:pos="744"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293" w:lineRule="exact"/>
        <w:rPr>
          <w:sz w:val="20"/>
          <w:szCs w:val="20"/>
          <w:color w:val="auto"/>
        </w:rPr>
      </w:pPr>
    </w:p>
    <w:p>
      <w:pPr>
        <w:ind w:left="764" w:hanging="764"/>
        <w:spacing w:after="0"/>
        <w:tabs>
          <w:tab w:leader="none" w:pos="764" w:val="left"/>
        </w:tabs>
        <w:numPr>
          <w:ilvl w:val="0"/>
          <w:numId w:val="284"/>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118" w:lineRule="exact"/>
        <w:rPr>
          <w:sz w:val="20"/>
          <w:szCs w:val="20"/>
          <w:color w:val="auto"/>
        </w:rPr>
      </w:pPr>
    </w:p>
    <w:p>
      <w:pPr>
        <w:ind w:left="764" w:right="440" w:hanging="768"/>
        <w:spacing w:after="0" w:line="328" w:lineRule="auto"/>
        <w:tabs>
          <w:tab w:leader="none" w:pos="744"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You agree and acknowledge that during the course of your employment and in pursuance of the discharge of your duties you will make, create, produce and generate intellectual property rights, including Inventions.</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Inventions</w:t>
      </w:r>
    </w:p>
    <w:p>
      <w:pPr>
        <w:spacing w:after="0" w:line="112" w:lineRule="exact"/>
        <w:rPr>
          <w:sz w:val="20"/>
          <w:szCs w:val="20"/>
          <w:color w:val="auto"/>
        </w:rPr>
      </w:pPr>
    </w:p>
    <w:p>
      <w:pPr>
        <w:ind w:left="1424" w:right="80" w:hanging="647"/>
        <w:spacing w:after="0" w:line="238" w:lineRule="auto"/>
        <w:rPr>
          <w:sz w:val="20"/>
          <w:szCs w:val="20"/>
          <w:color w:val="auto"/>
        </w:rPr>
      </w:pPr>
      <w:r>
        <w:rPr>
          <w:rFonts w:ascii="Arial" w:cs="Arial" w:eastAsia="Arial" w:hAnsi="Arial"/>
          <w:sz w:val="22"/>
          <w:szCs w:val="22"/>
          <w:color w:val="auto"/>
        </w:rPr>
        <w:t>16.2.1 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22"/>
          <w:szCs w:val="22"/>
          <w:b w:val="1"/>
          <w:bCs w:val="1"/>
          <w:color w:val="auto"/>
        </w:rPr>
        <w:t>an Invention</w:t>
      </w:r>
      <w:r>
        <w:rPr>
          <w:rFonts w:ascii="Arial" w:cs="Arial" w:eastAsia="Arial" w:hAnsi="Arial"/>
          <w:sz w:val="22"/>
          <w:szCs w:val="22"/>
          <w:color w:val="auto"/>
        </w:rPr>
        <w:t>”), you shall promptly give to a Director of the Company full written details thereof.</w:t>
      </w:r>
    </w:p>
    <w:p>
      <w:pPr>
        <w:spacing w:after="0" w:line="90" w:lineRule="exact"/>
        <w:rPr>
          <w:sz w:val="20"/>
          <w:szCs w:val="20"/>
          <w:color w:val="auto"/>
        </w:rPr>
      </w:pPr>
    </w:p>
    <w:p>
      <w:pPr>
        <w:ind w:left="1424" w:right="120" w:hanging="647"/>
        <w:spacing w:after="0" w:line="249" w:lineRule="auto"/>
        <w:rPr>
          <w:sz w:val="20"/>
          <w:szCs w:val="20"/>
          <w:color w:val="auto"/>
        </w:rPr>
      </w:pPr>
      <w:r>
        <w:rPr>
          <w:rFonts w:ascii="Arial" w:cs="Arial" w:eastAsia="Arial" w:hAnsi="Arial"/>
          <w:sz w:val="21"/>
          <w:szCs w:val="21"/>
          <w:color w:val="auto"/>
        </w:rPr>
        <w:t>16.2.2 If the Invention is a patentable invention within the meaning of Section 1 of the Patents Act 1977 and, according to the provisions of Section 39 of that Act it belongs to you (“</w:t>
      </w:r>
      <w:r>
        <w:rPr>
          <w:rFonts w:ascii="Arial" w:cs="Arial" w:eastAsia="Arial" w:hAnsi="Arial"/>
          <w:sz w:val="21"/>
          <w:szCs w:val="21"/>
          <w:b w:val="1"/>
          <w:bCs w:val="1"/>
          <w:color w:val="auto"/>
        </w:rPr>
        <w:t>Personal Invention</w:t>
      </w:r>
      <w:r>
        <w:rPr>
          <w:rFonts w:ascii="Arial" w:cs="Arial" w:eastAsia="Arial" w:hAnsi="Arial"/>
          <w:sz w:val="21"/>
          <w:szCs w:val="21"/>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84" w:lineRule="exact"/>
        <w:rPr>
          <w:sz w:val="20"/>
          <w:szCs w:val="20"/>
          <w:color w:val="auto"/>
        </w:rPr>
      </w:pPr>
    </w:p>
    <w:p>
      <w:pPr>
        <w:ind w:left="1424" w:hanging="647"/>
        <w:spacing w:after="0" w:line="282" w:lineRule="auto"/>
        <w:rPr>
          <w:sz w:val="20"/>
          <w:szCs w:val="20"/>
          <w:color w:val="auto"/>
        </w:rPr>
      </w:pPr>
      <w:r>
        <w:rPr>
          <w:rFonts w:ascii="Arial" w:cs="Arial" w:eastAsia="Arial" w:hAnsi="Arial"/>
          <w:sz w:val="19"/>
          <w:szCs w:val="19"/>
          <w:color w:val="auto"/>
        </w:rPr>
        <w:t>16.2.3 Subject to clause 16.2.4, any Invention created in the course of your employment by the Company shall belong to the Company (“</w:t>
      </w:r>
      <w:r>
        <w:rPr>
          <w:rFonts w:ascii="Arial" w:cs="Arial" w:eastAsia="Arial" w:hAnsi="Arial"/>
          <w:sz w:val="19"/>
          <w:szCs w:val="19"/>
          <w:b w:val="1"/>
          <w:bCs w:val="1"/>
          <w:color w:val="auto"/>
        </w:rPr>
        <w:t>Company Inventions</w:t>
      </w:r>
      <w:r>
        <w:rPr>
          <w:rFonts w:ascii="Arial" w:cs="Arial" w:eastAsia="Arial" w:hAnsi="Arial"/>
          <w:sz w:val="19"/>
          <w:szCs w:val="19"/>
          <w:color w:val="auto"/>
        </w:rPr>
        <w:t>”). Any and all intellectual property rights in or relating to any and all such Company Inventions shall be owned by the Company. You hereby irrevocably assign to the Company (by way of present assignment of present and future rights) with full title guarantee absolutely and free from all encumbrances all right, title and interest in and to all intellectual</w:t>
      </w:r>
    </w:p>
    <w:p>
      <w:pPr>
        <w:spacing w:after="0" w:line="8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024"/>
          </w:cols>
          <w:pgMar w:left="436" w:top="267" w:right="439" w:bottom="1440" w:gutter="0" w:footer="0" w:header="0"/>
        </w:sectPr>
      </w:pPr>
    </w:p>
    <w:bookmarkStart w:id="327" w:name="page328"/>
    <w:bookmarkEnd w:id="327"/>
    <w:p>
      <w:pPr>
        <w:ind w:left="1420" w:right="2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rights in or relating to Company Inventions and all materials embodying such rights to the fullest extent permitted by law together with all accrued rights of action in respect of any infringement of such rights. Insofar as they do not so vest automatically by operation of law or under this Contract, you shall hold all such rights and inventions on trust for the exclusive benefit of the Company, and shall not transfer them to a third party or encumber them and shall on demand assign them to the Company without payment or other condition. You shall execute (both during and after the termination of your employment) all documents and do all things necessary to substantiate the Company’s rights in Company Inventions and to obtain registration or protection thereof in the Company’s name in any country.</w:t>
      </w:r>
    </w:p>
    <w:p>
      <w:pPr>
        <w:spacing w:after="0" w:line="63" w:lineRule="exact"/>
        <w:rPr>
          <w:sz w:val="20"/>
          <w:szCs w:val="20"/>
          <w:color w:val="auto"/>
        </w:rPr>
      </w:pPr>
    </w:p>
    <w:p>
      <w:pPr>
        <w:ind w:left="1420" w:right="20" w:hanging="647"/>
        <w:spacing w:after="0" w:line="245" w:lineRule="auto"/>
        <w:rPr>
          <w:sz w:val="20"/>
          <w:szCs w:val="20"/>
          <w:color w:val="auto"/>
        </w:rPr>
      </w:pPr>
      <w:r>
        <w:rPr>
          <w:rFonts w:ascii="Arial" w:cs="Arial" w:eastAsia="Arial" w:hAnsi="Arial"/>
          <w:sz w:val="21"/>
          <w:szCs w:val="21"/>
          <w:color w:val="auto"/>
        </w:rPr>
        <w:t>16.2.4 Where the Company Invention relates to a chemical compound, being the chemical compound itself of assets associated therewith (“</w:t>
      </w:r>
      <w:r>
        <w:rPr>
          <w:rFonts w:ascii="Arial" w:cs="Arial" w:eastAsia="Arial" w:hAnsi="Arial"/>
          <w:sz w:val="21"/>
          <w:szCs w:val="21"/>
          <w:b w:val="1"/>
          <w:bCs w:val="1"/>
          <w:color w:val="auto"/>
        </w:rPr>
        <w:t>Compounds</w:t>
      </w:r>
      <w:r>
        <w:rPr>
          <w:rFonts w:ascii="Arial" w:cs="Arial" w:eastAsia="Arial" w:hAnsi="Arial"/>
          <w:sz w:val="21"/>
          <w:szCs w:val="21"/>
          <w:color w:val="auto"/>
        </w:rPr>
        <w:t>”), any and all intellectual property rights in or relating to that Company Invention shall, with effect from their creation, automatically belong to and vest in the Subsidiary formed to undertake the research, development or commercialisation of that Compound. Insofar as they do not so vest automatically by operation of law or under this Contract, you shall hold all such rights and inventions on trust for the exclusive benefit of the Subsidiary, and shall not transfer them to a third party or encumber them and shall on demand assign them to the Subsidiary without payment or other condition. You shall execute (both during and after the termination of your employment) all documents and do all things necessary to substantiate the Subsidiary’s rights in the Compounds and to obtain registration or protection thereof in the Subsidiary’s name in any country.</w:t>
      </w:r>
    </w:p>
    <w:p>
      <w:pPr>
        <w:spacing w:after="0" w:line="86" w:lineRule="exact"/>
        <w:rPr>
          <w:sz w:val="20"/>
          <w:szCs w:val="20"/>
          <w:color w:val="auto"/>
        </w:rPr>
      </w:pPr>
    </w:p>
    <w:p>
      <w:pPr>
        <w:ind w:left="1420" w:right="100" w:hanging="647"/>
        <w:spacing w:after="0" w:line="277" w:lineRule="auto"/>
        <w:rPr>
          <w:sz w:val="20"/>
          <w:szCs w:val="20"/>
          <w:color w:val="auto"/>
        </w:rPr>
      </w:pPr>
      <w:r>
        <w:rPr>
          <w:rFonts w:ascii="Arial" w:cs="Arial" w:eastAsia="Arial" w:hAnsi="Arial"/>
          <w:sz w:val="19"/>
          <w:szCs w:val="19"/>
          <w:color w:val="auto"/>
        </w:rPr>
        <w:t>16.2.5 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Copyright and other rights</w:t>
      </w:r>
    </w:p>
    <w:p>
      <w:pPr>
        <w:spacing w:after="0" w:line="112" w:lineRule="exact"/>
        <w:rPr>
          <w:sz w:val="20"/>
          <w:szCs w:val="20"/>
          <w:color w:val="auto"/>
        </w:rPr>
      </w:pPr>
    </w:p>
    <w:p>
      <w:pPr>
        <w:ind w:left="1420" w:hanging="647"/>
        <w:spacing w:after="0" w:line="277" w:lineRule="auto"/>
        <w:rPr>
          <w:sz w:val="20"/>
          <w:szCs w:val="20"/>
          <w:color w:val="auto"/>
        </w:rPr>
      </w:pPr>
      <w:r>
        <w:rPr>
          <w:rFonts w:ascii="Arial" w:cs="Arial" w:eastAsia="Arial" w:hAnsi="Arial"/>
          <w:sz w:val="19"/>
          <w:szCs w:val="19"/>
          <w:color w:val="auto"/>
        </w:rPr>
        <w:t>16.3.1 If while employed by the Company you, whether on your own or with any other person, create any copyright work or design (including without limitation any literary, dramatic, musical or artistic work, and any film, 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9"/>
          <w:szCs w:val="19"/>
          <w:b w:val="1"/>
          <w:bCs w:val="1"/>
          <w:color w:val="auto"/>
        </w:rPr>
        <w:t>Protected Work</w:t>
      </w:r>
      <w:r>
        <w:rPr>
          <w:rFonts w:ascii="Arial" w:cs="Arial" w:eastAsia="Arial" w:hAnsi="Arial"/>
          <w:sz w:val="19"/>
          <w:szCs w:val="19"/>
          <w:color w:val="auto"/>
        </w:rPr>
        <w:t>”), you shall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000"/>
          </w:cols>
          <w:pgMar w:left="440" w:top="267" w:right="459" w:bottom="1440" w:gutter="0" w:footer="0" w:header="0"/>
        </w:sectPr>
      </w:pPr>
    </w:p>
    <w:bookmarkStart w:id="328" w:name="page329"/>
    <w:bookmarkEnd w:id="328"/>
    <w:p>
      <w:pPr>
        <w:ind w:left="1400" w:right="4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disclose to the Chief Financial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90" w:lineRule="exact"/>
        <w:rPr>
          <w:sz w:val="20"/>
          <w:szCs w:val="20"/>
          <w:color w:val="auto"/>
        </w:rPr>
      </w:pPr>
    </w:p>
    <w:p>
      <w:pPr>
        <w:ind w:left="1400" w:right="40" w:hanging="647"/>
        <w:spacing w:after="0" w:line="287" w:lineRule="auto"/>
        <w:rPr>
          <w:sz w:val="20"/>
          <w:szCs w:val="20"/>
          <w:color w:val="auto"/>
        </w:rPr>
      </w:pPr>
      <w:r>
        <w:rPr>
          <w:rFonts w:ascii="Arial" w:cs="Arial" w:eastAsia="Arial" w:hAnsi="Arial"/>
          <w:sz w:val="19"/>
          <w:szCs w:val="19"/>
          <w:color w:val="auto"/>
        </w:rPr>
        <w:t>16.3.2 All proprietary rights in any Protected Work created by you in the course of your employment by the Company shall automatically vest in the Company, save that where a Protected Work relates to a Compound, all proprietary rights in that Protected Work shall, with effect from their creation, automatically belong to and vest in the Subsidiary formed to undertake the research, development or commercialisation of that Compound.</w:t>
      </w:r>
    </w:p>
    <w:p>
      <w:pPr>
        <w:spacing w:after="0" w:line="48" w:lineRule="exact"/>
        <w:rPr>
          <w:sz w:val="20"/>
          <w:szCs w:val="20"/>
          <w:color w:val="auto"/>
        </w:rPr>
      </w:pPr>
    </w:p>
    <w:p>
      <w:pPr>
        <w:ind w:left="1400" w:hanging="647"/>
        <w:spacing w:after="0" w:line="245" w:lineRule="auto"/>
        <w:rPr>
          <w:sz w:val="20"/>
          <w:szCs w:val="20"/>
          <w:color w:val="auto"/>
        </w:rPr>
      </w:pPr>
      <w:r>
        <w:rPr>
          <w:rFonts w:ascii="Arial" w:cs="Arial" w:eastAsia="Arial" w:hAnsi="Arial"/>
          <w:sz w:val="21"/>
          <w:szCs w:val="21"/>
          <w:color w:val="auto"/>
        </w:rPr>
        <w:t>16.3.3 To the extent that the Company, or, in the case of a Compound, the Subsidiary is not already the owner of the copyright, design rights, trade marks, database rights and other intellectual or industrial and commercial property rights (“</w:t>
      </w:r>
      <w:r>
        <w:rPr>
          <w:rFonts w:ascii="Arial" w:cs="Arial" w:eastAsia="Arial" w:hAnsi="Arial"/>
          <w:sz w:val="21"/>
          <w:szCs w:val="21"/>
          <w:b w:val="1"/>
          <w:bCs w:val="1"/>
          <w:color w:val="auto"/>
        </w:rPr>
        <w:t>the Rights</w:t>
      </w:r>
      <w:r>
        <w:rPr>
          <w:rFonts w:ascii="Arial" w:cs="Arial" w:eastAsia="Arial" w:hAnsi="Arial"/>
          <w:sz w:val="21"/>
          <w:szCs w:val="21"/>
          <w:color w:val="auto"/>
        </w:rPr>
        <w:t>”) in a Protected Work pursuant to clause 16.3.2 you shall hold the Protected Work and the Rights on trust for the Company or Subsidiary (as appropriate)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or Subsidiary (as appropriate) absolutely together with all accrued rights of action in respect of any infringement of the same.</w:t>
      </w:r>
    </w:p>
    <w:p>
      <w:pPr>
        <w:spacing w:after="0" w:line="90" w:lineRule="exact"/>
        <w:rPr>
          <w:sz w:val="20"/>
          <w:szCs w:val="20"/>
          <w:color w:val="auto"/>
        </w:rPr>
      </w:pPr>
    </w:p>
    <w:p>
      <w:pPr>
        <w:ind w:left="740" w:hanging="768"/>
        <w:spacing w:after="0" w:line="248" w:lineRule="auto"/>
        <w:tabs>
          <w:tab w:leader="none" w:pos="72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You shall, without charge to but at the cost of the Company, execute all documents and do all acts, things and matters beneficial to, required or necessary (both during and after the termination of your employment) to vest rights in the Company (or its Subsidiary, or its successors, as appropriate), or substantiate the Company’s (or its Subsidiary’s, or its successor’s, as appropriate) rights, in any Company Inventions, the Rights and Protected Works and to obtain protection for the Company Inventions, Rights and Protected Works in the Company’s (or its Subsidiary’s or its successor’s, as appropriate) name in any country.</w:t>
      </w:r>
    </w:p>
    <w:p>
      <w:pPr>
        <w:spacing w:after="0" w:line="82" w:lineRule="exact"/>
        <w:rPr>
          <w:sz w:val="20"/>
          <w:szCs w:val="20"/>
          <w:color w:val="auto"/>
        </w:rPr>
      </w:pPr>
    </w:p>
    <w:p>
      <w:pPr>
        <w:ind w:left="740" w:right="360" w:hanging="768"/>
        <w:spacing w:after="0" w:line="287" w:lineRule="auto"/>
        <w:tabs>
          <w:tab w:leader="none" w:pos="72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Should you create a Company Invention or any Rights in a Protected Work in relation to a Compound for which a Subsidiary has not yet been formed at the time of such creation, you agree to hold such Company Invention and Rights on trust pending the formation of such Subsidiary and shall be deemed automatically to have assigned such Company Invention and Rights to that Subsidiary from the moment it becomes a Group Company.</w:t>
      </w:r>
    </w:p>
    <w:p>
      <w:pPr>
        <w:spacing w:after="0" w:line="48" w:lineRule="exact"/>
        <w:rPr>
          <w:sz w:val="20"/>
          <w:szCs w:val="20"/>
          <w:color w:val="auto"/>
        </w:rPr>
      </w:pPr>
    </w:p>
    <w:p>
      <w:pPr>
        <w:ind w:left="740" w:right="60" w:hanging="768"/>
        <w:spacing w:after="0" w:line="238" w:lineRule="auto"/>
        <w:tabs>
          <w:tab w:leader="none" w:pos="72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22"/>
          <w:szCs w:val="22"/>
          <w:color w:val="auto"/>
        </w:rPr>
        <w:t>To the extent permitted by law, you hereby irrevocably and unconditionally waive any and all moral rights conferred by Chapter IV of the Copyright Designs and Patents Act 1988 or any rights of a similar nature under laws now or in the future in force in any other jurisdiction in and to any and all Protected Work, such waiver being given in favour of the Company, its successors in title and assigns.</w:t>
      </w:r>
    </w:p>
    <w:p>
      <w:pPr>
        <w:spacing w:after="0" w:line="90" w:lineRule="exact"/>
        <w:rPr>
          <w:sz w:val="20"/>
          <w:szCs w:val="20"/>
          <w:color w:val="auto"/>
        </w:rPr>
      </w:pPr>
    </w:p>
    <w:p>
      <w:pPr>
        <w:ind w:left="740" w:right="140" w:hanging="768"/>
        <w:spacing w:after="0"/>
        <w:tabs>
          <w:tab w:leader="none" w:pos="72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22"/>
          <w:szCs w:val="22"/>
          <w:color w:val="auto"/>
        </w:rPr>
        <w:t>You hereby irrevocably appoint the Company to be your attorney to execute and do any such instrument or thing and generally to use your name for the purpose of giving the Company or its nominee the benefit of this clause 16 and acknowledge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0980"/>
          </w:cols>
          <w:pgMar w:left="460" w:top="267" w:right="459" w:bottom="1440" w:gutter="0" w:footer="0" w:header="0"/>
        </w:sectPr>
      </w:pPr>
    </w:p>
    <w:bookmarkStart w:id="329" w:name="page330"/>
    <w:bookmarkEnd w:id="329"/>
    <w:p>
      <w:pPr>
        <w:ind w:left="764" w:right="3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favour of a third party that a certificate in writing signed by any Director or the Company Secretary that any instrument or act falls within the authority conferred by this clause 16 shall be conclusive evidence that such is the case.</w:t>
      </w:r>
    </w:p>
    <w:p>
      <w:pPr>
        <w:spacing w:after="0" w:line="92"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2"/>
          <w:szCs w:val="22"/>
          <w:color w:val="auto"/>
        </w:rPr>
        <w:t>The provisions of this clause 16 will not be affected by the termination of this Contract for whatever reason and will continue after it ends.</w:t>
      </w:r>
    </w:p>
    <w:p>
      <w:pPr>
        <w:spacing w:after="0" w:line="317" w:lineRule="exact"/>
        <w:rPr>
          <w:sz w:val="20"/>
          <w:szCs w:val="20"/>
          <w:color w:val="auto"/>
        </w:rPr>
      </w:pPr>
    </w:p>
    <w:p>
      <w:pPr>
        <w:ind w:left="764" w:hanging="764"/>
        <w:spacing w:after="0"/>
        <w:tabs>
          <w:tab w:leader="none" w:pos="764"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8" w:lineRule="exact"/>
        <w:rPr>
          <w:sz w:val="20"/>
          <w:szCs w:val="20"/>
          <w:color w:val="auto"/>
        </w:rPr>
      </w:pPr>
    </w:p>
    <w:p>
      <w:pPr>
        <w:ind w:left="764" w:right="660" w:hanging="768"/>
        <w:spacing w:after="0" w:line="250" w:lineRule="auto"/>
        <w:tabs>
          <w:tab w:leader="none" w:pos="744"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2"/>
          <w:szCs w:val="22"/>
          <w:color w:val="auto"/>
        </w:rPr>
        <w:t>You acknowledge that in the course of the Appointment you will have access to Confidential Information. You therefore agree to accept the restrictions in this clause 17.</w:t>
      </w:r>
    </w:p>
    <w:p>
      <w:pPr>
        <w:spacing w:after="0" w:line="80"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color w:val="auto"/>
        </w:rPr>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9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17.2.1</w:t>
      </w:r>
      <w:r>
        <w:rPr>
          <w:sz w:val="20"/>
          <w:szCs w:val="20"/>
          <w:color w:val="auto"/>
        </w:rPr>
        <w:tab/>
      </w:r>
      <w:r>
        <w:rPr>
          <w:rFonts w:ascii="Arial" w:cs="Arial" w:eastAsia="Arial" w:hAnsi="Arial"/>
          <w:sz w:val="19"/>
          <w:szCs w:val="19"/>
          <w:color w:val="auto"/>
        </w:rPr>
        <w:t>any use or disclosure authorised by the Board in writing or required by law;</w:t>
      </w:r>
    </w:p>
    <w:p>
      <w:pPr>
        <w:spacing w:after="0" w:line="112" w:lineRule="exact"/>
        <w:rPr>
          <w:sz w:val="20"/>
          <w:szCs w:val="20"/>
          <w:color w:val="auto"/>
        </w:rPr>
      </w:pPr>
    </w:p>
    <w:p>
      <w:pPr>
        <w:ind w:left="2204" w:right="660" w:hanging="768"/>
        <w:spacing w:after="0" w:line="250" w:lineRule="auto"/>
        <w:tabs>
          <w:tab w:leader="none" w:pos="2184" w:val="left"/>
        </w:tabs>
        <w:rPr>
          <w:sz w:val="20"/>
          <w:szCs w:val="20"/>
          <w:color w:val="auto"/>
        </w:rPr>
      </w:pPr>
      <w:r>
        <w:rPr>
          <w:rFonts w:ascii="Arial" w:cs="Arial" w:eastAsia="Arial" w:hAnsi="Arial"/>
          <w:sz w:val="22"/>
          <w:szCs w:val="22"/>
          <w:color w:val="auto"/>
        </w:rPr>
        <w:t>17.2.2</w:t>
        <w:tab/>
        <w:t>any information which is already in, or comes into, the public domain other than through your unauthorised disclosure; or</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17.2.3</w:t>
      </w:r>
      <w:r>
        <w:rPr>
          <w:sz w:val="20"/>
          <w:szCs w:val="20"/>
          <w:color w:val="auto"/>
        </w:rPr>
        <w:tab/>
      </w:r>
      <w:r>
        <w:rPr>
          <w:rFonts w:ascii="Arial" w:cs="Arial" w:eastAsia="Arial" w:hAnsi="Arial"/>
          <w:sz w:val="19"/>
          <w:szCs w:val="19"/>
          <w:color w:val="auto"/>
        </w:rPr>
        <w:t>any protected disclosure within the meaning of section 43A of the Employment Rights Act 1996.</w:t>
      </w:r>
    </w:p>
    <w:p>
      <w:pPr>
        <w:spacing w:after="0" w:line="112" w:lineRule="exact"/>
        <w:rPr>
          <w:sz w:val="20"/>
          <w:szCs w:val="20"/>
          <w:color w:val="auto"/>
        </w:rPr>
      </w:pPr>
    </w:p>
    <w:p>
      <w:pPr>
        <w:ind w:left="764" w:right="120" w:hanging="768"/>
        <w:spacing w:after="0"/>
        <w:tabs>
          <w:tab w:leader="none" w:pos="744"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2"/>
          <w:szCs w:val="22"/>
          <w:color w:val="auto"/>
        </w:rPr>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329" w:lineRule="exact"/>
        <w:rPr>
          <w:sz w:val="20"/>
          <w:szCs w:val="20"/>
          <w:color w:val="auto"/>
        </w:rPr>
      </w:pPr>
    </w:p>
    <w:p>
      <w:pPr>
        <w:ind w:left="764" w:hanging="764"/>
        <w:spacing w:after="0"/>
        <w:tabs>
          <w:tab w:leader="none" w:pos="764"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18" w:lineRule="exact"/>
        <w:rPr>
          <w:sz w:val="20"/>
          <w:szCs w:val="20"/>
          <w:color w:val="auto"/>
        </w:rPr>
      </w:pPr>
    </w:p>
    <w:p>
      <w:pPr>
        <w:ind w:left="764" w:right="120" w:hanging="768"/>
        <w:spacing w:after="0" w:line="250" w:lineRule="auto"/>
        <w:tabs>
          <w:tab w:leader="none" w:pos="744"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22"/>
          <w:szCs w:val="22"/>
          <w:color w:val="auto"/>
        </w:rPr>
        <w:t>You or the Company may terminate the Appointment on written notice of 6 months or the statutory minimum notice, whichever is the greater.</w:t>
      </w:r>
    </w:p>
    <w:p>
      <w:pPr>
        <w:spacing w:after="0" w:line="80" w:lineRule="exact"/>
        <w:rPr>
          <w:sz w:val="20"/>
          <w:szCs w:val="20"/>
          <w:color w:val="auto"/>
        </w:rPr>
      </w:pPr>
    </w:p>
    <w:p>
      <w:pPr>
        <w:ind w:left="764" w:right="20" w:hanging="768"/>
        <w:spacing w:after="0" w:line="246" w:lineRule="auto"/>
        <w:tabs>
          <w:tab w:leader="none" w:pos="744"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1"/>
          <w:szCs w:val="21"/>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and a payment in lieu of any contractual benefits under clause 15 (excluding bonus) which you would have been entitled to receive under this Contract during the notice period referred to at clause 2.2 or 18.1 (or, if notice has already been given, during the remainder of such notice period) (subject to statutory deductions)</w:t>
      </w:r>
    </w:p>
    <w:p>
      <w:pPr>
        <w:spacing w:after="0" w:line="85" w:lineRule="exact"/>
        <w:rPr>
          <w:sz w:val="20"/>
          <w:szCs w:val="20"/>
          <w:color w:val="auto"/>
        </w:rPr>
      </w:pPr>
    </w:p>
    <w:p>
      <w:pPr>
        <w:jc w:val="both"/>
        <w:ind w:left="764" w:right="40" w:hanging="768"/>
        <w:spacing w:after="0"/>
        <w:tabs>
          <w:tab w:leader="none" w:pos="744"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2"/>
          <w:szCs w:val="22"/>
          <w:color w:val="auto"/>
        </w:rPr>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0984"/>
          </w:cols>
          <w:pgMar w:left="436" w:top="267" w:right="479" w:bottom="1440" w:gutter="0" w:footer="0" w:header="0"/>
        </w:sectPr>
      </w:pPr>
    </w:p>
    <w:bookmarkStart w:id="330" w:name="page331"/>
    <w:bookmarkEnd w:id="330"/>
    <w:p>
      <w:pPr>
        <w:ind w:left="764" w:right="20" w:hanging="768"/>
        <w:spacing w:after="0" w:line="245"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18.4</w:t>
      </w:r>
      <w:r>
        <w:rPr>
          <w:sz w:val="20"/>
          <w:szCs w:val="20"/>
          <w:color w:val="auto"/>
        </w:rPr>
        <w:tab/>
      </w:r>
      <w:r>
        <w:rPr>
          <w:rFonts w:ascii="Arial" w:cs="Arial" w:eastAsia="Arial" w:hAnsi="Arial"/>
          <w:sz w:val="21"/>
          <w:szCs w:val="21"/>
          <w:color w:val="auto"/>
        </w:rPr>
        <w:t>Upon the termination of your employment with the Company for whatever reason or after notice having been served at the request of the Company or if you shall 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90"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2"/>
          <w:szCs w:val="22"/>
          <w:color w:val="auto"/>
        </w:rPr>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The Company may at its absolute discretion during any period of notice given by either party:</w:t>
      </w:r>
    </w:p>
    <w:p>
      <w:pPr>
        <w:spacing w:after="0" w:line="112"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18.6.1 appoint a person to perform your duties jointly with you or, during any period of garden leave pursuant to clause 20 and/or during any period of suspension pursuant to clause 24.2, to perform all or some of your duties in your place; and/or</w:t>
      </w:r>
    </w:p>
    <w:p>
      <w:pPr>
        <w:spacing w:after="0" w:line="92" w:lineRule="exact"/>
        <w:rPr>
          <w:sz w:val="20"/>
          <w:szCs w:val="20"/>
          <w:color w:val="auto"/>
        </w:rPr>
      </w:pPr>
    </w:p>
    <w:p>
      <w:pPr>
        <w:ind w:left="1424" w:right="640" w:hanging="647"/>
        <w:spacing w:after="0" w:line="250" w:lineRule="auto"/>
        <w:rPr>
          <w:sz w:val="20"/>
          <w:szCs w:val="20"/>
          <w:color w:val="auto"/>
        </w:rPr>
      </w:pPr>
      <w:r>
        <w:rPr>
          <w:rFonts w:ascii="Arial" w:cs="Arial" w:eastAsia="Arial" w:hAnsi="Arial"/>
          <w:sz w:val="22"/>
          <w:szCs w:val="22"/>
          <w:color w:val="auto"/>
        </w:rPr>
        <w:t>18.6.2 suspend or cancel your access to the Company’s IT and telephone systems including, but not limited to, voicemail, email, internet and the Company’s intranet.</w:t>
      </w:r>
    </w:p>
    <w:p>
      <w:pPr>
        <w:spacing w:after="0" w:line="80" w:lineRule="exact"/>
        <w:rPr>
          <w:sz w:val="20"/>
          <w:szCs w:val="20"/>
          <w:color w:val="auto"/>
        </w:rPr>
      </w:pPr>
    </w:p>
    <w:p>
      <w:pPr>
        <w:ind w:left="764" w:right="240" w:hanging="768"/>
        <w:spacing w:after="0" w:line="274" w:lineRule="auto"/>
        <w:tabs>
          <w:tab w:leader="none" w:pos="744"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21"/>
          <w:szCs w:val="21"/>
          <w:color w:val="auto"/>
        </w:rPr>
        <w:t>This clause 18 is subject to the provisions of Schedule II appended to this Contract. In the event of conflict between this clause 18 and the provisions of Schedule II, the provisions of Schedule II shall prevail.</w:t>
      </w:r>
    </w:p>
    <w:p>
      <w:pPr>
        <w:spacing w:after="0" w:line="293" w:lineRule="exact"/>
        <w:rPr>
          <w:sz w:val="20"/>
          <w:szCs w:val="20"/>
          <w:color w:val="auto"/>
        </w:rPr>
      </w:pPr>
    </w:p>
    <w:p>
      <w:pPr>
        <w:ind w:left="764" w:hanging="764"/>
        <w:spacing w:after="0"/>
        <w:tabs>
          <w:tab w:leader="none" w:pos="764" w:val="left"/>
        </w:tabs>
        <w:numPr>
          <w:ilvl w:val="0"/>
          <w:numId w:val="287"/>
        </w:numPr>
        <w:rPr>
          <w:rFonts w:ascii="Arial" w:cs="Arial" w:eastAsia="Arial" w:hAnsi="Arial"/>
          <w:sz w:val="22"/>
          <w:szCs w:val="22"/>
          <w:b w:val="1"/>
          <w:bCs w:val="1"/>
          <w:color w:val="auto"/>
        </w:rPr>
      </w:pPr>
      <w:r>
        <w:rPr>
          <w:rFonts w:ascii="Arial" w:cs="Arial" w:eastAsia="Arial" w:hAnsi="Arial"/>
          <w:sz w:val="22"/>
          <w:szCs w:val="22"/>
          <w:b w:val="1"/>
          <w:bCs w:val="1"/>
          <w:color w:val="auto"/>
        </w:rPr>
        <w:t>Summary Termination</w:t>
      </w:r>
    </w:p>
    <w:p>
      <w:pPr>
        <w:spacing w:after="0" w:line="118"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2"/>
          <w:szCs w:val="22"/>
          <w:color w:val="auto"/>
        </w:rPr>
        <w:t>The Company is entitled to terminate the Appointment by summary notice in writing and without payment in lieu of notice for Cause, meaning if you:</w:t>
      </w:r>
    </w:p>
    <w:p>
      <w:pPr>
        <w:spacing w:after="0" w:line="80"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 are guilty of any gross misconduct affecting the business of any Group Company;</w:t>
      </w:r>
    </w:p>
    <w:p>
      <w:pPr>
        <w:spacing w:after="0" w:line="112" w:lineRule="exact"/>
        <w:rPr>
          <w:sz w:val="20"/>
          <w:szCs w:val="20"/>
          <w:color w:val="auto"/>
        </w:rPr>
      </w:pPr>
    </w:p>
    <w:p>
      <w:pPr>
        <w:ind w:left="1424" w:right="300" w:hanging="647"/>
        <w:spacing w:after="0" w:line="250" w:lineRule="auto"/>
        <w:rPr>
          <w:sz w:val="20"/>
          <w:szCs w:val="20"/>
          <w:color w:val="auto"/>
        </w:rPr>
      </w:pPr>
      <w:r>
        <w:rPr>
          <w:rFonts w:ascii="Arial" w:cs="Arial" w:eastAsia="Arial" w:hAnsi="Arial"/>
          <w:sz w:val="22"/>
          <w:szCs w:val="22"/>
          <w:color w:val="auto"/>
        </w:rPr>
        <w:t>19.1.2 commit any serious breach or repeated or continued (after warning) any material breach of your obligations under this Contract;</w:t>
      </w:r>
    </w:p>
    <w:p>
      <w:pPr>
        <w:spacing w:after="0" w:line="80" w:lineRule="exact"/>
        <w:rPr>
          <w:sz w:val="20"/>
          <w:szCs w:val="20"/>
          <w:color w:val="auto"/>
        </w:rPr>
      </w:pPr>
    </w:p>
    <w:p>
      <w:pPr>
        <w:ind w:left="1424" w:right="100" w:hanging="647"/>
        <w:spacing w:after="0" w:line="250" w:lineRule="auto"/>
        <w:rPr>
          <w:sz w:val="20"/>
          <w:szCs w:val="20"/>
          <w:color w:val="auto"/>
        </w:rPr>
      </w:pPr>
      <w:r>
        <w:rPr>
          <w:rFonts w:ascii="Arial" w:cs="Arial" w:eastAsia="Arial" w:hAnsi="Arial"/>
          <w:sz w:val="22"/>
          <w:szCs w:val="22"/>
          <w:color w:val="auto"/>
        </w:rPr>
        <w:t>19.1.3 commit (by commission or omission) any act which brings or would tend to bring the Company or any Group Company into disrepute;</w:t>
      </w:r>
    </w:p>
    <w:p>
      <w:pPr>
        <w:spacing w:after="0" w:line="80" w:lineRule="exact"/>
        <w:rPr>
          <w:sz w:val="20"/>
          <w:szCs w:val="20"/>
          <w:color w:val="auto"/>
        </w:rPr>
      </w:pPr>
    </w:p>
    <w:p>
      <w:pPr>
        <w:ind w:left="1424" w:right="860" w:hanging="647"/>
        <w:spacing w:after="0" w:line="250" w:lineRule="auto"/>
        <w:rPr>
          <w:sz w:val="20"/>
          <w:szCs w:val="20"/>
          <w:color w:val="auto"/>
        </w:rPr>
      </w:pPr>
      <w:r>
        <w:rPr>
          <w:rFonts w:ascii="Arial" w:cs="Arial" w:eastAsia="Arial" w:hAnsi="Arial"/>
          <w:sz w:val="22"/>
          <w:szCs w:val="22"/>
          <w:color w:val="auto"/>
        </w:rPr>
        <w:t>19.1.4 fail to perform your duties to a satisfactory standard after having received a written warning from the Company relating to the same;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004"/>
          </w:cols>
          <w:pgMar w:left="436" w:top="267" w:right="459" w:bottom="1440" w:gutter="0" w:footer="0" w:header="0"/>
        </w:sectPr>
      </w:pPr>
    </w:p>
    <w:bookmarkStart w:id="331" w:name="page332"/>
    <w:bookmarkEnd w:id="331"/>
    <w:p>
      <w:pPr>
        <w:ind w:left="7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19.1.5 are guilty of any dishonesty, gross misconduct or wilful neglect of duty;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19.1.6 damage Company property maliciously;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19.1.7 falsify attendance or sickness or other records;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19.1.8 falsify any data during the course of your employment;</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19.1.9 conduct yourself in a manner materially adverse to the interests of the Company or any Group Company;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19.1.10are, in the reasonable opinion of the Board, negligent and incompetent in the performance of your duties;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19.1.11have a bankruptcy order made against you or enter into a voluntary arrangement within the meaning of section</w:t>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253 Insolvency Act 1986;</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19.1.12consume or distribute narcotics on Company premises;</w:t>
      </w:r>
    </w:p>
    <w:p>
      <w:pPr>
        <w:spacing w:after="0" w:line="112" w:lineRule="exact"/>
        <w:rPr>
          <w:sz w:val="20"/>
          <w:szCs w:val="20"/>
          <w:color w:val="auto"/>
        </w:rPr>
      </w:pPr>
    </w:p>
    <w:p>
      <w:pPr>
        <w:jc w:val="both"/>
        <w:ind w:left="1420" w:right="280" w:hanging="647"/>
        <w:spacing w:after="0"/>
        <w:rPr>
          <w:sz w:val="20"/>
          <w:szCs w:val="20"/>
          <w:color w:val="auto"/>
        </w:rPr>
      </w:pPr>
      <w:r>
        <w:rPr>
          <w:rFonts w:ascii="Arial" w:cs="Arial" w:eastAsia="Arial" w:hAnsi="Arial"/>
          <w:sz w:val="22"/>
          <w:szCs w:val="22"/>
          <w:color w:val="auto"/>
        </w:rPr>
        <w:t>19.1.13are convicted of any criminal offence (other than an offence under any road traffic legislation in the United Kingdom or elsewhere for which a fine or non-custodial penalty is imposed) whether or not in the course of your employment;</w:t>
      </w:r>
    </w:p>
    <w:p>
      <w:pPr>
        <w:spacing w:after="0" w:line="92" w:lineRule="exact"/>
        <w:rPr>
          <w:sz w:val="20"/>
          <w:szCs w:val="20"/>
          <w:color w:val="auto"/>
        </w:rPr>
      </w:pPr>
    </w:p>
    <w:p>
      <w:pPr>
        <w:ind w:left="1420" w:hanging="647"/>
        <w:spacing w:after="0"/>
        <w:rPr>
          <w:sz w:val="20"/>
          <w:szCs w:val="20"/>
          <w:color w:val="auto"/>
        </w:rPr>
      </w:pPr>
      <w:r>
        <w:rPr>
          <w:rFonts w:ascii="Arial" w:cs="Arial" w:eastAsia="Arial" w:hAnsi="Arial"/>
          <w:sz w:val="22"/>
          <w:szCs w:val="22"/>
          <w:color w:val="auto"/>
        </w:rPr>
        <w:t>19.1.14are, in the opinion of a medical practitioner who is treating you, physically or mentally incapable of performing your duties and may remain so for more than three months and the medical practitioner has given a medical opinion to the Board to that effect;</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19.1.15cease to be eligible to work in the United Kingdom;</w:t>
      </w:r>
    </w:p>
    <w:p>
      <w:pPr>
        <w:spacing w:after="0" w:line="112" w:lineRule="exact"/>
        <w:rPr>
          <w:sz w:val="20"/>
          <w:szCs w:val="20"/>
          <w:color w:val="auto"/>
        </w:rPr>
      </w:pPr>
    </w:p>
    <w:p>
      <w:pPr>
        <w:ind w:left="1420" w:right="340" w:hanging="647"/>
        <w:spacing w:after="0" w:line="250" w:lineRule="auto"/>
        <w:rPr>
          <w:sz w:val="20"/>
          <w:szCs w:val="20"/>
          <w:color w:val="auto"/>
        </w:rPr>
      </w:pPr>
      <w:r>
        <w:rPr>
          <w:rFonts w:ascii="Arial" w:cs="Arial" w:eastAsia="Arial" w:hAnsi="Arial"/>
          <w:sz w:val="22"/>
          <w:szCs w:val="22"/>
          <w:color w:val="auto"/>
        </w:rPr>
        <w:t>19.1.16knowingly commit any deliberate act which amounts to discrimination, victimisation or harassment on any unlawful ground;</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19.1.17are in breach of the Company’s anti-corruption and bribery policy and related procedures;</w:t>
      </w:r>
    </w:p>
    <w:p>
      <w:pPr>
        <w:spacing w:after="0" w:line="112" w:lineRule="exact"/>
        <w:rPr>
          <w:sz w:val="20"/>
          <w:szCs w:val="20"/>
          <w:color w:val="auto"/>
        </w:rPr>
      </w:pPr>
    </w:p>
    <w:p>
      <w:pPr>
        <w:ind w:left="1420" w:right="320" w:hanging="647"/>
        <w:spacing w:after="0" w:line="250" w:lineRule="auto"/>
        <w:rPr>
          <w:sz w:val="20"/>
          <w:szCs w:val="20"/>
          <w:color w:val="auto"/>
        </w:rPr>
      </w:pPr>
      <w:r>
        <w:rPr>
          <w:rFonts w:ascii="Arial" w:cs="Arial" w:eastAsia="Arial" w:hAnsi="Arial"/>
          <w:sz w:val="22"/>
          <w:szCs w:val="22"/>
          <w:color w:val="auto"/>
        </w:rPr>
        <w:t>19.1.18are guilty of a serious breach of any rules issued by the Company from time to time regarding its electronic communications systems;</w:t>
      </w:r>
    </w:p>
    <w:p>
      <w:pPr>
        <w:spacing w:after="0" w:line="80" w:lineRule="exact"/>
        <w:rPr>
          <w:sz w:val="20"/>
          <w:szCs w:val="20"/>
          <w:color w:val="auto"/>
        </w:rPr>
      </w:pPr>
    </w:p>
    <w:p>
      <w:pPr>
        <w:ind w:left="1420" w:right="500" w:hanging="647"/>
        <w:spacing w:after="0" w:line="250" w:lineRule="auto"/>
        <w:rPr>
          <w:sz w:val="20"/>
          <w:szCs w:val="20"/>
          <w:color w:val="auto"/>
        </w:rPr>
      </w:pPr>
      <w:r>
        <w:rPr>
          <w:rFonts w:ascii="Arial" w:cs="Arial" w:eastAsia="Arial" w:hAnsi="Arial"/>
          <w:sz w:val="22"/>
          <w:szCs w:val="22"/>
          <w:color w:val="auto"/>
        </w:rPr>
        <w:t>19.1.19are unable by reason of Incapacity to perform his duties under this Contract for an aggregate period of 26 weeks in any 52-week period; or</w:t>
      </w:r>
    </w:p>
    <w:p>
      <w:pPr>
        <w:spacing w:after="0" w:line="80" w:lineRule="exact"/>
        <w:rPr>
          <w:sz w:val="20"/>
          <w:szCs w:val="20"/>
          <w:color w:val="auto"/>
        </w:rPr>
      </w:pPr>
    </w:p>
    <w:p>
      <w:pPr>
        <w:ind w:left="1420" w:right="700" w:hanging="647"/>
        <w:spacing w:after="0" w:line="250" w:lineRule="auto"/>
        <w:rPr>
          <w:sz w:val="20"/>
          <w:szCs w:val="20"/>
          <w:color w:val="auto"/>
        </w:rPr>
      </w:pPr>
      <w:r>
        <w:rPr>
          <w:rFonts w:ascii="Arial" w:cs="Arial" w:eastAsia="Arial" w:hAnsi="Arial"/>
          <w:sz w:val="22"/>
          <w:szCs w:val="22"/>
          <w:color w:val="auto"/>
        </w:rPr>
        <w:t>19.1.20commit any other offence of a similar gravity to the examples under this clause 19.1, which are neither exclusive nor exhaustive.</w:t>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Any delay by the Company in exercising such right of termination shall not constitute a waiver of that right.</w:t>
      </w:r>
    </w:p>
    <w:p>
      <w:pPr>
        <w:spacing w:after="0" w:line="112" w:lineRule="exact"/>
        <w:rPr>
          <w:sz w:val="20"/>
          <w:szCs w:val="20"/>
          <w:color w:val="auto"/>
        </w:rPr>
      </w:pPr>
    </w:p>
    <w:p>
      <w:pPr>
        <w:ind w:left="760" w:right="20" w:hanging="768"/>
        <w:spacing w:after="0"/>
        <w:tabs>
          <w:tab w:leader="none" w:pos="7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2"/>
          <w:szCs w:val="22"/>
          <w:color w:val="auto"/>
        </w:rPr>
        <w:t>The termination by the Company of the Appointment pursuant to this clause 19 will be without prejudice to any claim that the Company may have for damages arising from any breach of this Contract by you that gives rise to such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000"/>
          </w:cols>
          <w:pgMar w:left="440" w:top="267" w:right="459" w:bottom="1440" w:gutter="0" w:footer="0" w:header="0"/>
        </w:sectPr>
      </w:pPr>
    </w:p>
    <w:bookmarkStart w:id="332" w:name="page333"/>
    <w:bookmarkEnd w:id="332"/>
    <w:p>
      <w:pPr>
        <w:ind w:left="764" w:hanging="764"/>
        <w:spacing w:after="0"/>
        <w:tabs>
          <w:tab w:leader="none" w:pos="764" w:val="left"/>
        </w:tabs>
        <w:numPr>
          <w:ilvl w:val="0"/>
          <w:numId w:val="288"/>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Garden Leave</w:t>
      </w:r>
    </w:p>
    <w:p>
      <w:pPr>
        <w:spacing w:after="0" w:line="118" w:lineRule="exact"/>
        <w:rPr>
          <w:sz w:val="20"/>
          <w:szCs w:val="20"/>
          <w:color w:val="auto"/>
        </w:rPr>
      </w:pPr>
    </w:p>
    <w:p>
      <w:pPr>
        <w:ind w:left="764" w:right="80" w:hanging="768"/>
        <w:spacing w:after="0" w:line="252" w:lineRule="auto"/>
        <w:tabs>
          <w:tab w:leader="none" w:pos="744"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color w:val="auto"/>
        </w:rPr>
        <w:t>After notice of termination has been given by either party pursuant to clause 18 provided that the Company continues to provide you with your normal Salary and 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79"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20.1.1 exclude you from the premises of the Company and any Group Company; and/or</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21"/>
          <w:szCs w:val="21"/>
          <w:color w:val="auto"/>
        </w:rPr>
        <w:t>20.1.2 require you to carry out specified duties other than your normal duties or to carry out no duties; and/or</w:t>
      </w:r>
    </w:p>
    <w:p>
      <w:pPr>
        <w:spacing w:after="0" w:line="123"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20.1.3 withdraw any powers vested in you; and/or</w:t>
      </w:r>
    </w:p>
    <w:p>
      <w:pPr>
        <w:spacing w:after="0" w:line="112" w:lineRule="exact"/>
        <w:rPr>
          <w:sz w:val="20"/>
          <w:szCs w:val="20"/>
          <w:color w:val="auto"/>
        </w:rPr>
      </w:pPr>
    </w:p>
    <w:p>
      <w:pPr>
        <w:ind w:left="1424" w:right="920" w:hanging="647"/>
        <w:spacing w:after="0" w:line="328" w:lineRule="auto"/>
        <w:rPr>
          <w:sz w:val="20"/>
          <w:szCs w:val="20"/>
          <w:color w:val="auto"/>
        </w:rPr>
      </w:pPr>
      <w:r>
        <w:rPr>
          <w:rFonts w:ascii="Arial" w:cs="Arial" w:eastAsia="Arial" w:hAnsi="Arial"/>
          <w:sz w:val="19"/>
          <w:szCs w:val="19"/>
          <w:color w:val="auto"/>
        </w:rPr>
        <w:t>20.1.4 instruct you not to communicate orally or in writing with suppliers, customers, employees, agents/or representatives of the Company or any Group Company until the Appointment has terminated.</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During any period of garden leave you shall:</w:t>
      </w:r>
    </w:p>
    <w:p>
      <w:pPr>
        <w:spacing w:after="0" w:line="112" w:lineRule="exact"/>
        <w:rPr>
          <w:sz w:val="20"/>
          <w:szCs w:val="20"/>
          <w:color w:val="auto"/>
        </w:rPr>
      </w:pPr>
    </w:p>
    <w:p>
      <w:pPr>
        <w:ind w:left="1424" w:right="340" w:hanging="647"/>
        <w:spacing w:after="0" w:line="250" w:lineRule="auto"/>
        <w:rPr>
          <w:sz w:val="20"/>
          <w:szCs w:val="20"/>
          <w:color w:val="auto"/>
        </w:rPr>
      </w:pPr>
      <w:r>
        <w:rPr>
          <w:rFonts w:ascii="Arial" w:cs="Arial" w:eastAsia="Arial" w:hAnsi="Arial"/>
          <w:sz w:val="22"/>
          <w:szCs w:val="22"/>
          <w:color w:val="auto"/>
        </w:rPr>
        <w:t>20.2.1 continue to receive your Salary and all contractual benefits in the usual way and subject to the terms of any benefit arrangement;</w:t>
      </w:r>
    </w:p>
    <w:p>
      <w:pPr>
        <w:spacing w:after="0" w:line="80" w:lineRule="exact"/>
        <w:rPr>
          <w:sz w:val="20"/>
          <w:szCs w:val="20"/>
          <w:color w:val="auto"/>
        </w:rPr>
      </w:pPr>
    </w:p>
    <w:p>
      <w:pPr>
        <w:ind w:left="1424" w:right="740" w:hanging="647"/>
        <w:spacing w:after="0" w:line="250" w:lineRule="auto"/>
        <w:rPr>
          <w:sz w:val="20"/>
          <w:szCs w:val="20"/>
          <w:color w:val="auto"/>
        </w:rPr>
      </w:pPr>
      <w:r>
        <w:rPr>
          <w:rFonts w:ascii="Arial" w:cs="Arial" w:eastAsia="Arial" w:hAnsi="Arial"/>
          <w:sz w:val="22"/>
          <w:szCs w:val="22"/>
          <w:color w:val="auto"/>
        </w:rPr>
        <w:t>20.2.2 remain an employee of the Company and bound by the terms of your contract of employment with the Company;</w:t>
      </w:r>
    </w:p>
    <w:p>
      <w:pPr>
        <w:spacing w:after="0" w:line="80" w:lineRule="exact"/>
        <w:rPr>
          <w:sz w:val="20"/>
          <w:szCs w:val="20"/>
          <w:color w:val="auto"/>
        </w:rPr>
      </w:pPr>
    </w:p>
    <w:p>
      <w:pPr>
        <w:ind w:left="1424" w:right="80" w:hanging="647"/>
        <w:spacing w:after="0" w:line="250" w:lineRule="auto"/>
        <w:rPr>
          <w:sz w:val="20"/>
          <w:szCs w:val="20"/>
          <w:color w:val="auto"/>
        </w:rPr>
      </w:pPr>
      <w:r>
        <w:rPr>
          <w:rFonts w:ascii="Arial" w:cs="Arial" w:eastAsia="Arial" w:hAnsi="Arial"/>
          <w:sz w:val="22"/>
          <w:szCs w:val="22"/>
          <w:color w:val="auto"/>
        </w:rPr>
        <w:t>20.2.3 not, without the prior written consent of your Manager, attend your place of work or any other premises of the Company or any Group Company;</w:t>
      </w:r>
    </w:p>
    <w:p>
      <w:pPr>
        <w:spacing w:after="0" w:line="80"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20.2.4 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92" w:lineRule="exact"/>
        <w:rPr>
          <w:sz w:val="20"/>
          <w:szCs w:val="20"/>
          <w:color w:val="auto"/>
        </w:rPr>
      </w:pPr>
    </w:p>
    <w:p>
      <w:pPr>
        <w:ind w:left="1424" w:right="40" w:hanging="647"/>
        <w:spacing w:after="0"/>
        <w:rPr>
          <w:sz w:val="20"/>
          <w:szCs w:val="20"/>
          <w:color w:val="auto"/>
        </w:rPr>
      </w:pPr>
      <w:r>
        <w:rPr>
          <w:rFonts w:ascii="Arial" w:cs="Arial" w:eastAsia="Arial" w:hAnsi="Arial"/>
          <w:sz w:val="22"/>
          <w:szCs w:val="22"/>
          <w:color w:val="auto"/>
        </w:rPr>
        <w:t>20.2.5 (except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9" w:lineRule="exact"/>
        <w:rPr>
          <w:sz w:val="20"/>
          <w:szCs w:val="20"/>
          <w:color w:val="auto"/>
        </w:rPr>
      </w:pPr>
    </w:p>
    <w:p>
      <w:pPr>
        <w:ind w:left="764" w:hanging="764"/>
        <w:spacing w:after="0"/>
        <w:tabs>
          <w:tab w:leader="none" w:pos="764" w:val="left"/>
        </w:tabs>
        <w:numPr>
          <w:ilvl w:val="0"/>
          <w:numId w:val="289"/>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after Employment</w:t>
      </w:r>
    </w:p>
    <w:p>
      <w:pPr>
        <w:spacing w:after="0" w:line="118" w:lineRule="exact"/>
        <w:rPr>
          <w:sz w:val="20"/>
          <w:szCs w:val="20"/>
          <w:color w:val="auto"/>
        </w:rPr>
      </w:pPr>
    </w:p>
    <w:p>
      <w:pPr>
        <w:jc w:val="both"/>
        <w:ind w:left="764" w:right="20" w:hanging="768"/>
        <w:spacing w:after="0" w:line="287" w:lineRule="auto"/>
        <w:tabs>
          <w:tab w:leader="none" w:pos="74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You shall not, save in respect of a Permitted Interest or with the prior written consent of the Company, for a period of 6 months from the Termination Date 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7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004"/>
          </w:cols>
          <w:pgMar w:left="436" w:top="261" w:right="459" w:bottom="1440" w:gutter="0" w:footer="0" w:header="0"/>
        </w:sectPr>
      </w:pPr>
    </w:p>
    <w:bookmarkStart w:id="333" w:name="page334"/>
    <w:bookmarkEnd w:id="333"/>
    <w:p>
      <w:pPr>
        <w:jc w:val="right"/>
        <w:ind w:right="1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    You shall not for a period of 6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21.2.1 deal with or accept custom from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21.2.2 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1420" w:right="380" w:hanging="647"/>
        <w:spacing w:after="0" w:line="250" w:lineRule="auto"/>
        <w:rPr>
          <w:sz w:val="20"/>
          <w:szCs w:val="20"/>
          <w:color w:val="auto"/>
        </w:rPr>
      </w:pPr>
      <w:r>
        <w:rPr>
          <w:rFonts w:ascii="Arial" w:cs="Arial" w:eastAsia="Arial" w:hAnsi="Arial"/>
          <w:sz w:val="22"/>
          <w:szCs w:val="22"/>
          <w:color w:val="auto"/>
        </w:rPr>
        <w:t>21.2.3 deal with or interfere with any company from whom the Company or any Group Company has licensed or acquired intellectual property.</w:t>
      </w:r>
    </w:p>
    <w:p>
      <w:pPr>
        <w:spacing w:after="0" w:line="80" w:lineRule="exact"/>
        <w:rPr>
          <w:sz w:val="20"/>
          <w:szCs w:val="20"/>
          <w:color w:val="auto"/>
        </w:rPr>
      </w:pPr>
    </w:p>
    <w:p>
      <w:pPr>
        <w:jc w:val="right"/>
        <w:ind w:right="180"/>
        <w:spacing w:after="0" w:line="328" w:lineRule="auto"/>
        <w:rPr>
          <w:sz w:val="20"/>
          <w:szCs w:val="20"/>
          <w:color w:val="auto"/>
        </w:rPr>
      </w:pPr>
      <w:r>
        <w:rPr>
          <w:rFonts w:ascii="Arial" w:cs="Arial" w:eastAsia="Arial" w:hAnsi="Arial"/>
          <w:sz w:val="19"/>
          <w:szCs w:val="19"/>
          <w:color w:val="auto"/>
        </w:rPr>
        <w:t>21.3    You shall not for a period of 9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0" w:hanging="647"/>
        <w:spacing w:after="0" w:line="287" w:lineRule="auto"/>
        <w:rPr>
          <w:sz w:val="20"/>
          <w:szCs w:val="20"/>
          <w:color w:val="auto"/>
        </w:rPr>
      </w:pPr>
      <w:r>
        <w:rPr>
          <w:rFonts w:ascii="Arial" w:cs="Arial" w:eastAsia="Arial" w:hAnsi="Arial"/>
          <w:sz w:val="19"/>
          <w:szCs w:val="19"/>
          <w:color w:val="auto"/>
        </w:rPr>
        <w:t>21.3.1 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48" w:lineRule="exact"/>
        <w:rPr>
          <w:sz w:val="20"/>
          <w:szCs w:val="20"/>
          <w:color w:val="auto"/>
        </w:rPr>
      </w:pPr>
    </w:p>
    <w:p>
      <w:pPr>
        <w:ind w:left="1420" w:right="20" w:hanging="647"/>
        <w:spacing w:after="0" w:line="287" w:lineRule="auto"/>
        <w:rPr>
          <w:sz w:val="20"/>
          <w:szCs w:val="20"/>
          <w:color w:val="auto"/>
        </w:rPr>
      </w:pPr>
      <w:r>
        <w:rPr>
          <w:rFonts w:ascii="Arial" w:cs="Arial" w:eastAsia="Arial" w:hAnsi="Arial"/>
          <w:sz w:val="19"/>
          <w:szCs w:val="19"/>
          <w:color w:val="auto"/>
        </w:rPr>
        <w:t>21.3.2 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48" w:lineRule="exact"/>
        <w:rPr>
          <w:sz w:val="20"/>
          <w:szCs w:val="20"/>
          <w:color w:val="auto"/>
        </w:rPr>
      </w:pPr>
    </w:p>
    <w:p>
      <w:pPr>
        <w:ind w:left="1420" w:hanging="647"/>
        <w:spacing w:after="0" w:line="250" w:lineRule="auto"/>
        <w:rPr>
          <w:sz w:val="20"/>
          <w:szCs w:val="20"/>
          <w:color w:val="auto"/>
        </w:rPr>
      </w:pPr>
      <w:r>
        <w:rPr>
          <w:rFonts w:ascii="Arial" w:cs="Arial" w:eastAsia="Arial" w:hAnsi="Arial"/>
          <w:sz w:val="22"/>
          <w:szCs w:val="22"/>
          <w:color w:val="auto"/>
        </w:rPr>
        <w:t>21.3.3 interfere or seek to interfere with the continuance, or any of the terms, of the supply of goods or services to the Company or any Group Company;</w:t>
      </w:r>
    </w:p>
    <w:p>
      <w:pPr>
        <w:spacing w:after="0" w:line="67" w:lineRule="exact"/>
        <w:rPr>
          <w:sz w:val="20"/>
          <w:szCs w:val="20"/>
          <w:color w:val="auto"/>
        </w:rPr>
      </w:pPr>
    </w:p>
    <w:p>
      <w:pPr>
        <w:ind w:left="760" w:right="220"/>
        <w:spacing w:after="0"/>
        <w:rPr>
          <w:sz w:val="20"/>
          <w:szCs w:val="20"/>
          <w:color w:val="auto"/>
        </w:rPr>
      </w:pPr>
      <w:r>
        <w:rPr>
          <w:rFonts w:ascii="Arial" w:cs="Arial" w:eastAsia="Arial" w:hAnsi="Arial"/>
          <w:sz w:val="22"/>
          <w:szCs w:val="22"/>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92" w:lineRule="exact"/>
        <w:rPr>
          <w:sz w:val="20"/>
          <w:szCs w:val="20"/>
          <w:color w:val="auto"/>
        </w:rPr>
      </w:pPr>
    </w:p>
    <w:p>
      <w:pPr>
        <w:ind w:left="760" w:right="40" w:hanging="768"/>
        <w:spacing w:after="0" w:line="236" w:lineRule="auto"/>
        <w:tabs>
          <w:tab w:leader="none" w:pos="7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2"/>
          <w:szCs w:val="22"/>
          <w:color w:val="auto"/>
        </w:rPr>
        <w:t>You shall not for a period of 6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0980"/>
          </w:cols>
          <w:pgMar w:left="440" w:top="267" w:right="479" w:bottom="1440" w:gutter="0" w:footer="0" w:header="0"/>
        </w:sectPr>
      </w:pPr>
    </w:p>
    <w:bookmarkStart w:id="334" w:name="page335"/>
    <w:bookmarkEnd w:id="334"/>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w:t>
      </w:r>
      <w:r>
        <w:rPr>
          <w:sz w:val="20"/>
          <w:szCs w:val="20"/>
          <w:color w:val="auto"/>
        </w:rPr>
        <w:tab/>
      </w:r>
      <w:r>
        <w:rPr>
          <w:rFonts w:ascii="Arial" w:cs="Arial" w:eastAsia="Arial" w:hAnsi="Arial"/>
          <w:sz w:val="22"/>
          <w:szCs w:val="22"/>
          <w:color w:val="auto"/>
        </w:rPr>
        <w:t>You shall not, at any time after the Termination Date, either on your own behalf or on behalf of any other person, firm or company directly or indirectly:</w:t>
      </w:r>
    </w:p>
    <w:p>
      <w:pPr>
        <w:spacing w:after="0" w:line="80" w:lineRule="exact"/>
        <w:rPr>
          <w:sz w:val="20"/>
          <w:szCs w:val="20"/>
          <w:color w:val="auto"/>
        </w:rPr>
      </w:pPr>
    </w:p>
    <w:p>
      <w:pPr>
        <w:ind w:left="1424" w:right="220" w:hanging="647"/>
        <w:spacing w:after="0" w:line="249" w:lineRule="auto"/>
        <w:rPr>
          <w:sz w:val="20"/>
          <w:szCs w:val="20"/>
          <w:color w:val="auto"/>
        </w:rPr>
      </w:pPr>
      <w:r>
        <w:rPr>
          <w:rFonts w:ascii="Arial" w:cs="Arial" w:eastAsia="Arial" w:hAnsi="Arial"/>
          <w:sz w:val="21"/>
          <w:szCs w:val="21"/>
          <w:color w:val="auto"/>
        </w:rPr>
        <w:t>21.5.1 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84" w:lineRule="exact"/>
        <w:rPr>
          <w:sz w:val="20"/>
          <w:szCs w:val="20"/>
          <w:color w:val="auto"/>
        </w:rPr>
      </w:pPr>
    </w:p>
    <w:p>
      <w:pPr>
        <w:ind w:left="1424" w:right="20" w:hanging="647"/>
        <w:spacing w:after="0" w:line="282" w:lineRule="auto"/>
        <w:rPr>
          <w:sz w:val="20"/>
          <w:szCs w:val="20"/>
          <w:color w:val="auto"/>
        </w:rPr>
      </w:pPr>
      <w:r>
        <w:rPr>
          <w:rFonts w:ascii="Arial" w:cs="Arial" w:eastAsia="Arial" w:hAnsi="Arial"/>
          <w:sz w:val="19"/>
          <w:szCs w:val="19"/>
          <w:color w:val="auto"/>
        </w:rPr>
        <w:t>21.5.2 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9"/>
          <w:szCs w:val="19"/>
          <w:b w:val="1"/>
          <w:bCs w:val="1"/>
          <w:color w:val="auto"/>
        </w:rPr>
        <w:t>Relevant Personnel</w:t>
      </w:r>
      <w:r>
        <w:rPr>
          <w:rFonts w:ascii="Arial" w:cs="Arial" w:eastAsia="Arial" w:hAnsi="Arial"/>
          <w:sz w:val="19"/>
          <w:szCs w:val="19"/>
          <w:color w:val="auto"/>
        </w:rPr>
        <w:t>”) and/or which may be disparaging or derogatory to any of the Company or any Group Company or any Relevant Personnel.</w:t>
      </w:r>
    </w:p>
    <w:p>
      <w:pPr>
        <w:spacing w:after="0" w:line="53"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color w:val="auto"/>
        </w:rPr>
        <w:t>The period of the restrictions in clauses 21.1 to 21.4 inclusive shall be reduced by the period, if any, spent by you during which you are placed on garden leave in accordance with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You agree to notify your new employer of the restrictions contained within clauses 21.1 to 21.4 inclusive.</w:t>
      </w:r>
    </w:p>
    <w:p>
      <w:pPr>
        <w:spacing w:after="0" w:line="112"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1"/>
          <w:szCs w:val="21"/>
          <w:color w:val="auto"/>
        </w:rPr>
        <w:t>You acknowledge that, in the course of your employment, you are likely to have dealings with the clients, customers, suppliers and other contacts of the Company. 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327" w:lineRule="exact"/>
        <w:rPr>
          <w:sz w:val="20"/>
          <w:szCs w:val="20"/>
          <w:color w:val="auto"/>
        </w:rPr>
      </w:pPr>
    </w:p>
    <w:p>
      <w:pPr>
        <w:ind w:left="764" w:hanging="764"/>
        <w:spacing w:after="0"/>
        <w:tabs>
          <w:tab w:leader="none" w:pos="764" w:val="left"/>
        </w:tabs>
        <w:numPr>
          <w:ilvl w:val="0"/>
          <w:numId w:val="290"/>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118" w:lineRule="exact"/>
        <w:rPr>
          <w:sz w:val="20"/>
          <w:szCs w:val="20"/>
          <w:color w:val="auto"/>
        </w:rPr>
      </w:pPr>
    </w:p>
    <w:p>
      <w:pPr>
        <w:ind w:left="764" w:right="360" w:hanging="768"/>
        <w:spacing w:after="0" w:line="328" w:lineRule="auto"/>
        <w:tabs>
          <w:tab w:leader="none" w:pos="744"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All Documents and other property (including mobile telephones, laptop computers and other technical equipment) provided for your use by the Company, remain the property of the Company or any Group Company.</w:t>
      </w:r>
    </w:p>
    <w:p>
      <w:pPr>
        <w:spacing w:after="0" w:line="10" w:lineRule="exact"/>
        <w:rPr>
          <w:sz w:val="20"/>
          <w:szCs w:val="20"/>
          <w:color w:val="auto"/>
        </w:rPr>
      </w:pPr>
    </w:p>
    <w:p>
      <w:pPr>
        <w:ind w:left="764" w:right="180" w:hanging="768"/>
        <w:spacing w:after="0" w:line="328" w:lineRule="auto"/>
        <w:tabs>
          <w:tab w:leader="none" w:pos="744"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Any Documents or other property in your possession and or obtained by you in the course of your employment shall be returned to your Manager at any time on request and in any event prior to the Termination Date.</w:t>
      </w:r>
    </w:p>
    <w:p>
      <w:pPr>
        <w:spacing w:after="0" w:line="10" w:lineRule="exact"/>
        <w:rPr>
          <w:sz w:val="20"/>
          <w:szCs w:val="20"/>
          <w:color w:val="auto"/>
        </w:rPr>
      </w:pPr>
    </w:p>
    <w:p>
      <w:pPr>
        <w:ind w:left="764" w:hanging="768"/>
        <w:spacing w:after="0" w:line="250" w:lineRule="auto"/>
        <w:tabs>
          <w:tab w:leader="none" w:pos="744"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color w:val="auto"/>
        </w:rPr>
        <w:t>At any time upon request and in any event prior to the Termination Date you must irretrievably delete any information relating to the business of the Company or any</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004"/>
          </w:cols>
          <w:pgMar w:left="436" w:top="267" w:right="459" w:bottom="1440" w:gutter="0" w:footer="0" w:header="0"/>
        </w:sectPr>
      </w:pPr>
    </w:p>
    <w:bookmarkStart w:id="335" w:name="page336"/>
    <w:bookmarkEnd w:id="335"/>
    <w:p>
      <w:pPr>
        <w:ind w:left="764" w:right="6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Company stored on any magnetic or optical disk or memory and all matter derived from such sources which is in your possession or under your control outside the Company’s premises.</w:t>
      </w:r>
    </w:p>
    <w:p>
      <w:pPr>
        <w:spacing w:after="0" w:line="317" w:lineRule="exact"/>
        <w:rPr>
          <w:sz w:val="20"/>
          <w:szCs w:val="20"/>
          <w:color w:val="auto"/>
        </w:rPr>
      </w:pPr>
    </w:p>
    <w:p>
      <w:pPr>
        <w:ind w:left="764" w:hanging="764"/>
        <w:spacing w:after="0"/>
        <w:tabs>
          <w:tab w:leader="none" w:pos="764" w:val="left"/>
        </w:tabs>
        <w:numPr>
          <w:ilvl w:val="0"/>
          <w:numId w:val="291"/>
        </w:numPr>
        <w:rPr>
          <w:rFonts w:ascii="Arial" w:cs="Arial" w:eastAsia="Arial" w:hAnsi="Arial"/>
          <w:sz w:val="22"/>
          <w:szCs w:val="22"/>
          <w:b w:val="1"/>
          <w:bCs w:val="1"/>
          <w:color w:val="auto"/>
        </w:rPr>
      </w:pPr>
      <w:r>
        <w:rPr>
          <w:rFonts w:ascii="Arial" w:cs="Arial" w:eastAsia="Arial" w:hAnsi="Arial"/>
          <w:sz w:val="22"/>
          <w:szCs w:val="22"/>
          <w:b w:val="1"/>
          <w:bCs w:val="1"/>
          <w:color w:val="auto"/>
        </w:rPr>
        <w:t>Grievance Procedure</w:t>
      </w:r>
    </w:p>
    <w:p>
      <w:pPr>
        <w:spacing w:after="0" w:line="104" w:lineRule="exact"/>
        <w:rPr>
          <w:rFonts w:ascii="Arial" w:cs="Arial" w:eastAsia="Arial" w:hAnsi="Arial"/>
          <w:sz w:val="22"/>
          <w:szCs w:val="22"/>
          <w:b w:val="1"/>
          <w:bCs w:val="1"/>
          <w:color w:val="auto"/>
        </w:rPr>
      </w:pPr>
    </w:p>
    <w:p>
      <w:pPr>
        <w:ind w:left="764" w:right="80"/>
        <w:spacing w:after="0" w:line="279" w:lineRule="auto"/>
        <w:rPr>
          <w:rFonts w:ascii="Arial" w:cs="Arial" w:eastAsia="Arial" w:hAnsi="Arial"/>
          <w:sz w:val="22"/>
          <w:szCs w:val="22"/>
          <w:b w:val="1"/>
          <w:bCs w:val="1"/>
          <w:color w:val="auto"/>
        </w:rPr>
      </w:pPr>
      <w:r>
        <w:rPr>
          <w:rFonts w:ascii="Arial" w:cs="Arial" w:eastAsia="Arial" w:hAnsi="Arial"/>
          <w:sz w:val="19"/>
          <w:szCs w:val="19"/>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Financial Officer or General Counsel.</w:t>
      </w:r>
    </w:p>
    <w:p>
      <w:pPr>
        <w:spacing w:after="0" w:line="292" w:lineRule="exact"/>
        <w:rPr>
          <w:rFonts w:ascii="Arial" w:cs="Arial" w:eastAsia="Arial" w:hAnsi="Arial"/>
          <w:sz w:val="22"/>
          <w:szCs w:val="22"/>
          <w:b w:val="1"/>
          <w:bCs w:val="1"/>
          <w:color w:val="auto"/>
        </w:rPr>
      </w:pPr>
    </w:p>
    <w:p>
      <w:pPr>
        <w:ind w:left="764" w:hanging="764"/>
        <w:spacing w:after="0"/>
        <w:tabs>
          <w:tab w:leader="none" w:pos="764" w:val="left"/>
        </w:tabs>
        <w:numPr>
          <w:ilvl w:val="0"/>
          <w:numId w:val="291"/>
        </w:numPr>
        <w:rPr>
          <w:rFonts w:ascii="Arial" w:cs="Arial" w:eastAsia="Arial" w:hAnsi="Arial"/>
          <w:sz w:val="22"/>
          <w:szCs w:val="22"/>
          <w:b w:val="1"/>
          <w:bCs w:val="1"/>
          <w:color w:val="auto"/>
        </w:rPr>
      </w:pPr>
      <w:r>
        <w:rPr>
          <w:rFonts w:ascii="Arial" w:cs="Arial" w:eastAsia="Arial" w:hAnsi="Arial"/>
          <w:sz w:val="22"/>
          <w:szCs w:val="22"/>
          <w:b w:val="1"/>
          <w:bCs w:val="1"/>
          <w:color w:val="auto"/>
        </w:rPr>
        <w:t>Disciplinary Procedure</w:t>
      </w:r>
    </w:p>
    <w:p>
      <w:pPr>
        <w:spacing w:after="0" w:line="118" w:lineRule="exact"/>
        <w:rPr>
          <w:sz w:val="20"/>
          <w:szCs w:val="20"/>
          <w:color w:val="auto"/>
        </w:rPr>
      </w:pPr>
    </w:p>
    <w:p>
      <w:pPr>
        <w:ind w:left="764" w:right="300" w:hanging="768"/>
        <w:spacing w:after="0" w:line="249" w:lineRule="auto"/>
        <w:tabs>
          <w:tab w:leader="none" w:pos="744"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84" w:lineRule="exact"/>
        <w:rPr>
          <w:sz w:val="20"/>
          <w:szCs w:val="20"/>
          <w:color w:val="auto"/>
        </w:rPr>
      </w:pPr>
    </w:p>
    <w:p>
      <w:pPr>
        <w:jc w:val="both"/>
        <w:ind w:left="764" w:right="300" w:hanging="768"/>
        <w:spacing w:after="0" w:line="257" w:lineRule="auto"/>
        <w:tabs>
          <w:tab w:leader="none" w:pos="744"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75" w:lineRule="exact"/>
        <w:rPr>
          <w:sz w:val="20"/>
          <w:szCs w:val="20"/>
          <w:color w:val="auto"/>
        </w:rPr>
      </w:pPr>
    </w:p>
    <w:p>
      <w:pPr>
        <w:ind w:left="2204" w:right="560" w:hanging="768"/>
        <w:spacing w:after="0" w:line="250" w:lineRule="auto"/>
        <w:tabs>
          <w:tab w:leader="none" w:pos="2184" w:val="left"/>
        </w:tabs>
        <w:rPr>
          <w:sz w:val="20"/>
          <w:szCs w:val="20"/>
          <w:color w:val="auto"/>
        </w:rPr>
      </w:pPr>
      <w:r>
        <w:rPr>
          <w:rFonts w:ascii="Arial" w:cs="Arial" w:eastAsia="Arial" w:hAnsi="Arial"/>
          <w:sz w:val="22"/>
          <w:szCs w:val="22"/>
          <w:color w:val="auto"/>
        </w:rPr>
        <w:t>24.2.1</w:t>
        <w:tab/>
        <w:t>you shall continue to receive your basic salary and all contractual benefits in the usual way and subject to the terms of any benefit arrangement;</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24.2.2</w:t>
      </w:r>
      <w:r>
        <w:rPr>
          <w:sz w:val="20"/>
          <w:szCs w:val="20"/>
          <w:color w:val="auto"/>
        </w:rPr>
        <w:tab/>
      </w:r>
      <w:r>
        <w:rPr>
          <w:rFonts w:ascii="Arial" w:cs="Arial" w:eastAsia="Arial" w:hAnsi="Arial"/>
          <w:sz w:val="19"/>
          <w:szCs w:val="19"/>
          <w:color w:val="auto"/>
        </w:rPr>
        <w:t>you shall remain an employee of the Company and bound by the terms of this Contract;</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2"/>
          <w:szCs w:val="22"/>
          <w:color w:val="auto"/>
        </w:rPr>
        <w:t>you shall ensure that your Manager knows where you will be and how you can be contacted during each working day (except during any periods taken as holiday in the usual way);</w:t>
      </w:r>
    </w:p>
    <w:p>
      <w:pPr>
        <w:spacing w:after="0" w:line="80" w:lineRule="exact"/>
        <w:rPr>
          <w:sz w:val="20"/>
          <w:szCs w:val="20"/>
          <w:color w:val="auto"/>
        </w:rPr>
      </w:pPr>
    </w:p>
    <w:p>
      <w:pPr>
        <w:ind w:left="764" w:right="800" w:hanging="768"/>
        <w:spacing w:after="0" w:line="250" w:lineRule="auto"/>
        <w:tabs>
          <w:tab w:leader="none" w:pos="744"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2"/>
          <w:szCs w:val="22"/>
          <w:color w:val="auto"/>
        </w:rPr>
        <w:t>the Company may exclude you from your place of work or any other premises of the Company or any Group Company; and</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2"/>
          <w:szCs w:val="22"/>
          <w:color w:val="auto"/>
        </w:rPr>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0984"/>
          </w:cols>
          <w:pgMar w:left="436" w:top="267" w:right="479" w:bottom="1440" w:gutter="0" w:footer="0" w:header="0"/>
        </w:sectPr>
      </w:pPr>
    </w:p>
    <w:bookmarkStart w:id="336" w:name="page337"/>
    <w:bookmarkEnd w:id="336"/>
    <w:p>
      <w:pPr>
        <w:ind w:left="764" w:hanging="764"/>
        <w:spacing w:after="0"/>
        <w:tabs>
          <w:tab w:leader="none" w:pos="764"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 Agreements</w:t>
      </w:r>
    </w:p>
    <w:p>
      <w:pPr>
        <w:spacing w:after="0" w:line="104" w:lineRule="exact"/>
        <w:rPr>
          <w:rFonts w:ascii="Arial" w:cs="Arial" w:eastAsia="Arial" w:hAnsi="Arial"/>
          <w:sz w:val="22"/>
          <w:szCs w:val="22"/>
          <w:b w:val="1"/>
          <w:bCs w:val="1"/>
          <w:color w:val="auto"/>
        </w:rPr>
      </w:pPr>
    </w:p>
    <w:p>
      <w:pPr>
        <w:ind w:left="764"/>
        <w:spacing w:after="0"/>
        <w:rPr>
          <w:rFonts w:ascii="Arial" w:cs="Arial" w:eastAsia="Arial" w:hAnsi="Arial"/>
          <w:sz w:val="22"/>
          <w:szCs w:val="22"/>
          <w:b w:val="1"/>
          <w:bCs w:val="1"/>
          <w:color w:val="auto"/>
        </w:rPr>
      </w:pPr>
      <w:r>
        <w:rPr>
          <w:rFonts w:ascii="Arial" w:cs="Arial" w:eastAsia="Arial" w:hAnsi="Arial"/>
          <w:sz w:val="22"/>
          <w:szCs w:val="22"/>
          <w:color w:val="auto"/>
        </w:rPr>
        <w:t>There are no collective agreements affecting your terms and conditions of employment.</w:t>
      </w:r>
    </w:p>
    <w:p>
      <w:pPr>
        <w:spacing w:after="0" w:line="348" w:lineRule="exact"/>
        <w:rPr>
          <w:rFonts w:ascii="Arial" w:cs="Arial" w:eastAsia="Arial" w:hAnsi="Arial"/>
          <w:sz w:val="22"/>
          <w:szCs w:val="22"/>
          <w:b w:val="1"/>
          <w:bCs w:val="1"/>
          <w:color w:val="auto"/>
        </w:rPr>
      </w:pPr>
    </w:p>
    <w:p>
      <w:pPr>
        <w:ind w:left="764" w:hanging="764"/>
        <w:spacing w:after="0"/>
        <w:tabs>
          <w:tab w:leader="none" w:pos="764"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color w:val="auto"/>
        </w:rPr>
        <w:t>Work outside the United Kingdom</w:t>
      </w:r>
    </w:p>
    <w:p>
      <w:pPr>
        <w:spacing w:after="0" w:line="118" w:lineRule="exact"/>
        <w:rPr>
          <w:sz w:val="20"/>
          <w:szCs w:val="20"/>
          <w:color w:val="auto"/>
        </w:rPr>
      </w:pPr>
    </w:p>
    <w:p>
      <w:pPr>
        <w:ind w:left="764" w:right="80" w:hanging="768"/>
        <w:spacing w:after="0" w:line="250" w:lineRule="auto"/>
        <w:tabs>
          <w:tab w:leader="none" w:pos="744"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22"/>
          <w:szCs w:val="22"/>
          <w:color w:val="auto"/>
        </w:rPr>
        <w:t>It is not envisaged by the Company that you will be required to travel for work purposes outside the United Kingdom for any periods longer than one month.</w:t>
      </w:r>
    </w:p>
    <w:p>
      <w:pPr>
        <w:spacing w:after="0" w:line="80" w:lineRule="exact"/>
        <w:rPr>
          <w:sz w:val="20"/>
          <w:szCs w:val="20"/>
          <w:color w:val="auto"/>
        </w:rPr>
      </w:pPr>
    </w:p>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2"/>
          <w:szCs w:val="22"/>
          <w:color w:val="auto"/>
        </w:rPr>
        <w:t>In the event you are required to work outside the United Kingdom for a period of more than one month, the Company will consult with you and will provide the prescribed information to you.</w:t>
      </w:r>
    </w:p>
    <w:p>
      <w:pPr>
        <w:spacing w:after="0" w:line="317" w:lineRule="exact"/>
        <w:rPr>
          <w:sz w:val="20"/>
          <w:szCs w:val="20"/>
          <w:color w:val="auto"/>
        </w:rPr>
      </w:pPr>
    </w:p>
    <w:p>
      <w:pPr>
        <w:ind w:left="764" w:hanging="764"/>
        <w:spacing w:after="0"/>
        <w:tabs>
          <w:tab w:leader="none" w:pos="764" w:val="left"/>
        </w:tabs>
        <w:numPr>
          <w:ilvl w:val="0"/>
          <w:numId w:val="293"/>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104" w:lineRule="exact"/>
        <w:rPr>
          <w:rFonts w:ascii="Arial" w:cs="Arial" w:eastAsia="Arial" w:hAnsi="Arial"/>
          <w:sz w:val="22"/>
          <w:szCs w:val="22"/>
          <w:b w:val="1"/>
          <w:bCs w:val="1"/>
          <w:color w:val="auto"/>
        </w:rPr>
      </w:pPr>
    </w:p>
    <w:p>
      <w:pPr>
        <w:ind w:left="764" w:right="2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For the purposes of the General Data Protection Regulation (EU) 2016/679 and the Data Protection Act 2018, the Company will hold, collect and otherwise process certain personal data as set out in the Company’s privacy notice, which is on the intranet. All personal data will be treated in accordance with applicable data protection laws and regulations.</w:t>
      </w:r>
    </w:p>
    <w:p>
      <w:pPr>
        <w:spacing w:after="0" w:line="327" w:lineRule="exact"/>
        <w:rPr>
          <w:rFonts w:ascii="Arial" w:cs="Arial" w:eastAsia="Arial" w:hAnsi="Arial"/>
          <w:sz w:val="22"/>
          <w:szCs w:val="22"/>
          <w:b w:val="1"/>
          <w:bCs w:val="1"/>
          <w:color w:val="auto"/>
        </w:rPr>
      </w:pPr>
    </w:p>
    <w:p>
      <w:pPr>
        <w:ind w:left="764" w:hanging="764"/>
        <w:spacing w:after="0"/>
        <w:tabs>
          <w:tab w:leader="none" w:pos="764" w:val="left"/>
        </w:tabs>
        <w:numPr>
          <w:ilvl w:val="0"/>
          <w:numId w:val="293"/>
        </w:numPr>
        <w:rPr>
          <w:rFonts w:ascii="Arial" w:cs="Arial" w:eastAsia="Arial" w:hAnsi="Arial"/>
          <w:sz w:val="22"/>
          <w:szCs w:val="22"/>
          <w:b w:val="1"/>
          <w:bCs w:val="1"/>
          <w:color w:val="auto"/>
        </w:rPr>
      </w:pPr>
      <w:r>
        <w:rPr>
          <w:rFonts w:ascii="Arial" w:cs="Arial" w:eastAsia="Arial" w:hAnsi="Arial"/>
          <w:sz w:val="22"/>
          <w:szCs w:val="22"/>
          <w:b w:val="1"/>
          <w:bCs w:val="1"/>
          <w:color w:val="auto"/>
        </w:rPr>
        <w:t>Monitoring</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color w:val="auto"/>
        </w:rPr>
        <w:t>You shall comply with any electronic communication systems policies that the Company may issue from time to time.</w:t>
      </w:r>
    </w:p>
    <w:p>
      <w:pPr>
        <w:spacing w:after="0" w:line="112" w:lineRule="exact"/>
        <w:rPr>
          <w:sz w:val="20"/>
          <w:szCs w:val="20"/>
          <w:color w:val="auto"/>
        </w:rPr>
      </w:pPr>
    </w:p>
    <w:p>
      <w:pPr>
        <w:ind w:left="764" w:right="20" w:hanging="768"/>
        <w:spacing w:after="0" w:line="279" w:lineRule="auto"/>
        <w:tabs>
          <w:tab w:leader="none" w:pos="744"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color w:val="auto"/>
        </w:rPr>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293" w:lineRule="exact"/>
        <w:rPr>
          <w:sz w:val="20"/>
          <w:szCs w:val="20"/>
          <w:color w:val="auto"/>
        </w:rPr>
      </w:pPr>
    </w:p>
    <w:p>
      <w:pPr>
        <w:ind w:left="764" w:hanging="764"/>
        <w:spacing w:after="0"/>
        <w:tabs>
          <w:tab w:leader="none" w:pos="764" w:val="left"/>
        </w:tabs>
        <w:numPr>
          <w:ilvl w:val="0"/>
          <w:numId w:val="294"/>
        </w:numPr>
        <w:rPr>
          <w:rFonts w:ascii="Arial" w:cs="Arial" w:eastAsia="Arial" w:hAnsi="Arial"/>
          <w:sz w:val="22"/>
          <w:szCs w:val="22"/>
          <w:b w:val="1"/>
          <w:bCs w:val="1"/>
          <w:color w:val="auto"/>
        </w:rPr>
      </w:pPr>
      <w:r>
        <w:rPr>
          <w:rFonts w:ascii="Arial" w:cs="Arial" w:eastAsia="Arial" w:hAnsi="Arial"/>
          <w:sz w:val="22"/>
          <w:szCs w:val="22"/>
          <w:b w:val="1"/>
          <w:bCs w:val="1"/>
          <w:color w:val="auto"/>
        </w:rPr>
        <w:t>Rules, Policies and Procedures</w:t>
      </w:r>
    </w:p>
    <w:p>
      <w:pPr>
        <w:spacing w:after="0" w:line="104" w:lineRule="exact"/>
        <w:rPr>
          <w:rFonts w:ascii="Arial" w:cs="Arial" w:eastAsia="Arial" w:hAnsi="Arial"/>
          <w:sz w:val="22"/>
          <w:szCs w:val="22"/>
          <w:b w:val="1"/>
          <w:bCs w:val="1"/>
          <w:color w:val="auto"/>
        </w:rPr>
      </w:pPr>
    </w:p>
    <w:p>
      <w:pPr>
        <w:ind w:left="764" w:right="6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329" w:lineRule="exact"/>
        <w:rPr>
          <w:rFonts w:ascii="Arial" w:cs="Arial" w:eastAsia="Arial" w:hAnsi="Arial"/>
          <w:sz w:val="22"/>
          <w:szCs w:val="22"/>
          <w:b w:val="1"/>
          <w:bCs w:val="1"/>
          <w:color w:val="auto"/>
        </w:rPr>
      </w:pPr>
    </w:p>
    <w:p>
      <w:pPr>
        <w:ind w:left="764" w:hanging="764"/>
        <w:spacing w:after="0"/>
        <w:tabs>
          <w:tab w:leader="none" w:pos="764" w:val="left"/>
        </w:tabs>
        <w:numPr>
          <w:ilvl w:val="0"/>
          <w:numId w:val="294"/>
        </w:numPr>
        <w:rPr>
          <w:rFonts w:ascii="Arial" w:cs="Arial" w:eastAsia="Arial" w:hAnsi="Arial"/>
          <w:sz w:val="22"/>
          <w:szCs w:val="22"/>
          <w:b w:val="1"/>
          <w:bCs w:val="1"/>
          <w:color w:val="auto"/>
        </w:rPr>
      </w:pPr>
      <w:r>
        <w:rPr>
          <w:rFonts w:ascii="Arial" w:cs="Arial" w:eastAsia="Arial" w:hAnsi="Arial"/>
          <w:sz w:val="22"/>
          <w:szCs w:val="22"/>
          <w:b w:val="1"/>
          <w:bCs w:val="1"/>
          <w:color w:val="auto"/>
        </w:rPr>
        <w:t>Health and Safety</w:t>
      </w:r>
    </w:p>
    <w:p>
      <w:pPr>
        <w:spacing w:after="0" w:line="104" w:lineRule="exact"/>
        <w:rPr>
          <w:rFonts w:ascii="Arial" w:cs="Arial" w:eastAsia="Arial" w:hAnsi="Arial"/>
          <w:sz w:val="22"/>
          <w:szCs w:val="22"/>
          <w:b w:val="1"/>
          <w:bCs w:val="1"/>
          <w:color w:val="auto"/>
        </w:rPr>
      </w:pPr>
    </w:p>
    <w:p>
      <w:pPr>
        <w:ind w:left="764" w:right="10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All employees and workers have a duty in law to act responsibly and to take reasonable care for the health and safety at work of both themselves and their colleagues. This duty can be carried out by:</w:t>
      </w:r>
    </w:p>
    <w:p>
      <w:pPr>
        <w:spacing w:after="0" w:line="80" w:lineRule="exact"/>
        <w:rPr>
          <w:rFonts w:ascii="Arial" w:cs="Arial" w:eastAsia="Arial" w:hAnsi="Arial"/>
          <w:sz w:val="22"/>
          <w:szCs w:val="22"/>
          <w:b w:val="1"/>
          <w:bCs w:val="1"/>
          <w:color w:val="auto"/>
        </w:rPr>
      </w:pPr>
    </w:p>
    <w:p>
      <w:pPr>
        <w:ind w:left="1424" w:hanging="655"/>
        <w:spacing w:after="0"/>
        <w:tabs>
          <w:tab w:leader="none" w:pos="1424" w:val="left"/>
        </w:tabs>
        <w:numPr>
          <w:ilvl w:val="1"/>
          <w:numId w:val="294"/>
        </w:numPr>
        <w:rPr>
          <w:rFonts w:ascii="Arial" w:cs="Arial" w:eastAsia="Arial" w:hAnsi="Arial"/>
          <w:sz w:val="22"/>
          <w:szCs w:val="22"/>
          <w:color w:val="auto"/>
        </w:rPr>
      </w:pPr>
      <w:r>
        <w:rPr>
          <w:rFonts w:ascii="Arial" w:cs="Arial" w:eastAsia="Arial" w:hAnsi="Arial"/>
          <w:sz w:val="22"/>
          <w:szCs w:val="22"/>
          <w:color w:val="auto"/>
        </w:rPr>
        <w:t>working safely and efficiently;</w:t>
      </w:r>
    </w:p>
    <w:p>
      <w:pPr>
        <w:spacing w:after="0" w:line="138" w:lineRule="exact"/>
        <w:rPr>
          <w:rFonts w:ascii="Arial" w:cs="Arial" w:eastAsia="Arial" w:hAnsi="Arial"/>
          <w:sz w:val="22"/>
          <w:szCs w:val="22"/>
          <w:color w:val="auto"/>
        </w:rPr>
      </w:pPr>
    </w:p>
    <w:p>
      <w:pPr>
        <w:ind w:left="5404" w:hanging="130"/>
        <w:spacing w:after="0"/>
        <w:tabs>
          <w:tab w:leader="none" w:pos="5404" w:val="left"/>
        </w:tabs>
        <w:numPr>
          <w:ilvl w:val="2"/>
          <w:numId w:val="294"/>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0984"/>
          </w:cols>
          <w:pgMar w:left="436" w:top="261" w:right="479" w:bottom="1440" w:gutter="0" w:footer="0" w:header="0"/>
        </w:sectPr>
      </w:pPr>
    </w:p>
    <w:bookmarkStart w:id="337" w:name="page338"/>
    <w:bookmarkEnd w:id="337"/>
    <w:p>
      <w:pPr>
        <w:ind w:left="1424" w:hanging="655"/>
        <w:spacing w:after="0"/>
        <w:tabs>
          <w:tab w:leader="none" w:pos="1424" w:val="left"/>
        </w:tabs>
        <w:numPr>
          <w:ilvl w:val="0"/>
          <w:numId w:val="29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using any protective equipment provided and meeting statutory obligations;</w:t>
      </w:r>
    </w:p>
    <w:p>
      <w:pPr>
        <w:spacing w:after="0" w:line="111" w:lineRule="exact"/>
        <w:rPr>
          <w:rFonts w:ascii="Arial" w:cs="Arial" w:eastAsia="Arial" w:hAnsi="Arial"/>
          <w:sz w:val="22"/>
          <w:szCs w:val="22"/>
          <w:color w:val="auto"/>
        </w:rPr>
      </w:pPr>
    </w:p>
    <w:p>
      <w:pPr>
        <w:ind w:left="1424" w:hanging="655"/>
        <w:spacing w:after="0"/>
        <w:tabs>
          <w:tab w:leader="none" w:pos="1424"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adhering to the Company procedures for securing a safe workplace.</w:t>
      </w:r>
    </w:p>
    <w:p>
      <w:pPr>
        <w:spacing w:after="0" w:line="98" w:lineRule="exact"/>
        <w:rPr>
          <w:sz w:val="20"/>
          <w:szCs w:val="20"/>
          <w:color w:val="auto"/>
        </w:rPr>
      </w:pPr>
    </w:p>
    <w:p>
      <w:pPr>
        <w:ind w:left="764"/>
        <w:spacing w:after="0"/>
        <w:rPr>
          <w:sz w:val="20"/>
          <w:szCs w:val="20"/>
          <w:color w:val="auto"/>
        </w:rPr>
      </w:pPr>
      <w:r>
        <w:rPr>
          <w:rFonts w:ascii="Arial" w:cs="Arial" w:eastAsia="Arial" w:hAnsi="Arial"/>
          <w:sz w:val="22"/>
          <w:szCs w:val="22"/>
          <w:color w:val="auto"/>
        </w:rPr>
        <w:t>Further provisions relating to health and safety can be found in the Employee Handbook.</w:t>
      </w:r>
    </w:p>
    <w:p>
      <w:pPr>
        <w:spacing w:after="0" w:line="349" w:lineRule="exact"/>
        <w:rPr>
          <w:sz w:val="20"/>
          <w:szCs w:val="20"/>
          <w:color w:val="auto"/>
        </w:rPr>
      </w:pPr>
    </w:p>
    <w:p>
      <w:pPr>
        <w:ind w:left="764" w:hanging="764"/>
        <w:spacing w:after="0"/>
        <w:tabs>
          <w:tab w:leader="none" w:pos="764"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color w:val="auto"/>
        </w:rPr>
        <w:t>Contracts (Rights of Third Parties) Act 1999</w:t>
      </w:r>
    </w:p>
    <w:p>
      <w:pPr>
        <w:spacing w:after="0" w:line="104" w:lineRule="exact"/>
        <w:rPr>
          <w:rFonts w:ascii="Arial" w:cs="Arial" w:eastAsia="Arial" w:hAnsi="Arial"/>
          <w:sz w:val="22"/>
          <w:szCs w:val="22"/>
          <w:b w:val="1"/>
          <w:bCs w:val="1"/>
          <w:color w:val="auto"/>
        </w:rPr>
      </w:pPr>
    </w:p>
    <w:p>
      <w:pPr>
        <w:ind w:left="764" w:right="340"/>
        <w:spacing w:after="0"/>
        <w:rPr>
          <w:rFonts w:ascii="Arial" w:cs="Arial" w:eastAsia="Arial" w:hAnsi="Arial"/>
          <w:sz w:val="22"/>
          <w:szCs w:val="22"/>
          <w:b w:val="1"/>
          <w:bCs w:val="1"/>
          <w:color w:val="auto"/>
        </w:rPr>
      </w:pPr>
      <w:r>
        <w:rPr>
          <w:rFonts w:ascii="Arial" w:cs="Arial" w:eastAsia="Arial" w:hAnsi="Arial"/>
          <w:sz w:val="22"/>
          <w:szCs w:val="22"/>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04" w:lineRule="exact"/>
        <w:rPr>
          <w:rFonts w:ascii="Arial" w:cs="Arial" w:eastAsia="Arial" w:hAnsi="Arial"/>
          <w:sz w:val="22"/>
          <w:szCs w:val="22"/>
          <w:b w:val="1"/>
          <w:bCs w:val="1"/>
          <w:color w:val="auto"/>
        </w:rPr>
      </w:pPr>
    </w:p>
    <w:p>
      <w:pPr>
        <w:ind w:left="764" w:right="3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This Contract shall be interpreted and construed in accordance with the laws of England and shall be subject to the jurisdiction of the English courts.</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w:t>
      </w:r>
    </w:p>
    <w:p>
      <w:pPr>
        <w:spacing w:after="0" w:line="104" w:lineRule="exact"/>
        <w:rPr>
          <w:rFonts w:ascii="Arial" w:cs="Arial" w:eastAsia="Arial" w:hAnsi="Arial"/>
          <w:sz w:val="22"/>
          <w:szCs w:val="22"/>
          <w:b w:val="1"/>
          <w:bCs w:val="1"/>
          <w:color w:val="auto"/>
        </w:rPr>
      </w:pPr>
    </w:p>
    <w:p>
      <w:pPr>
        <w:ind w:left="764" w:right="500"/>
        <w:spacing w:after="0"/>
        <w:rPr>
          <w:rFonts w:ascii="Arial" w:cs="Arial" w:eastAsia="Arial" w:hAnsi="Arial"/>
          <w:sz w:val="22"/>
          <w:szCs w:val="22"/>
          <w:b w:val="1"/>
          <w:bCs w:val="1"/>
          <w:color w:val="auto"/>
        </w:rPr>
      </w:pPr>
      <w:r>
        <w:rPr>
          <w:rFonts w:ascii="Arial" w:cs="Arial" w:eastAsia="Arial" w:hAnsi="Arial"/>
          <w:sz w:val="22"/>
          <w:szCs w:val="22"/>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your Terms of Employment</w:t>
      </w:r>
    </w:p>
    <w:p>
      <w:pPr>
        <w:spacing w:after="0" w:line="104" w:lineRule="exact"/>
        <w:rPr>
          <w:rFonts w:ascii="Arial" w:cs="Arial" w:eastAsia="Arial" w:hAnsi="Arial"/>
          <w:sz w:val="22"/>
          <w:szCs w:val="22"/>
          <w:b w:val="1"/>
          <w:bCs w:val="1"/>
          <w:color w:val="auto"/>
        </w:rPr>
      </w:pPr>
    </w:p>
    <w:p>
      <w:pPr>
        <w:ind w:left="764" w:right="720"/>
        <w:spacing w:after="0" w:line="328" w:lineRule="auto"/>
        <w:rPr>
          <w:rFonts w:ascii="Arial" w:cs="Arial" w:eastAsia="Arial" w:hAnsi="Arial"/>
          <w:sz w:val="22"/>
          <w:szCs w:val="22"/>
          <w:b w:val="1"/>
          <w:bCs w:val="1"/>
          <w:color w:val="auto"/>
        </w:rPr>
      </w:pPr>
      <w:r>
        <w:rPr>
          <w:rFonts w:ascii="Arial" w:cs="Arial" w:eastAsia="Arial" w:hAnsi="Arial"/>
          <w:sz w:val="19"/>
          <w:szCs w:val="19"/>
          <w:color w:val="auto"/>
        </w:rPr>
        <w:t>The Company reserves the right to make reasonable changes to any of your terms of employment. You will be notified in writing of any change as soon as possible and in any event within one month of the change.</w:t>
      </w:r>
    </w:p>
    <w:p>
      <w:pPr>
        <w:spacing w:after="0" w:line="247" w:lineRule="exact"/>
        <w:rPr>
          <w:rFonts w:ascii="Arial" w:cs="Arial" w:eastAsia="Arial" w:hAnsi="Arial"/>
          <w:sz w:val="22"/>
          <w:szCs w:val="22"/>
          <w:b w:val="1"/>
          <w:bCs w:val="1"/>
          <w:color w:val="auto"/>
        </w:rPr>
      </w:pPr>
    </w:p>
    <w:p>
      <w:pPr>
        <w:ind w:left="764" w:hanging="764"/>
        <w:spacing w:after="0"/>
        <w:tabs>
          <w:tab w:leader="none" w:pos="764"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35.1</w:t>
      </w:r>
      <w:r>
        <w:rPr>
          <w:sz w:val="20"/>
          <w:szCs w:val="20"/>
          <w:color w:val="auto"/>
        </w:rPr>
        <w:tab/>
      </w:r>
      <w:r>
        <w:rPr>
          <w:rFonts w:ascii="Arial" w:cs="Arial" w:eastAsia="Arial" w:hAnsi="Arial"/>
          <w:sz w:val="22"/>
          <w:szCs w:val="22"/>
          <w:color w:val="auto"/>
        </w:rPr>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90" w:lineRule="exact"/>
        <w:rPr>
          <w:sz w:val="20"/>
          <w:szCs w:val="20"/>
          <w:color w:val="auto"/>
        </w:rPr>
      </w:pPr>
    </w:p>
    <w:p>
      <w:pPr>
        <w:ind w:left="764" w:right="80" w:hanging="768"/>
        <w:spacing w:after="0" w:line="328" w:lineRule="auto"/>
        <w:tabs>
          <w:tab w:leader="none" w:pos="744" w:val="left"/>
        </w:tabs>
        <w:rPr>
          <w:sz w:val="20"/>
          <w:szCs w:val="20"/>
          <w:color w:val="auto"/>
        </w:rPr>
      </w:pPr>
      <w:r>
        <w:rPr>
          <w:rFonts w:ascii="Arial" w:cs="Arial" w:eastAsia="Arial" w:hAnsi="Arial"/>
          <w:sz w:val="22"/>
          <w:szCs w:val="22"/>
          <w:color w:val="auto"/>
        </w:rPr>
        <w:t>35.2</w:t>
      </w:r>
      <w:r>
        <w:rPr>
          <w:sz w:val="20"/>
          <w:szCs w:val="20"/>
          <w:color w:val="auto"/>
        </w:rPr>
        <w:tab/>
      </w:r>
      <w:r>
        <w:rPr>
          <w:rFonts w:ascii="Arial" w:cs="Arial" w:eastAsia="Arial" w:hAnsi="Arial"/>
          <w:sz w:val="19"/>
          <w:szCs w:val="19"/>
          <w:color w:val="auto"/>
        </w:rPr>
        <w:t>Unless the contrary shall be proven, each such notice or communication shall be deemed to have been given or made, if sent by first class post, 48 hours after posting and, if delivered by hand, at the time of such delivery.</w:t>
      </w:r>
    </w:p>
    <w:p>
      <w:pPr>
        <w:spacing w:after="0" w:line="247" w:lineRule="exact"/>
        <w:rPr>
          <w:sz w:val="20"/>
          <w:szCs w:val="20"/>
          <w:color w:val="auto"/>
        </w:rPr>
      </w:pPr>
    </w:p>
    <w:p>
      <w:pPr>
        <w:ind w:left="764" w:hanging="764"/>
        <w:spacing w:after="0"/>
        <w:tabs>
          <w:tab w:leader="none" w:pos="764" w:val="left"/>
        </w:tabs>
        <w:numPr>
          <w:ilvl w:val="0"/>
          <w:numId w:val="29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18" w:lineRule="exact"/>
        <w:rPr>
          <w:sz w:val="20"/>
          <w:szCs w:val="20"/>
          <w:color w:val="auto"/>
        </w:rPr>
      </w:pPr>
    </w:p>
    <w:p>
      <w:pPr>
        <w:ind w:left="764" w:right="220" w:hanging="768"/>
        <w:spacing w:after="0"/>
        <w:tabs>
          <w:tab w:leader="none" w:pos="744"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22"/>
          <w:szCs w:val="22"/>
          <w:color w:val="auto"/>
        </w:rPr>
        <w:t>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004"/>
          </w:cols>
          <w:pgMar w:left="436" w:top="267" w:right="459" w:bottom="1440" w:gutter="0" w:footer="0" w:header="0"/>
        </w:sectPr>
      </w:pPr>
    </w:p>
    <w:bookmarkStart w:id="338" w:name="page339"/>
    <w:bookmarkEnd w:id="338"/>
    <w:p>
      <w:pPr>
        <w:ind w:left="764"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36.2</w:t>
      </w:r>
      <w:r>
        <w:rPr>
          <w:sz w:val="20"/>
          <w:szCs w:val="20"/>
          <w:color w:val="auto"/>
        </w:rPr>
        <w:tab/>
      </w:r>
      <w:r>
        <w:rPr>
          <w:rFonts w:ascii="Arial" w:cs="Arial" w:eastAsia="Arial" w:hAnsi="Arial"/>
          <w:sz w:val="22"/>
          <w:szCs w:val="22"/>
          <w:color w:val="auto"/>
        </w:rPr>
        <w:t>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92" w:lineRule="exact"/>
        <w:rPr>
          <w:sz w:val="20"/>
          <w:szCs w:val="20"/>
          <w:color w:val="auto"/>
        </w:rPr>
      </w:pPr>
    </w:p>
    <w:p>
      <w:pPr>
        <w:ind w:left="764" w:right="320" w:hanging="768"/>
        <w:spacing w:after="0" w:line="250" w:lineRule="auto"/>
        <w:tabs>
          <w:tab w:leader="none" w:pos="744"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22"/>
          <w:szCs w:val="22"/>
          <w:color w:val="auto"/>
        </w:rPr>
        <w:t>Each party agrees that it shall have no claim for innocent or negligent misrepresentation or negligent misstatement based on any statement in this Contract.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36.4</w:t>
      </w:r>
      <w:r>
        <w:rPr>
          <w:sz w:val="20"/>
          <w:szCs w:val="20"/>
          <w:color w:val="auto"/>
        </w:rPr>
        <w:tab/>
      </w:r>
      <w:r>
        <w:rPr>
          <w:rFonts w:ascii="Arial" w:cs="Arial" w:eastAsia="Arial" w:hAnsi="Arial"/>
          <w:sz w:val="19"/>
          <w:szCs w:val="19"/>
          <w:color w:val="auto"/>
        </w:rPr>
        <w:t>Nothing in this clause shall limit or exclude any liability for fraud.</w:t>
      </w:r>
    </w:p>
    <w:p>
      <w:pPr>
        <w:spacing w:after="0" w:line="349" w:lineRule="exact"/>
        <w:rPr>
          <w:sz w:val="20"/>
          <w:szCs w:val="20"/>
          <w:color w:val="auto"/>
        </w:rPr>
      </w:pPr>
    </w:p>
    <w:p>
      <w:pPr>
        <w:ind w:left="764" w:hanging="764"/>
        <w:spacing w:after="0"/>
        <w:tabs>
          <w:tab w:leader="none" w:pos="764" w:val="left"/>
        </w:tabs>
        <w:numPr>
          <w:ilvl w:val="0"/>
          <w:numId w:val="298"/>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118" w:lineRule="exact"/>
        <w:rPr>
          <w:sz w:val="20"/>
          <w:szCs w:val="20"/>
          <w:color w:val="auto"/>
        </w:rPr>
      </w:pPr>
    </w:p>
    <w:p>
      <w:pPr>
        <w:ind w:left="764" w:right="520" w:hanging="768"/>
        <w:spacing w:after="0" w:line="328" w:lineRule="auto"/>
        <w:tabs>
          <w:tab w:leader="none" w:pos="744"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19"/>
          <w:szCs w:val="19"/>
          <w:color w:val="auto"/>
        </w:rPr>
        <w:t>This Contract may be executed in any number of counterparts, each of which when executed and delivered shall constitute a duplicate original, but all the counterparts shall together constitute the one agreement.</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37.2</w:t>
      </w:r>
      <w:r>
        <w:rPr>
          <w:sz w:val="20"/>
          <w:szCs w:val="20"/>
          <w:color w:val="auto"/>
        </w:rPr>
        <w:tab/>
      </w:r>
      <w:r>
        <w:rPr>
          <w:rFonts w:ascii="Arial" w:cs="Arial" w:eastAsia="Arial" w:hAnsi="Arial"/>
          <w:sz w:val="19"/>
          <w:szCs w:val="19"/>
          <w:color w:val="auto"/>
        </w:rPr>
        <w:t>No counterpart shall be effective until each party has executed and delivered at least one counterpart.</w:t>
      </w:r>
    </w:p>
    <w:p>
      <w:pPr>
        <w:spacing w:after="0" w:line="139"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0984"/>
          </w:cols>
          <w:pgMar w:left="436" w:top="267" w:right="479" w:bottom="1440" w:gutter="0" w:footer="0" w:header="0"/>
        </w:sectPr>
      </w:pPr>
    </w:p>
    <w:bookmarkStart w:id="339" w:name="page340"/>
    <w:bookmarkEnd w:id="339"/>
    <w:p>
      <w:pPr>
        <w:ind w:left="764" w:hanging="764"/>
        <w:spacing w:after="0"/>
        <w:tabs>
          <w:tab w:leader="none" w:pos="764" w:val="left"/>
        </w:tabs>
        <w:numPr>
          <w:ilvl w:val="0"/>
          <w:numId w:val="299"/>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p>
    <w:p>
      <w:pPr>
        <w:spacing w:after="0" w:line="104" w:lineRule="exact"/>
        <w:rPr>
          <w:rFonts w:ascii="Arial" w:cs="Arial" w:eastAsia="Arial" w:hAnsi="Arial"/>
          <w:sz w:val="22"/>
          <w:szCs w:val="22"/>
          <w:b w:val="1"/>
          <w:bCs w:val="1"/>
          <w:color w:val="auto"/>
        </w:rPr>
      </w:pPr>
    </w:p>
    <w:p>
      <w:pPr>
        <w:ind w:left="764"/>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This document has been executed as a deed and is delivered and takes effect on the date stated at the beginning of it.</w:t>
      </w:r>
    </w:p>
    <w:p>
      <w:pPr>
        <w:sectPr>
          <w:pgSz w:w="11900" w:h="16838" w:orient="portrait"/>
          <w:cols w:equalWidth="0" w:num="1">
            <w:col w:w="10964"/>
          </w:cols>
          <w:pgMar w:left="436" w:top="261" w:right="499" w:bottom="1440" w:gutter="0" w:footer="0" w:header="0"/>
        </w:sect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19"/>
          <w:szCs w:val="19"/>
          <w:color w:val="auto"/>
        </w:rPr>
        <w:t>Signed by Mereo BioPharma</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2"/>
          <w:szCs w:val="22"/>
          <w:color w:val="auto"/>
        </w:rPr>
        <w:t>Group plc acting by:</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
        <w:spacing w:after="0"/>
        <w:rPr>
          <w:sz w:val="20"/>
          <w:szCs w:val="20"/>
          <w:color w:val="auto"/>
        </w:rPr>
      </w:pPr>
      <w:r>
        <w:rPr>
          <w:rFonts w:ascii="Arial" w:cs="Arial" w:eastAsia="Arial" w:hAnsi="Arial"/>
          <w:sz w:val="22"/>
          <w:szCs w:val="22"/>
          <w:color w:val="auto"/>
        </w:rPr>
        <w:t>Signed as a deed by</w:t>
      </w:r>
    </w:p>
    <w:p>
      <w:pPr>
        <w:spacing w:after="0" w:line="200" w:lineRule="exact"/>
        <w:rPr>
          <w:sz w:val="20"/>
          <w:szCs w:val="20"/>
          <w:color w:val="auto"/>
        </w:rPr>
      </w:pPr>
    </w:p>
    <w:p>
      <w:pPr>
        <w:spacing w:after="0" w:line="263"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-613410</wp:posOffset>
            </wp:positionV>
            <wp:extent cx="26574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-158750</wp:posOffset>
            </wp:positionV>
            <wp:extent cx="26574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-154940</wp:posOffset>
            </wp:positionV>
            <wp:extent cx="265747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27" w:lineRule="exact"/>
        <w:rPr>
          <w:sz w:val="20"/>
          <w:szCs w:val="20"/>
          <w:color w:val="auto"/>
        </w:rPr>
      </w:pPr>
    </w:p>
    <w:p>
      <w:pPr>
        <w:ind w:left="1540"/>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265747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3">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288925</wp:posOffset>
            </wp:positionV>
            <wp:extent cx="26574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4">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580390</wp:posOffset>
            </wp:positionV>
            <wp:extent cx="26574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Signature of witness</w:t>
      </w:r>
    </w:p>
    <w:p>
      <w:pPr>
        <w:spacing w:after="0" w:line="28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-154940</wp:posOffset>
            </wp:positionV>
            <wp:extent cx="26574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27" w:lineRule="exact"/>
        <w:rPr>
          <w:sz w:val="20"/>
          <w:szCs w:val="20"/>
          <w:color w:val="auto"/>
        </w:rPr>
      </w:pPr>
    </w:p>
    <w:p>
      <w:pPr>
        <w:ind w:left="1540"/>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26574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- 25 -</w:t>
      </w:r>
    </w:p>
    <w:p>
      <w:pPr>
        <w:sectPr>
          <w:pgSz w:w="11900" w:h="16838" w:orient="portrait"/>
          <w:cols w:equalWidth="0" w:num="2">
            <w:col w:w="4564" w:space="720"/>
            <w:col w:w="5680"/>
          </w:cols>
          <w:pgMar w:left="436" w:top="261" w:right="499" w:bottom="1440" w:gutter="0" w:footer="0" w:header="0"/>
          <w:type w:val="continuous"/>
        </w:sectPr>
      </w:pPr>
    </w:p>
    <w:bookmarkStart w:id="340" w:name="page341"/>
    <w:bookmarkEnd w:id="340"/>
    <w:p>
      <w:pPr>
        <w:ind w:left="4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WRITTEN JOB DESCRIPTION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Employee’s duties and responsibilities shall be as follows:-</w:t>
      </w:r>
    </w:p>
    <w:p>
      <w:pPr>
        <w:spacing w:after="0" w:line="112" w:lineRule="exact"/>
        <w:rPr>
          <w:sz w:val="20"/>
          <w:szCs w:val="20"/>
          <w:color w:val="auto"/>
        </w:rPr>
      </w:pPr>
    </w:p>
    <w:p>
      <w:pPr>
        <w:ind w:left="1300" w:right="240" w:hanging="764"/>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Provides strategic input across the company’s clinical development pipeline, potential new product opportunities and corporate partnering. Critical bridge between clinical development, corporate development and management to ensure optimized portfolio management</w:t>
      </w:r>
    </w:p>
    <w:p>
      <w:pPr>
        <w:spacing w:after="0" w:line="91" w:lineRule="exact"/>
        <w:rPr>
          <w:rFonts w:ascii="Arial" w:cs="Arial" w:eastAsia="Arial" w:hAnsi="Arial"/>
          <w:sz w:val="22"/>
          <w:szCs w:val="22"/>
          <w:color w:val="auto"/>
        </w:rPr>
      </w:pPr>
    </w:p>
    <w:p>
      <w:pPr>
        <w:ind w:left="1300" w:hanging="764"/>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Provide strategic scientific, clinical and commercial input into the development pipeline</w:t>
      </w:r>
    </w:p>
    <w:p>
      <w:pPr>
        <w:spacing w:after="0" w:line="111" w:lineRule="exact"/>
        <w:rPr>
          <w:rFonts w:ascii="Arial" w:cs="Arial" w:eastAsia="Arial" w:hAnsi="Arial"/>
          <w:sz w:val="22"/>
          <w:szCs w:val="22"/>
          <w:color w:val="auto"/>
        </w:rPr>
      </w:pPr>
    </w:p>
    <w:p>
      <w:pPr>
        <w:ind w:left="1300" w:right="40" w:hanging="764"/>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Strong influence and recognized leadership in co-ordination with Clinical Development (including Therapeutic Heads), Translational R&amp;D and Head of Commercial Planning and should be relied upon to provide expert point-of-view for all cross-functional stakeholders</w:t>
      </w:r>
    </w:p>
    <w:p>
      <w:pPr>
        <w:spacing w:after="0" w:line="91" w:lineRule="exact"/>
        <w:rPr>
          <w:rFonts w:ascii="Arial" w:cs="Arial" w:eastAsia="Arial" w:hAnsi="Arial"/>
          <w:sz w:val="22"/>
          <w:szCs w:val="22"/>
          <w:color w:val="auto"/>
        </w:rPr>
      </w:pPr>
    </w:p>
    <w:p>
      <w:pPr>
        <w:ind w:left="1300" w:hanging="764"/>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Support strategic and operational planning initiatives</w:t>
      </w:r>
    </w:p>
    <w:p>
      <w:pPr>
        <w:spacing w:after="0" w:line="111" w:lineRule="exact"/>
        <w:rPr>
          <w:rFonts w:ascii="Arial" w:cs="Arial" w:eastAsia="Arial" w:hAnsi="Arial"/>
          <w:sz w:val="22"/>
          <w:szCs w:val="22"/>
          <w:color w:val="auto"/>
        </w:rPr>
      </w:pPr>
    </w:p>
    <w:p>
      <w:pPr>
        <w:ind w:left="1300" w:hanging="764"/>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Prospective corporate development target identification and Triage</w:t>
      </w:r>
    </w:p>
    <w:p>
      <w:pPr>
        <w:spacing w:after="0" w:line="111" w:lineRule="exact"/>
        <w:rPr>
          <w:rFonts w:ascii="Arial" w:cs="Arial" w:eastAsia="Arial" w:hAnsi="Arial"/>
          <w:sz w:val="22"/>
          <w:szCs w:val="22"/>
          <w:color w:val="auto"/>
        </w:rPr>
      </w:pPr>
    </w:p>
    <w:p>
      <w:pPr>
        <w:ind w:left="1300" w:right="480" w:hanging="764"/>
        <w:spacing w:after="0" w:line="250" w:lineRule="auto"/>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Identify new opportunities/indications for the current development pipeline working alongside the clinical development teams</w:t>
      </w:r>
    </w:p>
    <w:p>
      <w:pPr>
        <w:spacing w:after="0" w:line="80" w:lineRule="exact"/>
        <w:rPr>
          <w:rFonts w:ascii="Arial" w:cs="Arial" w:eastAsia="Arial" w:hAnsi="Arial"/>
          <w:sz w:val="22"/>
          <w:szCs w:val="22"/>
          <w:color w:val="auto"/>
        </w:rPr>
      </w:pPr>
    </w:p>
    <w:p>
      <w:pPr>
        <w:ind w:left="1300" w:right="520" w:hanging="764"/>
        <w:spacing w:after="0" w:line="250" w:lineRule="auto"/>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Identification of and due diligence on potential new external pipeline opportunities working alongside the Corporate Development team</w:t>
      </w:r>
    </w:p>
    <w:p>
      <w:pPr>
        <w:spacing w:after="0" w:line="80" w:lineRule="exact"/>
        <w:rPr>
          <w:rFonts w:ascii="Arial" w:cs="Arial" w:eastAsia="Arial" w:hAnsi="Arial"/>
          <w:sz w:val="22"/>
          <w:szCs w:val="22"/>
          <w:color w:val="auto"/>
        </w:rPr>
      </w:pPr>
    </w:p>
    <w:p>
      <w:pPr>
        <w:ind w:left="1300" w:right="680" w:hanging="764"/>
        <w:spacing w:after="0" w:line="250" w:lineRule="auto"/>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Monitor and assess the competitive landscape for the company’s product portfolio including monitoring developments with key competing programs</w:t>
      </w:r>
    </w:p>
    <w:p>
      <w:pPr>
        <w:spacing w:after="0" w:line="80" w:lineRule="exact"/>
        <w:rPr>
          <w:rFonts w:ascii="Arial" w:cs="Arial" w:eastAsia="Arial" w:hAnsi="Arial"/>
          <w:sz w:val="22"/>
          <w:szCs w:val="22"/>
          <w:color w:val="auto"/>
        </w:rPr>
      </w:pPr>
    </w:p>
    <w:p>
      <w:pPr>
        <w:ind w:left="1300" w:hanging="764"/>
        <w:spacing w:after="0" w:line="250" w:lineRule="auto"/>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Key clinical contact for potential corporate partners - consolidating presentations, due diligence and subsequent alliance management alongside Corporate Development and Therapeutic Heads</w:t>
      </w:r>
    </w:p>
    <w:p>
      <w:pPr>
        <w:spacing w:after="0" w:line="80" w:lineRule="exact"/>
        <w:rPr>
          <w:rFonts w:ascii="Arial" w:cs="Arial" w:eastAsia="Arial" w:hAnsi="Arial"/>
          <w:sz w:val="22"/>
          <w:szCs w:val="22"/>
          <w:color w:val="auto"/>
        </w:rPr>
      </w:pPr>
    </w:p>
    <w:p>
      <w:pPr>
        <w:ind w:left="1300" w:right="60" w:hanging="764"/>
        <w:spacing w:after="0" w:line="274" w:lineRule="auto"/>
        <w:tabs>
          <w:tab w:leader="none" w:pos="130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Delivery of appropriate publications and presentations to raise the external scientific profile for the Company’s portfolio with potential corporate partners and investors, alongside Therapeutic Area Heads</w:t>
      </w:r>
    </w:p>
    <w:p>
      <w:pPr>
        <w:spacing w:after="0" w:line="83" w:lineRule="exact"/>
        <w:rPr>
          <w:rFonts w:ascii="Arial" w:cs="Arial" w:eastAsia="Arial" w:hAnsi="Arial"/>
          <w:sz w:val="21"/>
          <w:szCs w:val="21"/>
          <w:color w:val="auto"/>
        </w:rPr>
      </w:pPr>
    </w:p>
    <w:p>
      <w:pPr>
        <w:ind w:left="5400" w:hanging="130"/>
        <w:spacing w:after="0"/>
        <w:tabs>
          <w:tab w:leader="none" w:pos="5400" w:val="left"/>
        </w:tabs>
        <w:numPr>
          <w:ilvl w:val="1"/>
          <w:numId w:val="300"/>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0940"/>
          </w:cols>
          <w:pgMar w:left="440" w:top="261" w:right="519" w:bottom="1440" w:gutter="0" w:footer="0" w:header="0"/>
        </w:sectPr>
      </w:pPr>
    </w:p>
    <w:bookmarkStart w:id="341" w:name="page342"/>
    <w:bookmarkEnd w:id="341"/>
    <w:p>
      <w:pPr>
        <w:jc w:val="center"/>
        <w:ind w:right="-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06"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CHANGE IN CONTROL AND SEVERANCE</w:t>
      </w:r>
    </w:p>
    <w:p>
      <w:pPr>
        <w:spacing w:after="0" w:line="233" w:lineRule="exact"/>
        <w:rPr>
          <w:sz w:val="20"/>
          <w:szCs w:val="20"/>
          <w:color w:val="auto"/>
        </w:rPr>
      </w:pPr>
    </w:p>
    <w:p>
      <w:pPr>
        <w:ind w:left="764" w:hanging="764"/>
        <w:spacing w:after="0"/>
        <w:tabs>
          <w:tab w:leader="none" w:pos="764" w:val="left"/>
        </w:tabs>
        <w:numPr>
          <w:ilvl w:val="0"/>
          <w:numId w:val="301"/>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w:t>
      </w:r>
    </w:p>
    <w:p>
      <w:pPr>
        <w:spacing w:after="0" w:line="118" w:lineRule="exact"/>
        <w:rPr>
          <w:sz w:val="20"/>
          <w:szCs w:val="20"/>
          <w:color w:val="auto"/>
        </w:rPr>
      </w:pPr>
    </w:p>
    <w:p>
      <w:pPr>
        <w:ind w:left="764" w:hanging="768"/>
        <w:spacing w:after="0" w:line="236" w:lineRule="auto"/>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The Board recognizes that the possibility of an acquisition of the Company or an involuntary termination can be a distraction to you and can cause you to consider alternative employment opportunities. The Board has determined that it is in the best interests of Mereo BioPharma Group plc (the “</w:t>
      </w:r>
      <w:r>
        <w:rPr>
          <w:rFonts w:ascii="Arial" w:cs="Arial" w:eastAsia="Arial" w:hAnsi="Arial"/>
          <w:sz w:val="22"/>
          <w:szCs w:val="22"/>
          <w:b w:val="1"/>
          <w:bCs w:val="1"/>
          <w:color w:val="auto"/>
        </w:rPr>
        <w:t>Company</w:t>
      </w:r>
      <w:r>
        <w:rPr>
          <w:rFonts w:ascii="Arial" w:cs="Arial" w:eastAsia="Arial" w:hAnsi="Arial"/>
          <w:sz w:val="22"/>
          <w:szCs w:val="22"/>
          <w:color w:val="auto"/>
        </w:rPr>
        <w:t>”) and its shareholders to assure that the Company will have your continued dedication and objectivity, notwithstanding the possibility, threat or occurrence of such an event.</w:t>
      </w:r>
    </w:p>
    <w:p>
      <w:pPr>
        <w:spacing w:after="0" w:line="93"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Board believes that it is in the best interests of the Company to provide you with an incentive to continue your employment and to motivate you to maximize the value of the Company upon a Change in Control (as defined below) for the benefit of the Company’s shareholders.</w:t>
      </w:r>
    </w:p>
    <w:p>
      <w:pPr>
        <w:spacing w:after="0" w:line="92" w:lineRule="exact"/>
        <w:rPr>
          <w:sz w:val="20"/>
          <w:szCs w:val="20"/>
          <w:color w:val="auto"/>
        </w:rPr>
      </w:pPr>
    </w:p>
    <w:p>
      <w:pPr>
        <w:jc w:val="both"/>
        <w:ind w:left="764" w:right="460" w:hanging="768"/>
        <w:spacing w:after="0" w:line="257" w:lineRule="auto"/>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The Board believes that it is imperative to provide you with severance benefits upon certain terminations of your service to the Company that enhance your financial security and provide incentive and encouragement to you to remain with the Company notwithstanding the possibility of such an event.</w:t>
      </w:r>
    </w:p>
    <w:p>
      <w:pPr>
        <w:spacing w:after="0" w:line="7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otherwise defined herein, capitalized terms used in this Agreement are defined in paragraph 5 below.</w:t>
      </w:r>
    </w:p>
    <w:p>
      <w:pPr>
        <w:spacing w:after="0" w:line="112" w:lineRule="exact"/>
        <w:rPr>
          <w:sz w:val="20"/>
          <w:szCs w:val="20"/>
          <w:color w:val="auto"/>
        </w:rPr>
      </w:pPr>
    </w:p>
    <w:p>
      <w:pPr>
        <w:ind w:left="764" w:right="680" w:hanging="768"/>
        <w:spacing w:after="0" w:line="328" w:lineRule="auto"/>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You agree that the Contract is amended to insert the provisions below. In the event of any conflict between the provisions of the Contract and this Schedule II, the provisions of this Schedule II shall prevail.</w:t>
      </w:r>
    </w:p>
    <w:p>
      <w:pPr>
        <w:spacing w:after="0" w:line="247" w:lineRule="exact"/>
        <w:rPr>
          <w:sz w:val="20"/>
          <w:szCs w:val="20"/>
          <w:color w:val="auto"/>
        </w:rPr>
      </w:pPr>
    </w:p>
    <w:p>
      <w:pPr>
        <w:ind w:left="764" w:hanging="764"/>
        <w:spacing w:after="0"/>
        <w:tabs>
          <w:tab w:leader="none" w:pos="764" w:val="left"/>
        </w:tabs>
        <w:numPr>
          <w:ilvl w:val="0"/>
          <w:numId w:val="302"/>
        </w:numPr>
        <w:rPr>
          <w:rFonts w:ascii="Arial" w:cs="Arial" w:eastAsia="Arial" w:hAnsi="Arial"/>
          <w:sz w:val="22"/>
          <w:szCs w:val="22"/>
          <w:b w:val="1"/>
          <w:bCs w:val="1"/>
          <w:color w:val="auto"/>
        </w:rPr>
      </w:pPr>
      <w:r>
        <w:rPr>
          <w:rFonts w:ascii="Arial" w:cs="Arial" w:eastAsia="Arial" w:hAnsi="Arial"/>
          <w:sz w:val="22"/>
          <w:szCs w:val="22"/>
          <w:b w:val="1"/>
          <w:bCs w:val="1"/>
          <w:color w:val="auto"/>
        </w:rPr>
        <w:t>Covered Termination During a Change in Control Period</w:t>
      </w:r>
    </w:p>
    <w:p>
      <w:pPr>
        <w:spacing w:after="0" w:line="118" w:lineRule="exact"/>
        <w:rPr>
          <w:sz w:val="20"/>
          <w:szCs w:val="20"/>
          <w:color w:val="auto"/>
        </w:rPr>
      </w:pPr>
    </w:p>
    <w:p>
      <w:pPr>
        <w:ind w:left="764" w:hanging="768"/>
        <w:spacing w:after="0" w:line="279" w:lineRule="auto"/>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If you experience a Covered Termination during a Change in Control Period, then, subject to (i) you delivering to the Company an executed Settlement Agreement that becomes effective and irrevocable in accordance with paragraph 9.1 below, or such shorter period of time specified by the Company, following such Covered Termination and (ii) your continued compliance with clauses 16, 17 and 21 of the Contract, then in addition to any accrued but unpaid salary, benefits, holiday and expense reimbursements through the Covered Termination Date payable in accordance with applicable law, the Company shall provide you with the following:</w:t>
      </w:r>
    </w:p>
    <w:p>
      <w:pPr>
        <w:spacing w:after="0" w:line="56" w:lineRule="exact"/>
        <w:rPr>
          <w:sz w:val="20"/>
          <w:szCs w:val="20"/>
          <w:color w:val="auto"/>
        </w:rPr>
      </w:pPr>
    </w:p>
    <w:p>
      <w:pPr>
        <w:ind w:left="2204" w:right="40" w:hanging="768"/>
        <w:spacing w:after="0" w:line="234" w:lineRule="auto"/>
        <w:tabs>
          <w:tab w:leader="none" w:pos="218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color w:val="auto"/>
        </w:rPr>
        <w:t>The Company shall pay you an amount equal to the sum of (i) your annual base salary at the rate in effect immediately prior to the Covered Termination Date during the period of time commencing on the Covered Termination Date and ending on the twelve (12)-month anniversary thereof and (ii) your target annual bonus assuming achievement of performance goals at one hundred percent (100%) of target, payable in a cash lump sum, less applicable withholdings, on the first payroll date following the date the Settlement Agreement becomes effective and irrevocable in accordance with paragraph 9.1 below.</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0984"/>
          </w:cols>
          <w:pgMar w:left="436" w:top="261" w:right="479" w:bottom="1440" w:gutter="0" w:footer="0" w:header="0"/>
        </w:sectPr>
      </w:pPr>
    </w:p>
    <w:bookmarkStart w:id="342" w:name="page343"/>
    <w:bookmarkEnd w:id="342"/>
    <w:p>
      <w:pPr>
        <w:ind w:left="2204" w:right="100" w:hanging="768"/>
        <w:spacing w:after="0" w:line="282" w:lineRule="auto"/>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r>
      <w:r>
        <w:rPr>
          <w:sz w:val="20"/>
          <w:szCs w:val="20"/>
          <w:color w:val="auto"/>
        </w:rPr>
        <w:tab/>
      </w:r>
      <w:r>
        <w:rPr>
          <w:rFonts w:ascii="Arial" w:cs="Arial" w:eastAsia="Arial" w:hAnsi="Arial"/>
          <w:sz w:val="19"/>
          <w:szCs w:val="19"/>
          <w:color w:val="auto"/>
        </w:rPr>
        <w:t>Each outstanding and unvested equity award held in the Company that vests solely based on the passage of time held by you as of the Covered Termination Date shall automatically become vested and, if applicable, exercisable and any forfeiture restrictions or rights of repurchase thereon shall immediately lapse with respect to one percent (100%) of the ordinary shares of the Company subject thereto, as of immediately prior to the Covered Termination Date.</w:t>
      </w:r>
    </w:p>
    <w:p>
      <w:pPr>
        <w:spacing w:after="0" w:line="290" w:lineRule="exact"/>
        <w:rPr>
          <w:sz w:val="20"/>
          <w:szCs w:val="20"/>
          <w:color w:val="auto"/>
        </w:rPr>
      </w:pPr>
    </w:p>
    <w:p>
      <w:pPr>
        <w:ind w:left="764" w:hanging="764"/>
        <w:spacing w:after="0"/>
        <w:tabs>
          <w:tab w:leader="none" w:pos="764" w:val="left"/>
        </w:tabs>
        <w:numPr>
          <w:ilvl w:val="0"/>
          <w:numId w:val="303"/>
        </w:numPr>
        <w:rPr>
          <w:rFonts w:ascii="Arial" w:cs="Arial" w:eastAsia="Arial" w:hAnsi="Arial"/>
          <w:sz w:val="22"/>
          <w:szCs w:val="22"/>
          <w:b w:val="1"/>
          <w:bCs w:val="1"/>
          <w:color w:val="auto"/>
        </w:rPr>
      </w:pPr>
      <w:r>
        <w:rPr>
          <w:rFonts w:ascii="Arial" w:cs="Arial" w:eastAsia="Arial" w:hAnsi="Arial"/>
          <w:sz w:val="22"/>
          <w:szCs w:val="22"/>
          <w:b w:val="1"/>
          <w:bCs w:val="1"/>
          <w:color w:val="auto"/>
        </w:rPr>
        <w:t>Certain Reduction</w:t>
      </w:r>
    </w:p>
    <w:p>
      <w:pPr>
        <w:spacing w:after="0" w:line="118" w:lineRule="exact"/>
        <w:rPr>
          <w:sz w:val="20"/>
          <w:szCs w:val="20"/>
          <w:color w:val="auto"/>
        </w:rPr>
      </w:pPr>
    </w:p>
    <w:p>
      <w:pPr>
        <w:ind w:left="764" w:hanging="768"/>
        <w:spacing w:after="0" w:line="273" w:lineRule="auto"/>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Notwithstanding anything herein to the contrary, the Company shall reduce your severance benefits under this Schedule II, in whole or in part, by any other severance benefits, pay in lieu of notice, or other similar benefits payable to you by the Company in connection with your termination, including but not limited to payments or benefits</w:t>
      </w:r>
    </w:p>
    <w:p>
      <w:pPr>
        <w:spacing w:after="0" w:line="1" w:lineRule="exact"/>
        <w:rPr>
          <w:sz w:val="20"/>
          <w:szCs w:val="20"/>
          <w:color w:val="auto"/>
        </w:rPr>
      </w:pPr>
    </w:p>
    <w:p>
      <w:pPr>
        <w:ind w:left="764" w:right="280"/>
        <w:spacing w:after="0" w:line="233" w:lineRule="auto"/>
        <w:rPr>
          <w:sz w:val="20"/>
          <w:szCs w:val="20"/>
          <w:color w:val="auto"/>
        </w:rPr>
      </w:pPr>
      <w:r>
        <w:rPr>
          <w:rFonts w:ascii="Arial" w:cs="Arial" w:eastAsia="Arial" w:hAnsi="Arial"/>
          <w:sz w:val="22"/>
          <w:szCs w:val="22"/>
          <w:color w:val="auto"/>
        </w:rPr>
        <w:t>(a) pursuant to clause 18 of the Contract; (b) required by applicable law or (c) any applicable clawback policy. The benefits provided under this Schedule II are intended to satisfy, to the greatest extent possible, any and all statutory obligations that may arise out of your termination of employment. Such reductions shall be applied on a retroactive basis, with severance benefits paid first in time being recharacterized as payments pursuant to the Company’s statutory obligation.</w:t>
      </w:r>
    </w:p>
    <w:p>
      <w:pPr>
        <w:spacing w:after="0" w:line="327" w:lineRule="exact"/>
        <w:rPr>
          <w:sz w:val="20"/>
          <w:szCs w:val="20"/>
          <w:color w:val="auto"/>
        </w:rPr>
      </w:pPr>
    </w:p>
    <w:p>
      <w:pPr>
        <w:ind w:left="764" w:hanging="764"/>
        <w:spacing w:after="0"/>
        <w:tabs>
          <w:tab w:leader="none" w:pos="764" w:val="left"/>
        </w:tabs>
        <w:numPr>
          <w:ilvl w:val="0"/>
          <w:numId w:val="304"/>
        </w:numPr>
        <w:rPr>
          <w:rFonts w:ascii="Arial" w:cs="Arial" w:eastAsia="Arial" w:hAnsi="Arial"/>
          <w:sz w:val="22"/>
          <w:szCs w:val="22"/>
          <w:b w:val="1"/>
          <w:bCs w:val="1"/>
          <w:color w:val="auto"/>
        </w:rPr>
      </w:pPr>
      <w:r>
        <w:rPr>
          <w:rFonts w:ascii="Arial" w:cs="Arial" w:eastAsia="Arial" w:hAnsi="Arial"/>
          <w:sz w:val="22"/>
          <w:szCs w:val="22"/>
          <w:b w:val="1"/>
          <w:bCs w:val="1"/>
          <w:color w:val="auto"/>
        </w:rPr>
        <w:t>Deemed Resignation</w:t>
      </w:r>
    </w:p>
    <w:p>
      <w:pPr>
        <w:spacing w:after="0" w:line="118" w:lineRule="exact"/>
        <w:rPr>
          <w:sz w:val="20"/>
          <w:szCs w:val="20"/>
          <w:color w:val="auto"/>
        </w:rPr>
      </w:pPr>
    </w:p>
    <w:p>
      <w:pPr>
        <w:ind w:left="764" w:right="700" w:hanging="768"/>
        <w:spacing w:after="0" w:line="250" w:lineRule="auto"/>
        <w:tabs>
          <w:tab w:leader="none" w:pos="744"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provisions of clause 18.4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30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have the meaning set out in clause 19.1 of the Contract.</w:t>
      </w:r>
    </w:p>
    <w:p>
      <w:pPr>
        <w:spacing w:after="0" w:line="112" w:lineRule="exact"/>
        <w:rPr>
          <w:sz w:val="20"/>
          <w:szCs w:val="20"/>
          <w:color w:val="auto"/>
        </w:rPr>
      </w:pPr>
    </w:p>
    <w:p>
      <w:pPr>
        <w:ind w:left="764" w:right="120" w:hanging="768"/>
        <w:spacing w:after="0" w:line="273" w:lineRule="auto"/>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(i) the acquisition by any person or group of affiliated or associated persons of more than fifty percent (50%) of the outstanding capital shares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w:t>
      </w:r>
    </w:p>
    <w:p>
      <w:pPr>
        <w:spacing w:after="0" w:line="2" w:lineRule="exact"/>
        <w:rPr>
          <w:sz w:val="20"/>
          <w:szCs w:val="20"/>
          <w:color w:val="auto"/>
        </w:rPr>
      </w:pPr>
    </w:p>
    <w:p>
      <w:pPr>
        <w:ind w:left="764" w:firstLine="5"/>
        <w:spacing w:after="0" w:line="266" w:lineRule="auto"/>
        <w:tabs>
          <w:tab w:leader="none" w:pos="1142"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consummation of any merger involving the Company in which, immediately after giving effect to such merger, less than a majority of the total voting power of outstanding stock of the surviving or resulting entity is then “beneficially owned”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w:t>
      </w:r>
    </w:p>
    <w:p>
      <w:pPr>
        <w:spacing w:after="0" w:line="4" w:lineRule="exact"/>
        <w:rPr>
          <w:rFonts w:ascii="Arial" w:cs="Arial" w:eastAsia="Arial" w:hAnsi="Arial"/>
          <w:sz w:val="19"/>
          <w:szCs w:val="19"/>
          <w:color w:val="auto"/>
        </w:rPr>
      </w:pPr>
    </w:p>
    <w:p>
      <w:pPr>
        <w:ind w:left="764" w:right="80"/>
        <w:spacing w:after="0" w:line="232" w:lineRule="auto"/>
        <w:rPr>
          <w:rFonts w:ascii="Arial" w:cs="Arial" w:eastAsia="Arial" w:hAnsi="Arial"/>
          <w:sz w:val="19"/>
          <w:szCs w:val="19"/>
          <w:color w:val="auto"/>
        </w:rPr>
      </w:pPr>
      <w:r>
        <w:rPr>
          <w:rFonts w:ascii="Arial" w:cs="Arial" w:eastAsia="Arial" w:hAnsi="Arial"/>
          <w:sz w:val="22"/>
          <w:szCs w:val="22"/>
          <w:color w:val="auto"/>
        </w:rPr>
        <w:t>(B)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In the event of any conflict between the provisions of this clause 5.2 of Schedule II and the provisions of the Mereo Equity Incentive Plan, the terms of this Schedule II shall prevail.</w:t>
      </w:r>
    </w:p>
    <w:p>
      <w:pPr>
        <w:spacing w:after="0" w:line="121" w:lineRule="exact"/>
        <w:rPr>
          <w:rFonts w:ascii="Arial" w:cs="Arial" w:eastAsia="Arial" w:hAnsi="Arial"/>
          <w:sz w:val="19"/>
          <w:szCs w:val="19"/>
          <w:color w:val="auto"/>
        </w:rPr>
      </w:pPr>
    </w:p>
    <w:p>
      <w:pPr>
        <w:ind w:left="5404" w:hanging="130"/>
        <w:spacing w:after="0"/>
        <w:tabs>
          <w:tab w:leader="none" w:pos="5404" w:val="left"/>
        </w:tabs>
        <w:numPr>
          <w:ilvl w:val="1"/>
          <w:numId w:val="306"/>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004"/>
          </w:cols>
          <w:pgMar w:left="436" w:top="267" w:right="459" w:bottom="1440" w:gutter="0" w:footer="0" w:header="0"/>
        </w:sectPr>
      </w:pPr>
    </w:p>
    <w:bookmarkStart w:id="343" w:name="page344"/>
    <w:bookmarkEnd w:id="343"/>
    <w:p>
      <w:pPr>
        <w:ind w:left="764" w:right="20" w:hanging="768"/>
        <w:spacing w:after="0" w:line="256"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means the period commencing on a Change in Control and ending 12 months after such Change in Control.</w:t>
      </w:r>
    </w:p>
    <w:p>
      <w:pPr>
        <w:spacing w:after="0" w:line="68" w:lineRule="exact"/>
        <w:rPr>
          <w:sz w:val="20"/>
          <w:szCs w:val="20"/>
          <w:color w:val="auto"/>
        </w:rPr>
      </w:pPr>
    </w:p>
    <w:p>
      <w:pPr>
        <w:ind w:left="764" w:right="100" w:hanging="768"/>
        <w:spacing w:after="0" w:line="256" w:lineRule="auto"/>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Covered Termination</w:t>
      </w:r>
      <w:r>
        <w:rPr>
          <w:rFonts w:ascii="Arial" w:cs="Arial" w:eastAsia="Arial" w:hAnsi="Arial"/>
          <w:sz w:val="22"/>
          <w:szCs w:val="22"/>
          <w:color w:val="auto"/>
        </w:rPr>
        <w:t>” means the termination of your employment by the Company other than for Cause or by you for Good Reason, and shall not include a termination due to your death or disability.</w:t>
      </w:r>
    </w:p>
    <w:p>
      <w:pPr>
        <w:spacing w:after="0" w:line="6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Termination Date</w:t>
      </w:r>
      <w:r>
        <w:rPr>
          <w:rFonts w:ascii="Arial" w:cs="Arial" w:eastAsia="Arial" w:hAnsi="Arial"/>
          <w:sz w:val="19"/>
          <w:szCs w:val="19"/>
          <w:color w:val="auto"/>
        </w:rPr>
        <w:t>” means the date on which you experience a Covered Termination.</w:t>
      </w:r>
    </w:p>
    <w:p>
      <w:pPr>
        <w:spacing w:after="0" w:line="112" w:lineRule="exact"/>
        <w:rPr>
          <w:sz w:val="20"/>
          <w:szCs w:val="20"/>
          <w:color w:val="auto"/>
        </w:rPr>
      </w:pPr>
    </w:p>
    <w:p>
      <w:pPr>
        <w:ind w:left="764" w:right="200" w:hanging="768"/>
        <w:spacing w:after="0" w:line="272" w:lineRule="auto"/>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your resignation from employment with the Company after the occurrence, without your written consent, of any of the following: (i) a material reduction in your authorities, duties and responsibilities; (ii) a material reduction by the Company in your base salary from your base salary in effect immediately prior to such reduction, except in connection with a reduction in salary affecting all senior management employees of the Group Company; or (iii) a relocation of your office that increases your one-way commute by more than thirty-five</w:t>
      </w:r>
    </w:p>
    <w:p>
      <w:pPr>
        <w:spacing w:after="0" w:line="1" w:lineRule="exact"/>
        <w:rPr>
          <w:sz w:val="20"/>
          <w:szCs w:val="20"/>
          <w:color w:val="auto"/>
        </w:rPr>
      </w:pPr>
    </w:p>
    <w:p>
      <w:pPr>
        <w:ind w:left="764" w:firstLine="5"/>
        <w:spacing w:after="0" w:line="266" w:lineRule="auto"/>
        <w:tabs>
          <w:tab w:leader="none" w:pos="1178" w:val="left"/>
        </w:tabs>
        <w:numPr>
          <w:ilvl w:val="0"/>
          <w:numId w:val="307"/>
        </w:numPr>
        <w:rPr>
          <w:rFonts w:ascii="Arial" w:cs="Arial" w:eastAsia="Arial" w:hAnsi="Arial"/>
          <w:sz w:val="19"/>
          <w:szCs w:val="19"/>
          <w:color w:val="auto"/>
        </w:rPr>
      </w:pPr>
      <w:r>
        <w:rPr>
          <w:rFonts w:ascii="Arial" w:cs="Arial" w:eastAsia="Arial" w:hAnsi="Arial"/>
          <w:sz w:val="19"/>
          <w:szCs w:val="19"/>
          <w:color w:val="auto"/>
        </w:rPr>
        <w:t>miles, except that required travel on the Company’s business to an extent substantially consistent with your historical business travel obligations shall not be considered a relocation. Notwithstanding the foregoing, a resignation shall not be for “Good Reason” unless the event or condition giving rise to such resignation continues more than thirty</w:t>
      </w:r>
    </w:p>
    <w:p>
      <w:pPr>
        <w:spacing w:after="0" w:line="2" w:lineRule="exact"/>
        <w:rPr>
          <w:rFonts w:ascii="Arial" w:cs="Arial" w:eastAsia="Arial" w:hAnsi="Arial"/>
          <w:sz w:val="19"/>
          <w:szCs w:val="19"/>
          <w:color w:val="auto"/>
        </w:rPr>
      </w:pPr>
    </w:p>
    <w:p>
      <w:pPr>
        <w:ind w:left="764" w:right="120" w:firstLine="5"/>
        <w:spacing w:after="0" w:line="234" w:lineRule="auto"/>
        <w:tabs>
          <w:tab w:leader="none" w:pos="1178" w:val="left"/>
        </w:tabs>
        <w:numPr>
          <w:ilvl w:val="0"/>
          <w:numId w:val="308"/>
        </w:numPr>
        <w:rPr>
          <w:rFonts w:ascii="Arial" w:cs="Arial" w:eastAsia="Arial" w:hAnsi="Arial"/>
          <w:sz w:val="22"/>
          <w:szCs w:val="22"/>
          <w:color w:val="auto"/>
        </w:rPr>
      </w:pPr>
      <w:r>
        <w:rPr>
          <w:rFonts w:ascii="Arial" w:cs="Arial" w:eastAsia="Arial" w:hAnsi="Arial"/>
          <w:sz w:val="22"/>
          <w:szCs w:val="22"/>
          <w:color w:val="auto"/>
        </w:rPr>
        <w:t>days following your written notice of such condition provided to the Company within sixty (60) days of the first occurrence of such event or condition and such resignation is effective within thirty (30) days following the end of such notice period.</w:t>
      </w:r>
    </w:p>
    <w:p>
      <w:pPr>
        <w:spacing w:after="0" w:line="87" w:lineRule="exact"/>
        <w:rPr>
          <w:sz w:val="20"/>
          <w:szCs w:val="20"/>
          <w:color w:val="auto"/>
        </w:rPr>
      </w:pPr>
    </w:p>
    <w:p>
      <w:pPr>
        <w:ind w:left="764" w:right="620" w:hanging="768"/>
        <w:spacing w:after="0" w:line="256" w:lineRule="auto"/>
        <w:tabs>
          <w:tab w:leader="none" w:pos="744"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Settlement Agreement</w:t>
      </w:r>
      <w:r>
        <w:rPr>
          <w:rFonts w:ascii="Arial" w:cs="Arial" w:eastAsia="Arial" w:hAnsi="Arial"/>
          <w:sz w:val="22"/>
          <w:szCs w:val="22"/>
          <w:color w:val="auto"/>
        </w:rPr>
        <w:t>” means an appropriate waiver of all claims against the Company in a form reasonably acceptable to the Company.</w:t>
      </w:r>
    </w:p>
    <w:p>
      <w:pPr>
        <w:spacing w:after="0" w:line="311" w:lineRule="exact"/>
        <w:rPr>
          <w:sz w:val="20"/>
          <w:szCs w:val="20"/>
          <w:color w:val="auto"/>
        </w:rPr>
      </w:pPr>
    </w:p>
    <w:p>
      <w:pPr>
        <w:ind w:left="764" w:hanging="764"/>
        <w:spacing w:after="0"/>
        <w:tabs>
          <w:tab w:leader="none" w:pos="764" w:val="left"/>
        </w:tabs>
        <w:numPr>
          <w:ilvl w:val="0"/>
          <w:numId w:val="309"/>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p>
    <w:p>
      <w:pPr>
        <w:spacing w:after="0" w:line="118"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Any successor to the Company (whether direct or indirect and whether by purchase, merger, consolidation, liquidation or otherwise) to all or substantially all of the Company’s business or assets shall assume the obligations under this Schedule II and agree expressly to perform the obligations under this Schedule II in the same manner and to the same extent as the Company would be required to perform such obligations in the absence of a succession. For all purposes under this Schedule II, the term “Company” shall include any successor to the Company’s business or assets which executes and delivers the assumption agreement described in this paragraph 6.1 or which becomes bound by the terms of this Schedule II by operation of law.</w:t>
      </w:r>
    </w:p>
    <w:p>
      <w:pPr>
        <w:spacing w:after="0" w:line="90" w:lineRule="exact"/>
        <w:rPr>
          <w:sz w:val="20"/>
          <w:szCs w:val="20"/>
          <w:color w:val="auto"/>
        </w:rPr>
      </w:pPr>
    </w:p>
    <w:p>
      <w:pPr>
        <w:jc w:val="right"/>
        <w:ind w:left="4" w:right="500"/>
        <w:spacing w:after="0" w:line="328" w:lineRule="auto"/>
        <w:rPr>
          <w:sz w:val="20"/>
          <w:szCs w:val="20"/>
          <w:color w:val="auto"/>
        </w:rPr>
      </w:pPr>
      <w:r>
        <w:rPr>
          <w:rFonts w:ascii="Arial" w:cs="Arial" w:eastAsia="Arial" w:hAnsi="Arial"/>
          <w:sz w:val="19"/>
          <w:szCs w:val="19"/>
          <w:color w:val="auto"/>
        </w:rPr>
        <w:t>6.2     The terms of this Schedule II and your rights hereunder shall inure to the benefit of, and be enforceable by, your personal or legal representatives, executors, administrators, successors, heirs, distributees, devisees and legatees.</w:t>
      </w:r>
    </w:p>
    <w:p>
      <w:pPr>
        <w:spacing w:after="0" w:line="247" w:lineRule="exact"/>
        <w:rPr>
          <w:sz w:val="20"/>
          <w:szCs w:val="20"/>
          <w:color w:val="auto"/>
        </w:rPr>
      </w:pPr>
    </w:p>
    <w:p>
      <w:pPr>
        <w:ind w:left="764" w:hanging="764"/>
        <w:spacing w:after="0"/>
        <w:tabs>
          <w:tab w:leader="none" w:pos="764" w:val="left"/>
        </w:tabs>
        <w:numPr>
          <w:ilvl w:val="0"/>
          <w:numId w:val="310"/>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right="860" w:hanging="768"/>
        <w:spacing w:after="0" w:line="250"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provisions of clause 35 of the Contract shall apply to this Schedule II as if references to the Contract are references to this Schedule II.</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004"/>
          </w:cols>
          <w:pgMar w:left="436" w:top="261" w:right="459" w:bottom="1440" w:gutter="0" w:footer="0" w:header="0"/>
        </w:sectPr>
      </w:pPr>
    </w:p>
    <w:bookmarkStart w:id="344" w:name="page345"/>
    <w:bookmarkEnd w:id="344"/>
    <w:p>
      <w:pPr>
        <w:ind w:left="764" w:hanging="764"/>
        <w:spacing w:after="0"/>
        <w:tabs>
          <w:tab w:leader="none" w:pos="764" w:val="left"/>
        </w:tabs>
        <w:numPr>
          <w:ilvl w:val="0"/>
          <w:numId w:val="311"/>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p>
    <w:p>
      <w:pPr>
        <w:spacing w:after="0" w:line="118"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The provisions of clauses 32 and 33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31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Notwithstanding anything to the contrary in this Schedule II, to the extent that any payments due under this Schedule</w:t>
      </w:r>
    </w:p>
    <w:p>
      <w:pPr>
        <w:spacing w:after="0" w:line="8" w:lineRule="exact"/>
        <w:rPr>
          <w:sz w:val="20"/>
          <w:szCs w:val="20"/>
          <w:color w:val="auto"/>
        </w:rPr>
      </w:pPr>
    </w:p>
    <w:p>
      <w:pPr>
        <w:ind w:left="764" w:firstLine="5"/>
        <w:spacing w:after="0" w:line="243" w:lineRule="auto"/>
        <w:tabs>
          <w:tab w:leader="none" w:pos="962" w:val="left"/>
        </w:tabs>
        <w:numPr>
          <w:ilvl w:val="0"/>
          <w:numId w:val="313"/>
        </w:numPr>
        <w:rPr>
          <w:rFonts w:ascii="Arial" w:cs="Arial" w:eastAsia="Arial" w:hAnsi="Arial"/>
          <w:sz w:val="21"/>
          <w:szCs w:val="21"/>
          <w:color w:val="auto"/>
        </w:rPr>
      </w:pPr>
      <w:r>
        <w:rPr>
          <w:rFonts w:ascii="Arial" w:cs="Arial" w:eastAsia="Arial" w:hAnsi="Arial"/>
          <w:sz w:val="21"/>
          <w:szCs w:val="21"/>
          <w:color w:val="auto"/>
        </w:rPr>
        <w:t>as a result of your termination of employment are subject to your execution and delivery of a Settlement Agreement, (A) if you fail to execute the Settlement Agreement on or prior to the Settlement Agreement Expiration Date (as defined below) or the Settlement Agreement does not become effective and irrevocable within 60 days following the Covered Termination Date (or such shorter period specified by the Company), you shall not be entitled to any payments or benefits otherwise conditioned on the Settlement Agreement, and (B) in any case where your Covered Termination Date and the last day the Settlement Agreement may be considered or, if applicable, revoked fall in two separate taxable years, any payments required to be made to you that are conditioned on the Settlement Agreement shall commence or be made in the later taxable year. For purposes hereof, “</w:t>
      </w:r>
      <w:r>
        <w:rPr>
          <w:rFonts w:ascii="Arial" w:cs="Arial" w:eastAsia="Arial" w:hAnsi="Arial"/>
          <w:sz w:val="21"/>
          <w:szCs w:val="21"/>
          <w:b w:val="1"/>
          <w:bCs w:val="1"/>
          <w:color w:val="auto"/>
        </w:rPr>
        <w:t>Settlement Expiration Date</w:t>
      </w:r>
      <w:r>
        <w:rPr>
          <w:rFonts w:ascii="Arial" w:cs="Arial" w:eastAsia="Arial" w:hAnsi="Arial"/>
          <w:sz w:val="21"/>
          <w:szCs w:val="21"/>
          <w:color w:val="auto"/>
        </w:rPr>
        <w:t>” shall mean the date that is twenty one (21) days following the date upon which the Company timely delivers the Settlement Agreement to you.</w:t>
      </w:r>
    </w:p>
    <w:p>
      <w:pPr>
        <w:spacing w:after="0" w:line="88" w:lineRule="exact"/>
        <w:rPr>
          <w:sz w:val="20"/>
          <w:szCs w:val="20"/>
          <w:color w:val="auto"/>
        </w:rPr>
      </w:pPr>
    </w:p>
    <w:p>
      <w:pPr>
        <w:ind w:left="764" w:right="680" w:hanging="768"/>
        <w:spacing w:after="0" w:line="250"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The Company shall be entitled to withhold from any amounts payable under this Schedule any local or foreign withholding or other taxes or charges which the Company is required to withhold.</w:t>
      </w:r>
    </w:p>
    <w:p>
      <w:pPr>
        <w:spacing w:after="0" w:line="80" w:lineRule="exact"/>
        <w:rPr>
          <w:sz w:val="20"/>
          <w:szCs w:val="20"/>
          <w:color w:val="auto"/>
        </w:rPr>
      </w:pPr>
    </w:p>
    <w:p>
      <w:pPr>
        <w:jc w:val="both"/>
        <w:ind w:left="764" w:right="40" w:hanging="768"/>
        <w:spacing w:after="0" w:line="287" w:lineRule="auto"/>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No provision of this Schedule II shall be modified, waived or discharged unless the modification, waiver or discharge is agreed to in writing and signed by you and by an authorized officer of the Company (other than you). No waiver by either party of any breach of, or of compliance with, any condition or provision of this Schedule II by the other party shall be considered a waiver of any other condition or provision or of the same condition or provision at another time.</w:t>
      </w:r>
    </w:p>
    <w:p>
      <w:pPr>
        <w:spacing w:after="0" w:line="48" w:lineRule="exact"/>
        <w:rPr>
          <w:sz w:val="20"/>
          <w:szCs w:val="20"/>
          <w:color w:val="auto"/>
        </w:rPr>
      </w:pPr>
    </w:p>
    <w:p>
      <w:pPr>
        <w:ind w:left="764" w:right="160" w:hanging="768"/>
        <w:spacing w:after="0" w:line="249"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Whenever possible, each provision of this Schedule II will be interpreted in such manner as to be effective and valid under applicable law, but if any provision of this Schedule II is held to be invalid or unenforceable in any respect under any applicable law or rule in any jurisdiction, such invalidity or unenforceability will not affect any other provision or any other jurisdiction, but this Schedule II will be reformed, construed and enforced in such jurisdiction as if such invalid or unenforceable provisions had never been contained herein.</w:t>
      </w:r>
    </w:p>
    <w:p>
      <w:pPr>
        <w:spacing w:after="0" w:line="84"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The provisions of clauses 36 and 37 of the Contract shall apply to this Schedule II as if references to the Contract are references to this Schedule II.</w:t>
      </w:r>
    </w:p>
    <w:p>
      <w:pPr>
        <w:spacing w:after="0" w:line="8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You acknowledge that (i) you have consulted with or have had the opportunity to consult with independent counsel of your own choice concerning this Schedule II, and have been advised to do so by the Company, and (ii) that you have read and understand this Schedule II, are fully aware of its legal effect, and have entered into it freely based on your own judgment.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- 30 -</w:t>
      </w:r>
    </w:p>
    <w:p>
      <w:pPr>
        <w:sectPr>
          <w:pgSz w:w="11900" w:h="16838" w:orient="portrait"/>
          <w:cols w:equalWidth="0" w:num="1">
            <w:col w:w="11004"/>
          </w:cols>
          <w:pgMar w:left="436" w:top="261" w:right="459" w:bottom="1440" w:gutter="0" w:footer="0" w:header="0"/>
        </w:sectPr>
      </w:pPr>
    </w:p>
    <w:bookmarkStart w:id="345" w:name="page346"/>
    <w:bookmarkEnd w:id="345"/>
    <w:p>
      <w:pPr>
        <w:ind w:left="9904"/>
        <w:spacing w:after="0"/>
        <w:rPr>
          <w:sz w:val="20"/>
          <w:szCs w:val="20"/>
          <w:color w:val="auto"/>
        </w:rPr>
      </w:pPr>
      <w:r>
        <w:rPr>
          <w:rFonts w:ascii="Arial" w:cs="Arial" w:eastAsia="Arial" w:hAnsi="Arial"/>
          <w:sz w:val="19"/>
          <w:szCs w:val="19"/>
          <w:b w:val="1"/>
          <w:bCs w:val="1"/>
          <w:color w:val="auto"/>
        </w:rPr>
        <w:t>Exhibit 4.36</w:t>
      </w:r>
    </w:p>
    <w:p>
      <w:pPr>
        <w:spacing w:after="0" w:line="274" w:lineRule="exact"/>
        <w:rPr>
          <w:sz w:val="20"/>
          <w:szCs w:val="20"/>
          <w:color w:val="auto"/>
        </w:rPr>
      </w:pPr>
    </w:p>
    <w:p>
      <w:pPr>
        <w:ind w:left="4"/>
        <w:spacing w:after="0"/>
        <w:tabs>
          <w:tab w:leader="none" w:pos="9164" w:val="left"/>
        </w:tabs>
        <w:rPr>
          <w:sz w:val="20"/>
          <w:szCs w:val="20"/>
          <w:color w:val="auto"/>
        </w:rPr>
      </w:pPr>
      <w:r>
        <w:rPr>
          <w:rFonts w:ascii="Arial" w:cs="Arial" w:eastAsia="Arial" w:hAnsi="Arial"/>
          <w:sz w:val="22"/>
          <w:szCs w:val="22"/>
          <w:color w:val="auto"/>
        </w:rPr>
        <w:t>THIS AMENDED AND RESTATED CONTRACT OF EMPLOYMENT dated</w:t>
      </w:r>
      <w:r>
        <w:rPr>
          <w:sz w:val="20"/>
          <w:szCs w:val="20"/>
          <w:color w:val="auto"/>
        </w:rPr>
        <w:tab/>
      </w:r>
      <w:r>
        <w:rPr>
          <w:rFonts w:ascii="Arial" w:cs="Arial" w:eastAsia="Arial" w:hAnsi="Arial"/>
          <w:sz w:val="19"/>
          <w:szCs w:val="19"/>
          <w:color w:val="auto"/>
        </w:rPr>
        <w:t>August 2021 is made</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BETWEEN:</w:t>
      </w:r>
    </w:p>
    <w:p>
      <w:pPr>
        <w:spacing w:after="0" w:line="112" w:lineRule="exact"/>
        <w:rPr>
          <w:sz w:val="20"/>
          <w:szCs w:val="20"/>
          <w:color w:val="auto"/>
        </w:rPr>
      </w:pPr>
    </w:p>
    <w:p>
      <w:pPr>
        <w:ind w:left="764" w:right="680" w:hanging="764"/>
        <w:spacing w:after="0" w:line="333" w:lineRule="auto"/>
        <w:tabs>
          <w:tab w:leader="none" w:pos="764" w:val="left"/>
        </w:tabs>
        <w:numPr>
          <w:ilvl w:val="0"/>
          <w:numId w:val="314"/>
        </w:numPr>
        <w:rPr>
          <w:rFonts w:ascii="Arial" w:cs="Arial" w:eastAsia="Arial" w:hAnsi="Arial"/>
          <w:sz w:val="19"/>
          <w:szCs w:val="19"/>
          <w:color w:val="auto"/>
        </w:rPr>
      </w:pPr>
      <w:r>
        <w:rPr>
          <w:rFonts w:ascii="Arial" w:cs="Arial" w:eastAsia="Arial" w:hAnsi="Arial"/>
          <w:sz w:val="19"/>
          <w:szCs w:val="19"/>
          <w:b w:val="1"/>
          <w:bCs w:val="1"/>
          <w:color w:val="auto"/>
        </w:rPr>
        <w:t>MEREO BIOPHARMA GROUP PLC</w:t>
      </w:r>
      <w:r>
        <w:rPr>
          <w:rFonts w:ascii="Arial" w:cs="Arial" w:eastAsia="Arial" w:hAnsi="Arial"/>
          <w:sz w:val="19"/>
          <w:szCs w:val="19"/>
          <w:color w:val="auto"/>
        </w:rPr>
        <w:t>, (a company incorporated in England and Wales and registered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number 9481161, whose registered office is at 1 Cavendish Place, London W1G 0QF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ind w:left="764" w:hanging="764"/>
        <w:spacing w:after="0"/>
        <w:tabs>
          <w:tab w:leader="none" w:pos="764" w:val="left"/>
        </w:tabs>
        <w:numPr>
          <w:ilvl w:val="0"/>
          <w:numId w:val="314"/>
        </w:numPr>
        <w:rPr>
          <w:rFonts w:ascii="Arial" w:cs="Arial" w:eastAsia="Arial" w:hAnsi="Arial"/>
          <w:sz w:val="22"/>
          <w:szCs w:val="22"/>
          <w:color w:val="auto"/>
        </w:rPr>
      </w:pPr>
      <w:r>
        <w:rPr>
          <w:rFonts w:ascii="Arial" w:cs="Arial" w:eastAsia="Arial" w:hAnsi="Arial"/>
          <w:sz w:val="22"/>
          <w:szCs w:val="22"/>
          <w:b w:val="1"/>
          <w:bCs w:val="1"/>
          <w:color w:val="auto"/>
        </w:rPr>
        <w:t xml:space="preserve">CHARLES SERMON, </w:t>
      </w:r>
      <w:r>
        <w:rPr>
          <w:rFonts w:ascii="Arial" w:cs="Arial" w:eastAsia="Arial" w:hAnsi="Arial"/>
          <w:sz w:val="22"/>
          <w:szCs w:val="22"/>
          <w:color w:val="auto"/>
          <w:highlight w:val="black"/>
        </w:rPr>
        <w:t>13 Campion Road, Putney, London SW15 6NN</w:t>
      </w:r>
    </w:p>
    <w:p>
      <w:pPr>
        <w:spacing w:after="0" w:line="212" w:lineRule="exact"/>
        <w:rPr>
          <w:sz w:val="20"/>
          <w:szCs w:val="20"/>
          <w:color w:val="auto"/>
        </w:rPr>
      </w:pPr>
    </w:p>
    <w:p>
      <w:pPr>
        <w:ind w:left="4" w:right="60"/>
        <w:spacing w:after="0"/>
        <w:rPr>
          <w:sz w:val="20"/>
          <w:szCs w:val="20"/>
          <w:color w:val="auto"/>
        </w:rPr>
      </w:pPr>
      <w:r>
        <w:rPr>
          <w:rFonts w:ascii="Arial" w:cs="Arial" w:eastAsia="Arial" w:hAnsi="Arial"/>
          <w:sz w:val="22"/>
          <w:szCs w:val="22"/>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329" w:lineRule="exact"/>
        <w:rPr>
          <w:sz w:val="20"/>
          <w:szCs w:val="20"/>
          <w:color w:val="auto"/>
        </w:rPr>
      </w:pPr>
    </w:p>
    <w:p>
      <w:pPr>
        <w:ind w:left="764" w:hanging="764"/>
        <w:spacing w:after="0"/>
        <w:tabs>
          <w:tab w:leader="none" w:pos="764" w:val="left"/>
        </w:tabs>
        <w:numPr>
          <w:ilvl w:val="0"/>
          <w:numId w:val="315"/>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definitions and rules of interpretation in this clause 1 apply in this Contract.</w:t>
      </w:r>
    </w:p>
    <w:p>
      <w:pPr>
        <w:spacing w:after="0" w:line="106"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Appointment</w:t>
      </w:r>
      <w:r>
        <w:rPr>
          <w:rFonts w:ascii="Arial" w:cs="Arial" w:eastAsia="Arial" w:hAnsi="Arial"/>
          <w:sz w:val="19"/>
          <w:szCs w:val="19"/>
          <w:color w:val="auto"/>
        </w:rPr>
        <w:t>: the employment of the Employee by the Company on the terms of this Contract.</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Associated Employer</w:t>
      </w:r>
      <w:r>
        <w:rPr>
          <w:rFonts w:ascii="Arial" w:cs="Arial" w:eastAsia="Arial" w:hAnsi="Arial"/>
          <w:sz w:val="19"/>
          <w:szCs w:val="19"/>
          <w:color w:val="auto"/>
        </w:rPr>
        <w:t>: has the meaning given to it in the Employment Rights Act 1996.</w:t>
      </w:r>
    </w:p>
    <w:p>
      <w:pPr>
        <w:spacing w:after="0" w:line="112" w:lineRule="exact"/>
        <w:rPr>
          <w:sz w:val="20"/>
          <w:szCs w:val="20"/>
          <w:color w:val="auto"/>
        </w:rPr>
      </w:pPr>
    </w:p>
    <w:p>
      <w:pPr>
        <w:ind w:left="2204" w:right="120" w:hanging="768"/>
        <w:spacing w:after="0" w:line="256" w:lineRule="auto"/>
        <w:tabs>
          <w:tab w:leader="none" w:pos="218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Board</w:t>
      </w:r>
      <w:r>
        <w:rPr>
          <w:rFonts w:ascii="Arial" w:cs="Arial" w:eastAsia="Arial" w:hAnsi="Arial"/>
          <w:sz w:val="22"/>
          <w:szCs w:val="22"/>
          <w:color w:val="auto"/>
        </w:rPr>
        <w:t>: the board of directors of the Company (including any committee of the board duly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by it).</w:t>
      </w:r>
    </w:p>
    <w:p>
      <w:pPr>
        <w:spacing w:after="0" w:line="68"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Commencement Date </w:t>
      </w:r>
      <w:r>
        <w:rPr>
          <w:rFonts w:ascii="Arial" w:cs="Arial" w:eastAsia="Arial" w:hAnsi="Arial"/>
          <w:sz w:val="19"/>
          <w:szCs w:val="19"/>
          <w:color w:val="auto"/>
        </w:rPr>
        <w:t>1</w:t>
      </w:r>
      <w:r>
        <w:rPr>
          <w:rFonts w:ascii="Arial" w:cs="Arial" w:eastAsia="Arial" w:hAnsi="Arial"/>
          <w:sz w:val="16"/>
          <w:szCs w:val="16"/>
          <w:color w:val="auto"/>
        </w:rPr>
        <w:t>st</w:t>
      </w:r>
      <w:r>
        <w:rPr>
          <w:rFonts w:ascii="Arial" w:cs="Arial" w:eastAsia="Arial" w:hAnsi="Arial"/>
          <w:sz w:val="19"/>
          <w:szCs w:val="19"/>
          <w:b w:val="1"/>
          <w:bCs w:val="1"/>
          <w:color w:val="auto"/>
        </w:rPr>
        <w:t xml:space="preserve"> </w:t>
      </w:r>
      <w:r>
        <w:rPr>
          <w:rFonts w:ascii="Arial" w:cs="Arial" w:eastAsia="Arial" w:hAnsi="Arial"/>
          <w:sz w:val="19"/>
          <w:szCs w:val="19"/>
          <w:color w:val="auto"/>
        </w:rPr>
        <w:t>July 2015</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 all of</w:t>
      </w:r>
    </w:p>
    <w:p>
      <w:pPr>
        <w:spacing w:after="0" w:line="118" w:lineRule="exact"/>
        <w:rPr>
          <w:sz w:val="20"/>
          <w:szCs w:val="20"/>
          <w:color w:val="auto"/>
        </w:rPr>
      </w:pPr>
    </w:p>
    <w:p>
      <w:pPr>
        <w:ind w:left="2844" w:right="120" w:hanging="644"/>
        <w:spacing w:after="0" w:line="236" w:lineRule="auto"/>
        <w:tabs>
          <w:tab w:leader="none" w:pos="2844" w:val="left"/>
        </w:tabs>
        <w:numPr>
          <w:ilvl w:val="0"/>
          <w:numId w:val="316"/>
        </w:numPr>
        <w:rPr>
          <w:rFonts w:ascii="Arial" w:cs="Arial" w:eastAsia="Arial" w:hAnsi="Arial"/>
          <w:sz w:val="22"/>
          <w:szCs w:val="22"/>
          <w:color w:val="auto"/>
        </w:rPr>
      </w:pPr>
      <w:r>
        <w:rPr>
          <w:rFonts w:ascii="Arial" w:cs="Arial" w:eastAsia="Arial" w:hAnsi="Arial"/>
          <w:sz w:val="22"/>
          <w:szCs w:val="22"/>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92" w:lineRule="exact"/>
        <w:rPr>
          <w:rFonts w:ascii="Arial" w:cs="Arial" w:eastAsia="Arial" w:hAnsi="Arial"/>
          <w:sz w:val="22"/>
          <w:szCs w:val="22"/>
          <w:color w:val="auto"/>
        </w:rPr>
      </w:pPr>
    </w:p>
    <w:p>
      <w:pPr>
        <w:ind w:left="2844" w:right="420" w:hanging="644"/>
        <w:spacing w:after="0" w:line="297" w:lineRule="auto"/>
        <w:tabs>
          <w:tab w:leader="none" w:pos="2844" w:val="left"/>
        </w:tabs>
        <w:numPr>
          <w:ilvl w:val="0"/>
          <w:numId w:val="316"/>
        </w:numPr>
        <w:rPr>
          <w:rFonts w:ascii="Arial" w:cs="Arial" w:eastAsia="Arial" w:hAnsi="Arial"/>
          <w:sz w:val="19"/>
          <w:szCs w:val="19"/>
          <w:color w:val="auto"/>
        </w:rPr>
      </w:pPr>
      <w:r>
        <w:rPr>
          <w:rFonts w:ascii="Arial" w:cs="Arial" w:eastAsia="Arial" w:hAnsi="Arial"/>
          <w:sz w:val="19"/>
          <w:szCs w:val="19"/>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39" w:lineRule="exact"/>
        <w:rPr>
          <w:rFonts w:ascii="Arial" w:cs="Arial" w:eastAsia="Arial" w:hAnsi="Arial"/>
          <w:sz w:val="19"/>
          <w:szCs w:val="19"/>
          <w:color w:val="auto"/>
        </w:rPr>
      </w:pPr>
    </w:p>
    <w:p>
      <w:pPr>
        <w:ind w:left="2844" w:right="20" w:hanging="644"/>
        <w:spacing w:after="0" w:line="257" w:lineRule="auto"/>
        <w:tabs>
          <w:tab w:leader="none" w:pos="2844" w:val="left"/>
        </w:tabs>
        <w:numPr>
          <w:ilvl w:val="0"/>
          <w:numId w:val="316"/>
        </w:numPr>
        <w:rPr>
          <w:rFonts w:ascii="Arial" w:cs="Arial" w:eastAsia="Arial" w:hAnsi="Arial"/>
          <w:sz w:val="21"/>
          <w:szCs w:val="21"/>
          <w:color w:val="auto"/>
        </w:rPr>
      </w:pPr>
      <w:r>
        <w:rPr>
          <w:rFonts w:ascii="Arial" w:cs="Arial" w:eastAsia="Arial" w:hAnsi="Arial"/>
          <w:sz w:val="21"/>
          <w:szCs w:val="21"/>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101" w:lineRule="exact"/>
        <w:rPr>
          <w:rFonts w:ascii="Arial" w:cs="Arial" w:eastAsia="Arial" w:hAnsi="Arial"/>
          <w:sz w:val="21"/>
          <w:szCs w:val="21"/>
          <w:color w:val="auto"/>
        </w:rPr>
      </w:pPr>
    </w:p>
    <w:p>
      <w:pPr>
        <w:ind w:left="5464" w:hanging="136"/>
        <w:spacing w:after="0"/>
        <w:tabs>
          <w:tab w:leader="none" w:pos="5464" w:val="left"/>
        </w:tabs>
        <w:numPr>
          <w:ilvl w:val="1"/>
          <w:numId w:val="316"/>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024"/>
          </w:cols>
          <w:pgMar w:left="436" w:top="111" w:right="439" w:bottom="1440" w:gutter="0" w:footer="0" w:header="0"/>
        </w:sectPr>
      </w:pPr>
    </w:p>
    <w:bookmarkStart w:id="346" w:name="page347"/>
    <w:bookmarkEnd w:id="346"/>
    <w:p>
      <w:pPr>
        <w:ind w:left="1840" w:right="280" w:hanging="644"/>
        <w:spacing w:after="0"/>
        <w:tabs>
          <w:tab w:leader="none" w:pos="1840" w:val="left"/>
        </w:tabs>
        <w:numPr>
          <w:ilvl w:val="0"/>
          <w:numId w:val="31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details of the employees, officers and workers of and consultants to the Company or any Group Company their job skills and capabilities and of the remuneration and other benefits paid to them;</w:t>
      </w:r>
    </w:p>
    <w:p>
      <w:pPr>
        <w:spacing w:after="0" w:line="91" w:lineRule="exact"/>
        <w:rPr>
          <w:rFonts w:ascii="Arial" w:cs="Arial" w:eastAsia="Arial" w:hAnsi="Arial"/>
          <w:sz w:val="22"/>
          <w:szCs w:val="22"/>
          <w:color w:val="auto"/>
        </w:rPr>
      </w:pPr>
    </w:p>
    <w:p>
      <w:pPr>
        <w:ind w:left="1840" w:right="160" w:hanging="644"/>
        <w:spacing w:after="0" w:line="236" w:lineRule="auto"/>
        <w:tabs>
          <w:tab w:leader="none" w:pos="184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92" w:lineRule="exact"/>
        <w:rPr>
          <w:rFonts w:ascii="Arial" w:cs="Arial" w:eastAsia="Arial" w:hAnsi="Arial"/>
          <w:sz w:val="22"/>
          <w:szCs w:val="22"/>
          <w:color w:val="auto"/>
        </w:rPr>
      </w:pPr>
    </w:p>
    <w:p>
      <w:pPr>
        <w:jc w:val="both"/>
        <w:ind w:left="1840" w:right="180" w:hanging="644"/>
        <w:spacing w:after="0"/>
        <w:tabs>
          <w:tab w:leader="none" w:pos="184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confidential reports or research commissioned by or provided to the Company or any Group Company and any trade secrets and confidential transactions of the Company or any Group Company;</w:t>
      </w:r>
    </w:p>
    <w:p>
      <w:pPr>
        <w:spacing w:after="0" w:line="91" w:lineRule="exact"/>
        <w:rPr>
          <w:rFonts w:ascii="Arial" w:cs="Arial" w:eastAsia="Arial" w:hAnsi="Arial"/>
          <w:sz w:val="22"/>
          <w:szCs w:val="22"/>
          <w:color w:val="auto"/>
        </w:rPr>
      </w:pPr>
    </w:p>
    <w:p>
      <w:pPr>
        <w:ind w:left="1840" w:right="120" w:hanging="644"/>
        <w:spacing w:after="0"/>
        <w:tabs>
          <w:tab w:leader="none" w:pos="184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91" w:lineRule="exact"/>
        <w:rPr>
          <w:rFonts w:ascii="Arial" w:cs="Arial" w:eastAsia="Arial" w:hAnsi="Arial"/>
          <w:sz w:val="22"/>
          <w:szCs w:val="22"/>
          <w:color w:val="auto"/>
        </w:rPr>
      </w:pPr>
    </w:p>
    <w:p>
      <w:pPr>
        <w:ind w:left="1840" w:hanging="644"/>
        <w:spacing w:after="0" w:line="282" w:lineRule="auto"/>
        <w:tabs>
          <w:tab w:leader="none" w:pos="184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52" w:lineRule="exact"/>
        <w:rPr>
          <w:rFonts w:ascii="Arial" w:cs="Arial" w:eastAsia="Arial" w:hAnsi="Arial"/>
          <w:sz w:val="19"/>
          <w:szCs w:val="19"/>
          <w:color w:val="auto"/>
        </w:rPr>
      </w:pPr>
    </w:p>
    <w:p>
      <w:pPr>
        <w:ind w:left="1840" w:right="340" w:hanging="644"/>
        <w:spacing w:after="0" w:line="250" w:lineRule="auto"/>
        <w:tabs>
          <w:tab w:leader="none" w:pos="184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details of any advertising, marketing or promotional campaign which the Company or any Group Company is to conduct; and</w:t>
      </w:r>
    </w:p>
    <w:p>
      <w:pPr>
        <w:spacing w:after="0" w:line="80" w:lineRule="exact"/>
        <w:rPr>
          <w:rFonts w:ascii="Arial" w:cs="Arial" w:eastAsia="Arial" w:hAnsi="Arial"/>
          <w:sz w:val="22"/>
          <w:szCs w:val="22"/>
          <w:color w:val="auto"/>
        </w:rPr>
      </w:pPr>
    </w:p>
    <w:p>
      <w:pPr>
        <w:ind w:left="1840" w:right="400" w:hanging="644"/>
        <w:spacing w:after="0" w:line="297" w:lineRule="auto"/>
        <w:tabs>
          <w:tab w:leader="none" w:pos="184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33" w:lineRule="exact"/>
        <w:rPr>
          <w:sz w:val="20"/>
          <w:szCs w:val="20"/>
          <w:color w:val="auto"/>
        </w:rPr>
      </w:pPr>
    </w:p>
    <w:p>
      <w:pPr>
        <w:ind w:left="1200" w:right="40" w:hanging="768"/>
        <w:spacing w:after="0" w:line="243" w:lineRule="auto"/>
        <w:tabs>
          <w:tab w:leader="none" w:pos="11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b w:val="1"/>
          <w:bCs w:val="1"/>
          <w:color w:val="auto"/>
        </w:rPr>
        <w:t xml:space="preserve">Documents: </w:t>
      </w:r>
      <w:r>
        <w:rPr>
          <w:rFonts w:ascii="Arial" w:cs="Arial" w:eastAsia="Arial" w:hAnsi="Arial"/>
          <w:sz w:val="22"/>
          <w:szCs w:val="22"/>
          <w:color w:val="auto"/>
        </w:rPr>
        <w:t>documents, manuals, disks, memory, notebooks, tapes (including copies)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medium, whether or not eye-readable, on which information (whether confidential or otherwise) may from time to time be referred to, written or recorded.</w:t>
      </w:r>
    </w:p>
    <w:p>
      <w:pPr>
        <w:spacing w:after="0" w:line="82" w:lineRule="exact"/>
        <w:rPr>
          <w:sz w:val="20"/>
          <w:szCs w:val="20"/>
          <w:color w:val="auto"/>
        </w:rPr>
      </w:pPr>
    </w:p>
    <w:p>
      <w:pPr>
        <w:ind w:left="1200" w:right="220" w:hanging="768"/>
        <w:spacing w:after="0" w:line="256" w:lineRule="auto"/>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b w:val="1"/>
          <w:bCs w:val="1"/>
          <w:color w:val="auto"/>
        </w:rPr>
        <w:t xml:space="preserve">Group Company </w:t>
      </w:r>
      <w:r>
        <w:rPr>
          <w:rFonts w:ascii="Arial" w:cs="Arial" w:eastAsia="Arial" w:hAnsi="Arial"/>
          <w:sz w:val="22"/>
          <w:szCs w:val="22"/>
          <w:color w:val="auto"/>
        </w:rPr>
        <w:t>: the Company, its Subsidiaries or Holding Companies from time to time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of any Holding Company from time to time.</w:t>
      </w:r>
    </w:p>
    <w:p>
      <w:pPr>
        <w:spacing w:after="0" w:line="10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980"/>
          </w:cols>
          <w:pgMar w:left="1440" w:top="267" w:right="479" w:bottom="1440" w:gutter="0" w:footer="0" w:header="0"/>
        </w:sectPr>
      </w:pPr>
    </w:p>
    <w:bookmarkStart w:id="347" w:name="page348"/>
    <w:bookmarkEnd w:id="347"/>
    <w:p>
      <w:pPr>
        <w:ind w:left="1200" w:right="60" w:hanging="768"/>
        <w:spacing w:after="0" w:line="256" w:lineRule="auto"/>
        <w:tabs>
          <w:tab w:leader="none" w:pos="11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w:t>
      </w:r>
      <w:r>
        <w:rPr>
          <w:sz w:val="20"/>
          <w:szCs w:val="20"/>
          <w:color w:val="auto"/>
        </w:rPr>
        <w:tab/>
      </w:r>
      <w:r>
        <w:rPr>
          <w:rFonts w:ascii="Arial" w:cs="Arial" w:eastAsia="Arial" w:hAnsi="Arial"/>
          <w:sz w:val="22"/>
          <w:szCs w:val="22"/>
          <w:b w:val="1"/>
          <w:bCs w:val="1"/>
          <w:color w:val="auto"/>
        </w:rPr>
        <w:t>Incapacity</w:t>
      </w:r>
      <w:r>
        <w:rPr>
          <w:rFonts w:ascii="Arial" w:cs="Arial" w:eastAsia="Arial" w:hAnsi="Arial"/>
          <w:sz w:val="22"/>
          <w:szCs w:val="22"/>
          <w:color w:val="auto"/>
        </w:rPr>
        <w:t>: any sickness, injury or other medical disorder or condition which prevents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from carrying out his duties.</w:t>
      </w:r>
    </w:p>
    <w:p>
      <w:pPr>
        <w:spacing w:after="0" w:line="68" w:lineRule="exact"/>
        <w:rPr>
          <w:sz w:val="20"/>
          <w:szCs w:val="20"/>
          <w:color w:val="auto"/>
        </w:rPr>
      </w:pPr>
    </w:p>
    <w:p>
      <w:pPr>
        <w:ind w:left="1200" w:right="280" w:hanging="768"/>
        <w:spacing w:after="0" w:line="256" w:lineRule="auto"/>
        <w:tabs>
          <w:tab w:leader="none" w:pos="11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any employee or contractor who is or was (in the Period) employed or engaged to</w:t>
      </w:r>
      <w:r>
        <w:rPr>
          <w:rFonts w:ascii="Arial" w:cs="Arial" w:eastAsia="Arial" w:hAnsi="Arial"/>
          <w:sz w:val="22"/>
          <w:szCs w:val="22"/>
          <w:b w:val="1"/>
          <w:bCs w:val="1"/>
          <w:color w:val="auto"/>
        </w:rPr>
        <w:t xml:space="preserve"> </w:t>
      </w:r>
      <w:r>
        <w:rPr>
          <w:rFonts w:ascii="Arial" w:cs="Arial" w:eastAsia="Arial" w:hAnsi="Arial"/>
          <w:sz w:val="22"/>
          <w:szCs w:val="22"/>
          <w:color w:val="auto"/>
        </w:rPr>
        <w:t>your knowledge:</w:t>
      </w:r>
    </w:p>
    <w:p>
      <w:pPr>
        <w:spacing w:after="0" w:line="74" w:lineRule="exact"/>
        <w:rPr>
          <w:sz w:val="20"/>
          <w:szCs w:val="20"/>
          <w:color w:val="auto"/>
        </w:rPr>
      </w:pPr>
    </w:p>
    <w:p>
      <w:pPr>
        <w:ind w:left="1840" w:hanging="644"/>
        <w:spacing w:after="0"/>
        <w:tabs>
          <w:tab w:leader="none" w:pos="184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at management grade; or</w:t>
      </w:r>
    </w:p>
    <w:p>
      <w:pPr>
        <w:spacing w:after="0" w:line="111" w:lineRule="exact"/>
        <w:rPr>
          <w:rFonts w:ascii="Arial" w:cs="Arial" w:eastAsia="Arial" w:hAnsi="Arial"/>
          <w:sz w:val="22"/>
          <w:szCs w:val="22"/>
          <w:color w:val="auto"/>
        </w:rPr>
      </w:pPr>
    </w:p>
    <w:p>
      <w:pPr>
        <w:ind w:left="1840" w:hanging="644"/>
        <w:spacing w:after="0"/>
        <w:tabs>
          <w:tab w:leader="none" w:pos="184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in a senior capacity; or</w:t>
      </w:r>
    </w:p>
    <w:p>
      <w:pPr>
        <w:spacing w:after="0" w:line="111" w:lineRule="exact"/>
        <w:rPr>
          <w:rFonts w:ascii="Arial" w:cs="Arial" w:eastAsia="Arial" w:hAnsi="Arial"/>
          <w:sz w:val="22"/>
          <w:szCs w:val="22"/>
          <w:color w:val="auto"/>
        </w:rPr>
      </w:pPr>
    </w:p>
    <w:p>
      <w:pPr>
        <w:ind w:left="1840" w:right="100" w:hanging="644"/>
        <w:spacing w:after="0" w:line="250" w:lineRule="auto"/>
        <w:tabs>
          <w:tab w:leader="none" w:pos="184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in a capacity in which he has access to or obtained Confidential Information and in respect of whom you exercised control or had managerial responsibility.</w:t>
      </w:r>
    </w:p>
    <w:p>
      <w:pPr>
        <w:spacing w:after="0" w:line="74" w:lineRule="exact"/>
        <w:rPr>
          <w:sz w:val="20"/>
          <w:szCs w:val="20"/>
          <w:color w:val="auto"/>
        </w:rPr>
      </w:pPr>
    </w:p>
    <w:p>
      <w:pPr>
        <w:ind w:left="1200" w:right="320" w:hanging="768"/>
        <w:spacing w:after="0" w:line="283" w:lineRule="auto"/>
        <w:tabs>
          <w:tab w:leader="none" w:pos="118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b w:val="1"/>
          <w:bCs w:val="1"/>
          <w:color w:val="auto"/>
        </w:rPr>
        <w:t xml:space="preserve">Know-how: </w:t>
      </w:r>
      <w:r>
        <w:rPr>
          <w:rFonts w:ascii="Arial" w:cs="Arial" w:eastAsia="Arial" w:hAnsi="Arial"/>
          <w:sz w:val="19"/>
          <w:szCs w:val="19"/>
          <w:color w:val="auto"/>
        </w:rPr>
        <w:t>information (including without limitation that comprised in formulae, specifications,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designs, drawings, component lists, 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b w:val="1"/>
          <w:bCs w:val="1"/>
          <w:color w:val="auto"/>
        </w:rPr>
        <w:t>Manager</w:t>
      </w:r>
      <w:r>
        <w:rPr>
          <w:rFonts w:ascii="Arial" w:cs="Arial" w:eastAsia="Arial" w:hAnsi="Arial"/>
          <w:sz w:val="19"/>
          <w:szCs w:val="19"/>
          <w:color w:val="auto"/>
        </w:rPr>
        <w:t>: Denise Scots-Knight</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b w:val="1"/>
          <w:bCs w:val="1"/>
          <w:color w:val="auto"/>
        </w:rPr>
        <w:t xml:space="preserve">Period: </w:t>
      </w:r>
      <w:r>
        <w:rPr>
          <w:rFonts w:ascii="Arial" w:cs="Arial" w:eastAsia="Arial" w:hAnsi="Arial"/>
          <w:sz w:val="19"/>
          <w:szCs w:val="19"/>
          <w:color w:val="auto"/>
        </w:rPr>
        <w:t>the period of 6 months immediately prior to the Termination Date.</w:t>
      </w:r>
    </w:p>
    <w:p>
      <w:pPr>
        <w:spacing w:after="0" w:line="112" w:lineRule="exact"/>
        <w:rPr>
          <w:sz w:val="20"/>
          <w:szCs w:val="20"/>
          <w:color w:val="auto"/>
        </w:rPr>
      </w:pPr>
    </w:p>
    <w:p>
      <w:pPr>
        <w:ind w:left="1200" w:right="260" w:hanging="768"/>
        <w:spacing w:after="0" w:line="300" w:lineRule="auto"/>
        <w:tabs>
          <w:tab w:leader="none" w:pos="118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b w:val="1"/>
          <w:bCs w:val="1"/>
          <w:color w:val="auto"/>
        </w:rPr>
        <w:t xml:space="preserve">Permitted Interest: </w:t>
      </w:r>
      <w:r>
        <w:rPr>
          <w:rFonts w:ascii="Arial" w:cs="Arial" w:eastAsia="Arial" w:hAnsi="Arial"/>
          <w:sz w:val="19"/>
          <w:szCs w:val="19"/>
          <w:color w:val="auto"/>
        </w:rPr>
        <w:t>an interest in any class of shares or other securities of any company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traded on a recognised investment exchange which amount to not more than 3% of such class of issued shares or securities and an interest in any units of any authorised unit trust.</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b w:val="1"/>
          <w:bCs w:val="1"/>
          <w:color w:val="auto"/>
        </w:rPr>
        <w:t xml:space="preserve">Restricted Area: </w:t>
      </w:r>
      <w:r>
        <w:rPr>
          <w:rFonts w:ascii="Arial" w:cs="Arial" w:eastAsia="Arial" w:hAnsi="Arial"/>
          <w:sz w:val="19"/>
          <w:szCs w:val="19"/>
          <w:color w:val="auto"/>
        </w:rPr>
        <w:t>England, Scotland, Wales or Northern Ireland.</w:t>
      </w:r>
    </w:p>
    <w:p>
      <w:pPr>
        <w:spacing w:after="0" w:line="112" w:lineRule="exact"/>
        <w:rPr>
          <w:sz w:val="20"/>
          <w:szCs w:val="20"/>
          <w:color w:val="auto"/>
        </w:rPr>
      </w:pPr>
    </w:p>
    <w:p>
      <w:pPr>
        <w:ind w:left="1200" w:hanging="768"/>
        <w:spacing w:after="0" w:line="300" w:lineRule="auto"/>
        <w:tabs>
          <w:tab w:leader="none" w:pos="118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b w:val="1"/>
          <w:bCs w:val="1"/>
          <w:color w:val="auto"/>
        </w:rPr>
        <w:t xml:space="preserve">Restricted Business: </w:t>
      </w:r>
      <w:r>
        <w:rPr>
          <w:rFonts w:ascii="Arial" w:cs="Arial" w:eastAsia="Arial" w:hAnsi="Arial"/>
          <w:sz w:val="19"/>
          <w:szCs w:val="19"/>
          <w:color w:val="auto"/>
        </w:rPr>
        <w:t>the research, acquisition, development and / or commercialisation of innovative</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by the Company or any Group Company as at the Termination Date and with which the Employee was involved to a material extent on the Termination Date or at any time during the Period.</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b w:val="1"/>
          <w:bCs w:val="1"/>
          <w:color w:val="auto"/>
        </w:rPr>
        <w:t>SSP</w:t>
      </w:r>
      <w:r>
        <w:rPr>
          <w:rFonts w:ascii="Arial" w:cs="Arial" w:eastAsia="Arial" w:hAnsi="Arial"/>
          <w:sz w:val="19"/>
          <w:szCs w:val="19"/>
          <w:color w:val="auto"/>
        </w:rPr>
        <w:t>: statutory sick pay.</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b w:val="1"/>
          <w:bCs w:val="1"/>
          <w:color w:val="auto"/>
        </w:rPr>
        <w:t>Staff Handbook</w:t>
      </w:r>
      <w:r>
        <w:rPr>
          <w:rFonts w:ascii="Arial" w:cs="Arial" w:eastAsia="Arial" w:hAnsi="Arial"/>
          <w:sz w:val="19"/>
          <w:szCs w:val="19"/>
          <w:color w:val="auto"/>
        </w:rPr>
        <w:t>: the Company’s staff handbook as amended from time to time.</w:t>
      </w:r>
    </w:p>
    <w:p>
      <w:pPr>
        <w:spacing w:after="0" w:line="112" w:lineRule="exact"/>
        <w:rPr>
          <w:sz w:val="20"/>
          <w:szCs w:val="20"/>
          <w:color w:val="auto"/>
        </w:rPr>
      </w:pPr>
    </w:p>
    <w:p>
      <w:pPr>
        <w:ind w:left="1200" w:right="100" w:hanging="768"/>
        <w:spacing w:after="0" w:line="239" w:lineRule="auto"/>
        <w:tabs>
          <w:tab w:leader="none" w:pos="118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22"/>
          <w:szCs w:val="22"/>
          <w:b w:val="1"/>
          <w:bCs w:val="1"/>
          <w:color w:val="auto"/>
        </w:rPr>
        <w:t>Subsidiary and Holding Company</w:t>
      </w:r>
      <w:r>
        <w:rPr>
          <w:rFonts w:ascii="Arial" w:cs="Arial" w:eastAsia="Arial" w:hAnsi="Arial"/>
          <w:sz w:val="22"/>
          <w:szCs w:val="22"/>
          <w:color w:val="auto"/>
        </w:rPr>
        <w:t>: in relation to a company mean “subsidiary” and “holding</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defined in section 1159 of the Companies Act 2006 and a company shall be treated, for the purposes only of the membership requirement contained in subsections 1159(1)(b) and (c), as a member of another company</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0000"/>
          </w:cols>
          <w:pgMar w:left="1440" w:top="261" w:right="459" w:bottom="1440" w:gutter="0" w:footer="0" w:header="0"/>
        </w:sectPr>
      </w:pPr>
    </w:p>
    <w:bookmarkStart w:id="348" w:name="page349"/>
    <w:bookmarkEnd w:id="348"/>
    <w:p>
      <w:pPr>
        <w:ind w:left="2204" w:right="1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 if its shares in that other company are registered in the name of (a) another person (or its nominee), whether by way of security or in connection with the taking of security, or (b) a nominee.</w:t>
      </w:r>
    </w:p>
    <w:p>
      <w:pPr>
        <w:spacing w:after="0" w:line="4"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the date of termination or expiration of this Contract.</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headings in this Contract are inserted for convenience only and shall not affect its construction.</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A reference to a particular law is a reference to it as it is in force for the time being taking account of any amendment,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extension, or re-enactment and includes any subordinate legislation for the time being in force made under it.</w:t>
      </w:r>
    </w:p>
    <w:p>
      <w:pPr>
        <w:spacing w:after="0" w:line="9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the context otherwise requires, a reference to one gender shall include a reference to the other genders.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Unless the context otherwise requires, words in the singular include the plural and in the plural include the singular.</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The schedules to this Contract form part of (and are incorporated into) this Contract.</w:t>
      </w:r>
    </w:p>
    <w:p>
      <w:pPr>
        <w:spacing w:after="0" w:line="349" w:lineRule="exact"/>
        <w:rPr>
          <w:sz w:val="20"/>
          <w:szCs w:val="20"/>
          <w:color w:val="auto"/>
        </w:rPr>
      </w:pPr>
    </w:p>
    <w:p>
      <w:pPr>
        <w:ind w:left="764" w:hanging="764"/>
        <w:spacing w:after="0"/>
        <w:tabs>
          <w:tab w:leader="none" w:pos="764" w:val="left"/>
        </w:tabs>
        <w:numPr>
          <w:ilvl w:val="0"/>
          <w:numId w:val="319"/>
        </w:numPr>
        <w:rPr>
          <w:rFonts w:ascii="Arial" w:cs="Arial" w:eastAsia="Arial" w:hAnsi="Arial"/>
          <w:sz w:val="22"/>
          <w:szCs w:val="22"/>
          <w:b w:val="1"/>
          <w:bCs w:val="1"/>
          <w:color w:val="auto"/>
        </w:rPr>
      </w:pPr>
      <w:r>
        <w:rPr>
          <w:rFonts w:ascii="Arial" w:cs="Arial" w:eastAsia="Arial" w:hAnsi="Arial"/>
          <w:sz w:val="22"/>
          <w:szCs w:val="22"/>
          <w:b w:val="1"/>
          <w:bCs w:val="1"/>
          <w:color w:val="auto"/>
        </w:rPr>
        <w:t>Term of Appointment</w:t>
      </w:r>
    </w:p>
    <w:p>
      <w:pPr>
        <w:spacing w:after="0" w:line="118"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The Appointment shall commence on the Commencement Date and shall continue, subject to the remaining terms of this Contract, until terminated by either party giving the other not less than 6 months’ prior notice (or the statutory minimum notice, whichever is the greater) in writing.</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[This clause intentionally blank].</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No employment with a previous employer counts towards the Employee’s period of continuous employment with the Company.</w:t>
      </w:r>
    </w:p>
    <w:p>
      <w:pPr>
        <w:spacing w:after="0" w:line="80" w:lineRule="exact"/>
        <w:rPr>
          <w:sz w:val="20"/>
          <w:szCs w:val="20"/>
          <w:color w:val="auto"/>
        </w:rPr>
      </w:pPr>
    </w:p>
    <w:p>
      <w:pPr>
        <w:ind w:left="764" w:right="100" w:hanging="768"/>
        <w:spacing w:after="0" w:line="250" w:lineRule="auto"/>
        <w:tabs>
          <w:tab w:leader="none" w:pos="744"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The Employee consents to the transfer of his employment under this Contract to an Associated Employer at any time during the Appointment.</w:t>
      </w:r>
    </w:p>
    <w:p>
      <w:pPr>
        <w:spacing w:after="0" w:line="317" w:lineRule="exact"/>
        <w:rPr>
          <w:sz w:val="20"/>
          <w:szCs w:val="20"/>
          <w:color w:val="auto"/>
        </w:rPr>
      </w:pPr>
    </w:p>
    <w:p>
      <w:pPr>
        <w:ind w:left="764" w:hanging="764"/>
        <w:spacing w:after="0"/>
        <w:tabs>
          <w:tab w:leader="none" w:pos="764" w:val="left"/>
        </w:tabs>
        <w:numPr>
          <w:ilvl w:val="0"/>
          <w:numId w:val="320"/>
        </w:numPr>
        <w:rPr>
          <w:rFonts w:ascii="Arial" w:cs="Arial" w:eastAsia="Arial" w:hAnsi="Arial"/>
          <w:sz w:val="22"/>
          <w:szCs w:val="22"/>
          <w:b w:val="1"/>
          <w:bCs w:val="1"/>
          <w:color w:val="auto"/>
        </w:rPr>
      </w:pPr>
      <w:r>
        <w:rPr>
          <w:rFonts w:ascii="Arial" w:cs="Arial" w:eastAsia="Arial" w:hAnsi="Arial"/>
          <w:sz w:val="22"/>
          <w:szCs w:val="22"/>
          <w:b w:val="1"/>
          <w:bCs w:val="1"/>
          <w:color w:val="auto"/>
        </w:rPr>
        <w:t>Employee Warranties</w:t>
      </w:r>
    </w:p>
    <w:p>
      <w:pPr>
        <w:spacing w:after="0" w:line="118"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92" w:lineRule="exact"/>
        <w:rPr>
          <w:sz w:val="20"/>
          <w:szCs w:val="20"/>
          <w:color w:val="auto"/>
        </w:rPr>
      </w:pPr>
    </w:p>
    <w:p>
      <w:pPr>
        <w:ind w:left="764" w:right="40" w:hanging="768"/>
        <w:spacing w:after="0"/>
        <w:tabs>
          <w:tab w:leader="none" w:pos="744"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92" w:lineRule="exact"/>
        <w:rPr>
          <w:sz w:val="20"/>
          <w:szCs w:val="20"/>
          <w:color w:val="auto"/>
        </w:rPr>
      </w:pPr>
    </w:p>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You warrant that you are entitled to work in the UK without any additional approvals and will notify the Company immediately if you cease to be so entitled at any time during the Appointment.</w:t>
      </w:r>
    </w:p>
    <w:p>
      <w:pPr>
        <w:spacing w:after="0" w:line="107" w:lineRule="exact"/>
        <w:rPr>
          <w:sz w:val="20"/>
          <w:szCs w:val="20"/>
          <w:color w:val="auto"/>
        </w:rPr>
      </w:pPr>
    </w:p>
    <w:p>
      <w:pPr>
        <w:jc w:val="center"/>
        <w:ind w:right="-63"/>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0964"/>
          </w:cols>
          <w:pgMar w:left="436" w:top="267" w:right="499" w:bottom="1440" w:gutter="0" w:footer="0" w:header="0"/>
        </w:sectPr>
      </w:pPr>
    </w:p>
    <w:bookmarkStart w:id="349" w:name="page350"/>
    <w:bookmarkEnd w:id="349"/>
    <w:p>
      <w:pPr>
        <w:ind w:left="764" w:hanging="764"/>
        <w:spacing w:after="0"/>
        <w:tabs>
          <w:tab w:leader="none" w:pos="764" w:val="left"/>
        </w:tabs>
        <w:numPr>
          <w:ilvl w:val="0"/>
          <w:numId w:val="321"/>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Job Title and Reporting</w:t>
      </w:r>
    </w:p>
    <w:p>
      <w:pPr>
        <w:spacing w:after="0" w:line="104" w:lineRule="exact"/>
        <w:rPr>
          <w:rFonts w:ascii="Arial" w:cs="Arial" w:eastAsia="Arial" w:hAnsi="Arial"/>
          <w:sz w:val="22"/>
          <w:szCs w:val="22"/>
          <w:b w:val="1"/>
          <w:bCs w:val="1"/>
          <w:color w:val="auto"/>
        </w:rPr>
      </w:pPr>
    </w:p>
    <w:p>
      <w:pPr>
        <w:ind w:left="764" w:right="2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Your job title is ‘General Counsel’ and you will report to the Manager or such other person as may be authorised by the Company and notified to you.</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321"/>
        </w:numPr>
        <w:rPr>
          <w:rFonts w:ascii="Arial" w:cs="Arial" w:eastAsia="Arial" w:hAnsi="Arial"/>
          <w:sz w:val="22"/>
          <w:szCs w:val="22"/>
          <w:b w:val="1"/>
          <w:bCs w:val="1"/>
          <w:color w:val="auto"/>
        </w:rPr>
      </w:pPr>
      <w:r>
        <w:rPr>
          <w:rFonts w:ascii="Arial" w:cs="Arial" w:eastAsia="Arial" w:hAnsi="Arial"/>
          <w:sz w:val="22"/>
          <w:szCs w:val="22"/>
          <w:b w:val="1"/>
          <w:bCs w:val="1"/>
          <w:color w:val="auto"/>
        </w:rPr>
        <w:t>Job Description and Duties</w:t>
      </w:r>
    </w:p>
    <w:p>
      <w:pPr>
        <w:spacing w:after="0" w:line="118" w:lineRule="exact"/>
        <w:rPr>
          <w:sz w:val="20"/>
          <w:szCs w:val="20"/>
          <w:color w:val="auto"/>
        </w:rPr>
      </w:pPr>
    </w:p>
    <w:p>
      <w:pPr>
        <w:ind w:left="764" w:right="40" w:hanging="768"/>
        <w:spacing w:after="0" w:line="238" w:lineRule="auto"/>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You must perform your job to the best of your ability and to comply with any duties implied by law.</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During the Appointment you shall:</w:t>
      </w:r>
    </w:p>
    <w:p>
      <w:pPr>
        <w:spacing w:after="0" w:line="112" w:lineRule="exact"/>
        <w:rPr>
          <w:sz w:val="20"/>
          <w:szCs w:val="20"/>
          <w:color w:val="auto"/>
        </w:rPr>
      </w:pPr>
    </w:p>
    <w:p>
      <w:pPr>
        <w:ind w:left="2204" w:right="120" w:hanging="768"/>
        <w:spacing w:after="0" w:line="328" w:lineRule="auto"/>
        <w:tabs>
          <w:tab w:leader="none" w:pos="2184"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color w:val="auto"/>
        </w:rPr>
        <w:t>unless prevented by Incapacity, devote substantially the whole of your time, attention and abilities to the business of the Company and any Group Company of which you are an officer or consultant;</w:t>
      </w:r>
    </w:p>
    <w:p>
      <w:pPr>
        <w:spacing w:after="0" w:line="10" w:lineRule="exact"/>
        <w:rPr>
          <w:sz w:val="20"/>
          <w:szCs w:val="20"/>
          <w:color w:val="auto"/>
        </w:rPr>
      </w:pPr>
    </w:p>
    <w:p>
      <w:pPr>
        <w:jc w:val="both"/>
        <w:ind w:left="2204" w:hanging="768"/>
        <w:spacing w:after="0"/>
        <w:tabs>
          <w:tab w:leader="none" w:pos="2184" w:val="left"/>
        </w:tabs>
        <w:rPr>
          <w:sz w:val="20"/>
          <w:szCs w:val="20"/>
          <w:color w:val="auto"/>
        </w:rPr>
      </w:pPr>
      <w:r>
        <w:rPr>
          <w:rFonts w:ascii="Arial" w:cs="Arial" w:eastAsia="Arial" w:hAnsi="Arial"/>
          <w:sz w:val="22"/>
          <w:szCs w:val="22"/>
          <w:color w:val="auto"/>
        </w:rPr>
        <w:t>5.3.2</w:t>
      </w:r>
      <w:r>
        <w:rPr>
          <w:sz w:val="20"/>
          <w:szCs w:val="20"/>
          <w:color w:val="auto"/>
        </w:rPr>
        <w:tab/>
      </w:r>
      <w:r>
        <w:rPr>
          <w:rFonts w:ascii="Arial" w:cs="Arial" w:eastAsia="Arial" w:hAnsi="Arial"/>
          <w:sz w:val="22"/>
          <w:szCs w:val="22"/>
          <w:color w:val="auto"/>
        </w:rPr>
        <w:t>diligently exercise such powers and perform such duties as may from time to time be assigned to you by the Company together with such person or persons as the Company may appoint to act jointly with you;</w:t>
      </w:r>
    </w:p>
    <w:p>
      <w:pPr>
        <w:spacing w:after="0" w:line="9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5.3.3</w:t>
      </w:r>
      <w:r>
        <w:rPr>
          <w:sz w:val="20"/>
          <w:szCs w:val="20"/>
          <w:color w:val="auto"/>
        </w:rPr>
        <w:tab/>
      </w:r>
      <w:r>
        <w:rPr>
          <w:rFonts w:ascii="Arial" w:cs="Arial" w:eastAsia="Arial" w:hAnsi="Arial"/>
          <w:sz w:val="19"/>
          <w:szCs w:val="19"/>
          <w:color w:val="auto"/>
        </w:rPr>
        <w:t>comply with all reasonable and lawful directions given to you by the Company;</w:t>
      </w:r>
    </w:p>
    <w:p>
      <w:pPr>
        <w:spacing w:after="0" w:line="112" w:lineRule="exact"/>
        <w:rPr>
          <w:sz w:val="20"/>
          <w:szCs w:val="20"/>
          <w:color w:val="auto"/>
        </w:rPr>
      </w:pPr>
    </w:p>
    <w:p>
      <w:pPr>
        <w:ind w:left="2204" w:right="240" w:hanging="768"/>
        <w:spacing w:after="0" w:line="250" w:lineRule="auto"/>
        <w:tabs>
          <w:tab w:leader="none" w:pos="2184" w:val="left"/>
        </w:tabs>
        <w:rPr>
          <w:sz w:val="20"/>
          <w:szCs w:val="20"/>
          <w:color w:val="auto"/>
        </w:rPr>
      </w:pPr>
      <w:r>
        <w:rPr>
          <w:rFonts w:ascii="Arial" w:cs="Arial" w:eastAsia="Arial" w:hAnsi="Arial"/>
          <w:sz w:val="22"/>
          <w:szCs w:val="22"/>
          <w:color w:val="auto"/>
        </w:rPr>
        <w:t>5.3.4</w:t>
      </w:r>
      <w:r>
        <w:rPr>
          <w:sz w:val="20"/>
          <w:szCs w:val="20"/>
          <w:color w:val="auto"/>
        </w:rPr>
        <w:tab/>
      </w:r>
      <w:r>
        <w:rPr>
          <w:rFonts w:ascii="Arial" w:cs="Arial" w:eastAsia="Arial" w:hAnsi="Arial"/>
          <w:sz w:val="22"/>
          <w:szCs w:val="22"/>
          <w:color w:val="auto"/>
        </w:rPr>
        <w:t>promptly make such reports to your Manager in connection with the affairs of any Group Company on such matters and at such times as are reasonably required;</w:t>
      </w:r>
    </w:p>
    <w:p>
      <w:pPr>
        <w:spacing w:after="0" w:line="80" w:lineRule="exact"/>
        <w:rPr>
          <w:sz w:val="20"/>
          <w:szCs w:val="20"/>
          <w:color w:val="auto"/>
        </w:rPr>
      </w:pPr>
    </w:p>
    <w:p>
      <w:pPr>
        <w:ind w:left="2204" w:right="100" w:hanging="768"/>
        <w:spacing w:after="0" w:line="328" w:lineRule="auto"/>
        <w:tabs>
          <w:tab w:leader="none" w:pos="2184" w:val="left"/>
        </w:tabs>
        <w:rPr>
          <w:sz w:val="20"/>
          <w:szCs w:val="20"/>
          <w:color w:val="auto"/>
        </w:rPr>
      </w:pPr>
      <w:r>
        <w:rPr>
          <w:rFonts w:ascii="Arial" w:cs="Arial" w:eastAsia="Arial" w:hAnsi="Arial"/>
          <w:sz w:val="22"/>
          <w:szCs w:val="22"/>
          <w:color w:val="auto"/>
        </w:rPr>
        <w:t>5.3.5</w:t>
      </w:r>
      <w:r>
        <w:rPr>
          <w:sz w:val="20"/>
          <w:szCs w:val="20"/>
          <w:color w:val="auto"/>
        </w:rPr>
        <w:tab/>
      </w:r>
      <w:r>
        <w:rPr>
          <w:rFonts w:ascii="Arial" w:cs="Arial" w:eastAsia="Arial" w:hAnsi="Arial"/>
          <w:sz w:val="19"/>
          <w:szCs w:val="19"/>
          <w:color w:val="auto"/>
        </w:rPr>
        <w:t>report your own wrongdoing and any wrongdoing or proposed wrongdoing of any other employee or director of any Group Company to your Manager immediately on becoming aware of it;</w:t>
      </w:r>
    </w:p>
    <w:p>
      <w:pPr>
        <w:spacing w:after="0" w:line="10" w:lineRule="exact"/>
        <w:rPr>
          <w:sz w:val="20"/>
          <w:szCs w:val="20"/>
          <w:color w:val="auto"/>
        </w:rPr>
      </w:pPr>
    </w:p>
    <w:p>
      <w:pPr>
        <w:ind w:left="2204" w:right="840" w:hanging="768"/>
        <w:spacing w:after="0" w:line="250" w:lineRule="auto"/>
        <w:tabs>
          <w:tab w:leader="none" w:pos="2184" w:val="left"/>
        </w:tabs>
        <w:rPr>
          <w:sz w:val="20"/>
          <w:szCs w:val="20"/>
          <w:color w:val="auto"/>
        </w:rPr>
      </w:pPr>
      <w:r>
        <w:rPr>
          <w:rFonts w:ascii="Arial" w:cs="Arial" w:eastAsia="Arial" w:hAnsi="Arial"/>
          <w:sz w:val="22"/>
          <w:szCs w:val="22"/>
          <w:color w:val="auto"/>
        </w:rPr>
        <w:t>5.3.6</w:t>
      </w:r>
      <w:r>
        <w:rPr>
          <w:sz w:val="20"/>
          <w:szCs w:val="20"/>
          <w:color w:val="auto"/>
        </w:rPr>
        <w:tab/>
      </w:r>
      <w:r>
        <w:rPr>
          <w:rFonts w:ascii="Arial" w:cs="Arial" w:eastAsia="Arial" w:hAnsi="Arial"/>
          <w:sz w:val="22"/>
          <w:szCs w:val="22"/>
          <w:color w:val="auto"/>
        </w:rPr>
        <w:t>use your best endeavours to promote, protect, develop and extend the business of any Group Company; and</w:t>
      </w:r>
    </w:p>
    <w:p>
      <w:pPr>
        <w:spacing w:after="0" w:line="80" w:lineRule="exact"/>
        <w:rPr>
          <w:sz w:val="20"/>
          <w:szCs w:val="20"/>
          <w:color w:val="auto"/>
        </w:rPr>
      </w:pPr>
    </w:p>
    <w:p>
      <w:pPr>
        <w:ind w:left="2204" w:right="300" w:hanging="768"/>
        <w:spacing w:after="0"/>
        <w:tabs>
          <w:tab w:leader="none" w:pos="2184" w:val="left"/>
        </w:tabs>
        <w:rPr>
          <w:sz w:val="20"/>
          <w:szCs w:val="20"/>
          <w:color w:val="auto"/>
        </w:rPr>
      </w:pPr>
      <w:r>
        <w:rPr>
          <w:rFonts w:ascii="Arial" w:cs="Arial" w:eastAsia="Arial" w:hAnsi="Arial"/>
          <w:sz w:val="22"/>
          <w:szCs w:val="22"/>
          <w:color w:val="auto"/>
        </w:rPr>
        <w:t>5.3.7</w:t>
      </w:r>
      <w:r>
        <w:rPr>
          <w:sz w:val="20"/>
          <w:szCs w:val="20"/>
          <w:color w:val="auto"/>
        </w:rPr>
        <w:tab/>
      </w:r>
      <w:r>
        <w:rPr>
          <w:rFonts w:ascii="Arial" w:cs="Arial" w:eastAsia="Arial" w:hAnsi="Arial"/>
          <w:sz w:val="22"/>
          <w:szCs w:val="22"/>
          <w:color w:val="auto"/>
        </w:rPr>
        <w:t>consent to the Company monitoring and recording any use that you make of the Company’s electronic communications systems for the purpose of ensuring that the Company’s rules are being complied with and for legitimate business purposes.</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You shall comply with the Company’s anti-corruption and bribery policy and related procedures at all times.</w:t>
      </w:r>
    </w:p>
    <w:p>
      <w:pPr>
        <w:spacing w:after="0" w:line="112" w:lineRule="exact"/>
        <w:rPr>
          <w:sz w:val="20"/>
          <w:szCs w:val="20"/>
          <w:color w:val="auto"/>
        </w:rPr>
      </w:pPr>
    </w:p>
    <w:p>
      <w:pPr>
        <w:jc w:val="both"/>
        <w:ind w:left="764" w:right="80" w:hanging="768"/>
        <w:spacing w:after="0" w:line="257" w:lineRule="auto"/>
        <w:tabs>
          <w:tab w:leader="none" w:pos="744"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color w:val="auto"/>
        </w:rPr>
        <w:t>You shall comply with any rules, policies and procedures set out in the Staff Handbook. The Staff Handbook does not form part of this Contract and the Company may amend it at any time. To the extent that there is any conflict between the terms of this Contract and the Staff Handbook, this Contract shall prevail.</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024"/>
          </w:cols>
          <w:pgMar w:left="436" w:top="261" w:right="439" w:bottom="1440" w:gutter="0" w:footer="0" w:header="0"/>
        </w:sectPr>
      </w:pPr>
    </w:p>
    <w:bookmarkStart w:id="350" w:name="page351"/>
    <w:bookmarkEnd w:id="350"/>
    <w:p>
      <w:pPr>
        <w:ind w:left="764" w:right="100"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w:t>
      </w:r>
      <w:r>
        <w:rPr>
          <w:sz w:val="20"/>
          <w:szCs w:val="20"/>
          <w:color w:val="auto"/>
        </w:rPr>
        <w:tab/>
      </w:r>
      <w:r>
        <w:rPr>
          <w:rFonts w:ascii="Arial" w:cs="Arial" w:eastAsia="Arial" w:hAnsi="Arial"/>
          <w:sz w:val="22"/>
          <w:szCs w:val="22"/>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9" w:lineRule="exact"/>
        <w:rPr>
          <w:sz w:val="20"/>
          <w:szCs w:val="20"/>
          <w:color w:val="auto"/>
        </w:rPr>
      </w:pPr>
    </w:p>
    <w:p>
      <w:pPr>
        <w:ind w:left="764" w:hanging="764"/>
        <w:spacing w:after="0"/>
        <w:tabs>
          <w:tab w:leader="none" w:pos="764" w:val="left"/>
        </w:tabs>
        <w:numPr>
          <w:ilvl w:val="0"/>
          <w:numId w:val="322"/>
        </w:numPr>
        <w:rPr>
          <w:rFonts w:ascii="Arial" w:cs="Arial" w:eastAsia="Arial" w:hAnsi="Arial"/>
          <w:sz w:val="22"/>
          <w:szCs w:val="22"/>
          <w:b w:val="1"/>
          <w:bCs w:val="1"/>
          <w:color w:val="auto"/>
        </w:rPr>
      </w:pPr>
      <w:r>
        <w:rPr>
          <w:rFonts w:ascii="Arial" w:cs="Arial" w:eastAsia="Arial" w:hAnsi="Arial"/>
          <w:sz w:val="22"/>
          <w:szCs w:val="22"/>
          <w:b w:val="1"/>
          <w:bCs w:val="1"/>
          <w:color w:val="auto"/>
        </w:rPr>
        <w:t>Location</w:t>
      </w:r>
    </w:p>
    <w:p>
      <w:pPr>
        <w:spacing w:after="0" w:line="118" w:lineRule="exact"/>
        <w:rPr>
          <w:sz w:val="20"/>
          <w:szCs w:val="20"/>
          <w:color w:val="auto"/>
        </w:rPr>
      </w:pPr>
    </w:p>
    <w:p>
      <w:pPr>
        <w:ind w:left="764" w:right="180" w:hanging="768"/>
        <w:spacing w:after="0" w:line="274"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Your normal place of work is the Company’s offices at 1 Cavendish Place, London W1G 0QF or such other place as the Company may reasonably determine for the proper performance and exercise of your duties.</w:t>
      </w:r>
    </w:p>
    <w:p>
      <w:pPr>
        <w:spacing w:after="0" w:line="56" w:lineRule="exact"/>
        <w:rPr>
          <w:sz w:val="20"/>
          <w:szCs w:val="20"/>
          <w:color w:val="auto"/>
        </w:rPr>
      </w:pPr>
    </w:p>
    <w:p>
      <w:pPr>
        <w:ind w:left="764" w:right="60" w:hanging="768"/>
        <w:spacing w:after="0" w:line="297" w:lineRule="auto"/>
        <w:tabs>
          <w:tab w:leader="none" w:pos="744"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39" w:lineRule="exact"/>
        <w:rPr>
          <w:sz w:val="20"/>
          <w:szCs w:val="20"/>
          <w:color w:val="auto"/>
        </w:rPr>
      </w:pPr>
    </w:p>
    <w:p>
      <w:pPr>
        <w:ind w:left="764" w:right="580" w:hanging="768"/>
        <w:spacing w:after="0" w:line="250" w:lineRule="auto"/>
        <w:tabs>
          <w:tab w:leader="none" w:pos="744"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You agree to travel on any Group Company’s business (both within the United Kingdom and abroad) as may be required for the proper performance of your duties under the Appointment.</w:t>
      </w:r>
    </w:p>
    <w:p>
      <w:pPr>
        <w:spacing w:after="0" w:line="317" w:lineRule="exact"/>
        <w:rPr>
          <w:sz w:val="20"/>
          <w:szCs w:val="20"/>
          <w:color w:val="auto"/>
        </w:rPr>
      </w:pPr>
    </w:p>
    <w:p>
      <w:pPr>
        <w:ind w:left="764" w:hanging="764"/>
        <w:spacing w:after="0"/>
        <w:tabs>
          <w:tab w:leader="none" w:pos="764" w:val="left"/>
        </w:tabs>
        <w:numPr>
          <w:ilvl w:val="0"/>
          <w:numId w:val="323"/>
        </w:numPr>
        <w:rPr>
          <w:rFonts w:ascii="Arial" w:cs="Arial" w:eastAsia="Arial" w:hAnsi="Arial"/>
          <w:sz w:val="22"/>
          <w:szCs w:val="22"/>
          <w:b w:val="1"/>
          <w:bCs w:val="1"/>
          <w:color w:val="auto"/>
        </w:rPr>
      </w:pPr>
      <w:r>
        <w:rPr>
          <w:rFonts w:ascii="Arial" w:cs="Arial" w:eastAsia="Arial" w:hAnsi="Arial"/>
          <w:sz w:val="22"/>
          <w:szCs w:val="22"/>
          <w:b w:val="1"/>
          <w:bCs w:val="1"/>
          <w:color w:val="auto"/>
        </w:rPr>
        <w:t>Hours of Work</w:t>
      </w:r>
    </w:p>
    <w:p>
      <w:pPr>
        <w:spacing w:after="0" w:line="118" w:lineRule="exact"/>
        <w:rPr>
          <w:sz w:val="20"/>
          <w:szCs w:val="20"/>
          <w:color w:val="auto"/>
        </w:rPr>
      </w:pPr>
    </w:p>
    <w:p>
      <w:pPr>
        <w:jc w:val="both"/>
        <w:ind w:left="764" w:right="740" w:hanging="768"/>
        <w:spacing w:after="0" w:line="297"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Your normal working hours are from 09:00 to 17:00 on each week day, excluding public and bank holidays of England and Wales, together with such additional hours, on week days (including public and bank holidays of England and Wales) or weekends, as may be necessary for the proper performance of your duties.</w:t>
      </w:r>
    </w:p>
    <w:p>
      <w:pPr>
        <w:spacing w:after="0" w:line="33" w:lineRule="exact"/>
        <w:rPr>
          <w:sz w:val="20"/>
          <w:szCs w:val="20"/>
          <w:color w:val="auto"/>
        </w:rPr>
      </w:pPr>
    </w:p>
    <w:p>
      <w:pPr>
        <w:ind w:left="764" w:right="80" w:hanging="768"/>
        <w:spacing w:after="0" w:line="260" w:lineRule="auto"/>
        <w:tabs>
          <w:tab w:leader="none" w:pos="744"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Regulation 4(1) of the Working Time Regulations 1998 (the “</w:t>
      </w:r>
      <w:r>
        <w:rPr>
          <w:rFonts w:ascii="Arial" w:cs="Arial" w:eastAsia="Arial" w:hAnsi="Arial"/>
          <w:sz w:val="21"/>
          <w:szCs w:val="21"/>
          <w:b w:val="1"/>
          <w:bCs w:val="1"/>
          <w:color w:val="auto"/>
        </w:rPr>
        <w:t>WTR</w:t>
      </w:r>
      <w:r>
        <w:rPr>
          <w:rFonts w:ascii="Arial" w:cs="Arial" w:eastAsia="Arial" w:hAnsi="Arial"/>
          <w:sz w:val="21"/>
          <w:szCs w:val="21"/>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58" w:lineRule="exact"/>
        <w:rPr>
          <w:sz w:val="20"/>
          <w:szCs w:val="20"/>
          <w:color w:val="auto"/>
        </w:rPr>
      </w:pPr>
    </w:p>
    <w:p>
      <w:pPr>
        <w:ind w:left="764"/>
        <w:spacing w:after="0" w:line="236" w:lineRule="auto"/>
        <w:rPr>
          <w:sz w:val="20"/>
          <w:szCs w:val="20"/>
          <w:color w:val="auto"/>
        </w:rPr>
      </w:pPr>
      <w:r>
        <w:rPr>
          <w:rFonts w:ascii="Arial" w:cs="Arial" w:eastAsia="Arial" w:hAnsi="Arial"/>
          <w:sz w:val="22"/>
          <w:szCs w:val="22"/>
          <w:color w:val="auto"/>
        </w:rPr>
        <w:t>You acknowledge that you hold an executive position with certain autonomous decision taking powers and that the duration of your working time is not measured or predetermined. You agree that you are therefore not subject to regulation 4(1) of the Working Time Regulations 1998 but without prejudice to that you accept that by signing this Contract you have agreed that, insofar as it would apply to your employment with the Company, regulation 4(1) of the Working Time Regulations 1998 shall not apply.</w:t>
      </w:r>
    </w:p>
    <w:p>
      <w:pPr>
        <w:spacing w:after="0" w:line="93" w:lineRule="exact"/>
        <w:rPr>
          <w:sz w:val="20"/>
          <w:szCs w:val="20"/>
          <w:color w:val="auto"/>
        </w:rPr>
      </w:pPr>
    </w:p>
    <w:p>
      <w:pPr>
        <w:ind w:left="764" w:right="20" w:hanging="768"/>
        <w:spacing w:after="0" w:line="328" w:lineRule="auto"/>
        <w:tabs>
          <w:tab w:leader="none" w:pos="744"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At any time during the Appointment, you or the Company may give three months’ prior written notice that the opt-out of clause 7.2 should no longer apply and it will cease to apply with effect from the expiry of the said notice.</w:t>
      </w:r>
    </w:p>
    <w:p>
      <w:pPr>
        <w:spacing w:after="0" w:line="10"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You will comply with any requests made or measures imposed to enable the Company and/or you to monitor and record your working time.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004"/>
          </w:cols>
          <w:pgMar w:left="436" w:top="267" w:right="459" w:bottom="1440" w:gutter="0" w:footer="0" w:header="0"/>
        </w:sectPr>
      </w:pPr>
    </w:p>
    <w:bookmarkStart w:id="351" w:name="page352"/>
    <w:bookmarkEnd w:id="351"/>
    <w:p>
      <w:pPr>
        <w:ind w:left="764" w:hanging="764"/>
        <w:spacing w:after="0"/>
        <w:tabs>
          <w:tab w:leader="none" w:pos="764" w:val="left"/>
        </w:tabs>
        <w:numPr>
          <w:ilvl w:val="0"/>
          <w:numId w:val="324"/>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Salary</w:t>
      </w:r>
    </w:p>
    <w:p>
      <w:pPr>
        <w:spacing w:after="0" w:line="112" w:lineRule="exact"/>
        <w:rPr>
          <w:sz w:val="20"/>
          <w:szCs w:val="20"/>
          <w:color w:val="auto"/>
        </w:rPr>
      </w:pPr>
    </w:p>
    <w:p>
      <w:pPr>
        <w:ind w:left="764" w:hanging="768"/>
        <w:spacing w:after="0" w:line="243"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 xml:space="preserve">Your salary is £ 296,783.28 per annum (the </w:t>
      </w:r>
      <w:r>
        <w:rPr>
          <w:rFonts w:ascii="Arial" w:cs="Arial" w:eastAsia="Arial" w:hAnsi="Arial"/>
          <w:sz w:val="22"/>
          <w:szCs w:val="22"/>
          <w:b w:val="1"/>
          <w:bCs w:val="1"/>
          <w:color w:val="auto"/>
        </w:rPr>
        <w:t>“Salary”</w:t>
      </w:r>
      <w:r>
        <w:rPr>
          <w:rFonts w:ascii="Arial" w:cs="Arial" w:eastAsia="Arial" w:hAnsi="Arial"/>
          <w:sz w:val="22"/>
          <w:szCs w:val="22"/>
          <w:color w:val="auto"/>
        </w:rPr>
        <w:t>), less statutory and voluntary deduction. The Salary shall accrue from day to day and be payable by equal monthly instalments in arrears on the last business day of each calendar month directly into your UK bank or building society account.</w:t>
      </w:r>
    </w:p>
    <w:p>
      <w:pPr>
        <w:spacing w:after="0" w:line="88"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You will receive no additional payment for any overtime worked. Your Salary will include any director’s, company secretary’s and other fees and emoluments due to you as an officer of the Company or of any Group Company.</w:t>
      </w:r>
    </w:p>
    <w:p>
      <w:pPr>
        <w:spacing w:after="0" w:line="10" w:lineRule="exact"/>
        <w:rPr>
          <w:sz w:val="20"/>
          <w:szCs w:val="20"/>
          <w:color w:val="auto"/>
        </w:rPr>
      </w:pPr>
    </w:p>
    <w:p>
      <w:pPr>
        <w:jc w:val="both"/>
        <w:ind w:left="764" w:right="300" w:hanging="768"/>
        <w:spacing w:after="0" w:line="297" w:lineRule="auto"/>
        <w:tabs>
          <w:tab w:leader="none" w:pos="744"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Your Salary will be reviewed by your Manager annually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39" w:lineRule="exact"/>
        <w:rPr>
          <w:sz w:val="20"/>
          <w:szCs w:val="20"/>
          <w:color w:val="auto"/>
        </w:rPr>
      </w:pPr>
    </w:p>
    <w:p>
      <w:pPr>
        <w:ind w:left="764" w:right="160" w:hanging="768"/>
        <w:spacing w:after="0" w:line="234" w:lineRule="auto"/>
        <w:tabs>
          <w:tab w:leader="none" w:pos="744"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96" w:lineRule="exact"/>
        <w:rPr>
          <w:sz w:val="20"/>
          <w:szCs w:val="20"/>
          <w:color w:val="auto"/>
        </w:rPr>
      </w:pPr>
    </w:p>
    <w:p>
      <w:pPr>
        <w:ind w:left="764" w:right="140" w:hanging="768"/>
        <w:spacing w:after="0" w:line="257" w:lineRule="auto"/>
        <w:tabs>
          <w:tab w:leader="none" w:pos="744"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color w:val="auto"/>
        </w:rPr>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12" w:lineRule="exact"/>
        <w:rPr>
          <w:sz w:val="20"/>
          <w:szCs w:val="20"/>
          <w:color w:val="auto"/>
        </w:rPr>
      </w:pPr>
    </w:p>
    <w:p>
      <w:pPr>
        <w:ind w:left="764" w:hanging="764"/>
        <w:spacing w:after="0"/>
        <w:tabs>
          <w:tab w:leader="none" w:pos="764" w:val="left"/>
        </w:tabs>
        <w:numPr>
          <w:ilvl w:val="0"/>
          <w:numId w:val="325"/>
        </w:numPr>
        <w:rPr>
          <w:rFonts w:ascii="Arial" w:cs="Arial" w:eastAsia="Arial" w:hAnsi="Arial"/>
          <w:sz w:val="22"/>
          <w:szCs w:val="22"/>
          <w:b w:val="1"/>
          <w:bCs w:val="1"/>
          <w:color w:val="auto"/>
        </w:rPr>
      </w:pPr>
      <w:r>
        <w:rPr>
          <w:rFonts w:ascii="Arial" w:cs="Arial" w:eastAsia="Arial" w:hAnsi="Arial"/>
          <w:sz w:val="22"/>
          <w:szCs w:val="22"/>
          <w:b w:val="1"/>
          <w:bCs w:val="1"/>
          <w:color w:val="auto"/>
        </w:rPr>
        <w:t>Discretionary Bonus</w:t>
      </w:r>
    </w:p>
    <w:p>
      <w:pPr>
        <w:spacing w:after="0" w:line="118" w:lineRule="exact"/>
        <w:rPr>
          <w:sz w:val="20"/>
          <w:szCs w:val="20"/>
          <w:color w:val="auto"/>
        </w:rPr>
      </w:pPr>
    </w:p>
    <w:p>
      <w:pPr>
        <w:ind w:left="764" w:right="160" w:hanging="768"/>
        <w:spacing w:after="0" w:line="297" w:lineRule="auto"/>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39" w:lineRule="exact"/>
        <w:rPr>
          <w:sz w:val="20"/>
          <w:szCs w:val="20"/>
          <w:color w:val="auto"/>
        </w:rPr>
      </w:pPr>
    </w:p>
    <w:p>
      <w:pPr>
        <w:ind w:left="764" w:right="660" w:hanging="768"/>
        <w:spacing w:after="0" w:line="328"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The terms of the discretionary bonus scheme are determined by the Company in its absolute discretion and the Company is entitled in its absolute discretion to change the terms of this scheme from year to year.</w:t>
      </w:r>
    </w:p>
    <w:p>
      <w:pPr>
        <w:spacing w:after="0" w:line="10"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92" w:lineRule="exact"/>
        <w:rPr>
          <w:sz w:val="20"/>
          <w:szCs w:val="20"/>
          <w:color w:val="auto"/>
        </w:rPr>
      </w:pPr>
    </w:p>
    <w:p>
      <w:pPr>
        <w:ind w:left="764" w:right="200" w:hanging="768"/>
        <w:spacing w:after="0" w:line="250"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If you commence employment part way through the calendar year any sum calculated in accordance with clause 9.2 shall be pro-rated, as appropriate.</w:t>
      </w:r>
    </w:p>
    <w:p>
      <w:pPr>
        <w:spacing w:after="0" w:line="107"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0984"/>
          </w:cols>
          <w:pgMar w:left="436" w:top="261" w:right="479" w:bottom="1440" w:gutter="0" w:footer="0" w:header="0"/>
        </w:sectPr>
      </w:pPr>
    </w:p>
    <w:bookmarkStart w:id="352" w:name="page353"/>
    <w:bookmarkEnd w:id="352"/>
    <w:p>
      <w:pPr>
        <w:jc w:val="both"/>
        <w:ind w:left="764" w:right="20"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9.5</w:t>
      </w:r>
      <w:r>
        <w:rPr>
          <w:sz w:val="20"/>
          <w:szCs w:val="20"/>
          <w:color w:val="auto"/>
        </w:rPr>
        <w:tab/>
      </w:r>
      <w:r>
        <w:rPr>
          <w:rFonts w:ascii="Arial" w:cs="Arial" w:eastAsia="Arial" w:hAnsi="Arial"/>
          <w:sz w:val="22"/>
          <w:szCs w:val="22"/>
          <w:color w:val="auto"/>
        </w:rPr>
        <w:t>Save as provided in Schedule II, if you are working your period of notice (given by either you or the Company) at the date any bonus is payable to you, or the Appointment is terminated prior to that date, no bonus or pro-rata bonus shall be payable.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Any discretionary bonus payable in accordance with this clause 9 shall not be pensionable.</w:t>
      </w:r>
    </w:p>
    <w:p>
      <w:pPr>
        <w:spacing w:after="0" w:line="349" w:lineRule="exact"/>
        <w:rPr>
          <w:sz w:val="20"/>
          <w:szCs w:val="20"/>
          <w:color w:val="auto"/>
        </w:rPr>
      </w:pPr>
    </w:p>
    <w:p>
      <w:pPr>
        <w:ind w:left="764" w:hanging="764"/>
        <w:spacing w:after="0"/>
        <w:tabs>
          <w:tab w:leader="none" w:pos="764" w:val="left"/>
        </w:tabs>
        <w:numPr>
          <w:ilvl w:val="0"/>
          <w:numId w:val="326"/>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118" w:lineRule="exact"/>
        <w:rPr>
          <w:sz w:val="20"/>
          <w:szCs w:val="20"/>
          <w:color w:val="auto"/>
        </w:rPr>
      </w:pPr>
    </w:p>
    <w:p>
      <w:pPr>
        <w:ind w:left="764" w:right="360" w:hanging="768"/>
        <w:spacing w:after="0" w:line="238" w:lineRule="auto"/>
        <w:tabs>
          <w:tab w:leader="none" w:pos="744"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You shall comply with the Company’s expenses policy as set out in the Staff Handbook from time to time.</w:t>
      </w:r>
    </w:p>
    <w:p>
      <w:pPr>
        <w:spacing w:after="0" w:line="112" w:lineRule="exact"/>
        <w:rPr>
          <w:sz w:val="20"/>
          <w:szCs w:val="20"/>
          <w:color w:val="auto"/>
        </w:rPr>
      </w:pPr>
    </w:p>
    <w:p>
      <w:pPr>
        <w:jc w:val="both"/>
        <w:ind w:left="764" w:right="220" w:hanging="768"/>
        <w:spacing w:after="0"/>
        <w:tabs>
          <w:tab w:leader="none" w:pos="744"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Any expenses charged to a Company credit card must be documented in accordance with Company procedures and approved by the Chief Financial Officer within one month of the date that the credit card statement is received. No personal expenditure may be charged to Company credit cards.</w:t>
      </w:r>
    </w:p>
    <w:p>
      <w:pPr>
        <w:spacing w:after="0" w:line="329" w:lineRule="exact"/>
        <w:rPr>
          <w:sz w:val="20"/>
          <w:szCs w:val="20"/>
          <w:color w:val="auto"/>
        </w:rPr>
      </w:pPr>
    </w:p>
    <w:p>
      <w:pPr>
        <w:ind w:left="764" w:hanging="764"/>
        <w:spacing w:after="0"/>
        <w:tabs>
          <w:tab w:leader="none" w:pos="764" w:val="left"/>
        </w:tabs>
        <w:numPr>
          <w:ilvl w:val="0"/>
          <w:numId w:val="327"/>
        </w:numPr>
        <w:rPr>
          <w:rFonts w:ascii="Arial" w:cs="Arial" w:eastAsia="Arial" w:hAnsi="Arial"/>
          <w:sz w:val="22"/>
          <w:szCs w:val="22"/>
          <w:b w:val="1"/>
          <w:bCs w:val="1"/>
          <w:color w:val="auto"/>
        </w:rPr>
      </w:pPr>
      <w:r>
        <w:rPr>
          <w:rFonts w:ascii="Arial" w:cs="Arial" w:eastAsia="Arial" w:hAnsi="Arial"/>
          <w:sz w:val="22"/>
          <w:szCs w:val="22"/>
          <w:b w:val="1"/>
          <w:bCs w:val="1"/>
          <w:color w:val="auto"/>
        </w:rPr>
        <w:t>Other Employment</w:t>
      </w:r>
    </w:p>
    <w:p>
      <w:pPr>
        <w:spacing w:after="0" w:line="118" w:lineRule="exact"/>
        <w:rPr>
          <w:sz w:val="20"/>
          <w:szCs w:val="20"/>
          <w:color w:val="auto"/>
        </w:rPr>
      </w:pPr>
    </w:p>
    <w:p>
      <w:pPr>
        <w:ind w:left="764" w:right="380" w:hanging="768"/>
        <w:spacing w:after="0" w:line="250" w:lineRule="auto"/>
        <w:tabs>
          <w:tab w:leader="none" w:pos="74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You must devote substantially the whole of your time, attention and abilities during your normal hours of work to your duties for the Company.</w:t>
      </w:r>
    </w:p>
    <w:p>
      <w:pPr>
        <w:spacing w:after="0" w:line="80"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Without the prior written approval of the Board, you may not, whether directly or indirectly, undertake any other job (including voluntary work) or carry on a business, of whatever kind, during your hours of work for the Company. Without the prior written approval of the Board,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w:t>
      </w:r>
    </w:p>
    <w:p>
      <w:pPr>
        <w:spacing w:after="0" w:line="9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color w:val="auto"/>
        </w:rPr>
        <w:t>You may not at any time during the period of your employment by the Company without the prior written consent of the Chief Executive Officer engage, whether directly or indirectly, in any business or employment which is similar to or in any way connected with the business of the Company. Nothing in this clause 11.3 will prevent you from continuing with your activities relating to Phase4 Partners Limited.</w:t>
      </w:r>
    </w:p>
    <w:p>
      <w:pPr>
        <w:spacing w:after="0" w:line="327" w:lineRule="exact"/>
        <w:rPr>
          <w:sz w:val="20"/>
          <w:szCs w:val="20"/>
          <w:color w:val="auto"/>
        </w:rPr>
      </w:pPr>
    </w:p>
    <w:p>
      <w:pPr>
        <w:ind w:left="764" w:hanging="764"/>
        <w:spacing w:after="0"/>
        <w:tabs>
          <w:tab w:leader="none" w:pos="764" w:val="left"/>
        </w:tabs>
        <w:numPr>
          <w:ilvl w:val="0"/>
          <w:numId w:val="328"/>
        </w:numPr>
        <w:rPr>
          <w:rFonts w:ascii="Arial" w:cs="Arial" w:eastAsia="Arial" w:hAnsi="Arial"/>
          <w:sz w:val="22"/>
          <w:szCs w:val="22"/>
          <w:b w:val="1"/>
          <w:bCs w:val="1"/>
          <w:color w:val="auto"/>
        </w:rPr>
      </w:pPr>
      <w:r>
        <w:rPr>
          <w:rFonts w:ascii="Arial" w:cs="Arial" w:eastAsia="Arial" w:hAnsi="Arial"/>
          <w:sz w:val="22"/>
          <w:szCs w:val="22"/>
          <w:b w:val="1"/>
          <w:bCs w:val="1"/>
          <w:color w:val="auto"/>
        </w:rPr>
        <w:t>Holidays</w:t>
      </w:r>
    </w:p>
    <w:p>
      <w:pPr>
        <w:spacing w:after="0" w:line="118" w:lineRule="exact"/>
        <w:rPr>
          <w:sz w:val="20"/>
          <w:szCs w:val="20"/>
          <w:color w:val="auto"/>
        </w:rPr>
      </w:pPr>
    </w:p>
    <w:p>
      <w:pPr>
        <w:ind w:left="764" w:right="60" w:hanging="768"/>
        <w:spacing w:after="0"/>
        <w:tabs>
          <w:tab w:leader="none" w:pos="744"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In addition to the usual public and bank holidays of England and Wales, you shall be entitled to 25 days’ paid holiday in each complete holiday year worked (and pro rata for any holiday year worked in part) to be taken at such time or times as shall be agreed by your Manager.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0964"/>
          </w:cols>
          <w:pgMar w:left="436" w:top="267" w:right="499" w:bottom="1440" w:gutter="0" w:footer="0" w:header="0"/>
        </w:sectPr>
      </w:pPr>
    </w:p>
    <w:bookmarkStart w:id="353" w:name="page354"/>
    <w:bookmarkEnd w:id="353"/>
    <w:p>
      <w:pPr>
        <w:ind w:left="4"/>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w:t>
      </w:r>
      <w:r>
        <w:rPr>
          <w:sz w:val="20"/>
          <w:szCs w:val="20"/>
          <w:color w:val="auto"/>
        </w:rPr>
        <w:tab/>
      </w:r>
      <w:r>
        <w:rPr>
          <w:rFonts w:ascii="Arial" w:cs="Arial" w:eastAsia="Arial" w:hAnsi="Arial"/>
          <w:sz w:val="19"/>
          <w:szCs w:val="19"/>
          <w:color w:val="auto"/>
        </w:rPr>
        <w:t>The holiday year runs from 1 January each year to the following 31 December.</w:t>
      </w:r>
    </w:p>
    <w:p>
      <w:pPr>
        <w:spacing w:after="0" w:line="112"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color w:val="auto"/>
        </w:rPr>
        <w:t>Although the Company will agree to your proposed holiday dates wherever possible, it reserves the right to withhold approval where necessary to protect the interests of the business.</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The Company reserves the right to require you to take holiday on certain days to be determined by the Company of up to five days in each holiday year. The Company will notify you of any such requirement prior to the commencement of each holiday year.</w:t>
      </w:r>
    </w:p>
    <w:p>
      <w:pPr>
        <w:spacing w:after="0" w:line="92" w:lineRule="exact"/>
        <w:rPr>
          <w:sz w:val="20"/>
          <w:szCs w:val="20"/>
          <w:color w:val="auto"/>
        </w:rPr>
      </w:pPr>
    </w:p>
    <w:p>
      <w:pPr>
        <w:jc w:val="both"/>
        <w:ind w:left="764" w:right="280" w:hanging="768"/>
        <w:spacing w:after="0"/>
        <w:tabs>
          <w:tab w:leader="none" w:pos="744"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color w:val="auto"/>
        </w:rPr>
        <w:t>A maximum of five days untaken holiday entitlement may be carried forward from one holiday year subject to the prior written agreement of your Manager to the next and no money will be paid in lieu of any such untaken holiday entitlement.</w:t>
      </w:r>
    </w:p>
    <w:p>
      <w:pPr>
        <w:spacing w:after="0" w:line="92" w:lineRule="exact"/>
        <w:rPr>
          <w:sz w:val="20"/>
          <w:szCs w:val="20"/>
          <w:color w:val="auto"/>
        </w:rPr>
      </w:pPr>
    </w:p>
    <w:p>
      <w:pPr>
        <w:ind w:left="764" w:right="200" w:hanging="768"/>
        <w:spacing w:after="0" w:line="252" w:lineRule="auto"/>
        <w:tabs>
          <w:tab w:leader="none" w:pos="744"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color w:val="auto"/>
        </w:rPr>
        <w:t>On termination of the Appointment you shall be entitled to be paid in lieu of holiday accrued but untaken in the holiday year in which termination takes place. Your entitlement to holiday will be calculated on the basis that each day of paid holiday is equal to 1/260 of your salary. Alternatively, you will be required to repay to the Company pay for any holiday taken in excess of your entitlement at the same rate.</w:t>
      </w:r>
    </w:p>
    <w:p>
      <w:pPr>
        <w:spacing w:after="0" w:line="79" w:lineRule="exact"/>
        <w:rPr>
          <w:sz w:val="20"/>
          <w:szCs w:val="20"/>
          <w:color w:val="auto"/>
        </w:rPr>
      </w:pPr>
    </w:p>
    <w:p>
      <w:pPr>
        <w:jc w:val="both"/>
        <w:ind w:left="764" w:right="340" w:hanging="768"/>
        <w:spacing w:after="0"/>
        <w:tabs>
          <w:tab w:leader="none" w:pos="744"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color w:val="auto"/>
        </w:rPr>
        <w:t>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92" w:lineRule="exact"/>
        <w:rPr>
          <w:sz w:val="20"/>
          <w:szCs w:val="20"/>
          <w:color w:val="auto"/>
        </w:rPr>
      </w:pPr>
    </w:p>
    <w:p>
      <w:pPr>
        <w:ind w:left="764" w:right="260" w:hanging="768"/>
        <w:spacing w:after="0" w:line="250" w:lineRule="auto"/>
        <w:tabs>
          <w:tab w:leader="none" w:pos="744"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2"/>
          <w:szCs w:val="22"/>
          <w:color w:val="auto"/>
        </w:rPr>
        <w:t>The Company may require you to take any outstanding holiday entitlement during your notice period or during any period of garden leave as referred to in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The holiday year is also the leave year for parental leave purposes.</w:t>
      </w:r>
    </w:p>
    <w:p>
      <w:pPr>
        <w:spacing w:after="0" w:line="349" w:lineRule="exact"/>
        <w:rPr>
          <w:sz w:val="20"/>
          <w:szCs w:val="20"/>
          <w:color w:val="auto"/>
        </w:rPr>
      </w:pPr>
    </w:p>
    <w:p>
      <w:pPr>
        <w:ind w:left="764" w:hanging="764"/>
        <w:spacing w:after="0"/>
        <w:tabs>
          <w:tab w:leader="none" w:pos="764" w:val="left"/>
        </w:tabs>
        <w:numPr>
          <w:ilvl w:val="0"/>
          <w:numId w:val="329"/>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Sickness or Other Absence</w:t>
      </w:r>
    </w:p>
    <w:p>
      <w:pPr>
        <w:spacing w:after="0" w:line="118" w:lineRule="exact"/>
        <w:rPr>
          <w:sz w:val="20"/>
          <w:szCs w:val="20"/>
          <w:color w:val="auto"/>
        </w:rPr>
      </w:pPr>
    </w:p>
    <w:p>
      <w:pPr>
        <w:ind w:left="764" w:right="380" w:hanging="768"/>
        <w:spacing w:after="0" w:line="328" w:lineRule="auto"/>
        <w:tabs>
          <w:tab w:leader="none" w:pos="744"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If you are absent from work for any reason and your absence has not previously been authorised by your Manager you, or someone on your behalf, must inform your Manager by 10.00 am on each day of absence.</w:t>
      </w:r>
    </w:p>
    <w:p>
      <w:pPr>
        <w:spacing w:after="0" w:line="10"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Any unauthorised absence must be properly explained and in the case of an absence of uncertain duration you must keep the Company informed on a daily basis until you have provided the Company with a medical certificate.</w:t>
      </w:r>
    </w:p>
    <w:p>
      <w:pPr>
        <w:spacing w:after="0" w:line="10" w:lineRule="exact"/>
        <w:rPr>
          <w:sz w:val="20"/>
          <w:szCs w:val="20"/>
          <w:color w:val="auto"/>
        </w:rPr>
      </w:pPr>
    </w:p>
    <w:p>
      <w:pPr>
        <w:jc w:val="both"/>
        <w:ind w:left="764" w:right="40" w:hanging="768"/>
        <w:spacing w:after="0" w:line="257" w:lineRule="auto"/>
        <w:tabs>
          <w:tab w:leader="none" w:pos="744"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75" w:lineRule="exact"/>
        <w:rPr>
          <w:sz w:val="20"/>
          <w:szCs w:val="20"/>
          <w:color w:val="auto"/>
        </w:rPr>
      </w:pPr>
    </w:p>
    <w:p>
      <w:pPr>
        <w:ind w:left="764" w:right="220" w:hanging="768"/>
        <w:spacing w:after="0" w:line="287" w:lineRule="auto"/>
        <w:tabs>
          <w:tab w:leader="none" w:pos="744"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7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004"/>
          </w:cols>
          <w:pgMar w:left="436" w:top="267" w:right="459" w:bottom="1440" w:gutter="0" w:footer="0" w:header="0"/>
        </w:sectPr>
      </w:pPr>
    </w:p>
    <w:bookmarkStart w:id="354" w:name="page355"/>
    <w:bookmarkEnd w:id="354"/>
    <w:p>
      <w:pPr>
        <w:ind w:left="764" w:right="28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w:t>
      </w:r>
      <w:r>
        <w:rPr>
          <w:sz w:val="20"/>
          <w:szCs w:val="20"/>
          <w:color w:val="auto"/>
        </w:rPr>
        <w:tab/>
      </w:r>
      <w:r>
        <w:rPr>
          <w:rFonts w:ascii="Arial" w:cs="Arial" w:eastAsia="Arial" w:hAnsi="Arial"/>
          <w:sz w:val="22"/>
          <w:szCs w:val="22"/>
          <w:color w:val="auto"/>
        </w:rPr>
        <w:t>Failure to comply with the above procedures may result in disciplinary action and/or the loss of Company sick pay (referred to below) and may also disqualify you from receiving Statutory Sick Pay.</w:t>
      </w:r>
    </w:p>
    <w:p>
      <w:pPr>
        <w:spacing w:after="0" w:line="80" w:lineRule="exact"/>
        <w:rPr>
          <w:sz w:val="20"/>
          <w:szCs w:val="20"/>
          <w:color w:val="auto"/>
        </w:rPr>
      </w:pPr>
    </w:p>
    <w:p>
      <w:pPr>
        <w:ind w:left="764" w:right="200" w:hanging="768"/>
        <w:spacing w:after="0" w:line="250" w:lineRule="auto"/>
        <w:tabs>
          <w:tab w:leader="none" w:pos="744"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2"/>
          <w:szCs w:val="22"/>
          <w:color w:val="auto"/>
        </w:rPr>
        <w:t>Your “qualifying days” for Statutory Sick Pay purposes are those days of the week on which you are due to work in accordance with this contract of employment.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You shall:</w:t>
      </w:r>
    </w:p>
    <w:p>
      <w:pPr>
        <w:spacing w:after="0" w:line="112" w:lineRule="exact"/>
        <w:rPr>
          <w:sz w:val="20"/>
          <w:szCs w:val="20"/>
          <w:color w:val="auto"/>
        </w:rPr>
      </w:pPr>
    </w:p>
    <w:p>
      <w:pPr>
        <w:ind w:left="2204" w:right="80" w:hanging="768"/>
        <w:spacing w:after="0" w:line="328" w:lineRule="auto"/>
        <w:tabs>
          <w:tab w:leader="none" w:pos="2184" w:val="left"/>
        </w:tabs>
        <w:rPr>
          <w:sz w:val="20"/>
          <w:szCs w:val="20"/>
          <w:color w:val="auto"/>
        </w:rPr>
      </w:pPr>
      <w:r>
        <w:rPr>
          <w:rFonts w:ascii="Arial" w:cs="Arial" w:eastAsia="Arial" w:hAnsi="Arial"/>
          <w:sz w:val="22"/>
          <w:szCs w:val="22"/>
          <w:color w:val="auto"/>
        </w:rPr>
        <w:t>13.7.1</w:t>
      </w:r>
      <w:r>
        <w:rPr>
          <w:sz w:val="20"/>
          <w:szCs w:val="20"/>
          <w:color w:val="auto"/>
        </w:rPr>
        <w:tab/>
      </w:r>
      <w:r>
        <w:rPr>
          <w:rFonts w:ascii="Arial" w:cs="Arial" w:eastAsia="Arial" w:hAnsi="Arial"/>
          <w:sz w:val="19"/>
          <w:szCs w:val="19"/>
          <w:color w:val="auto"/>
        </w:rPr>
        <w:t>agree to consent to a medical examination (at the Company’s expense) by a doctor nominated by the Company or your GP or any relevant consultant at any time should the Company so require; and</w:t>
      </w:r>
    </w:p>
    <w:p>
      <w:pPr>
        <w:spacing w:after="0" w:line="10" w:lineRule="exact"/>
        <w:rPr>
          <w:sz w:val="20"/>
          <w:szCs w:val="20"/>
          <w:color w:val="auto"/>
        </w:rPr>
      </w:pPr>
    </w:p>
    <w:p>
      <w:pPr>
        <w:ind w:left="2204" w:right="680" w:hanging="768"/>
        <w:spacing w:after="0" w:line="250" w:lineRule="auto"/>
        <w:tabs>
          <w:tab w:leader="none" w:pos="2184" w:val="left"/>
        </w:tabs>
        <w:rPr>
          <w:sz w:val="20"/>
          <w:szCs w:val="20"/>
          <w:color w:val="auto"/>
        </w:rPr>
      </w:pPr>
      <w:r>
        <w:rPr>
          <w:rFonts w:ascii="Arial" w:cs="Arial" w:eastAsia="Arial" w:hAnsi="Arial"/>
          <w:sz w:val="22"/>
          <w:szCs w:val="22"/>
          <w:color w:val="auto"/>
        </w:rPr>
        <w:t>13.7.2</w:t>
        <w:tab/>
        <w:t>authorise such medical practitioner to disclose to or discuss with the Company (or its medical adviser) any matters arising from such examination.</w:t>
      </w:r>
    </w:p>
    <w:p>
      <w:pPr>
        <w:spacing w:after="0" w:line="80" w:lineRule="exact"/>
        <w:rPr>
          <w:sz w:val="20"/>
          <w:szCs w:val="20"/>
          <w:color w:val="auto"/>
        </w:rPr>
      </w:pPr>
    </w:p>
    <w:p>
      <w:pPr>
        <w:ind w:left="764" w:right="200" w:hanging="768"/>
        <w:spacing w:after="0"/>
        <w:tabs>
          <w:tab w:leader="none" w:pos="744"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2"/>
          <w:szCs w:val="22"/>
          <w:color w:val="auto"/>
        </w:rPr>
        <w:t>The rights of the Company to terminate the Appointment under the terms of this Contract apply even when such termination would or might cause you to forfeit any entitlement to sick pay, payments under the medical scheme, or other benefits.</w:t>
      </w:r>
    </w:p>
    <w:p>
      <w:pPr>
        <w:spacing w:after="0" w:line="329" w:lineRule="exact"/>
        <w:rPr>
          <w:sz w:val="20"/>
          <w:szCs w:val="20"/>
          <w:color w:val="auto"/>
        </w:rPr>
      </w:pPr>
    </w:p>
    <w:p>
      <w:pPr>
        <w:ind w:left="764" w:hanging="764"/>
        <w:spacing w:after="0"/>
        <w:tabs>
          <w:tab w:leader="none" w:pos="764" w:val="left"/>
        </w:tabs>
        <w:numPr>
          <w:ilvl w:val="0"/>
          <w:numId w:val="330"/>
        </w:numPr>
        <w:rPr>
          <w:rFonts w:ascii="Arial" w:cs="Arial" w:eastAsia="Arial" w:hAnsi="Arial"/>
          <w:sz w:val="22"/>
          <w:szCs w:val="22"/>
          <w:b w:val="1"/>
          <w:bCs w:val="1"/>
          <w:color w:val="auto"/>
        </w:rPr>
      </w:pPr>
      <w:r>
        <w:rPr>
          <w:rFonts w:ascii="Arial" w:cs="Arial" w:eastAsia="Arial" w:hAnsi="Arial"/>
          <w:sz w:val="22"/>
          <w:szCs w:val="22"/>
          <w:b w:val="1"/>
          <w:bCs w:val="1"/>
          <w:color w:val="auto"/>
        </w:rPr>
        <w:t>Sick Pay</w:t>
      </w:r>
    </w:p>
    <w:p>
      <w:pPr>
        <w:spacing w:after="0" w:line="118" w:lineRule="exact"/>
        <w:rPr>
          <w:sz w:val="20"/>
          <w:szCs w:val="20"/>
          <w:color w:val="auto"/>
        </w:rPr>
      </w:pPr>
    </w:p>
    <w:p>
      <w:pPr>
        <w:ind w:left="764" w:right="80" w:hanging="768"/>
        <w:spacing w:after="0" w:line="248" w:lineRule="auto"/>
        <w:tabs>
          <w:tab w:leader="none" w:pos="744"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82" w:lineRule="exact"/>
        <w:rPr>
          <w:sz w:val="20"/>
          <w:szCs w:val="20"/>
          <w:color w:val="auto"/>
        </w:rPr>
      </w:pPr>
    </w:p>
    <w:p>
      <w:pPr>
        <w:ind w:left="764" w:hanging="768"/>
        <w:spacing w:after="0" w:line="248" w:lineRule="auto"/>
        <w:tabs>
          <w:tab w:leader="none" w:pos="744"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82"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color w:val="auto"/>
        </w:rPr>
        <w:t>The Company reserves the right to withhold payment of Company sick pay if you fail to comply with the provisions of clause 13 or if you are subject to disciplinary proceedings.</w:t>
      </w:r>
    </w:p>
    <w:p>
      <w:pPr>
        <w:spacing w:after="0" w:line="317" w:lineRule="exact"/>
        <w:rPr>
          <w:sz w:val="20"/>
          <w:szCs w:val="20"/>
          <w:color w:val="auto"/>
        </w:rPr>
      </w:pPr>
    </w:p>
    <w:p>
      <w:pPr>
        <w:ind w:left="764" w:hanging="764"/>
        <w:spacing w:after="0"/>
        <w:tabs>
          <w:tab w:leader="none" w:pos="764" w:val="left"/>
        </w:tabs>
        <w:numPr>
          <w:ilvl w:val="0"/>
          <w:numId w:val="331"/>
        </w:numPr>
        <w:rPr>
          <w:rFonts w:ascii="Arial" w:cs="Arial" w:eastAsia="Arial" w:hAnsi="Arial"/>
          <w:sz w:val="22"/>
          <w:szCs w:val="22"/>
          <w:b w:val="1"/>
          <w:bCs w:val="1"/>
          <w:color w:val="auto"/>
        </w:rPr>
      </w:pPr>
      <w:r>
        <w:rPr>
          <w:rFonts w:ascii="Arial" w:cs="Arial" w:eastAsia="Arial" w:hAnsi="Arial"/>
          <w:sz w:val="22"/>
          <w:szCs w:val="22"/>
          <w:b w:val="1"/>
          <w:bCs w:val="1"/>
          <w:color w:val="auto"/>
        </w:rPr>
        <w:t>Other Benefits</w:t>
      </w:r>
    </w:p>
    <w:p>
      <w:pPr>
        <w:spacing w:after="0" w:line="112" w:lineRule="exact"/>
        <w:rPr>
          <w:sz w:val="20"/>
          <w:szCs w:val="20"/>
          <w:color w:val="auto"/>
        </w:rPr>
      </w:pPr>
    </w:p>
    <w:p>
      <w:pPr>
        <w:ind w:left="764" w:right="180" w:hanging="768"/>
        <w:spacing w:after="0" w:line="256" w:lineRule="auto"/>
        <w:tabs>
          <w:tab w:leader="none" w:pos="744"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2"/>
          <w:szCs w:val="22"/>
          <w:b w:val="1"/>
          <w:bCs w:val="1"/>
          <w:color w:val="auto"/>
        </w:rPr>
        <w:t xml:space="preserve">Pension. </w:t>
      </w:r>
      <w:r>
        <w:rPr>
          <w:rFonts w:ascii="Arial" w:cs="Arial" w:eastAsia="Arial" w:hAnsi="Arial"/>
          <w:sz w:val="22"/>
          <w:szCs w:val="22"/>
          <w:color w:val="auto"/>
        </w:rPr>
        <w:t>You are eligible to join the Company’s group personal pension scheme. Membership of and benefits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scheme are strictly subject to the rules of</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0964"/>
          </w:cols>
          <w:pgMar w:left="436" w:top="267" w:right="499" w:bottom="1440" w:gutter="0" w:footer="0" w:header="0"/>
        </w:sectPr>
      </w:pPr>
    </w:p>
    <w:bookmarkStart w:id="355" w:name="page356"/>
    <w:bookmarkEnd w:id="355"/>
    <w:p>
      <w:pPr>
        <w:ind w:left="76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scheme as amended from time to time. The Company expressly reserves the right in its discretion to amend or terminate the pension scheme. The Company shall contribute to the Company’s pension scheme an amount equal to 10% of your 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 pro-rata amount equal to 10% of your basic salary in lieu of a pension contribution to you as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66" w:lineRule="exact"/>
        <w:rPr>
          <w:sz w:val="20"/>
          <w:szCs w:val="20"/>
          <w:color w:val="auto"/>
        </w:rPr>
      </w:pPr>
    </w:p>
    <w:p>
      <w:pPr>
        <w:ind w:left="760" w:right="40" w:hanging="768"/>
        <w:spacing w:after="0" w:line="250" w:lineRule="auto"/>
        <w:tabs>
          <w:tab w:leader="none" w:pos="7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color w:val="auto"/>
        </w:rPr>
        <w:t>The Company will comply with the employer pension duties in respect of your employment in accordance with Part I of the Pensions Act 2008.</w:t>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A contracting-out certificate under the Pension Schemes Act 1993 is not in force in respect of the Appointment.</w:t>
      </w:r>
    </w:p>
    <w:p>
      <w:pPr>
        <w:spacing w:after="0" w:line="112" w:lineRule="exact"/>
        <w:rPr>
          <w:sz w:val="20"/>
          <w:szCs w:val="20"/>
          <w:color w:val="auto"/>
        </w:rPr>
      </w:pPr>
    </w:p>
    <w:p>
      <w:pPr>
        <w:ind w:left="760" w:right="460" w:hanging="768"/>
        <w:spacing w:after="0" w:line="257" w:lineRule="auto"/>
        <w:tabs>
          <w:tab w:leader="none" w:pos="7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color w:val="auto"/>
        </w:rPr>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69" w:lineRule="exact"/>
        <w:rPr>
          <w:sz w:val="20"/>
          <w:szCs w:val="20"/>
          <w:color w:val="auto"/>
        </w:rPr>
      </w:pPr>
    </w:p>
    <w:p>
      <w:pPr>
        <w:ind w:left="1420" w:right="420" w:hanging="647"/>
        <w:spacing w:after="0" w:line="280" w:lineRule="auto"/>
        <w:rPr>
          <w:sz w:val="20"/>
          <w:szCs w:val="20"/>
          <w:color w:val="auto"/>
        </w:rPr>
      </w:pPr>
      <w:r>
        <w:rPr>
          <w:rFonts w:ascii="Arial" w:cs="Arial" w:eastAsia="Arial" w:hAnsi="Arial"/>
          <w:sz w:val="21"/>
          <w:szCs w:val="21"/>
          <w:color w:val="auto"/>
        </w:rPr>
        <w:t xml:space="preserve">15.4.1 </w:t>
      </w:r>
      <w:r>
        <w:rPr>
          <w:rFonts w:ascii="Arial" w:cs="Arial" w:eastAsia="Arial" w:hAnsi="Arial"/>
          <w:sz w:val="21"/>
          <w:szCs w:val="21"/>
          <w:b w:val="1"/>
          <w:bCs w:val="1"/>
          <w:color w:val="auto"/>
        </w:rPr>
        <w:t>Medical Scheme.</w:t>
      </w:r>
      <w:r>
        <w:rPr>
          <w:rFonts w:ascii="Arial" w:cs="Arial" w:eastAsia="Arial" w:hAnsi="Arial"/>
          <w:sz w:val="21"/>
          <w:szCs w:val="21"/>
          <w:color w:val="auto"/>
        </w:rPr>
        <w:t xml:space="preserve"> You and your immediate family shall be entitled to participate in the medical insurance scheme maintained from time to time by the Company for the benefit of employees.</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15.4.2 </w:t>
      </w:r>
      <w:r>
        <w:rPr>
          <w:rFonts w:ascii="Arial" w:cs="Arial" w:eastAsia="Arial" w:hAnsi="Arial"/>
          <w:sz w:val="19"/>
          <w:szCs w:val="19"/>
          <w:b w:val="1"/>
          <w:bCs w:val="1"/>
          <w:color w:val="auto"/>
        </w:rPr>
        <w:t>Life Assurance Scheme.</w:t>
      </w:r>
      <w:r>
        <w:rPr>
          <w:rFonts w:ascii="Arial" w:cs="Arial" w:eastAsia="Arial" w:hAnsi="Arial"/>
          <w:sz w:val="19"/>
          <w:szCs w:val="19"/>
          <w:color w:val="auto"/>
        </w:rPr>
        <w:t xml:space="preserve"> The Company shall maintain for you life assurance of four times your Salary.</w:t>
      </w:r>
    </w:p>
    <w:p>
      <w:pPr>
        <w:spacing w:after="0" w:line="146" w:lineRule="exact"/>
        <w:rPr>
          <w:sz w:val="20"/>
          <w:szCs w:val="20"/>
          <w:color w:val="auto"/>
        </w:rPr>
      </w:pPr>
    </w:p>
    <w:p>
      <w:pPr>
        <w:ind w:left="1420" w:right="340" w:hanging="647"/>
        <w:spacing w:after="0" w:line="256" w:lineRule="auto"/>
        <w:rPr>
          <w:sz w:val="20"/>
          <w:szCs w:val="20"/>
          <w:color w:val="auto"/>
        </w:rPr>
      </w:pPr>
      <w:r>
        <w:rPr>
          <w:rFonts w:ascii="Arial" w:cs="Arial" w:eastAsia="Arial" w:hAnsi="Arial"/>
          <w:sz w:val="22"/>
          <w:szCs w:val="22"/>
          <w:color w:val="auto"/>
        </w:rPr>
        <w:t xml:space="preserve">15.4.3 </w:t>
      </w:r>
      <w:r>
        <w:rPr>
          <w:rFonts w:ascii="Arial" w:cs="Arial" w:eastAsia="Arial" w:hAnsi="Arial"/>
          <w:sz w:val="22"/>
          <w:szCs w:val="22"/>
          <w:b w:val="1"/>
          <w:bCs w:val="1"/>
          <w:color w:val="auto"/>
        </w:rPr>
        <w:t>Income protection.</w:t>
      </w:r>
      <w:r>
        <w:rPr>
          <w:rFonts w:ascii="Arial" w:cs="Arial" w:eastAsia="Arial" w:hAnsi="Arial"/>
          <w:sz w:val="22"/>
          <w:szCs w:val="22"/>
          <w:color w:val="auto"/>
        </w:rPr>
        <w:t xml:space="preserve"> You will be eligible to participate in such income protection schemes as the Company may from time to time operate for employees of your level.</w:t>
      </w:r>
    </w:p>
    <w:p>
      <w:pPr>
        <w:spacing w:after="0" w:line="74" w:lineRule="exact"/>
        <w:rPr>
          <w:sz w:val="20"/>
          <w:szCs w:val="20"/>
          <w:color w:val="auto"/>
        </w:rPr>
      </w:pPr>
    </w:p>
    <w:p>
      <w:pPr>
        <w:ind w:left="760" w:right="100" w:hanging="768"/>
        <w:spacing w:after="0"/>
        <w:tabs>
          <w:tab w:leader="none" w:pos="7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2"/>
          <w:szCs w:val="22"/>
          <w:color w:val="auto"/>
        </w:rPr>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9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Participation in any insurance or assurance scheme provided for you under this Contract:</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15.6.1</w:t>
      </w:r>
      <w:r>
        <w:rPr>
          <w:sz w:val="20"/>
          <w:szCs w:val="20"/>
          <w:color w:val="auto"/>
        </w:rPr>
        <w:tab/>
      </w:r>
      <w:r>
        <w:rPr>
          <w:rFonts w:ascii="Arial" w:cs="Arial" w:eastAsia="Arial" w:hAnsi="Arial"/>
          <w:sz w:val="19"/>
          <w:szCs w:val="19"/>
          <w:color w:val="auto"/>
        </w:rPr>
        <w:t>is absolutely subject to its terms and conditions from time to time in force;</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15.6.2</w:t>
      </w:r>
      <w:r>
        <w:rPr>
          <w:sz w:val="20"/>
          <w:szCs w:val="20"/>
          <w:color w:val="auto"/>
        </w:rPr>
        <w:tab/>
      </w:r>
      <w:r>
        <w:rPr>
          <w:rFonts w:ascii="Arial" w:cs="Arial" w:eastAsia="Arial" w:hAnsi="Arial"/>
          <w:sz w:val="19"/>
          <w:szCs w:val="19"/>
          <w:color w:val="auto"/>
        </w:rPr>
        <w:t>is conditional on you satisfying any applicable requirements of the insurers;</w:t>
      </w:r>
    </w:p>
    <w:p>
      <w:pPr>
        <w:spacing w:after="0" w:line="112" w:lineRule="exact"/>
        <w:rPr>
          <w:sz w:val="20"/>
          <w:szCs w:val="20"/>
          <w:color w:val="auto"/>
        </w:rPr>
      </w:pPr>
    </w:p>
    <w:p>
      <w:pPr>
        <w:jc w:val="both"/>
        <w:ind w:left="2200" w:right="120" w:hanging="768"/>
        <w:spacing w:after="0"/>
        <w:tabs>
          <w:tab w:leader="none" w:pos="2180" w:val="left"/>
        </w:tabs>
        <w:rPr>
          <w:sz w:val="20"/>
          <w:szCs w:val="20"/>
          <w:color w:val="auto"/>
        </w:rPr>
      </w:pPr>
      <w:r>
        <w:rPr>
          <w:rFonts w:ascii="Arial" w:cs="Arial" w:eastAsia="Arial" w:hAnsi="Arial"/>
          <w:sz w:val="22"/>
          <w:szCs w:val="22"/>
          <w:color w:val="auto"/>
        </w:rPr>
        <w:t>15.6.3</w:t>
        <w:tab/>
        <w:t>is subject to you and any insured dependants satisfying the normal underwriting requirements of the relevant insurance provider and the relevant premium being at a rate which the Company considers reasonable;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0960"/>
          </w:cols>
          <w:pgMar w:left="440" w:top="267" w:right="499" w:bottom="1440" w:gutter="0" w:footer="0" w:header="0"/>
        </w:sectPr>
      </w:pPr>
    </w:p>
    <w:bookmarkStart w:id="356" w:name="page357"/>
    <w:bookmarkEnd w:id="356"/>
    <w:p>
      <w:pPr>
        <w:ind w:left="1424"/>
        <w:spacing w:after="0"/>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15.6.4</w:t>
      </w:r>
      <w:r>
        <w:rPr>
          <w:sz w:val="20"/>
          <w:szCs w:val="20"/>
          <w:color w:val="auto"/>
        </w:rPr>
        <w:tab/>
      </w:r>
      <w:r>
        <w:rPr>
          <w:rFonts w:ascii="Arial" w:cs="Arial" w:eastAsia="Arial" w:hAnsi="Arial"/>
          <w:sz w:val="19"/>
          <w:szCs w:val="19"/>
          <w:color w:val="auto"/>
        </w:rPr>
        <w:t>will end when you attain whichever is the greater of the age of 65 and the state pensionable age.</w:t>
      </w:r>
    </w:p>
    <w:p>
      <w:pPr>
        <w:spacing w:after="0" w:line="112" w:lineRule="exact"/>
        <w:rPr>
          <w:sz w:val="20"/>
          <w:szCs w:val="20"/>
          <w:color w:val="auto"/>
        </w:rPr>
      </w:pPr>
    </w:p>
    <w:p>
      <w:pPr>
        <w:ind w:left="764" w:right="300" w:hanging="768"/>
        <w:spacing w:after="0" w:line="236" w:lineRule="auto"/>
        <w:tabs>
          <w:tab w:leader="none" w:pos="744"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22"/>
          <w:szCs w:val="22"/>
          <w:color w:val="auto"/>
        </w:rPr>
        <w:t>The Company reserves the right at any time, on three months’ written notice, to withdraw any insurance or other benefits set out in 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93" w:lineRule="exact"/>
        <w:rPr>
          <w:sz w:val="20"/>
          <w:szCs w:val="20"/>
          <w:color w:val="auto"/>
        </w:rPr>
      </w:pPr>
    </w:p>
    <w:p>
      <w:pPr>
        <w:ind w:left="764" w:right="120" w:hanging="768"/>
        <w:spacing w:after="0" w:line="279" w:lineRule="auto"/>
        <w:tabs>
          <w:tab w:leader="none" w:pos="744"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293" w:lineRule="exact"/>
        <w:rPr>
          <w:sz w:val="20"/>
          <w:szCs w:val="20"/>
          <w:color w:val="auto"/>
        </w:rPr>
      </w:pPr>
    </w:p>
    <w:p>
      <w:pPr>
        <w:ind w:left="764" w:hanging="764"/>
        <w:spacing w:after="0"/>
        <w:tabs>
          <w:tab w:leader="none" w:pos="764" w:val="left"/>
        </w:tabs>
        <w:numPr>
          <w:ilvl w:val="0"/>
          <w:numId w:val="332"/>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118" w:lineRule="exact"/>
        <w:rPr>
          <w:sz w:val="20"/>
          <w:szCs w:val="20"/>
          <w:color w:val="auto"/>
        </w:rPr>
      </w:pPr>
    </w:p>
    <w:p>
      <w:pPr>
        <w:ind w:left="764" w:right="440" w:hanging="768"/>
        <w:spacing w:after="0" w:line="328" w:lineRule="auto"/>
        <w:tabs>
          <w:tab w:leader="none" w:pos="744"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You agree and acknowledge that during the course of your employment and in pursuance of the discharge of your duties you will make, create, produce and generate intellectual property rights, including Inventions.</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Inventions</w:t>
      </w:r>
    </w:p>
    <w:p>
      <w:pPr>
        <w:spacing w:after="0" w:line="112" w:lineRule="exact"/>
        <w:rPr>
          <w:sz w:val="20"/>
          <w:szCs w:val="20"/>
          <w:color w:val="auto"/>
        </w:rPr>
      </w:pPr>
    </w:p>
    <w:p>
      <w:pPr>
        <w:ind w:left="1424" w:right="80" w:hanging="647"/>
        <w:spacing w:after="0" w:line="238" w:lineRule="auto"/>
        <w:rPr>
          <w:sz w:val="20"/>
          <w:szCs w:val="20"/>
          <w:color w:val="auto"/>
        </w:rPr>
      </w:pPr>
      <w:r>
        <w:rPr>
          <w:rFonts w:ascii="Arial" w:cs="Arial" w:eastAsia="Arial" w:hAnsi="Arial"/>
          <w:sz w:val="22"/>
          <w:szCs w:val="22"/>
          <w:color w:val="auto"/>
        </w:rPr>
        <w:t>16.2.1 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22"/>
          <w:szCs w:val="22"/>
          <w:b w:val="1"/>
          <w:bCs w:val="1"/>
          <w:color w:val="auto"/>
        </w:rPr>
        <w:t>an Invention</w:t>
      </w:r>
      <w:r>
        <w:rPr>
          <w:rFonts w:ascii="Arial" w:cs="Arial" w:eastAsia="Arial" w:hAnsi="Arial"/>
          <w:sz w:val="22"/>
          <w:szCs w:val="22"/>
          <w:color w:val="auto"/>
        </w:rPr>
        <w:t>”), you shall promptly give to a Director of the Company full written details thereof.</w:t>
      </w:r>
    </w:p>
    <w:p>
      <w:pPr>
        <w:spacing w:after="0" w:line="90" w:lineRule="exact"/>
        <w:rPr>
          <w:sz w:val="20"/>
          <w:szCs w:val="20"/>
          <w:color w:val="auto"/>
        </w:rPr>
      </w:pPr>
    </w:p>
    <w:p>
      <w:pPr>
        <w:ind w:left="1424" w:right="120" w:hanging="647"/>
        <w:spacing w:after="0" w:line="249" w:lineRule="auto"/>
        <w:rPr>
          <w:sz w:val="20"/>
          <w:szCs w:val="20"/>
          <w:color w:val="auto"/>
        </w:rPr>
      </w:pPr>
      <w:r>
        <w:rPr>
          <w:rFonts w:ascii="Arial" w:cs="Arial" w:eastAsia="Arial" w:hAnsi="Arial"/>
          <w:sz w:val="21"/>
          <w:szCs w:val="21"/>
          <w:color w:val="auto"/>
        </w:rPr>
        <w:t>16.2.2 If the Invention is a patentable invention within the meaning of Section 1 of the Patents Act 1977 and, according to the provisions of Section 39 of that Act it belongs to you (“</w:t>
      </w:r>
      <w:r>
        <w:rPr>
          <w:rFonts w:ascii="Arial" w:cs="Arial" w:eastAsia="Arial" w:hAnsi="Arial"/>
          <w:sz w:val="21"/>
          <w:szCs w:val="21"/>
          <w:b w:val="1"/>
          <w:bCs w:val="1"/>
          <w:color w:val="auto"/>
        </w:rPr>
        <w:t>Personal Invention</w:t>
      </w:r>
      <w:r>
        <w:rPr>
          <w:rFonts w:ascii="Arial" w:cs="Arial" w:eastAsia="Arial" w:hAnsi="Arial"/>
          <w:sz w:val="21"/>
          <w:szCs w:val="21"/>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84" w:lineRule="exact"/>
        <w:rPr>
          <w:sz w:val="20"/>
          <w:szCs w:val="20"/>
          <w:color w:val="auto"/>
        </w:rPr>
      </w:pPr>
    </w:p>
    <w:p>
      <w:pPr>
        <w:ind w:left="1424" w:hanging="647"/>
        <w:spacing w:after="0" w:line="282" w:lineRule="auto"/>
        <w:rPr>
          <w:sz w:val="20"/>
          <w:szCs w:val="20"/>
          <w:color w:val="auto"/>
        </w:rPr>
      </w:pPr>
      <w:r>
        <w:rPr>
          <w:rFonts w:ascii="Arial" w:cs="Arial" w:eastAsia="Arial" w:hAnsi="Arial"/>
          <w:sz w:val="19"/>
          <w:szCs w:val="19"/>
          <w:color w:val="auto"/>
        </w:rPr>
        <w:t>16.2.3 Subject to clause 16.2.4, any Invention created in the course of your employment by the Company shall belong to the Company (“</w:t>
      </w:r>
      <w:r>
        <w:rPr>
          <w:rFonts w:ascii="Arial" w:cs="Arial" w:eastAsia="Arial" w:hAnsi="Arial"/>
          <w:sz w:val="19"/>
          <w:szCs w:val="19"/>
          <w:b w:val="1"/>
          <w:bCs w:val="1"/>
          <w:color w:val="auto"/>
        </w:rPr>
        <w:t>Company Inventions</w:t>
      </w:r>
      <w:r>
        <w:rPr>
          <w:rFonts w:ascii="Arial" w:cs="Arial" w:eastAsia="Arial" w:hAnsi="Arial"/>
          <w:sz w:val="19"/>
          <w:szCs w:val="19"/>
          <w:color w:val="auto"/>
        </w:rPr>
        <w:t>”). Any and all intellectual property rights in or relating to any and all such Company Inventions shall be owned by the Company. You hereby irrevocably assign to the Company (by way of present assignment of present and future rights) with full title guarantee absolutely and free from all encumbrances all right, title and interest in and to all intellectual</w:t>
      </w:r>
    </w:p>
    <w:p>
      <w:pPr>
        <w:spacing w:after="0" w:line="8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024"/>
          </w:cols>
          <w:pgMar w:left="436" w:top="267" w:right="439" w:bottom="1440" w:gutter="0" w:footer="0" w:header="0"/>
        </w:sectPr>
      </w:pPr>
    </w:p>
    <w:bookmarkStart w:id="357" w:name="page358"/>
    <w:bookmarkEnd w:id="357"/>
    <w:p>
      <w:pPr>
        <w:ind w:left="1420" w:right="2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rights in or relating to Company Inventions and all materials embodying such rights to the fullest extent permitted by law together with all accrued rights of action in respect of any infringement of such rights. Insofar as they do not so vest automatically by operation of law or under this Contract, you shall hold all such rights and inventions on trust for the exclusive benefit of the Company, and shall not transfer them to a third party or encumber them and shall on demand assign them to the Company without payment or other condition. You shall execute (both during and after the termination of your employment) all documents and do all things necessary to substantiate the Company’s rights in Company Inventions and to obtain registration or protection thereof in the Company’s name in any country.</w:t>
      </w:r>
    </w:p>
    <w:p>
      <w:pPr>
        <w:spacing w:after="0" w:line="63" w:lineRule="exact"/>
        <w:rPr>
          <w:sz w:val="20"/>
          <w:szCs w:val="20"/>
          <w:color w:val="auto"/>
        </w:rPr>
      </w:pPr>
    </w:p>
    <w:p>
      <w:pPr>
        <w:ind w:left="1420" w:right="20" w:hanging="647"/>
        <w:spacing w:after="0" w:line="245" w:lineRule="auto"/>
        <w:rPr>
          <w:sz w:val="20"/>
          <w:szCs w:val="20"/>
          <w:color w:val="auto"/>
        </w:rPr>
      </w:pPr>
      <w:r>
        <w:rPr>
          <w:rFonts w:ascii="Arial" w:cs="Arial" w:eastAsia="Arial" w:hAnsi="Arial"/>
          <w:sz w:val="21"/>
          <w:szCs w:val="21"/>
          <w:color w:val="auto"/>
        </w:rPr>
        <w:t>16.2.4 Where the Company Invention relates to a chemical compound, being the chemical compound itself of assets associated therewith (“</w:t>
      </w:r>
      <w:r>
        <w:rPr>
          <w:rFonts w:ascii="Arial" w:cs="Arial" w:eastAsia="Arial" w:hAnsi="Arial"/>
          <w:sz w:val="21"/>
          <w:szCs w:val="21"/>
          <w:b w:val="1"/>
          <w:bCs w:val="1"/>
          <w:color w:val="auto"/>
        </w:rPr>
        <w:t>Compounds</w:t>
      </w:r>
      <w:r>
        <w:rPr>
          <w:rFonts w:ascii="Arial" w:cs="Arial" w:eastAsia="Arial" w:hAnsi="Arial"/>
          <w:sz w:val="21"/>
          <w:szCs w:val="21"/>
          <w:color w:val="auto"/>
        </w:rPr>
        <w:t>”), any and all intellectual property rights in or relating to that Company Invention shall, with effect from their creation, automatically belong to and vest in the Subsidiary formed to undertake the research, development or commercialisation of that Compound. Insofar as they do not so vest automatically by operation of law or under this Contract, you shall hold all such rights and inventions on trust for the exclusive benefit of the Subsidiary, and shall not transfer them to a third party or encumber them and shall on demand assign them to the Subsidiary without payment or other condition. You shall execute (both during and after the termination of your employment) all documents and do all things necessary to substantiate the Subsidiary’s rights in the Compounds and to obtain registration or protection thereof in the Subsidiary’s name in any country.</w:t>
      </w:r>
    </w:p>
    <w:p>
      <w:pPr>
        <w:spacing w:after="0" w:line="86" w:lineRule="exact"/>
        <w:rPr>
          <w:sz w:val="20"/>
          <w:szCs w:val="20"/>
          <w:color w:val="auto"/>
        </w:rPr>
      </w:pPr>
    </w:p>
    <w:p>
      <w:pPr>
        <w:ind w:left="1420" w:right="100" w:hanging="647"/>
        <w:spacing w:after="0" w:line="277" w:lineRule="auto"/>
        <w:rPr>
          <w:sz w:val="20"/>
          <w:szCs w:val="20"/>
          <w:color w:val="auto"/>
        </w:rPr>
      </w:pPr>
      <w:r>
        <w:rPr>
          <w:rFonts w:ascii="Arial" w:cs="Arial" w:eastAsia="Arial" w:hAnsi="Arial"/>
          <w:sz w:val="19"/>
          <w:szCs w:val="19"/>
          <w:color w:val="auto"/>
        </w:rPr>
        <w:t>16.2.5 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5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Copyright and other rights</w:t>
      </w:r>
    </w:p>
    <w:p>
      <w:pPr>
        <w:spacing w:after="0" w:line="112" w:lineRule="exact"/>
        <w:rPr>
          <w:sz w:val="20"/>
          <w:szCs w:val="20"/>
          <w:color w:val="auto"/>
        </w:rPr>
      </w:pPr>
    </w:p>
    <w:p>
      <w:pPr>
        <w:ind w:left="1420" w:hanging="647"/>
        <w:spacing w:after="0" w:line="277" w:lineRule="auto"/>
        <w:rPr>
          <w:sz w:val="20"/>
          <w:szCs w:val="20"/>
          <w:color w:val="auto"/>
        </w:rPr>
      </w:pPr>
      <w:r>
        <w:rPr>
          <w:rFonts w:ascii="Arial" w:cs="Arial" w:eastAsia="Arial" w:hAnsi="Arial"/>
          <w:sz w:val="19"/>
          <w:szCs w:val="19"/>
          <w:color w:val="auto"/>
        </w:rPr>
        <w:t>16.3.1 If while employed by the Company you, whether on your own or with any other person, create any copyright work or design (including without limitation any literary, dramatic, musical or artistic work, and any film, 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9"/>
          <w:szCs w:val="19"/>
          <w:b w:val="1"/>
          <w:bCs w:val="1"/>
          <w:color w:val="auto"/>
        </w:rPr>
        <w:t>Protected Work</w:t>
      </w:r>
      <w:r>
        <w:rPr>
          <w:rFonts w:ascii="Arial" w:cs="Arial" w:eastAsia="Arial" w:hAnsi="Arial"/>
          <w:sz w:val="19"/>
          <w:szCs w:val="19"/>
          <w:color w:val="auto"/>
        </w:rPr>
        <w:t>”), you shall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000"/>
          </w:cols>
          <w:pgMar w:left="440" w:top="267" w:right="459" w:bottom="1440" w:gutter="0" w:footer="0" w:header="0"/>
        </w:sectPr>
      </w:pPr>
    </w:p>
    <w:bookmarkStart w:id="358" w:name="page359"/>
    <w:bookmarkEnd w:id="358"/>
    <w:p>
      <w:pPr>
        <w:ind w:left="1400" w:right="4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disclose to the Chief Financial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90" w:lineRule="exact"/>
        <w:rPr>
          <w:sz w:val="20"/>
          <w:szCs w:val="20"/>
          <w:color w:val="auto"/>
        </w:rPr>
      </w:pPr>
    </w:p>
    <w:p>
      <w:pPr>
        <w:ind w:left="1400" w:right="40" w:hanging="647"/>
        <w:spacing w:after="0" w:line="287" w:lineRule="auto"/>
        <w:rPr>
          <w:sz w:val="20"/>
          <w:szCs w:val="20"/>
          <w:color w:val="auto"/>
        </w:rPr>
      </w:pPr>
      <w:r>
        <w:rPr>
          <w:rFonts w:ascii="Arial" w:cs="Arial" w:eastAsia="Arial" w:hAnsi="Arial"/>
          <w:sz w:val="19"/>
          <w:szCs w:val="19"/>
          <w:color w:val="auto"/>
        </w:rPr>
        <w:t>16.3.2 All proprietary rights in any Protected Work created by you in the course of your employment by the Company shall automatically vest in the Company, save that where a Protected Work relates to a Compound, all proprietary rights in that Protected Work shall, with effect from their creation, automatically belong to and vest in the Subsidiary formed to undertake the research, development or commercialisation of that Compound.</w:t>
      </w:r>
    </w:p>
    <w:p>
      <w:pPr>
        <w:spacing w:after="0" w:line="48" w:lineRule="exact"/>
        <w:rPr>
          <w:sz w:val="20"/>
          <w:szCs w:val="20"/>
          <w:color w:val="auto"/>
        </w:rPr>
      </w:pPr>
    </w:p>
    <w:p>
      <w:pPr>
        <w:ind w:left="1400" w:hanging="647"/>
        <w:spacing w:after="0" w:line="245" w:lineRule="auto"/>
        <w:rPr>
          <w:sz w:val="20"/>
          <w:szCs w:val="20"/>
          <w:color w:val="auto"/>
        </w:rPr>
      </w:pPr>
      <w:r>
        <w:rPr>
          <w:rFonts w:ascii="Arial" w:cs="Arial" w:eastAsia="Arial" w:hAnsi="Arial"/>
          <w:sz w:val="21"/>
          <w:szCs w:val="21"/>
          <w:color w:val="auto"/>
        </w:rPr>
        <w:t>16.3.3 To the extent that the Company, or, in the case of a Compound, the Subsidiary is not already the owner of the copyright, design rights, trade marks, database rights and other intellectual or industrial and commercial property rights (“</w:t>
      </w:r>
      <w:r>
        <w:rPr>
          <w:rFonts w:ascii="Arial" w:cs="Arial" w:eastAsia="Arial" w:hAnsi="Arial"/>
          <w:sz w:val="21"/>
          <w:szCs w:val="21"/>
          <w:b w:val="1"/>
          <w:bCs w:val="1"/>
          <w:color w:val="auto"/>
        </w:rPr>
        <w:t>the Rights</w:t>
      </w:r>
      <w:r>
        <w:rPr>
          <w:rFonts w:ascii="Arial" w:cs="Arial" w:eastAsia="Arial" w:hAnsi="Arial"/>
          <w:sz w:val="21"/>
          <w:szCs w:val="21"/>
          <w:color w:val="auto"/>
        </w:rPr>
        <w:t>”) in a Protected Work pursuant to clause 16.3.2 you shall hold the Protected Work and the Rights on trust for the Company or Subsidiary (as appropriate)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or Subsidiary (as appropriate) absolutely together with all accrued rights of action in respect of any infringement of the same.</w:t>
      </w:r>
    </w:p>
    <w:p>
      <w:pPr>
        <w:spacing w:after="0" w:line="90" w:lineRule="exact"/>
        <w:rPr>
          <w:sz w:val="20"/>
          <w:szCs w:val="20"/>
          <w:color w:val="auto"/>
        </w:rPr>
      </w:pPr>
    </w:p>
    <w:p>
      <w:pPr>
        <w:ind w:left="740" w:hanging="768"/>
        <w:spacing w:after="0" w:line="248" w:lineRule="auto"/>
        <w:tabs>
          <w:tab w:leader="none" w:pos="72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You shall, without charge to but at the cost of the Company, execute all documents and do all acts, things and matters beneficial to, required or necessary (both during and after the termination of your employment) to vest rights in the Company (or its Subsidiary, or its successors, as appropriate), or substantiate the Company’s (or its Subsidiary’s, or its successor’s, as appropriate) rights, in any Company Inventions, the Rights and Protected Works and to obtain protection for the Company Inventions, Rights and Protected Works in the Company’s (or its Subsidiary’s or its successor’s, as appropriate) name in any country.</w:t>
      </w:r>
    </w:p>
    <w:p>
      <w:pPr>
        <w:spacing w:after="0" w:line="82" w:lineRule="exact"/>
        <w:rPr>
          <w:sz w:val="20"/>
          <w:szCs w:val="20"/>
          <w:color w:val="auto"/>
        </w:rPr>
      </w:pPr>
    </w:p>
    <w:p>
      <w:pPr>
        <w:ind w:left="740" w:right="360" w:hanging="768"/>
        <w:spacing w:after="0" w:line="287" w:lineRule="auto"/>
        <w:tabs>
          <w:tab w:leader="none" w:pos="72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Should you create a Company Invention or any Rights in a Protected Work in relation to a Compound for which a Subsidiary has not yet been formed at the time of such creation, you agree to hold such Company Invention and Rights on trust pending the formation of such Subsidiary and shall be deemed automatically to have assigned such Company Invention and Rights to that Subsidiary from the moment it becomes a Group Company.</w:t>
      </w:r>
    </w:p>
    <w:p>
      <w:pPr>
        <w:spacing w:after="0" w:line="48" w:lineRule="exact"/>
        <w:rPr>
          <w:sz w:val="20"/>
          <w:szCs w:val="20"/>
          <w:color w:val="auto"/>
        </w:rPr>
      </w:pPr>
    </w:p>
    <w:p>
      <w:pPr>
        <w:ind w:left="740" w:right="60" w:hanging="768"/>
        <w:spacing w:after="0" w:line="238" w:lineRule="auto"/>
        <w:tabs>
          <w:tab w:leader="none" w:pos="72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22"/>
          <w:szCs w:val="22"/>
          <w:color w:val="auto"/>
        </w:rPr>
        <w:t>To the extent permitted by law, you hereby irrevocably and unconditionally waive any and all moral rights conferred by Chapter IV of the Copyright Designs and Patents Act 1988 or any rights of a similar nature under laws now or in the future in force in any other jurisdiction in and to any and all Protected Work, such waiver being given in favour of the Company, its successors in title and assigns.</w:t>
      </w:r>
    </w:p>
    <w:p>
      <w:pPr>
        <w:spacing w:after="0" w:line="90" w:lineRule="exact"/>
        <w:rPr>
          <w:sz w:val="20"/>
          <w:szCs w:val="20"/>
          <w:color w:val="auto"/>
        </w:rPr>
      </w:pPr>
    </w:p>
    <w:p>
      <w:pPr>
        <w:ind w:left="740" w:right="140" w:hanging="768"/>
        <w:spacing w:after="0"/>
        <w:tabs>
          <w:tab w:leader="none" w:pos="72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22"/>
          <w:szCs w:val="22"/>
          <w:color w:val="auto"/>
        </w:rPr>
        <w:t>You hereby irrevocably appoint the Company to be your attorney to execute and do any such instrument or thing and generally to use your name for the purpose of giving the Company or its nominee the benefit of this clause 16 and acknowledge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0980"/>
          </w:cols>
          <w:pgMar w:left="460" w:top="267" w:right="459" w:bottom="1440" w:gutter="0" w:footer="0" w:header="0"/>
        </w:sectPr>
      </w:pPr>
    </w:p>
    <w:bookmarkStart w:id="359" w:name="page360"/>
    <w:bookmarkEnd w:id="359"/>
    <w:p>
      <w:pPr>
        <w:ind w:left="764" w:right="3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favour of a third party that a certificate in writing signed by any Director or the Company Secretary that any instrument or act falls within the authority conferred by this clause 16 shall be conclusive evidence that such is the case.</w:t>
      </w:r>
    </w:p>
    <w:p>
      <w:pPr>
        <w:spacing w:after="0" w:line="92"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2"/>
          <w:szCs w:val="22"/>
          <w:color w:val="auto"/>
        </w:rPr>
        <w:t>The provisions of this clause 16 will not be affected by the termination of this Contract for whatever reason and will continue after it ends.</w:t>
      </w:r>
    </w:p>
    <w:p>
      <w:pPr>
        <w:spacing w:after="0" w:line="317" w:lineRule="exact"/>
        <w:rPr>
          <w:sz w:val="20"/>
          <w:szCs w:val="20"/>
          <w:color w:val="auto"/>
        </w:rPr>
      </w:pPr>
    </w:p>
    <w:p>
      <w:pPr>
        <w:ind w:left="764" w:hanging="764"/>
        <w:spacing w:after="0"/>
        <w:tabs>
          <w:tab w:leader="none" w:pos="764" w:val="left"/>
        </w:tabs>
        <w:numPr>
          <w:ilvl w:val="0"/>
          <w:numId w:val="33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8" w:lineRule="exact"/>
        <w:rPr>
          <w:sz w:val="20"/>
          <w:szCs w:val="20"/>
          <w:color w:val="auto"/>
        </w:rPr>
      </w:pPr>
    </w:p>
    <w:p>
      <w:pPr>
        <w:ind w:left="764" w:right="660" w:hanging="768"/>
        <w:spacing w:after="0" w:line="250" w:lineRule="auto"/>
        <w:tabs>
          <w:tab w:leader="none" w:pos="744"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2"/>
          <w:szCs w:val="22"/>
          <w:color w:val="auto"/>
        </w:rPr>
        <w:t>You acknowledge that in the course of the Appointment you will have access to Confidential Information. You therefore agree to accept the restrictions in this clause 17.</w:t>
      </w:r>
    </w:p>
    <w:p>
      <w:pPr>
        <w:spacing w:after="0" w:line="80"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color w:val="auto"/>
        </w:rPr>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9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17.2.1</w:t>
      </w:r>
      <w:r>
        <w:rPr>
          <w:sz w:val="20"/>
          <w:szCs w:val="20"/>
          <w:color w:val="auto"/>
        </w:rPr>
        <w:tab/>
      </w:r>
      <w:r>
        <w:rPr>
          <w:rFonts w:ascii="Arial" w:cs="Arial" w:eastAsia="Arial" w:hAnsi="Arial"/>
          <w:sz w:val="19"/>
          <w:szCs w:val="19"/>
          <w:color w:val="auto"/>
        </w:rPr>
        <w:t>any use or disclosure authorised by the Board in writing or required by law;</w:t>
      </w:r>
    </w:p>
    <w:p>
      <w:pPr>
        <w:spacing w:after="0" w:line="112" w:lineRule="exact"/>
        <w:rPr>
          <w:sz w:val="20"/>
          <w:szCs w:val="20"/>
          <w:color w:val="auto"/>
        </w:rPr>
      </w:pPr>
    </w:p>
    <w:p>
      <w:pPr>
        <w:ind w:left="2204" w:right="660" w:hanging="768"/>
        <w:spacing w:after="0" w:line="250" w:lineRule="auto"/>
        <w:tabs>
          <w:tab w:leader="none" w:pos="2184" w:val="left"/>
        </w:tabs>
        <w:rPr>
          <w:sz w:val="20"/>
          <w:szCs w:val="20"/>
          <w:color w:val="auto"/>
        </w:rPr>
      </w:pPr>
      <w:r>
        <w:rPr>
          <w:rFonts w:ascii="Arial" w:cs="Arial" w:eastAsia="Arial" w:hAnsi="Arial"/>
          <w:sz w:val="22"/>
          <w:szCs w:val="22"/>
          <w:color w:val="auto"/>
        </w:rPr>
        <w:t>17.2.2</w:t>
        <w:tab/>
        <w:t>any information which is already in, or comes into, the public domain other than through your unauthorised disclosure; or</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17.2.3</w:t>
      </w:r>
      <w:r>
        <w:rPr>
          <w:sz w:val="20"/>
          <w:szCs w:val="20"/>
          <w:color w:val="auto"/>
        </w:rPr>
        <w:tab/>
      </w:r>
      <w:r>
        <w:rPr>
          <w:rFonts w:ascii="Arial" w:cs="Arial" w:eastAsia="Arial" w:hAnsi="Arial"/>
          <w:sz w:val="19"/>
          <w:szCs w:val="19"/>
          <w:color w:val="auto"/>
        </w:rPr>
        <w:t>any protected disclosure within the meaning of section 43A of the Employment Rights Act 1996.</w:t>
      </w:r>
    </w:p>
    <w:p>
      <w:pPr>
        <w:spacing w:after="0" w:line="112" w:lineRule="exact"/>
        <w:rPr>
          <w:sz w:val="20"/>
          <w:szCs w:val="20"/>
          <w:color w:val="auto"/>
        </w:rPr>
      </w:pPr>
    </w:p>
    <w:p>
      <w:pPr>
        <w:ind w:left="764" w:right="120" w:hanging="768"/>
        <w:spacing w:after="0"/>
        <w:tabs>
          <w:tab w:leader="none" w:pos="744"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2"/>
          <w:szCs w:val="22"/>
          <w:color w:val="auto"/>
        </w:rPr>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329" w:lineRule="exact"/>
        <w:rPr>
          <w:sz w:val="20"/>
          <w:szCs w:val="20"/>
          <w:color w:val="auto"/>
        </w:rPr>
      </w:pPr>
    </w:p>
    <w:p>
      <w:pPr>
        <w:ind w:left="764" w:hanging="764"/>
        <w:spacing w:after="0"/>
        <w:tabs>
          <w:tab w:leader="none" w:pos="764" w:val="left"/>
        </w:tabs>
        <w:numPr>
          <w:ilvl w:val="0"/>
          <w:numId w:val="33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18" w:lineRule="exact"/>
        <w:rPr>
          <w:sz w:val="20"/>
          <w:szCs w:val="20"/>
          <w:color w:val="auto"/>
        </w:rPr>
      </w:pPr>
    </w:p>
    <w:p>
      <w:pPr>
        <w:ind w:left="764" w:right="120" w:hanging="768"/>
        <w:spacing w:after="0" w:line="250" w:lineRule="auto"/>
        <w:tabs>
          <w:tab w:leader="none" w:pos="744"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22"/>
          <w:szCs w:val="22"/>
          <w:color w:val="auto"/>
        </w:rPr>
        <w:t>You or the Company may terminate the Appointment on written notice of 6 months or the statutory minimum notice, whichever is the greater.</w:t>
      </w:r>
    </w:p>
    <w:p>
      <w:pPr>
        <w:spacing w:after="0" w:line="80" w:lineRule="exact"/>
        <w:rPr>
          <w:sz w:val="20"/>
          <w:szCs w:val="20"/>
          <w:color w:val="auto"/>
        </w:rPr>
      </w:pPr>
    </w:p>
    <w:p>
      <w:pPr>
        <w:ind w:left="764" w:right="20" w:hanging="768"/>
        <w:spacing w:after="0" w:line="246" w:lineRule="auto"/>
        <w:tabs>
          <w:tab w:leader="none" w:pos="744"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1"/>
          <w:szCs w:val="21"/>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and a payment in lieu of any contractual benefits under clause 15 (excluding bonus) which you would have been entitled to receive under this Contract during the notice period referred to at clause 2.2 or 18.1 (or, if notice has already been given, during the remainder of such notice period) (subject to statutory deductions)</w:t>
      </w:r>
    </w:p>
    <w:p>
      <w:pPr>
        <w:spacing w:after="0" w:line="85" w:lineRule="exact"/>
        <w:rPr>
          <w:sz w:val="20"/>
          <w:szCs w:val="20"/>
          <w:color w:val="auto"/>
        </w:rPr>
      </w:pPr>
    </w:p>
    <w:p>
      <w:pPr>
        <w:jc w:val="both"/>
        <w:ind w:left="764" w:right="40" w:hanging="768"/>
        <w:spacing w:after="0"/>
        <w:tabs>
          <w:tab w:leader="none" w:pos="744"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2"/>
          <w:szCs w:val="22"/>
          <w:color w:val="auto"/>
        </w:rPr>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0984"/>
          </w:cols>
          <w:pgMar w:left="436" w:top="267" w:right="479" w:bottom="1440" w:gutter="0" w:footer="0" w:header="0"/>
        </w:sectPr>
      </w:pPr>
    </w:p>
    <w:bookmarkStart w:id="360" w:name="page361"/>
    <w:bookmarkEnd w:id="360"/>
    <w:p>
      <w:pPr>
        <w:ind w:left="764" w:right="20" w:hanging="768"/>
        <w:spacing w:after="0" w:line="245"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18.4</w:t>
      </w:r>
      <w:r>
        <w:rPr>
          <w:sz w:val="20"/>
          <w:szCs w:val="20"/>
          <w:color w:val="auto"/>
        </w:rPr>
        <w:tab/>
      </w:r>
      <w:r>
        <w:rPr>
          <w:rFonts w:ascii="Arial" w:cs="Arial" w:eastAsia="Arial" w:hAnsi="Arial"/>
          <w:sz w:val="21"/>
          <w:szCs w:val="21"/>
          <w:color w:val="auto"/>
        </w:rPr>
        <w:t>Upon the termination of your employment with the Company for whatever reason or after notice having been served at the request of the Company or if you shall 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90"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2"/>
          <w:szCs w:val="22"/>
          <w:color w:val="auto"/>
        </w:rPr>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The Company may at its absolute discretion during any period of notice given by either party:</w:t>
      </w:r>
    </w:p>
    <w:p>
      <w:pPr>
        <w:spacing w:after="0" w:line="112"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18.6.1 appoint a person to perform your duties jointly with you or, during any period of garden leave pursuant to clause 20 and/or during any period of suspension pursuant to clause 24.2, to perform all or some of your duties in your place; and/or</w:t>
      </w:r>
    </w:p>
    <w:p>
      <w:pPr>
        <w:spacing w:after="0" w:line="92" w:lineRule="exact"/>
        <w:rPr>
          <w:sz w:val="20"/>
          <w:szCs w:val="20"/>
          <w:color w:val="auto"/>
        </w:rPr>
      </w:pPr>
    </w:p>
    <w:p>
      <w:pPr>
        <w:ind w:left="1424" w:right="640" w:hanging="647"/>
        <w:spacing w:after="0" w:line="250" w:lineRule="auto"/>
        <w:rPr>
          <w:sz w:val="20"/>
          <w:szCs w:val="20"/>
          <w:color w:val="auto"/>
        </w:rPr>
      </w:pPr>
      <w:r>
        <w:rPr>
          <w:rFonts w:ascii="Arial" w:cs="Arial" w:eastAsia="Arial" w:hAnsi="Arial"/>
          <w:sz w:val="22"/>
          <w:szCs w:val="22"/>
          <w:color w:val="auto"/>
        </w:rPr>
        <w:t>18.6.2 suspend or cancel your access to the Company’s IT and telephone systems including, but not limited to, voicemail, email, internet and the Company’s intranet.</w:t>
      </w:r>
    </w:p>
    <w:p>
      <w:pPr>
        <w:spacing w:after="0" w:line="80" w:lineRule="exact"/>
        <w:rPr>
          <w:sz w:val="20"/>
          <w:szCs w:val="20"/>
          <w:color w:val="auto"/>
        </w:rPr>
      </w:pPr>
    </w:p>
    <w:p>
      <w:pPr>
        <w:ind w:left="764" w:right="240" w:hanging="768"/>
        <w:spacing w:after="0" w:line="274" w:lineRule="auto"/>
        <w:tabs>
          <w:tab w:leader="none" w:pos="744"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21"/>
          <w:szCs w:val="21"/>
          <w:color w:val="auto"/>
        </w:rPr>
        <w:t>This clause 18 is subject to the provisions of Schedule II appended to this Contract. In the event of conflict between this clause 18 and the provisions of Schedule II, the provisions of Schedule II shall prevail.</w:t>
      </w:r>
    </w:p>
    <w:p>
      <w:pPr>
        <w:spacing w:after="0" w:line="293" w:lineRule="exact"/>
        <w:rPr>
          <w:sz w:val="20"/>
          <w:szCs w:val="20"/>
          <w:color w:val="auto"/>
        </w:rPr>
      </w:pPr>
    </w:p>
    <w:p>
      <w:pPr>
        <w:ind w:left="764" w:hanging="764"/>
        <w:spacing w:after="0"/>
        <w:tabs>
          <w:tab w:leader="none" w:pos="764" w:val="left"/>
        </w:tabs>
        <w:numPr>
          <w:ilvl w:val="0"/>
          <w:numId w:val="335"/>
        </w:numPr>
        <w:rPr>
          <w:rFonts w:ascii="Arial" w:cs="Arial" w:eastAsia="Arial" w:hAnsi="Arial"/>
          <w:sz w:val="22"/>
          <w:szCs w:val="22"/>
          <w:b w:val="1"/>
          <w:bCs w:val="1"/>
          <w:color w:val="auto"/>
        </w:rPr>
      </w:pPr>
      <w:r>
        <w:rPr>
          <w:rFonts w:ascii="Arial" w:cs="Arial" w:eastAsia="Arial" w:hAnsi="Arial"/>
          <w:sz w:val="22"/>
          <w:szCs w:val="22"/>
          <w:b w:val="1"/>
          <w:bCs w:val="1"/>
          <w:color w:val="auto"/>
        </w:rPr>
        <w:t>Summary Termination</w:t>
      </w:r>
    </w:p>
    <w:p>
      <w:pPr>
        <w:spacing w:after="0" w:line="118"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2"/>
          <w:szCs w:val="22"/>
          <w:color w:val="auto"/>
        </w:rPr>
        <w:t>The Company is entitled to terminate the Appointment by summary notice in writing and without payment in lieu of notice for Cause, meaning if you:</w:t>
      </w:r>
    </w:p>
    <w:p>
      <w:pPr>
        <w:spacing w:after="0" w:line="80"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 are guilty of any gross misconduct affecting the business of any Group Company;</w:t>
      </w:r>
    </w:p>
    <w:p>
      <w:pPr>
        <w:spacing w:after="0" w:line="112" w:lineRule="exact"/>
        <w:rPr>
          <w:sz w:val="20"/>
          <w:szCs w:val="20"/>
          <w:color w:val="auto"/>
        </w:rPr>
      </w:pPr>
    </w:p>
    <w:p>
      <w:pPr>
        <w:ind w:left="1424" w:right="300" w:hanging="647"/>
        <w:spacing w:after="0" w:line="250" w:lineRule="auto"/>
        <w:rPr>
          <w:sz w:val="20"/>
          <w:szCs w:val="20"/>
          <w:color w:val="auto"/>
        </w:rPr>
      </w:pPr>
      <w:r>
        <w:rPr>
          <w:rFonts w:ascii="Arial" w:cs="Arial" w:eastAsia="Arial" w:hAnsi="Arial"/>
          <w:sz w:val="22"/>
          <w:szCs w:val="22"/>
          <w:color w:val="auto"/>
        </w:rPr>
        <w:t>19.1.2 commit any serious breach or repeated or continued (after warning) any material breach of your obligations under this Contract;</w:t>
      </w:r>
    </w:p>
    <w:p>
      <w:pPr>
        <w:spacing w:after="0" w:line="80" w:lineRule="exact"/>
        <w:rPr>
          <w:sz w:val="20"/>
          <w:szCs w:val="20"/>
          <w:color w:val="auto"/>
        </w:rPr>
      </w:pPr>
    </w:p>
    <w:p>
      <w:pPr>
        <w:ind w:left="1424" w:right="100" w:hanging="647"/>
        <w:spacing w:after="0" w:line="250" w:lineRule="auto"/>
        <w:rPr>
          <w:sz w:val="20"/>
          <w:szCs w:val="20"/>
          <w:color w:val="auto"/>
        </w:rPr>
      </w:pPr>
      <w:r>
        <w:rPr>
          <w:rFonts w:ascii="Arial" w:cs="Arial" w:eastAsia="Arial" w:hAnsi="Arial"/>
          <w:sz w:val="22"/>
          <w:szCs w:val="22"/>
          <w:color w:val="auto"/>
        </w:rPr>
        <w:t>19.1.3 commit (by commission or omission) any act which brings or would tend to bring the Company or any Group Company into disrepute;</w:t>
      </w:r>
    </w:p>
    <w:p>
      <w:pPr>
        <w:spacing w:after="0" w:line="80" w:lineRule="exact"/>
        <w:rPr>
          <w:sz w:val="20"/>
          <w:szCs w:val="20"/>
          <w:color w:val="auto"/>
        </w:rPr>
      </w:pPr>
    </w:p>
    <w:p>
      <w:pPr>
        <w:ind w:left="1424" w:right="860" w:hanging="647"/>
        <w:spacing w:after="0" w:line="250" w:lineRule="auto"/>
        <w:rPr>
          <w:sz w:val="20"/>
          <w:szCs w:val="20"/>
          <w:color w:val="auto"/>
        </w:rPr>
      </w:pPr>
      <w:r>
        <w:rPr>
          <w:rFonts w:ascii="Arial" w:cs="Arial" w:eastAsia="Arial" w:hAnsi="Arial"/>
          <w:sz w:val="22"/>
          <w:szCs w:val="22"/>
          <w:color w:val="auto"/>
        </w:rPr>
        <w:t>19.1.4 fail to perform your duties to a satisfactory standard after having received a written warning from the Company relating to the same;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004"/>
          </w:cols>
          <w:pgMar w:left="436" w:top="267" w:right="459" w:bottom="1440" w:gutter="0" w:footer="0" w:header="0"/>
        </w:sectPr>
      </w:pPr>
    </w:p>
    <w:bookmarkStart w:id="361" w:name="page362"/>
    <w:bookmarkEnd w:id="361"/>
    <w:p>
      <w:pPr>
        <w:ind w:left="7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19.1.5 are guilty of any dishonesty, gross misconduct or wilful neglect of duty;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19.1.6 damage Company property maliciously;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19.1.7 falsify attendance or sickness or other records;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19.1.8 falsify any data during the course of your employment;</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19.1.9 conduct yourself in a manner materially adverse to the interests of the Company or any Group Company;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19.1.10are, in the reasonable opinion of the Board, negligent and incompetent in the performance of your duties;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19.1.11have a bankruptcy order made against you or enter into a voluntary arrangement within the meaning of section</w:t>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253 Insolvency Act 1986;</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19.1.12consume or distribute narcotics on Company premises;</w:t>
      </w:r>
    </w:p>
    <w:p>
      <w:pPr>
        <w:spacing w:after="0" w:line="112" w:lineRule="exact"/>
        <w:rPr>
          <w:sz w:val="20"/>
          <w:szCs w:val="20"/>
          <w:color w:val="auto"/>
        </w:rPr>
      </w:pPr>
    </w:p>
    <w:p>
      <w:pPr>
        <w:jc w:val="both"/>
        <w:ind w:left="1420" w:right="280" w:hanging="647"/>
        <w:spacing w:after="0"/>
        <w:rPr>
          <w:sz w:val="20"/>
          <w:szCs w:val="20"/>
          <w:color w:val="auto"/>
        </w:rPr>
      </w:pPr>
      <w:r>
        <w:rPr>
          <w:rFonts w:ascii="Arial" w:cs="Arial" w:eastAsia="Arial" w:hAnsi="Arial"/>
          <w:sz w:val="22"/>
          <w:szCs w:val="22"/>
          <w:color w:val="auto"/>
        </w:rPr>
        <w:t>19.1.13are convicted of any criminal offence (other than an offence under any road traffic legislation in the United Kingdom or elsewhere for which a fine or non-custodial penalty is imposed) whether or not in the course of your employment;</w:t>
      </w:r>
    </w:p>
    <w:p>
      <w:pPr>
        <w:spacing w:after="0" w:line="92" w:lineRule="exact"/>
        <w:rPr>
          <w:sz w:val="20"/>
          <w:szCs w:val="20"/>
          <w:color w:val="auto"/>
        </w:rPr>
      </w:pPr>
    </w:p>
    <w:p>
      <w:pPr>
        <w:ind w:left="1420" w:hanging="647"/>
        <w:spacing w:after="0"/>
        <w:rPr>
          <w:sz w:val="20"/>
          <w:szCs w:val="20"/>
          <w:color w:val="auto"/>
        </w:rPr>
      </w:pPr>
      <w:r>
        <w:rPr>
          <w:rFonts w:ascii="Arial" w:cs="Arial" w:eastAsia="Arial" w:hAnsi="Arial"/>
          <w:sz w:val="22"/>
          <w:szCs w:val="22"/>
          <w:color w:val="auto"/>
        </w:rPr>
        <w:t>19.1.14are, in the opinion of a medical practitioner who is treating you, physically or mentally incapable of performing your duties and may remain so for more than three months and the medical practitioner has given a medical opinion to the Board to that effect;</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19.1.15cease to be eligible to work in the United Kingdom;</w:t>
      </w:r>
    </w:p>
    <w:p>
      <w:pPr>
        <w:spacing w:after="0" w:line="112" w:lineRule="exact"/>
        <w:rPr>
          <w:sz w:val="20"/>
          <w:szCs w:val="20"/>
          <w:color w:val="auto"/>
        </w:rPr>
      </w:pPr>
    </w:p>
    <w:p>
      <w:pPr>
        <w:ind w:left="1420" w:right="340" w:hanging="647"/>
        <w:spacing w:after="0" w:line="250" w:lineRule="auto"/>
        <w:rPr>
          <w:sz w:val="20"/>
          <w:szCs w:val="20"/>
          <w:color w:val="auto"/>
        </w:rPr>
      </w:pPr>
      <w:r>
        <w:rPr>
          <w:rFonts w:ascii="Arial" w:cs="Arial" w:eastAsia="Arial" w:hAnsi="Arial"/>
          <w:sz w:val="22"/>
          <w:szCs w:val="22"/>
          <w:color w:val="auto"/>
        </w:rPr>
        <w:t>19.1.16knowingly commit any deliberate act which amounts to discrimination, victimisation or harassment on any unlawful ground;</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19.1.17are in breach of the Company’s anti-corruption and bribery policy and related procedures;</w:t>
      </w:r>
    </w:p>
    <w:p>
      <w:pPr>
        <w:spacing w:after="0" w:line="112" w:lineRule="exact"/>
        <w:rPr>
          <w:sz w:val="20"/>
          <w:szCs w:val="20"/>
          <w:color w:val="auto"/>
        </w:rPr>
      </w:pPr>
    </w:p>
    <w:p>
      <w:pPr>
        <w:ind w:left="1420" w:right="320" w:hanging="647"/>
        <w:spacing w:after="0" w:line="250" w:lineRule="auto"/>
        <w:rPr>
          <w:sz w:val="20"/>
          <w:szCs w:val="20"/>
          <w:color w:val="auto"/>
        </w:rPr>
      </w:pPr>
      <w:r>
        <w:rPr>
          <w:rFonts w:ascii="Arial" w:cs="Arial" w:eastAsia="Arial" w:hAnsi="Arial"/>
          <w:sz w:val="22"/>
          <w:szCs w:val="22"/>
          <w:color w:val="auto"/>
        </w:rPr>
        <w:t>19.1.18are guilty of a serious breach of any rules issued by the Company from time to time regarding its electronic communications systems;</w:t>
      </w:r>
    </w:p>
    <w:p>
      <w:pPr>
        <w:spacing w:after="0" w:line="80" w:lineRule="exact"/>
        <w:rPr>
          <w:sz w:val="20"/>
          <w:szCs w:val="20"/>
          <w:color w:val="auto"/>
        </w:rPr>
      </w:pPr>
    </w:p>
    <w:p>
      <w:pPr>
        <w:ind w:left="1420" w:right="500" w:hanging="647"/>
        <w:spacing w:after="0" w:line="250" w:lineRule="auto"/>
        <w:rPr>
          <w:sz w:val="20"/>
          <w:szCs w:val="20"/>
          <w:color w:val="auto"/>
        </w:rPr>
      </w:pPr>
      <w:r>
        <w:rPr>
          <w:rFonts w:ascii="Arial" w:cs="Arial" w:eastAsia="Arial" w:hAnsi="Arial"/>
          <w:sz w:val="22"/>
          <w:szCs w:val="22"/>
          <w:color w:val="auto"/>
        </w:rPr>
        <w:t>19.1.19are unable by reason of Incapacity to perform his duties under this Contract for an aggregate period of 26 weeks in any 52-week period; or</w:t>
      </w:r>
    </w:p>
    <w:p>
      <w:pPr>
        <w:spacing w:after="0" w:line="80" w:lineRule="exact"/>
        <w:rPr>
          <w:sz w:val="20"/>
          <w:szCs w:val="20"/>
          <w:color w:val="auto"/>
        </w:rPr>
      </w:pPr>
    </w:p>
    <w:p>
      <w:pPr>
        <w:ind w:left="1420" w:right="700" w:hanging="647"/>
        <w:spacing w:after="0" w:line="250" w:lineRule="auto"/>
        <w:rPr>
          <w:sz w:val="20"/>
          <w:szCs w:val="20"/>
          <w:color w:val="auto"/>
        </w:rPr>
      </w:pPr>
      <w:r>
        <w:rPr>
          <w:rFonts w:ascii="Arial" w:cs="Arial" w:eastAsia="Arial" w:hAnsi="Arial"/>
          <w:sz w:val="22"/>
          <w:szCs w:val="22"/>
          <w:color w:val="auto"/>
        </w:rPr>
        <w:t>19.1.20commit any other offence of a similar gravity to the examples under this clause 19.1, which are neither exclusive nor exhaustive.</w:t>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Any delay by the Company in exercising such right of termination shall not constitute a waiver of that right.</w:t>
      </w:r>
    </w:p>
    <w:p>
      <w:pPr>
        <w:spacing w:after="0" w:line="112" w:lineRule="exact"/>
        <w:rPr>
          <w:sz w:val="20"/>
          <w:szCs w:val="20"/>
          <w:color w:val="auto"/>
        </w:rPr>
      </w:pPr>
    </w:p>
    <w:p>
      <w:pPr>
        <w:ind w:left="760" w:right="20" w:hanging="768"/>
        <w:spacing w:after="0"/>
        <w:tabs>
          <w:tab w:leader="none" w:pos="7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2"/>
          <w:szCs w:val="22"/>
          <w:color w:val="auto"/>
        </w:rPr>
        <w:t>The termination by the Company of the Appointment pursuant to this clause 19 will be without prejudice to any claim that the Company may have for damages arising from any breach of this Contract by you that gives rise to such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000"/>
          </w:cols>
          <w:pgMar w:left="440" w:top="267" w:right="459" w:bottom="1440" w:gutter="0" w:footer="0" w:header="0"/>
        </w:sectPr>
      </w:pPr>
    </w:p>
    <w:bookmarkStart w:id="362" w:name="page363"/>
    <w:bookmarkEnd w:id="362"/>
    <w:p>
      <w:pPr>
        <w:ind w:left="764" w:hanging="764"/>
        <w:spacing w:after="0"/>
        <w:tabs>
          <w:tab w:leader="none" w:pos="764" w:val="left"/>
        </w:tabs>
        <w:numPr>
          <w:ilvl w:val="0"/>
          <w:numId w:val="336"/>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Garden Leave</w:t>
      </w:r>
    </w:p>
    <w:p>
      <w:pPr>
        <w:spacing w:after="0" w:line="118" w:lineRule="exact"/>
        <w:rPr>
          <w:sz w:val="20"/>
          <w:szCs w:val="20"/>
          <w:color w:val="auto"/>
        </w:rPr>
      </w:pPr>
    </w:p>
    <w:p>
      <w:pPr>
        <w:ind w:left="764" w:right="80" w:hanging="768"/>
        <w:spacing w:after="0" w:line="252" w:lineRule="auto"/>
        <w:tabs>
          <w:tab w:leader="none" w:pos="744"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color w:val="auto"/>
        </w:rPr>
        <w:t>After notice of termination has been given by either party pursuant to clause 18 provided that the Company continues to provide you with your normal Salary and 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79"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20.1.1 exclude you from the premises of the Company and any Group Company; and/or</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21"/>
          <w:szCs w:val="21"/>
          <w:color w:val="auto"/>
        </w:rPr>
        <w:t>20.1.2 require you to carry out specified duties other than your normal duties or to carry out no duties; and/or</w:t>
      </w:r>
    </w:p>
    <w:p>
      <w:pPr>
        <w:spacing w:after="0" w:line="123"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20.1.3 withdraw any powers vested in you; and/or</w:t>
      </w:r>
    </w:p>
    <w:p>
      <w:pPr>
        <w:spacing w:after="0" w:line="112" w:lineRule="exact"/>
        <w:rPr>
          <w:sz w:val="20"/>
          <w:szCs w:val="20"/>
          <w:color w:val="auto"/>
        </w:rPr>
      </w:pPr>
    </w:p>
    <w:p>
      <w:pPr>
        <w:ind w:left="1424" w:right="920" w:hanging="647"/>
        <w:spacing w:after="0" w:line="328" w:lineRule="auto"/>
        <w:rPr>
          <w:sz w:val="20"/>
          <w:szCs w:val="20"/>
          <w:color w:val="auto"/>
        </w:rPr>
      </w:pPr>
      <w:r>
        <w:rPr>
          <w:rFonts w:ascii="Arial" w:cs="Arial" w:eastAsia="Arial" w:hAnsi="Arial"/>
          <w:sz w:val="19"/>
          <w:szCs w:val="19"/>
          <w:color w:val="auto"/>
        </w:rPr>
        <w:t>20.1.4 instruct you not to communicate orally or in writing with suppliers, customers, employees, agents/or representatives of the Company or any Group Company until the Appointment has terminated.</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During any period of garden leave you shall:</w:t>
      </w:r>
    </w:p>
    <w:p>
      <w:pPr>
        <w:spacing w:after="0" w:line="112" w:lineRule="exact"/>
        <w:rPr>
          <w:sz w:val="20"/>
          <w:szCs w:val="20"/>
          <w:color w:val="auto"/>
        </w:rPr>
      </w:pPr>
    </w:p>
    <w:p>
      <w:pPr>
        <w:ind w:left="1424" w:right="340" w:hanging="647"/>
        <w:spacing w:after="0" w:line="250" w:lineRule="auto"/>
        <w:rPr>
          <w:sz w:val="20"/>
          <w:szCs w:val="20"/>
          <w:color w:val="auto"/>
        </w:rPr>
      </w:pPr>
      <w:r>
        <w:rPr>
          <w:rFonts w:ascii="Arial" w:cs="Arial" w:eastAsia="Arial" w:hAnsi="Arial"/>
          <w:sz w:val="22"/>
          <w:szCs w:val="22"/>
          <w:color w:val="auto"/>
        </w:rPr>
        <w:t>20.2.1 continue to receive your Salary and all contractual benefits in the usual way and subject to the terms of any benefit arrangement;</w:t>
      </w:r>
    </w:p>
    <w:p>
      <w:pPr>
        <w:spacing w:after="0" w:line="80" w:lineRule="exact"/>
        <w:rPr>
          <w:sz w:val="20"/>
          <w:szCs w:val="20"/>
          <w:color w:val="auto"/>
        </w:rPr>
      </w:pPr>
    </w:p>
    <w:p>
      <w:pPr>
        <w:ind w:left="1424" w:right="740" w:hanging="647"/>
        <w:spacing w:after="0" w:line="250" w:lineRule="auto"/>
        <w:rPr>
          <w:sz w:val="20"/>
          <w:szCs w:val="20"/>
          <w:color w:val="auto"/>
        </w:rPr>
      </w:pPr>
      <w:r>
        <w:rPr>
          <w:rFonts w:ascii="Arial" w:cs="Arial" w:eastAsia="Arial" w:hAnsi="Arial"/>
          <w:sz w:val="22"/>
          <w:szCs w:val="22"/>
          <w:color w:val="auto"/>
        </w:rPr>
        <w:t>20.2.2 remain an employee of the Company and bound by the terms of your contract of employment with the Company;</w:t>
      </w:r>
    </w:p>
    <w:p>
      <w:pPr>
        <w:spacing w:after="0" w:line="80" w:lineRule="exact"/>
        <w:rPr>
          <w:sz w:val="20"/>
          <w:szCs w:val="20"/>
          <w:color w:val="auto"/>
        </w:rPr>
      </w:pPr>
    </w:p>
    <w:p>
      <w:pPr>
        <w:ind w:left="1424" w:right="80" w:hanging="647"/>
        <w:spacing w:after="0" w:line="250" w:lineRule="auto"/>
        <w:rPr>
          <w:sz w:val="20"/>
          <w:szCs w:val="20"/>
          <w:color w:val="auto"/>
        </w:rPr>
      </w:pPr>
      <w:r>
        <w:rPr>
          <w:rFonts w:ascii="Arial" w:cs="Arial" w:eastAsia="Arial" w:hAnsi="Arial"/>
          <w:sz w:val="22"/>
          <w:szCs w:val="22"/>
          <w:color w:val="auto"/>
        </w:rPr>
        <w:t>20.2.3 not, without the prior written consent of your Manager, attend your place of work or any other premises of the Company or any Group Company;</w:t>
      </w:r>
    </w:p>
    <w:p>
      <w:pPr>
        <w:spacing w:after="0" w:line="80"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20.2.4 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92" w:lineRule="exact"/>
        <w:rPr>
          <w:sz w:val="20"/>
          <w:szCs w:val="20"/>
          <w:color w:val="auto"/>
        </w:rPr>
      </w:pPr>
    </w:p>
    <w:p>
      <w:pPr>
        <w:ind w:left="1424" w:right="40" w:hanging="647"/>
        <w:spacing w:after="0"/>
        <w:rPr>
          <w:sz w:val="20"/>
          <w:szCs w:val="20"/>
          <w:color w:val="auto"/>
        </w:rPr>
      </w:pPr>
      <w:r>
        <w:rPr>
          <w:rFonts w:ascii="Arial" w:cs="Arial" w:eastAsia="Arial" w:hAnsi="Arial"/>
          <w:sz w:val="22"/>
          <w:szCs w:val="22"/>
          <w:color w:val="auto"/>
        </w:rPr>
        <w:t>20.2.5 (except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9" w:lineRule="exact"/>
        <w:rPr>
          <w:sz w:val="20"/>
          <w:szCs w:val="20"/>
          <w:color w:val="auto"/>
        </w:rPr>
      </w:pPr>
    </w:p>
    <w:p>
      <w:pPr>
        <w:ind w:left="764" w:hanging="764"/>
        <w:spacing w:after="0"/>
        <w:tabs>
          <w:tab w:leader="none" w:pos="764" w:val="left"/>
        </w:tabs>
        <w:numPr>
          <w:ilvl w:val="0"/>
          <w:numId w:val="337"/>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after Employment</w:t>
      </w:r>
    </w:p>
    <w:p>
      <w:pPr>
        <w:spacing w:after="0" w:line="118" w:lineRule="exact"/>
        <w:rPr>
          <w:sz w:val="20"/>
          <w:szCs w:val="20"/>
          <w:color w:val="auto"/>
        </w:rPr>
      </w:pPr>
    </w:p>
    <w:p>
      <w:pPr>
        <w:jc w:val="both"/>
        <w:ind w:left="764" w:right="20" w:hanging="768"/>
        <w:spacing w:after="0" w:line="287" w:lineRule="auto"/>
        <w:tabs>
          <w:tab w:leader="none" w:pos="74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You shall not, save in respect of a Permitted Interest or with the prior written consent of the Company, for a period of 6 months from the Termination Date 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7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004"/>
          </w:cols>
          <w:pgMar w:left="436" w:top="261" w:right="459" w:bottom="1440" w:gutter="0" w:footer="0" w:header="0"/>
        </w:sectPr>
      </w:pPr>
    </w:p>
    <w:bookmarkStart w:id="363" w:name="page364"/>
    <w:bookmarkEnd w:id="363"/>
    <w:p>
      <w:pPr>
        <w:jc w:val="right"/>
        <w:ind w:right="1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    You shall not for a period of 6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21.2.1 deal with or accept custom from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21.2.2 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97" w:lineRule="exact"/>
        <w:rPr>
          <w:sz w:val="20"/>
          <w:szCs w:val="20"/>
          <w:color w:val="auto"/>
        </w:rPr>
      </w:pPr>
    </w:p>
    <w:p>
      <w:pPr>
        <w:ind w:left="1420" w:right="400" w:hanging="539"/>
        <w:spacing w:after="0" w:line="277" w:lineRule="auto"/>
        <w:rPr>
          <w:sz w:val="20"/>
          <w:szCs w:val="20"/>
          <w:color w:val="auto"/>
        </w:rPr>
      </w:pPr>
      <w:r>
        <w:rPr>
          <w:rFonts w:ascii="Arial" w:cs="Arial" w:eastAsia="Arial" w:hAnsi="Arial"/>
          <w:sz w:val="18"/>
          <w:szCs w:val="18"/>
          <w:color w:val="auto"/>
        </w:rPr>
        <w:t>21.2.3 deal with or interfere with any company from whom the Company or any Group Company has licensed or acquired intellectual property.</w:t>
      </w:r>
    </w:p>
    <w:p>
      <w:pPr>
        <w:spacing w:after="0" w:line="69" w:lineRule="exact"/>
        <w:rPr>
          <w:sz w:val="20"/>
          <w:szCs w:val="20"/>
          <w:color w:val="auto"/>
        </w:rPr>
      </w:pPr>
    </w:p>
    <w:p>
      <w:pPr>
        <w:jc w:val="right"/>
        <w:ind w:right="180"/>
        <w:spacing w:after="0" w:line="328" w:lineRule="auto"/>
        <w:rPr>
          <w:sz w:val="20"/>
          <w:szCs w:val="20"/>
          <w:color w:val="auto"/>
        </w:rPr>
      </w:pPr>
      <w:r>
        <w:rPr>
          <w:rFonts w:ascii="Arial" w:cs="Arial" w:eastAsia="Arial" w:hAnsi="Arial"/>
          <w:sz w:val="19"/>
          <w:szCs w:val="19"/>
          <w:color w:val="auto"/>
        </w:rPr>
        <w:t>21.3    You shall not for a period of 9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0" w:hanging="647"/>
        <w:spacing w:after="0" w:line="287" w:lineRule="auto"/>
        <w:rPr>
          <w:sz w:val="20"/>
          <w:szCs w:val="20"/>
          <w:color w:val="auto"/>
        </w:rPr>
      </w:pPr>
      <w:r>
        <w:rPr>
          <w:rFonts w:ascii="Arial" w:cs="Arial" w:eastAsia="Arial" w:hAnsi="Arial"/>
          <w:sz w:val="19"/>
          <w:szCs w:val="19"/>
          <w:color w:val="auto"/>
        </w:rPr>
        <w:t>21.3.1 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48" w:lineRule="exact"/>
        <w:rPr>
          <w:sz w:val="20"/>
          <w:szCs w:val="20"/>
          <w:color w:val="auto"/>
        </w:rPr>
      </w:pPr>
    </w:p>
    <w:p>
      <w:pPr>
        <w:ind w:left="1420" w:right="20" w:hanging="647"/>
        <w:spacing w:after="0" w:line="287" w:lineRule="auto"/>
        <w:rPr>
          <w:sz w:val="20"/>
          <w:szCs w:val="20"/>
          <w:color w:val="auto"/>
        </w:rPr>
      </w:pPr>
      <w:r>
        <w:rPr>
          <w:rFonts w:ascii="Arial" w:cs="Arial" w:eastAsia="Arial" w:hAnsi="Arial"/>
          <w:sz w:val="19"/>
          <w:szCs w:val="19"/>
          <w:color w:val="auto"/>
        </w:rPr>
        <w:t>21.3.2 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48" w:lineRule="exact"/>
        <w:rPr>
          <w:sz w:val="20"/>
          <w:szCs w:val="20"/>
          <w:color w:val="auto"/>
        </w:rPr>
      </w:pPr>
    </w:p>
    <w:p>
      <w:pPr>
        <w:ind w:left="1420" w:hanging="647"/>
        <w:spacing w:after="0" w:line="250" w:lineRule="auto"/>
        <w:rPr>
          <w:sz w:val="20"/>
          <w:szCs w:val="20"/>
          <w:color w:val="auto"/>
        </w:rPr>
      </w:pPr>
      <w:r>
        <w:rPr>
          <w:rFonts w:ascii="Arial" w:cs="Arial" w:eastAsia="Arial" w:hAnsi="Arial"/>
          <w:sz w:val="22"/>
          <w:szCs w:val="22"/>
          <w:color w:val="auto"/>
        </w:rPr>
        <w:t>21.3.3 interfere or seek to interfere with the continuance, or any of the terms, of the supply of goods or services to the Company or any Group Company;</w:t>
      </w:r>
    </w:p>
    <w:p>
      <w:pPr>
        <w:spacing w:after="0" w:line="67" w:lineRule="exact"/>
        <w:rPr>
          <w:sz w:val="20"/>
          <w:szCs w:val="20"/>
          <w:color w:val="auto"/>
        </w:rPr>
      </w:pPr>
    </w:p>
    <w:p>
      <w:pPr>
        <w:ind w:left="760" w:right="220"/>
        <w:spacing w:after="0"/>
        <w:rPr>
          <w:sz w:val="20"/>
          <w:szCs w:val="20"/>
          <w:color w:val="auto"/>
        </w:rPr>
      </w:pPr>
      <w:r>
        <w:rPr>
          <w:rFonts w:ascii="Arial" w:cs="Arial" w:eastAsia="Arial" w:hAnsi="Arial"/>
          <w:sz w:val="22"/>
          <w:szCs w:val="22"/>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92" w:lineRule="exact"/>
        <w:rPr>
          <w:sz w:val="20"/>
          <w:szCs w:val="20"/>
          <w:color w:val="auto"/>
        </w:rPr>
      </w:pPr>
    </w:p>
    <w:p>
      <w:pPr>
        <w:ind w:left="760" w:right="40" w:hanging="768"/>
        <w:spacing w:after="0" w:line="236" w:lineRule="auto"/>
        <w:tabs>
          <w:tab w:leader="none" w:pos="7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2"/>
          <w:szCs w:val="22"/>
          <w:color w:val="auto"/>
        </w:rPr>
        <w:t>You shall not for a period of 6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0980"/>
          </w:cols>
          <w:pgMar w:left="440" w:top="267" w:right="479" w:bottom="1440" w:gutter="0" w:footer="0" w:header="0"/>
        </w:sectPr>
      </w:pPr>
    </w:p>
    <w:bookmarkStart w:id="364" w:name="page365"/>
    <w:bookmarkEnd w:id="364"/>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w:t>
      </w:r>
      <w:r>
        <w:rPr>
          <w:sz w:val="20"/>
          <w:szCs w:val="20"/>
          <w:color w:val="auto"/>
        </w:rPr>
        <w:tab/>
      </w:r>
      <w:r>
        <w:rPr>
          <w:rFonts w:ascii="Arial" w:cs="Arial" w:eastAsia="Arial" w:hAnsi="Arial"/>
          <w:sz w:val="22"/>
          <w:szCs w:val="22"/>
          <w:color w:val="auto"/>
        </w:rPr>
        <w:t>You shall not, at any time after the Termination Date, either on your own behalf or on behalf of any other person, firm or company directly or indirectly:</w:t>
      </w:r>
    </w:p>
    <w:p>
      <w:pPr>
        <w:spacing w:after="0" w:line="80" w:lineRule="exact"/>
        <w:rPr>
          <w:sz w:val="20"/>
          <w:szCs w:val="20"/>
          <w:color w:val="auto"/>
        </w:rPr>
      </w:pPr>
    </w:p>
    <w:p>
      <w:pPr>
        <w:ind w:left="1424" w:right="220" w:hanging="647"/>
        <w:spacing w:after="0" w:line="249" w:lineRule="auto"/>
        <w:rPr>
          <w:sz w:val="20"/>
          <w:szCs w:val="20"/>
          <w:color w:val="auto"/>
        </w:rPr>
      </w:pPr>
      <w:r>
        <w:rPr>
          <w:rFonts w:ascii="Arial" w:cs="Arial" w:eastAsia="Arial" w:hAnsi="Arial"/>
          <w:sz w:val="21"/>
          <w:szCs w:val="21"/>
          <w:color w:val="auto"/>
        </w:rPr>
        <w:t>21.5.1 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84" w:lineRule="exact"/>
        <w:rPr>
          <w:sz w:val="20"/>
          <w:szCs w:val="20"/>
          <w:color w:val="auto"/>
        </w:rPr>
      </w:pPr>
    </w:p>
    <w:p>
      <w:pPr>
        <w:ind w:left="1424" w:right="20" w:hanging="647"/>
        <w:spacing w:after="0" w:line="282" w:lineRule="auto"/>
        <w:rPr>
          <w:sz w:val="20"/>
          <w:szCs w:val="20"/>
          <w:color w:val="auto"/>
        </w:rPr>
      </w:pPr>
      <w:r>
        <w:rPr>
          <w:rFonts w:ascii="Arial" w:cs="Arial" w:eastAsia="Arial" w:hAnsi="Arial"/>
          <w:sz w:val="19"/>
          <w:szCs w:val="19"/>
          <w:color w:val="auto"/>
        </w:rPr>
        <w:t>21.5.2 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9"/>
          <w:szCs w:val="19"/>
          <w:b w:val="1"/>
          <w:bCs w:val="1"/>
          <w:color w:val="auto"/>
        </w:rPr>
        <w:t>Relevant Personnel</w:t>
      </w:r>
      <w:r>
        <w:rPr>
          <w:rFonts w:ascii="Arial" w:cs="Arial" w:eastAsia="Arial" w:hAnsi="Arial"/>
          <w:sz w:val="19"/>
          <w:szCs w:val="19"/>
          <w:color w:val="auto"/>
        </w:rPr>
        <w:t>”) and/or which may be disparaging or derogatory to any of the Company or any Group Company or any Relevant Personnel.</w:t>
      </w:r>
    </w:p>
    <w:p>
      <w:pPr>
        <w:spacing w:after="0" w:line="53"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color w:val="auto"/>
        </w:rPr>
        <w:t>The period of the restrictions in clauses 21.1 to 21.4 inclusive shall be reduced by the period, if any, spent by you during which you are placed on garden leave in accordance with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You agree to notify your new employer of the restrictions contained within clauses 21.1 to 21.4 inclusive.</w:t>
      </w:r>
    </w:p>
    <w:p>
      <w:pPr>
        <w:spacing w:after="0" w:line="112"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1"/>
          <w:szCs w:val="21"/>
          <w:color w:val="auto"/>
        </w:rPr>
        <w:t>You acknowledge that, in the course of your employment, you are likely to have dealings with the clients, customers, suppliers and other contacts of the Company. 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327" w:lineRule="exact"/>
        <w:rPr>
          <w:sz w:val="20"/>
          <w:szCs w:val="20"/>
          <w:color w:val="auto"/>
        </w:rPr>
      </w:pPr>
    </w:p>
    <w:p>
      <w:pPr>
        <w:ind w:left="764" w:hanging="764"/>
        <w:spacing w:after="0"/>
        <w:tabs>
          <w:tab w:leader="none" w:pos="764" w:val="left"/>
        </w:tabs>
        <w:numPr>
          <w:ilvl w:val="0"/>
          <w:numId w:val="338"/>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118" w:lineRule="exact"/>
        <w:rPr>
          <w:sz w:val="20"/>
          <w:szCs w:val="20"/>
          <w:color w:val="auto"/>
        </w:rPr>
      </w:pPr>
    </w:p>
    <w:p>
      <w:pPr>
        <w:ind w:left="764" w:right="360" w:hanging="768"/>
        <w:spacing w:after="0" w:line="328" w:lineRule="auto"/>
        <w:tabs>
          <w:tab w:leader="none" w:pos="744"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All Documents and other property (including mobile telephones, laptop computers and other technical equipment) provided for your use by the Company, remain the property of the Company or any Group Company.</w:t>
      </w:r>
    </w:p>
    <w:p>
      <w:pPr>
        <w:spacing w:after="0" w:line="10" w:lineRule="exact"/>
        <w:rPr>
          <w:sz w:val="20"/>
          <w:szCs w:val="20"/>
          <w:color w:val="auto"/>
        </w:rPr>
      </w:pPr>
    </w:p>
    <w:p>
      <w:pPr>
        <w:ind w:left="764" w:right="180" w:hanging="768"/>
        <w:spacing w:after="0" w:line="328" w:lineRule="auto"/>
        <w:tabs>
          <w:tab w:leader="none" w:pos="744"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Any Documents or other property in your possession and or obtained by you in the course of your employment shall be returned to your Manager at any time on request and in any event prior to the Termination Date.</w:t>
      </w:r>
    </w:p>
    <w:p>
      <w:pPr>
        <w:spacing w:after="0" w:line="10" w:lineRule="exact"/>
        <w:rPr>
          <w:sz w:val="20"/>
          <w:szCs w:val="20"/>
          <w:color w:val="auto"/>
        </w:rPr>
      </w:pPr>
    </w:p>
    <w:p>
      <w:pPr>
        <w:ind w:left="764" w:hanging="768"/>
        <w:spacing w:after="0" w:line="250" w:lineRule="auto"/>
        <w:tabs>
          <w:tab w:leader="none" w:pos="744"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color w:val="auto"/>
        </w:rPr>
        <w:t>At any time upon request and in any event prior to the Termination Date you must irretrievably delete any information relating to the business of the Company or any</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004"/>
          </w:cols>
          <w:pgMar w:left="436" w:top="267" w:right="459" w:bottom="1440" w:gutter="0" w:footer="0" w:header="0"/>
        </w:sectPr>
      </w:pPr>
    </w:p>
    <w:bookmarkStart w:id="365" w:name="page366"/>
    <w:bookmarkEnd w:id="365"/>
    <w:p>
      <w:pPr>
        <w:ind w:left="764" w:right="60"/>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Group Company stored on any magnetic or optical disk or memory and all matter derived from such sources which is in your possession or under your control outside the Company’s premises.</w:t>
      </w:r>
    </w:p>
    <w:p>
      <w:pPr>
        <w:spacing w:after="0" w:line="317" w:lineRule="exact"/>
        <w:rPr>
          <w:sz w:val="20"/>
          <w:szCs w:val="20"/>
          <w:color w:val="auto"/>
        </w:rPr>
      </w:pPr>
    </w:p>
    <w:p>
      <w:pPr>
        <w:ind w:left="764" w:hanging="764"/>
        <w:spacing w:after="0"/>
        <w:tabs>
          <w:tab w:leader="none" w:pos="764" w:val="left"/>
        </w:tabs>
        <w:numPr>
          <w:ilvl w:val="0"/>
          <w:numId w:val="339"/>
        </w:numPr>
        <w:rPr>
          <w:rFonts w:ascii="Arial" w:cs="Arial" w:eastAsia="Arial" w:hAnsi="Arial"/>
          <w:sz w:val="22"/>
          <w:szCs w:val="22"/>
          <w:b w:val="1"/>
          <w:bCs w:val="1"/>
          <w:color w:val="auto"/>
        </w:rPr>
      </w:pPr>
      <w:r>
        <w:rPr>
          <w:rFonts w:ascii="Arial" w:cs="Arial" w:eastAsia="Arial" w:hAnsi="Arial"/>
          <w:sz w:val="22"/>
          <w:szCs w:val="22"/>
          <w:b w:val="1"/>
          <w:bCs w:val="1"/>
          <w:color w:val="auto"/>
        </w:rPr>
        <w:t>Grievance Procedure</w:t>
      </w:r>
    </w:p>
    <w:p>
      <w:pPr>
        <w:spacing w:after="0" w:line="104" w:lineRule="exact"/>
        <w:rPr>
          <w:rFonts w:ascii="Arial" w:cs="Arial" w:eastAsia="Arial" w:hAnsi="Arial"/>
          <w:sz w:val="22"/>
          <w:szCs w:val="22"/>
          <w:b w:val="1"/>
          <w:bCs w:val="1"/>
          <w:color w:val="auto"/>
        </w:rPr>
      </w:pPr>
    </w:p>
    <w:p>
      <w:pPr>
        <w:ind w:left="764" w:right="80"/>
        <w:spacing w:after="0" w:line="279" w:lineRule="auto"/>
        <w:rPr>
          <w:rFonts w:ascii="Arial" w:cs="Arial" w:eastAsia="Arial" w:hAnsi="Arial"/>
          <w:sz w:val="22"/>
          <w:szCs w:val="22"/>
          <w:b w:val="1"/>
          <w:bCs w:val="1"/>
          <w:color w:val="auto"/>
        </w:rPr>
      </w:pPr>
      <w:r>
        <w:rPr>
          <w:rFonts w:ascii="Arial" w:cs="Arial" w:eastAsia="Arial" w:hAnsi="Arial"/>
          <w:sz w:val="19"/>
          <w:szCs w:val="19"/>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Financial Officer or General Counsel.</w:t>
      </w:r>
    </w:p>
    <w:p>
      <w:pPr>
        <w:spacing w:after="0" w:line="292" w:lineRule="exact"/>
        <w:rPr>
          <w:rFonts w:ascii="Arial" w:cs="Arial" w:eastAsia="Arial" w:hAnsi="Arial"/>
          <w:sz w:val="22"/>
          <w:szCs w:val="22"/>
          <w:b w:val="1"/>
          <w:bCs w:val="1"/>
          <w:color w:val="auto"/>
        </w:rPr>
      </w:pPr>
    </w:p>
    <w:p>
      <w:pPr>
        <w:ind w:left="764" w:hanging="764"/>
        <w:spacing w:after="0"/>
        <w:tabs>
          <w:tab w:leader="none" w:pos="764" w:val="left"/>
        </w:tabs>
        <w:numPr>
          <w:ilvl w:val="0"/>
          <w:numId w:val="339"/>
        </w:numPr>
        <w:rPr>
          <w:rFonts w:ascii="Arial" w:cs="Arial" w:eastAsia="Arial" w:hAnsi="Arial"/>
          <w:sz w:val="22"/>
          <w:szCs w:val="22"/>
          <w:b w:val="1"/>
          <w:bCs w:val="1"/>
          <w:color w:val="auto"/>
        </w:rPr>
      </w:pPr>
      <w:r>
        <w:rPr>
          <w:rFonts w:ascii="Arial" w:cs="Arial" w:eastAsia="Arial" w:hAnsi="Arial"/>
          <w:sz w:val="22"/>
          <w:szCs w:val="22"/>
          <w:b w:val="1"/>
          <w:bCs w:val="1"/>
          <w:color w:val="auto"/>
        </w:rPr>
        <w:t>Disciplinary Procedure</w:t>
      </w:r>
    </w:p>
    <w:p>
      <w:pPr>
        <w:spacing w:after="0" w:line="118" w:lineRule="exact"/>
        <w:rPr>
          <w:sz w:val="20"/>
          <w:szCs w:val="20"/>
          <w:color w:val="auto"/>
        </w:rPr>
      </w:pPr>
    </w:p>
    <w:p>
      <w:pPr>
        <w:ind w:left="764" w:right="300" w:hanging="768"/>
        <w:spacing w:after="0" w:line="249" w:lineRule="auto"/>
        <w:tabs>
          <w:tab w:leader="none" w:pos="744"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84" w:lineRule="exact"/>
        <w:rPr>
          <w:sz w:val="20"/>
          <w:szCs w:val="20"/>
          <w:color w:val="auto"/>
        </w:rPr>
      </w:pPr>
    </w:p>
    <w:p>
      <w:pPr>
        <w:jc w:val="both"/>
        <w:ind w:left="764" w:right="300" w:hanging="768"/>
        <w:spacing w:after="0" w:line="257" w:lineRule="auto"/>
        <w:tabs>
          <w:tab w:leader="none" w:pos="744"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75" w:lineRule="exact"/>
        <w:rPr>
          <w:sz w:val="20"/>
          <w:szCs w:val="20"/>
          <w:color w:val="auto"/>
        </w:rPr>
      </w:pPr>
    </w:p>
    <w:p>
      <w:pPr>
        <w:ind w:left="2204" w:right="560" w:hanging="768"/>
        <w:spacing w:after="0" w:line="250" w:lineRule="auto"/>
        <w:tabs>
          <w:tab w:leader="none" w:pos="2184" w:val="left"/>
        </w:tabs>
        <w:rPr>
          <w:sz w:val="20"/>
          <w:szCs w:val="20"/>
          <w:color w:val="auto"/>
        </w:rPr>
      </w:pPr>
      <w:r>
        <w:rPr>
          <w:rFonts w:ascii="Arial" w:cs="Arial" w:eastAsia="Arial" w:hAnsi="Arial"/>
          <w:sz w:val="22"/>
          <w:szCs w:val="22"/>
          <w:color w:val="auto"/>
        </w:rPr>
        <w:t>24.2.1</w:t>
        <w:tab/>
        <w:t>you shall continue to receive your basic salary and all contractual benefits in the usual way and subject to the terms of any benefit arrangement;</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24.2.2</w:t>
      </w:r>
      <w:r>
        <w:rPr>
          <w:sz w:val="20"/>
          <w:szCs w:val="20"/>
          <w:color w:val="auto"/>
        </w:rPr>
        <w:tab/>
      </w:r>
      <w:r>
        <w:rPr>
          <w:rFonts w:ascii="Arial" w:cs="Arial" w:eastAsia="Arial" w:hAnsi="Arial"/>
          <w:sz w:val="19"/>
          <w:szCs w:val="19"/>
          <w:color w:val="auto"/>
        </w:rPr>
        <w:t>you shall remain an employee of the Company and bound by the terms of this Contract;</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2"/>
          <w:szCs w:val="22"/>
          <w:color w:val="auto"/>
        </w:rPr>
        <w:t>you shall ensure that your Manager knows where you will be and how you can be contacted during each working day (except during any periods taken as holiday in the usual way);</w:t>
      </w:r>
    </w:p>
    <w:p>
      <w:pPr>
        <w:spacing w:after="0" w:line="80" w:lineRule="exact"/>
        <w:rPr>
          <w:sz w:val="20"/>
          <w:szCs w:val="20"/>
          <w:color w:val="auto"/>
        </w:rPr>
      </w:pPr>
    </w:p>
    <w:p>
      <w:pPr>
        <w:ind w:left="764" w:right="800" w:hanging="768"/>
        <w:spacing w:after="0" w:line="250" w:lineRule="auto"/>
        <w:tabs>
          <w:tab w:leader="none" w:pos="744"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2"/>
          <w:szCs w:val="22"/>
          <w:color w:val="auto"/>
        </w:rPr>
        <w:t>the Company may exclude you from your place of work or any other premises of the Company or any Group Company; and</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2"/>
          <w:szCs w:val="22"/>
          <w:color w:val="auto"/>
        </w:rPr>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0984"/>
          </w:cols>
          <w:pgMar w:left="436" w:top="267" w:right="479" w:bottom="1440" w:gutter="0" w:footer="0" w:header="0"/>
        </w:sectPr>
      </w:pPr>
    </w:p>
    <w:bookmarkStart w:id="366" w:name="page367"/>
    <w:bookmarkEnd w:id="366"/>
    <w:p>
      <w:pPr>
        <w:ind w:left="764" w:hanging="764"/>
        <w:spacing w:after="0"/>
        <w:tabs>
          <w:tab w:leader="none" w:pos="764" w:val="left"/>
        </w:tabs>
        <w:numPr>
          <w:ilvl w:val="0"/>
          <w:numId w:val="340"/>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 Agreements</w:t>
      </w:r>
    </w:p>
    <w:p>
      <w:pPr>
        <w:spacing w:after="0" w:line="104" w:lineRule="exact"/>
        <w:rPr>
          <w:rFonts w:ascii="Arial" w:cs="Arial" w:eastAsia="Arial" w:hAnsi="Arial"/>
          <w:sz w:val="22"/>
          <w:szCs w:val="22"/>
          <w:b w:val="1"/>
          <w:bCs w:val="1"/>
          <w:color w:val="auto"/>
        </w:rPr>
      </w:pPr>
    </w:p>
    <w:p>
      <w:pPr>
        <w:ind w:left="764"/>
        <w:spacing w:after="0"/>
        <w:rPr>
          <w:rFonts w:ascii="Arial" w:cs="Arial" w:eastAsia="Arial" w:hAnsi="Arial"/>
          <w:sz w:val="22"/>
          <w:szCs w:val="22"/>
          <w:b w:val="1"/>
          <w:bCs w:val="1"/>
          <w:color w:val="auto"/>
        </w:rPr>
      </w:pPr>
      <w:r>
        <w:rPr>
          <w:rFonts w:ascii="Arial" w:cs="Arial" w:eastAsia="Arial" w:hAnsi="Arial"/>
          <w:sz w:val="22"/>
          <w:szCs w:val="22"/>
          <w:color w:val="auto"/>
        </w:rPr>
        <w:t>There are no collective agreements affecting your terms and conditions of employment.</w:t>
      </w:r>
    </w:p>
    <w:p>
      <w:pPr>
        <w:spacing w:after="0" w:line="348" w:lineRule="exact"/>
        <w:rPr>
          <w:rFonts w:ascii="Arial" w:cs="Arial" w:eastAsia="Arial" w:hAnsi="Arial"/>
          <w:sz w:val="22"/>
          <w:szCs w:val="22"/>
          <w:b w:val="1"/>
          <w:bCs w:val="1"/>
          <w:color w:val="auto"/>
        </w:rPr>
      </w:pPr>
    </w:p>
    <w:p>
      <w:pPr>
        <w:ind w:left="764" w:hanging="764"/>
        <w:spacing w:after="0"/>
        <w:tabs>
          <w:tab w:leader="none" w:pos="764" w:val="left"/>
        </w:tabs>
        <w:numPr>
          <w:ilvl w:val="0"/>
          <w:numId w:val="340"/>
        </w:numPr>
        <w:rPr>
          <w:rFonts w:ascii="Arial" w:cs="Arial" w:eastAsia="Arial" w:hAnsi="Arial"/>
          <w:sz w:val="22"/>
          <w:szCs w:val="22"/>
          <w:b w:val="1"/>
          <w:bCs w:val="1"/>
          <w:color w:val="auto"/>
        </w:rPr>
      </w:pPr>
      <w:r>
        <w:rPr>
          <w:rFonts w:ascii="Arial" w:cs="Arial" w:eastAsia="Arial" w:hAnsi="Arial"/>
          <w:sz w:val="22"/>
          <w:szCs w:val="22"/>
          <w:b w:val="1"/>
          <w:bCs w:val="1"/>
          <w:color w:val="auto"/>
        </w:rPr>
        <w:t>Work outside the United Kingdom</w:t>
      </w:r>
    </w:p>
    <w:p>
      <w:pPr>
        <w:spacing w:after="0" w:line="118" w:lineRule="exact"/>
        <w:rPr>
          <w:sz w:val="20"/>
          <w:szCs w:val="20"/>
          <w:color w:val="auto"/>
        </w:rPr>
      </w:pPr>
    </w:p>
    <w:p>
      <w:pPr>
        <w:ind w:left="764" w:right="80" w:hanging="768"/>
        <w:spacing w:after="0" w:line="250" w:lineRule="auto"/>
        <w:tabs>
          <w:tab w:leader="none" w:pos="744"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22"/>
          <w:szCs w:val="22"/>
          <w:color w:val="auto"/>
        </w:rPr>
        <w:t>It is not envisaged by the Company that you will be required to travel for work purposes outside the United Kingdom for any periods longer than one month.</w:t>
      </w:r>
    </w:p>
    <w:p>
      <w:pPr>
        <w:spacing w:after="0" w:line="80" w:lineRule="exact"/>
        <w:rPr>
          <w:sz w:val="20"/>
          <w:szCs w:val="20"/>
          <w:color w:val="auto"/>
        </w:rPr>
      </w:pPr>
    </w:p>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2"/>
          <w:szCs w:val="22"/>
          <w:color w:val="auto"/>
        </w:rPr>
        <w:t>In the event you are required to work outside the United Kingdom for a period of more than one month, the Company will consult with you and will provide the prescribed information to you.</w:t>
      </w:r>
    </w:p>
    <w:p>
      <w:pPr>
        <w:spacing w:after="0" w:line="317" w:lineRule="exact"/>
        <w:rPr>
          <w:sz w:val="20"/>
          <w:szCs w:val="20"/>
          <w:color w:val="auto"/>
        </w:rPr>
      </w:pPr>
    </w:p>
    <w:p>
      <w:pPr>
        <w:ind w:left="764" w:hanging="764"/>
        <w:spacing w:after="0"/>
        <w:tabs>
          <w:tab w:leader="none" w:pos="764" w:val="left"/>
        </w:tabs>
        <w:numPr>
          <w:ilvl w:val="0"/>
          <w:numId w:val="341"/>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104" w:lineRule="exact"/>
        <w:rPr>
          <w:rFonts w:ascii="Arial" w:cs="Arial" w:eastAsia="Arial" w:hAnsi="Arial"/>
          <w:sz w:val="22"/>
          <w:szCs w:val="22"/>
          <w:b w:val="1"/>
          <w:bCs w:val="1"/>
          <w:color w:val="auto"/>
        </w:rPr>
      </w:pPr>
    </w:p>
    <w:p>
      <w:pPr>
        <w:ind w:left="764" w:right="2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For the purposes of the General Data Protection Regulation (EU) 2016/679 and the Data Protection Act 2018, the Company will hold, collect and otherwise process certain personal data as set out in the Company’s privacy notice, which is on the intranet. All personal data will be treated in accordance with applicable data protection laws and regulations.</w:t>
      </w:r>
    </w:p>
    <w:p>
      <w:pPr>
        <w:spacing w:after="0" w:line="327" w:lineRule="exact"/>
        <w:rPr>
          <w:rFonts w:ascii="Arial" w:cs="Arial" w:eastAsia="Arial" w:hAnsi="Arial"/>
          <w:sz w:val="22"/>
          <w:szCs w:val="22"/>
          <w:b w:val="1"/>
          <w:bCs w:val="1"/>
          <w:color w:val="auto"/>
        </w:rPr>
      </w:pPr>
    </w:p>
    <w:p>
      <w:pPr>
        <w:ind w:left="764" w:hanging="764"/>
        <w:spacing w:after="0"/>
        <w:tabs>
          <w:tab w:leader="none" w:pos="764" w:val="left"/>
        </w:tabs>
        <w:numPr>
          <w:ilvl w:val="0"/>
          <w:numId w:val="341"/>
        </w:numPr>
        <w:rPr>
          <w:rFonts w:ascii="Arial" w:cs="Arial" w:eastAsia="Arial" w:hAnsi="Arial"/>
          <w:sz w:val="22"/>
          <w:szCs w:val="22"/>
          <w:b w:val="1"/>
          <w:bCs w:val="1"/>
          <w:color w:val="auto"/>
        </w:rPr>
      </w:pPr>
      <w:r>
        <w:rPr>
          <w:rFonts w:ascii="Arial" w:cs="Arial" w:eastAsia="Arial" w:hAnsi="Arial"/>
          <w:sz w:val="22"/>
          <w:szCs w:val="22"/>
          <w:b w:val="1"/>
          <w:bCs w:val="1"/>
          <w:color w:val="auto"/>
        </w:rPr>
        <w:t>Monitoring</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color w:val="auto"/>
        </w:rPr>
        <w:t>You shall comply with any electronic communication systems policies that the Company may issue from time to time.</w:t>
      </w:r>
    </w:p>
    <w:p>
      <w:pPr>
        <w:spacing w:after="0" w:line="112" w:lineRule="exact"/>
        <w:rPr>
          <w:sz w:val="20"/>
          <w:szCs w:val="20"/>
          <w:color w:val="auto"/>
        </w:rPr>
      </w:pPr>
    </w:p>
    <w:p>
      <w:pPr>
        <w:ind w:left="764" w:right="20" w:hanging="768"/>
        <w:spacing w:after="0" w:line="279" w:lineRule="auto"/>
        <w:tabs>
          <w:tab w:leader="none" w:pos="744"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color w:val="auto"/>
        </w:rPr>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293" w:lineRule="exact"/>
        <w:rPr>
          <w:sz w:val="20"/>
          <w:szCs w:val="20"/>
          <w:color w:val="auto"/>
        </w:rPr>
      </w:pPr>
    </w:p>
    <w:p>
      <w:pPr>
        <w:ind w:left="764" w:hanging="764"/>
        <w:spacing w:after="0"/>
        <w:tabs>
          <w:tab w:leader="none" w:pos="764" w:val="left"/>
        </w:tabs>
        <w:numPr>
          <w:ilvl w:val="0"/>
          <w:numId w:val="342"/>
        </w:numPr>
        <w:rPr>
          <w:rFonts w:ascii="Arial" w:cs="Arial" w:eastAsia="Arial" w:hAnsi="Arial"/>
          <w:sz w:val="22"/>
          <w:szCs w:val="22"/>
          <w:b w:val="1"/>
          <w:bCs w:val="1"/>
          <w:color w:val="auto"/>
        </w:rPr>
      </w:pPr>
      <w:r>
        <w:rPr>
          <w:rFonts w:ascii="Arial" w:cs="Arial" w:eastAsia="Arial" w:hAnsi="Arial"/>
          <w:sz w:val="22"/>
          <w:szCs w:val="22"/>
          <w:b w:val="1"/>
          <w:bCs w:val="1"/>
          <w:color w:val="auto"/>
        </w:rPr>
        <w:t>Rules, Policies and Procedures</w:t>
      </w:r>
    </w:p>
    <w:p>
      <w:pPr>
        <w:spacing w:after="0" w:line="104" w:lineRule="exact"/>
        <w:rPr>
          <w:rFonts w:ascii="Arial" w:cs="Arial" w:eastAsia="Arial" w:hAnsi="Arial"/>
          <w:sz w:val="22"/>
          <w:szCs w:val="22"/>
          <w:b w:val="1"/>
          <w:bCs w:val="1"/>
          <w:color w:val="auto"/>
        </w:rPr>
      </w:pPr>
    </w:p>
    <w:p>
      <w:pPr>
        <w:ind w:left="764" w:right="6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329" w:lineRule="exact"/>
        <w:rPr>
          <w:rFonts w:ascii="Arial" w:cs="Arial" w:eastAsia="Arial" w:hAnsi="Arial"/>
          <w:sz w:val="22"/>
          <w:szCs w:val="22"/>
          <w:b w:val="1"/>
          <w:bCs w:val="1"/>
          <w:color w:val="auto"/>
        </w:rPr>
      </w:pPr>
    </w:p>
    <w:p>
      <w:pPr>
        <w:ind w:left="764" w:hanging="764"/>
        <w:spacing w:after="0"/>
        <w:tabs>
          <w:tab w:leader="none" w:pos="764" w:val="left"/>
        </w:tabs>
        <w:numPr>
          <w:ilvl w:val="0"/>
          <w:numId w:val="342"/>
        </w:numPr>
        <w:rPr>
          <w:rFonts w:ascii="Arial" w:cs="Arial" w:eastAsia="Arial" w:hAnsi="Arial"/>
          <w:sz w:val="22"/>
          <w:szCs w:val="22"/>
          <w:b w:val="1"/>
          <w:bCs w:val="1"/>
          <w:color w:val="auto"/>
        </w:rPr>
      </w:pPr>
      <w:r>
        <w:rPr>
          <w:rFonts w:ascii="Arial" w:cs="Arial" w:eastAsia="Arial" w:hAnsi="Arial"/>
          <w:sz w:val="22"/>
          <w:szCs w:val="22"/>
          <w:b w:val="1"/>
          <w:bCs w:val="1"/>
          <w:color w:val="auto"/>
        </w:rPr>
        <w:t>Health and Safety</w:t>
      </w:r>
    </w:p>
    <w:p>
      <w:pPr>
        <w:spacing w:after="0" w:line="104" w:lineRule="exact"/>
        <w:rPr>
          <w:rFonts w:ascii="Arial" w:cs="Arial" w:eastAsia="Arial" w:hAnsi="Arial"/>
          <w:sz w:val="22"/>
          <w:szCs w:val="22"/>
          <w:b w:val="1"/>
          <w:bCs w:val="1"/>
          <w:color w:val="auto"/>
        </w:rPr>
      </w:pPr>
    </w:p>
    <w:p>
      <w:pPr>
        <w:ind w:left="764" w:right="10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All employees and workers have a duty in law to act responsibly and to take reasonable care for the health and safety at work of both themselves and their colleagues. This duty can be carried out by:</w:t>
      </w:r>
    </w:p>
    <w:p>
      <w:pPr>
        <w:spacing w:after="0" w:line="80" w:lineRule="exact"/>
        <w:rPr>
          <w:rFonts w:ascii="Arial" w:cs="Arial" w:eastAsia="Arial" w:hAnsi="Arial"/>
          <w:sz w:val="22"/>
          <w:szCs w:val="22"/>
          <w:b w:val="1"/>
          <w:bCs w:val="1"/>
          <w:color w:val="auto"/>
        </w:rPr>
      </w:pPr>
    </w:p>
    <w:p>
      <w:pPr>
        <w:ind w:left="1424" w:hanging="655"/>
        <w:spacing w:after="0"/>
        <w:tabs>
          <w:tab w:leader="none" w:pos="1424" w:val="left"/>
        </w:tabs>
        <w:numPr>
          <w:ilvl w:val="1"/>
          <w:numId w:val="342"/>
        </w:numPr>
        <w:rPr>
          <w:rFonts w:ascii="Arial" w:cs="Arial" w:eastAsia="Arial" w:hAnsi="Arial"/>
          <w:sz w:val="22"/>
          <w:szCs w:val="22"/>
          <w:color w:val="auto"/>
        </w:rPr>
      </w:pPr>
      <w:r>
        <w:rPr>
          <w:rFonts w:ascii="Arial" w:cs="Arial" w:eastAsia="Arial" w:hAnsi="Arial"/>
          <w:sz w:val="22"/>
          <w:szCs w:val="22"/>
          <w:color w:val="auto"/>
        </w:rPr>
        <w:t>working safely and efficiently;</w:t>
      </w:r>
    </w:p>
    <w:p>
      <w:pPr>
        <w:spacing w:after="0" w:line="138" w:lineRule="exact"/>
        <w:rPr>
          <w:rFonts w:ascii="Arial" w:cs="Arial" w:eastAsia="Arial" w:hAnsi="Arial"/>
          <w:sz w:val="22"/>
          <w:szCs w:val="22"/>
          <w:color w:val="auto"/>
        </w:rPr>
      </w:pPr>
    </w:p>
    <w:p>
      <w:pPr>
        <w:ind w:left="5404" w:hanging="130"/>
        <w:spacing w:after="0"/>
        <w:tabs>
          <w:tab w:leader="none" w:pos="5404" w:val="left"/>
        </w:tabs>
        <w:numPr>
          <w:ilvl w:val="2"/>
          <w:numId w:val="342"/>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0984"/>
          </w:cols>
          <w:pgMar w:left="436" w:top="261" w:right="479" w:bottom="1440" w:gutter="0" w:footer="0" w:header="0"/>
        </w:sectPr>
      </w:pPr>
    </w:p>
    <w:bookmarkStart w:id="367" w:name="page368"/>
    <w:bookmarkEnd w:id="367"/>
    <w:p>
      <w:pPr>
        <w:ind w:left="1424" w:hanging="655"/>
        <w:spacing w:after="0"/>
        <w:tabs>
          <w:tab w:leader="none" w:pos="1424" w:val="left"/>
        </w:tabs>
        <w:numPr>
          <w:ilvl w:val="0"/>
          <w:numId w:val="34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using any protective equipment provided and meeting statutory obligations;</w:t>
      </w:r>
    </w:p>
    <w:p>
      <w:pPr>
        <w:spacing w:after="0" w:line="111" w:lineRule="exact"/>
        <w:rPr>
          <w:rFonts w:ascii="Arial" w:cs="Arial" w:eastAsia="Arial" w:hAnsi="Arial"/>
          <w:sz w:val="22"/>
          <w:szCs w:val="22"/>
          <w:color w:val="auto"/>
        </w:rPr>
      </w:pPr>
    </w:p>
    <w:p>
      <w:pPr>
        <w:ind w:left="1424" w:hanging="655"/>
        <w:spacing w:after="0"/>
        <w:tabs>
          <w:tab w:leader="none" w:pos="1424" w:val="left"/>
        </w:tabs>
        <w:numPr>
          <w:ilvl w:val="0"/>
          <w:numId w:val="343"/>
        </w:numPr>
        <w:rPr>
          <w:rFonts w:ascii="Arial" w:cs="Arial" w:eastAsia="Arial" w:hAnsi="Arial"/>
          <w:sz w:val="22"/>
          <w:szCs w:val="22"/>
          <w:color w:val="auto"/>
        </w:rPr>
      </w:pPr>
      <w:r>
        <w:rPr>
          <w:rFonts w:ascii="Arial" w:cs="Arial" w:eastAsia="Arial" w:hAnsi="Arial"/>
          <w:sz w:val="22"/>
          <w:szCs w:val="22"/>
          <w:color w:val="auto"/>
        </w:rPr>
        <w:t>adhering to the Company procedures for securing a safe workplace.</w:t>
      </w:r>
    </w:p>
    <w:p>
      <w:pPr>
        <w:spacing w:after="0" w:line="98" w:lineRule="exact"/>
        <w:rPr>
          <w:sz w:val="20"/>
          <w:szCs w:val="20"/>
          <w:color w:val="auto"/>
        </w:rPr>
      </w:pPr>
    </w:p>
    <w:p>
      <w:pPr>
        <w:ind w:left="764"/>
        <w:spacing w:after="0"/>
        <w:rPr>
          <w:sz w:val="20"/>
          <w:szCs w:val="20"/>
          <w:color w:val="auto"/>
        </w:rPr>
      </w:pPr>
      <w:r>
        <w:rPr>
          <w:rFonts w:ascii="Arial" w:cs="Arial" w:eastAsia="Arial" w:hAnsi="Arial"/>
          <w:sz w:val="22"/>
          <w:szCs w:val="22"/>
          <w:color w:val="auto"/>
        </w:rPr>
        <w:t>Further provisions relating to health and safety can be found in the Employee Handbook.</w:t>
      </w:r>
    </w:p>
    <w:p>
      <w:pPr>
        <w:spacing w:after="0" w:line="349" w:lineRule="exact"/>
        <w:rPr>
          <w:sz w:val="20"/>
          <w:szCs w:val="20"/>
          <w:color w:val="auto"/>
        </w:rPr>
      </w:pPr>
    </w:p>
    <w:p>
      <w:pPr>
        <w:ind w:left="764" w:hanging="764"/>
        <w:spacing w:after="0"/>
        <w:tabs>
          <w:tab w:leader="none" w:pos="764" w:val="left"/>
        </w:tabs>
        <w:numPr>
          <w:ilvl w:val="0"/>
          <w:numId w:val="344"/>
        </w:numPr>
        <w:rPr>
          <w:rFonts w:ascii="Arial" w:cs="Arial" w:eastAsia="Arial" w:hAnsi="Arial"/>
          <w:sz w:val="22"/>
          <w:szCs w:val="22"/>
          <w:b w:val="1"/>
          <w:bCs w:val="1"/>
          <w:color w:val="auto"/>
        </w:rPr>
      </w:pPr>
      <w:r>
        <w:rPr>
          <w:rFonts w:ascii="Arial" w:cs="Arial" w:eastAsia="Arial" w:hAnsi="Arial"/>
          <w:sz w:val="22"/>
          <w:szCs w:val="22"/>
          <w:b w:val="1"/>
          <w:bCs w:val="1"/>
          <w:color w:val="auto"/>
        </w:rPr>
        <w:t>Contracts (Rights of Third Parties) Act 1999</w:t>
      </w:r>
    </w:p>
    <w:p>
      <w:pPr>
        <w:spacing w:after="0" w:line="104" w:lineRule="exact"/>
        <w:rPr>
          <w:rFonts w:ascii="Arial" w:cs="Arial" w:eastAsia="Arial" w:hAnsi="Arial"/>
          <w:sz w:val="22"/>
          <w:szCs w:val="22"/>
          <w:b w:val="1"/>
          <w:bCs w:val="1"/>
          <w:color w:val="auto"/>
        </w:rPr>
      </w:pPr>
    </w:p>
    <w:p>
      <w:pPr>
        <w:ind w:left="764" w:right="340"/>
        <w:spacing w:after="0"/>
        <w:rPr>
          <w:rFonts w:ascii="Arial" w:cs="Arial" w:eastAsia="Arial" w:hAnsi="Arial"/>
          <w:sz w:val="22"/>
          <w:szCs w:val="22"/>
          <w:b w:val="1"/>
          <w:bCs w:val="1"/>
          <w:color w:val="auto"/>
        </w:rPr>
      </w:pPr>
      <w:r>
        <w:rPr>
          <w:rFonts w:ascii="Arial" w:cs="Arial" w:eastAsia="Arial" w:hAnsi="Arial"/>
          <w:sz w:val="22"/>
          <w:szCs w:val="22"/>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344"/>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04" w:lineRule="exact"/>
        <w:rPr>
          <w:rFonts w:ascii="Arial" w:cs="Arial" w:eastAsia="Arial" w:hAnsi="Arial"/>
          <w:sz w:val="22"/>
          <w:szCs w:val="22"/>
          <w:b w:val="1"/>
          <w:bCs w:val="1"/>
          <w:color w:val="auto"/>
        </w:rPr>
      </w:pPr>
    </w:p>
    <w:p>
      <w:pPr>
        <w:ind w:left="764" w:right="3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This Contract shall be interpreted and construed in accordance with the laws of England and shall be subject to the jurisdiction of the English courts.</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344"/>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w:t>
      </w:r>
    </w:p>
    <w:p>
      <w:pPr>
        <w:spacing w:after="0" w:line="104" w:lineRule="exact"/>
        <w:rPr>
          <w:rFonts w:ascii="Arial" w:cs="Arial" w:eastAsia="Arial" w:hAnsi="Arial"/>
          <w:sz w:val="22"/>
          <w:szCs w:val="22"/>
          <w:b w:val="1"/>
          <w:bCs w:val="1"/>
          <w:color w:val="auto"/>
        </w:rPr>
      </w:pPr>
    </w:p>
    <w:p>
      <w:pPr>
        <w:ind w:left="764" w:right="500"/>
        <w:spacing w:after="0"/>
        <w:rPr>
          <w:rFonts w:ascii="Arial" w:cs="Arial" w:eastAsia="Arial" w:hAnsi="Arial"/>
          <w:sz w:val="22"/>
          <w:szCs w:val="22"/>
          <w:b w:val="1"/>
          <w:bCs w:val="1"/>
          <w:color w:val="auto"/>
        </w:rPr>
      </w:pPr>
      <w:r>
        <w:rPr>
          <w:rFonts w:ascii="Arial" w:cs="Arial" w:eastAsia="Arial" w:hAnsi="Arial"/>
          <w:sz w:val="22"/>
          <w:szCs w:val="22"/>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344"/>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your Terms of Employment</w:t>
      </w:r>
    </w:p>
    <w:p>
      <w:pPr>
        <w:spacing w:after="0" w:line="104" w:lineRule="exact"/>
        <w:rPr>
          <w:rFonts w:ascii="Arial" w:cs="Arial" w:eastAsia="Arial" w:hAnsi="Arial"/>
          <w:sz w:val="22"/>
          <w:szCs w:val="22"/>
          <w:b w:val="1"/>
          <w:bCs w:val="1"/>
          <w:color w:val="auto"/>
        </w:rPr>
      </w:pPr>
    </w:p>
    <w:p>
      <w:pPr>
        <w:ind w:left="764" w:right="720"/>
        <w:spacing w:after="0" w:line="328" w:lineRule="auto"/>
        <w:rPr>
          <w:rFonts w:ascii="Arial" w:cs="Arial" w:eastAsia="Arial" w:hAnsi="Arial"/>
          <w:sz w:val="22"/>
          <w:szCs w:val="22"/>
          <w:b w:val="1"/>
          <w:bCs w:val="1"/>
          <w:color w:val="auto"/>
        </w:rPr>
      </w:pPr>
      <w:r>
        <w:rPr>
          <w:rFonts w:ascii="Arial" w:cs="Arial" w:eastAsia="Arial" w:hAnsi="Arial"/>
          <w:sz w:val="19"/>
          <w:szCs w:val="19"/>
          <w:color w:val="auto"/>
        </w:rPr>
        <w:t>The Company reserves the right to make reasonable changes to any of your terms of employment. You will be notified in writing of any change as soon as possible and in any event within one month of the change.</w:t>
      </w:r>
    </w:p>
    <w:p>
      <w:pPr>
        <w:spacing w:after="0" w:line="247" w:lineRule="exact"/>
        <w:rPr>
          <w:rFonts w:ascii="Arial" w:cs="Arial" w:eastAsia="Arial" w:hAnsi="Arial"/>
          <w:sz w:val="22"/>
          <w:szCs w:val="22"/>
          <w:b w:val="1"/>
          <w:bCs w:val="1"/>
          <w:color w:val="auto"/>
        </w:rPr>
      </w:pPr>
    </w:p>
    <w:p>
      <w:pPr>
        <w:ind w:left="764" w:hanging="764"/>
        <w:spacing w:after="0"/>
        <w:tabs>
          <w:tab w:leader="none" w:pos="764" w:val="left"/>
        </w:tabs>
        <w:numPr>
          <w:ilvl w:val="0"/>
          <w:numId w:val="34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35.1</w:t>
      </w:r>
      <w:r>
        <w:rPr>
          <w:sz w:val="20"/>
          <w:szCs w:val="20"/>
          <w:color w:val="auto"/>
        </w:rPr>
        <w:tab/>
      </w:r>
      <w:r>
        <w:rPr>
          <w:rFonts w:ascii="Arial" w:cs="Arial" w:eastAsia="Arial" w:hAnsi="Arial"/>
          <w:sz w:val="22"/>
          <w:szCs w:val="22"/>
          <w:color w:val="auto"/>
        </w:rPr>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90" w:lineRule="exact"/>
        <w:rPr>
          <w:sz w:val="20"/>
          <w:szCs w:val="20"/>
          <w:color w:val="auto"/>
        </w:rPr>
      </w:pPr>
    </w:p>
    <w:p>
      <w:pPr>
        <w:ind w:left="764" w:right="80" w:hanging="768"/>
        <w:spacing w:after="0" w:line="328" w:lineRule="auto"/>
        <w:tabs>
          <w:tab w:leader="none" w:pos="744" w:val="left"/>
        </w:tabs>
        <w:rPr>
          <w:sz w:val="20"/>
          <w:szCs w:val="20"/>
          <w:color w:val="auto"/>
        </w:rPr>
      </w:pPr>
      <w:r>
        <w:rPr>
          <w:rFonts w:ascii="Arial" w:cs="Arial" w:eastAsia="Arial" w:hAnsi="Arial"/>
          <w:sz w:val="22"/>
          <w:szCs w:val="22"/>
          <w:color w:val="auto"/>
        </w:rPr>
        <w:t>35.2</w:t>
      </w:r>
      <w:r>
        <w:rPr>
          <w:sz w:val="20"/>
          <w:szCs w:val="20"/>
          <w:color w:val="auto"/>
        </w:rPr>
        <w:tab/>
      </w:r>
      <w:r>
        <w:rPr>
          <w:rFonts w:ascii="Arial" w:cs="Arial" w:eastAsia="Arial" w:hAnsi="Arial"/>
          <w:sz w:val="19"/>
          <w:szCs w:val="19"/>
          <w:color w:val="auto"/>
        </w:rPr>
        <w:t>Unless the contrary shall be proven, each such notice or communication shall be deemed to have been given or made, if sent by first class post, 48 hours after posting and, if delivered by hand, at the time of such delivery.</w:t>
      </w:r>
    </w:p>
    <w:p>
      <w:pPr>
        <w:spacing w:after="0" w:line="247" w:lineRule="exact"/>
        <w:rPr>
          <w:sz w:val="20"/>
          <w:szCs w:val="20"/>
          <w:color w:val="auto"/>
        </w:rPr>
      </w:pPr>
    </w:p>
    <w:p>
      <w:pPr>
        <w:ind w:left="764" w:hanging="764"/>
        <w:spacing w:after="0"/>
        <w:tabs>
          <w:tab w:leader="none" w:pos="764" w:val="left"/>
        </w:tabs>
        <w:numPr>
          <w:ilvl w:val="0"/>
          <w:numId w:val="345"/>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18" w:lineRule="exact"/>
        <w:rPr>
          <w:sz w:val="20"/>
          <w:szCs w:val="20"/>
          <w:color w:val="auto"/>
        </w:rPr>
      </w:pPr>
    </w:p>
    <w:p>
      <w:pPr>
        <w:ind w:left="764" w:right="220" w:hanging="768"/>
        <w:spacing w:after="0"/>
        <w:tabs>
          <w:tab w:leader="none" w:pos="744"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22"/>
          <w:szCs w:val="22"/>
          <w:color w:val="auto"/>
        </w:rPr>
        <w:t>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004"/>
          </w:cols>
          <w:pgMar w:left="436" w:top="267" w:right="459" w:bottom="1440" w:gutter="0" w:footer="0" w:header="0"/>
        </w:sectPr>
      </w:pPr>
    </w:p>
    <w:bookmarkStart w:id="368" w:name="page369"/>
    <w:bookmarkEnd w:id="368"/>
    <w:p>
      <w:pPr>
        <w:ind w:left="764"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36.2</w:t>
      </w:r>
      <w:r>
        <w:rPr>
          <w:sz w:val="20"/>
          <w:szCs w:val="20"/>
          <w:color w:val="auto"/>
        </w:rPr>
        <w:tab/>
      </w:r>
      <w:r>
        <w:rPr>
          <w:rFonts w:ascii="Arial" w:cs="Arial" w:eastAsia="Arial" w:hAnsi="Arial"/>
          <w:sz w:val="22"/>
          <w:szCs w:val="22"/>
          <w:color w:val="auto"/>
        </w:rPr>
        <w:t>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92" w:lineRule="exact"/>
        <w:rPr>
          <w:sz w:val="20"/>
          <w:szCs w:val="20"/>
          <w:color w:val="auto"/>
        </w:rPr>
      </w:pPr>
    </w:p>
    <w:p>
      <w:pPr>
        <w:ind w:left="764" w:right="320" w:hanging="768"/>
        <w:spacing w:after="0" w:line="250" w:lineRule="auto"/>
        <w:tabs>
          <w:tab w:leader="none" w:pos="744"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22"/>
          <w:szCs w:val="22"/>
          <w:color w:val="auto"/>
        </w:rPr>
        <w:t>Each party agrees that it shall have no claim for innocent or negligent misrepresentation or negligent misstatement based on any statement in this Contract.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36.4</w:t>
      </w:r>
      <w:r>
        <w:rPr>
          <w:sz w:val="20"/>
          <w:szCs w:val="20"/>
          <w:color w:val="auto"/>
        </w:rPr>
        <w:tab/>
      </w:r>
      <w:r>
        <w:rPr>
          <w:rFonts w:ascii="Arial" w:cs="Arial" w:eastAsia="Arial" w:hAnsi="Arial"/>
          <w:sz w:val="19"/>
          <w:szCs w:val="19"/>
          <w:color w:val="auto"/>
        </w:rPr>
        <w:t>Nothing in this clause shall limit or exclude any liability for fraud.</w:t>
      </w:r>
    </w:p>
    <w:p>
      <w:pPr>
        <w:spacing w:after="0" w:line="349" w:lineRule="exact"/>
        <w:rPr>
          <w:sz w:val="20"/>
          <w:szCs w:val="20"/>
          <w:color w:val="auto"/>
        </w:rPr>
      </w:pPr>
    </w:p>
    <w:p>
      <w:pPr>
        <w:ind w:left="764" w:hanging="764"/>
        <w:spacing w:after="0"/>
        <w:tabs>
          <w:tab w:leader="none" w:pos="764" w:val="left"/>
        </w:tabs>
        <w:numPr>
          <w:ilvl w:val="0"/>
          <w:numId w:val="346"/>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118" w:lineRule="exact"/>
        <w:rPr>
          <w:sz w:val="20"/>
          <w:szCs w:val="20"/>
          <w:color w:val="auto"/>
        </w:rPr>
      </w:pPr>
    </w:p>
    <w:p>
      <w:pPr>
        <w:ind w:left="764" w:right="520" w:hanging="768"/>
        <w:spacing w:after="0" w:line="328" w:lineRule="auto"/>
        <w:tabs>
          <w:tab w:leader="none" w:pos="744"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19"/>
          <w:szCs w:val="19"/>
          <w:color w:val="auto"/>
        </w:rPr>
        <w:t>This Contract may be executed in any number of counterparts, each of which when executed and delivered shall constitute a duplicate original, but all the counterparts shall together constitute the one agreement.</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37.2</w:t>
      </w:r>
      <w:r>
        <w:rPr>
          <w:sz w:val="20"/>
          <w:szCs w:val="20"/>
          <w:color w:val="auto"/>
        </w:rPr>
        <w:tab/>
      </w:r>
      <w:r>
        <w:rPr>
          <w:rFonts w:ascii="Arial" w:cs="Arial" w:eastAsia="Arial" w:hAnsi="Arial"/>
          <w:sz w:val="19"/>
          <w:szCs w:val="19"/>
          <w:color w:val="auto"/>
        </w:rPr>
        <w:t>No counterpart shall be effective until each party has executed and delivered at least one counterpart.</w:t>
      </w:r>
    </w:p>
    <w:p>
      <w:pPr>
        <w:spacing w:after="0" w:line="139"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0984"/>
          </w:cols>
          <w:pgMar w:left="436" w:top="267" w:right="479" w:bottom="1440" w:gutter="0" w:footer="0" w:header="0"/>
        </w:sectPr>
      </w:pPr>
    </w:p>
    <w:bookmarkStart w:id="369" w:name="page370"/>
    <w:bookmarkEnd w:id="369"/>
    <w:p>
      <w:pPr>
        <w:ind w:left="764" w:hanging="764"/>
        <w:spacing w:after="0"/>
        <w:tabs>
          <w:tab w:leader="none" w:pos="764" w:val="left"/>
        </w:tabs>
        <w:numPr>
          <w:ilvl w:val="0"/>
          <w:numId w:val="347"/>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04" w:lineRule="exact"/>
        <w:rPr>
          <w:rFonts w:ascii="Arial" w:cs="Arial" w:eastAsia="Arial" w:hAnsi="Arial"/>
          <w:sz w:val="22"/>
          <w:szCs w:val="22"/>
          <w:b w:val="1"/>
          <w:bCs w:val="1"/>
          <w:color w:val="auto"/>
        </w:rPr>
      </w:pPr>
    </w:p>
    <w:p>
      <w:pPr>
        <w:ind w:left="764"/>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This document has been executed as a deed and is delivered and takes effect on the date stated at the beginning of it.</w:t>
      </w:r>
    </w:p>
    <w:p>
      <w:pPr>
        <w:sectPr>
          <w:pgSz w:w="11900" w:h="16838" w:orient="portrait"/>
          <w:cols w:equalWidth="0" w:num="1">
            <w:col w:w="10964"/>
          </w:cols>
          <w:pgMar w:left="436" w:top="261" w:right="499" w:bottom="1440" w:gutter="0" w:footer="0" w:header="0"/>
        </w:sect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19"/>
          <w:szCs w:val="19"/>
          <w:color w:val="auto"/>
        </w:rPr>
        <w:t>Signed by Mereo BioPharma</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2"/>
          <w:szCs w:val="22"/>
          <w:color w:val="auto"/>
        </w:rPr>
        <w:t>Group plc acting by:</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
        <w:spacing w:after="0"/>
        <w:rPr>
          <w:sz w:val="20"/>
          <w:szCs w:val="20"/>
          <w:color w:val="auto"/>
        </w:rPr>
      </w:pPr>
      <w:r>
        <w:rPr>
          <w:rFonts w:ascii="Arial" w:cs="Arial" w:eastAsia="Arial" w:hAnsi="Arial"/>
          <w:sz w:val="22"/>
          <w:szCs w:val="22"/>
          <w:color w:val="auto"/>
        </w:rPr>
        <w:t>Signed as a deed by</w:t>
      </w:r>
    </w:p>
    <w:p>
      <w:pPr>
        <w:spacing w:after="0" w:line="98"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-613410</wp:posOffset>
            </wp:positionV>
            <wp:extent cx="25800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7">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-158750</wp:posOffset>
            </wp:positionV>
            <wp:extent cx="258000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6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-154940</wp:posOffset>
            </wp:positionV>
            <wp:extent cx="25800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27"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-147955</wp:posOffset>
            </wp:positionV>
            <wp:extent cx="25800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0">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323215</wp:posOffset>
            </wp:positionV>
            <wp:extent cx="258000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Signature of witness</w:t>
      </w:r>
    </w:p>
    <w:p>
      <w:pPr>
        <w:spacing w:after="0" w:line="28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-154940</wp:posOffset>
            </wp:positionV>
            <wp:extent cx="25800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27"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-147955</wp:posOffset>
            </wp:positionV>
            <wp:extent cx="25800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- 25 -</w:t>
      </w:r>
    </w:p>
    <w:p>
      <w:pPr>
        <w:sectPr>
          <w:pgSz w:w="11900" w:h="16838" w:orient="portrait"/>
          <w:cols w:equalWidth="0" w:num="2">
            <w:col w:w="4564" w:space="720"/>
            <w:col w:w="5680"/>
          </w:cols>
          <w:pgMar w:left="436" w:top="261" w:right="499" w:bottom="1440" w:gutter="0" w:footer="0" w:header="0"/>
          <w:type w:val="continuous"/>
        </w:sectPr>
      </w:pPr>
    </w:p>
    <w:bookmarkStart w:id="370" w:name="page371"/>
    <w:bookmarkEnd w:id="370"/>
    <w:p>
      <w:pPr>
        <w:ind w:left="4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WRITTEN JOB DESCRIPTION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Employee’s duties and responsibilities shall be as follows:-</w:t>
      </w:r>
    </w:p>
    <w:p>
      <w:pPr>
        <w:spacing w:after="0" w:line="112" w:lineRule="exact"/>
        <w:rPr>
          <w:sz w:val="20"/>
          <w:szCs w:val="20"/>
          <w:color w:val="auto"/>
        </w:rPr>
      </w:pPr>
    </w:p>
    <w:p>
      <w:pPr>
        <w:ind w:left="540" w:hanging="436"/>
        <w:spacing w:after="0"/>
        <w:tabs>
          <w:tab w:leader="none" w:pos="54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Responsibility for negotiating and structuring contracts and agreements relating to:</w:t>
      </w:r>
    </w:p>
    <w:p>
      <w:pPr>
        <w:spacing w:after="0" w:line="111" w:lineRule="exact"/>
        <w:rPr>
          <w:rFonts w:ascii="Arial" w:cs="Arial" w:eastAsia="Arial" w:hAnsi="Arial"/>
          <w:sz w:val="22"/>
          <w:szCs w:val="22"/>
          <w:color w:val="auto"/>
        </w:rPr>
      </w:pPr>
    </w:p>
    <w:p>
      <w:pPr>
        <w:ind w:left="1740" w:hanging="543"/>
        <w:spacing w:after="0"/>
        <w:tabs>
          <w:tab w:leader="none" w:pos="174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Group’s clinical trials;</w:t>
      </w:r>
    </w:p>
    <w:p>
      <w:pPr>
        <w:spacing w:after="0" w:line="111" w:lineRule="exact"/>
        <w:rPr>
          <w:rFonts w:ascii="Arial" w:cs="Arial" w:eastAsia="Arial" w:hAnsi="Arial"/>
          <w:sz w:val="22"/>
          <w:szCs w:val="22"/>
          <w:color w:val="auto"/>
        </w:rPr>
      </w:pPr>
    </w:p>
    <w:p>
      <w:pPr>
        <w:ind w:left="1740" w:hanging="543"/>
        <w:spacing w:after="0"/>
        <w:tabs>
          <w:tab w:leader="none" w:pos="174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Group’s relationships with CROs;</w:t>
      </w:r>
    </w:p>
    <w:p>
      <w:pPr>
        <w:spacing w:after="0" w:line="111" w:lineRule="exact"/>
        <w:rPr>
          <w:rFonts w:ascii="Arial" w:cs="Arial" w:eastAsia="Arial" w:hAnsi="Arial"/>
          <w:sz w:val="22"/>
          <w:szCs w:val="22"/>
          <w:color w:val="auto"/>
        </w:rPr>
      </w:pPr>
    </w:p>
    <w:p>
      <w:pPr>
        <w:ind w:left="1740" w:hanging="543"/>
        <w:spacing w:after="0"/>
        <w:tabs>
          <w:tab w:leader="none" w:pos="174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Group’s manufacturing requirements;</w:t>
      </w:r>
    </w:p>
    <w:p>
      <w:pPr>
        <w:spacing w:after="0" w:line="111" w:lineRule="exact"/>
        <w:rPr>
          <w:rFonts w:ascii="Arial" w:cs="Arial" w:eastAsia="Arial" w:hAnsi="Arial"/>
          <w:sz w:val="22"/>
          <w:szCs w:val="22"/>
          <w:color w:val="auto"/>
        </w:rPr>
      </w:pPr>
    </w:p>
    <w:p>
      <w:pPr>
        <w:ind w:left="1740" w:hanging="543"/>
        <w:spacing w:after="0"/>
        <w:tabs>
          <w:tab w:leader="none" w:pos="174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Groups’s principal advisers; and</w:t>
      </w:r>
    </w:p>
    <w:p>
      <w:pPr>
        <w:spacing w:after="0" w:line="111" w:lineRule="exact"/>
        <w:rPr>
          <w:rFonts w:ascii="Arial" w:cs="Arial" w:eastAsia="Arial" w:hAnsi="Arial"/>
          <w:sz w:val="22"/>
          <w:szCs w:val="22"/>
          <w:color w:val="auto"/>
        </w:rPr>
      </w:pPr>
    </w:p>
    <w:p>
      <w:pPr>
        <w:ind w:left="1740" w:hanging="543"/>
        <w:spacing w:after="0"/>
        <w:tabs>
          <w:tab w:leader="none" w:pos="1740"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the Groups’s key stakeholders</w:t>
      </w:r>
    </w:p>
    <w:p>
      <w:pPr>
        <w:spacing w:after="0" w:line="111" w:lineRule="exact"/>
        <w:rPr>
          <w:rFonts w:ascii="Arial" w:cs="Arial" w:eastAsia="Arial" w:hAnsi="Arial"/>
          <w:sz w:val="22"/>
          <w:szCs w:val="22"/>
          <w:color w:val="auto"/>
        </w:rPr>
      </w:pPr>
    </w:p>
    <w:p>
      <w:pPr>
        <w:ind w:left="540" w:hanging="436"/>
        <w:spacing w:after="0" w:line="328" w:lineRule="auto"/>
        <w:tabs>
          <w:tab w:leader="none" w:pos="540" w:val="left"/>
        </w:tabs>
        <w:numPr>
          <w:ilvl w:val="0"/>
          <w:numId w:val="348"/>
        </w:numPr>
        <w:rPr>
          <w:rFonts w:ascii="Arial" w:cs="Arial" w:eastAsia="Arial" w:hAnsi="Arial"/>
          <w:sz w:val="19"/>
          <w:szCs w:val="19"/>
          <w:color w:val="auto"/>
        </w:rPr>
      </w:pPr>
      <w:r>
        <w:rPr>
          <w:rFonts w:ascii="Arial" w:cs="Arial" w:eastAsia="Arial" w:hAnsi="Arial"/>
          <w:sz w:val="19"/>
          <w:szCs w:val="19"/>
          <w:color w:val="auto"/>
        </w:rPr>
        <w:t>Responsibility for legal, corporate governance and compliance matters arising from the Group’s Articles of Association, rules and procedures of Board Committees, Nasdaq rules, the Companies Act and related rules and regulations.</w:t>
      </w:r>
    </w:p>
    <w:p>
      <w:pPr>
        <w:spacing w:after="0" w:line="10" w:lineRule="exact"/>
        <w:rPr>
          <w:rFonts w:ascii="Arial" w:cs="Arial" w:eastAsia="Arial" w:hAnsi="Arial"/>
          <w:sz w:val="19"/>
          <w:szCs w:val="19"/>
          <w:color w:val="auto"/>
        </w:rPr>
      </w:pPr>
    </w:p>
    <w:p>
      <w:pPr>
        <w:ind w:left="540" w:right="60" w:hanging="436"/>
        <w:spacing w:after="0"/>
        <w:tabs>
          <w:tab w:leader="none" w:pos="54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Responsibility for company secretarial matters including shareholder communication for general meet ings, communications with directors for board meetings and board committee meetings , recording minutes of such meetings and the relevant filings therea fter.</w:t>
      </w:r>
    </w:p>
    <w:p>
      <w:pPr>
        <w:spacing w:after="0" w:line="91" w:lineRule="exact"/>
        <w:rPr>
          <w:rFonts w:ascii="Arial" w:cs="Arial" w:eastAsia="Arial" w:hAnsi="Arial"/>
          <w:sz w:val="22"/>
          <w:szCs w:val="22"/>
          <w:color w:val="auto"/>
        </w:rPr>
      </w:pPr>
    </w:p>
    <w:p>
      <w:pPr>
        <w:ind w:left="540" w:hanging="436"/>
        <w:spacing w:after="0"/>
        <w:tabs>
          <w:tab w:leader="none" w:pos="54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Responsibility for the Group’s IP portfolio including the management of the Group’s Head of IP.</w:t>
      </w:r>
    </w:p>
    <w:p>
      <w:pPr>
        <w:spacing w:after="0" w:line="111" w:lineRule="exact"/>
        <w:rPr>
          <w:rFonts w:ascii="Arial" w:cs="Arial" w:eastAsia="Arial" w:hAnsi="Arial"/>
          <w:sz w:val="22"/>
          <w:szCs w:val="22"/>
          <w:color w:val="auto"/>
        </w:rPr>
      </w:pPr>
    </w:p>
    <w:p>
      <w:pPr>
        <w:ind w:left="540" w:hanging="436"/>
        <w:spacing w:after="0"/>
        <w:tabs>
          <w:tab w:leader="none" w:pos="54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Responsibility for managing legal and IP due diligence for product licenses or acquisitions or disposals and the related documentation for such licenses or acquisitions or disposals. The responsibility shall also include documentation related to any relevant financing.</w:t>
      </w:r>
    </w:p>
    <w:p>
      <w:pPr>
        <w:spacing w:after="0" w:line="91" w:lineRule="exact"/>
        <w:rPr>
          <w:rFonts w:ascii="Arial" w:cs="Arial" w:eastAsia="Arial" w:hAnsi="Arial"/>
          <w:sz w:val="22"/>
          <w:szCs w:val="22"/>
          <w:color w:val="auto"/>
        </w:rPr>
      </w:pPr>
    </w:p>
    <w:p>
      <w:pPr>
        <w:ind w:left="540" w:hanging="436"/>
        <w:spacing w:after="0"/>
        <w:tabs>
          <w:tab w:leader="none" w:pos="54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Responsibility for selecting, liaising with and managing the Group’s external legal advisers and registrars.</w:t>
      </w:r>
    </w:p>
    <w:p>
      <w:pPr>
        <w:spacing w:after="0" w:line="111" w:lineRule="exact"/>
        <w:rPr>
          <w:rFonts w:ascii="Arial" w:cs="Arial" w:eastAsia="Arial" w:hAnsi="Arial"/>
          <w:sz w:val="22"/>
          <w:szCs w:val="22"/>
          <w:color w:val="auto"/>
        </w:rPr>
      </w:pPr>
    </w:p>
    <w:p>
      <w:pPr>
        <w:ind w:left="540" w:hanging="436"/>
        <w:spacing w:after="0"/>
        <w:tabs>
          <w:tab w:leader="none" w:pos="54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Liaising with the Group’s Senior Management and the Chairman as and when required.</w:t>
      </w:r>
    </w:p>
    <w:p>
      <w:pPr>
        <w:spacing w:after="0" w:line="138" w:lineRule="exact"/>
        <w:rPr>
          <w:rFonts w:ascii="Arial" w:cs="Arial" w:eastAsia="Arial" w:hAnsi="Arial"/>
          <w:sz w:val="22"/>
          <w:szCs w:val="22"/>
          <w:color w:val="auto"/>
        </w:rPr>
      </w:pPr>
    </w:p>
    <w:p>
      <w:pPr>
        <w:ind w:left="5400" w:hanging="130"/>
        <w:spacing w:after="0"/>
        <w:tabs>
          <w:tab w:leader="none" w:pos="5400" w:val="left"/>
        </w:tabs>
        <w:numPr>
          <w:ilvl w:val="2"/>
          <w:numId w:val="348"/>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0920"/>
          </w:cols>
          <w:pgMar w:left="440" w:top="261" w:right="539" w:bottom="1440" w:gutter="0" w:footer="0" w:header="0"/>
        </w:sectPr>
      </w:pPr>
    </w:p>
    <w:bookmarkStart w:id="371" w:name="page372"/>
    <w:bookmarkEnd w:id="371"/>
    <w:p>
      <w:pPr>
        <w:jc w:val="center"/>
        <w:ind w:right="-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06"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CHANGE IN CONTROL AND SEVERANCE</w:t>
      </w:r>
    </w:p>
    <w:p>
      <w:pPr>
        <w:spacing w:after="0" w:line="233" w:lineRule="exact"/>
        <w:rPr>
          <w:sz w:val="20"/>
          <w:szCs w:val="20"/>
          <w:color w:val="auto"/>
        </w:rPr>
      </w:pPr>
    </w:p>
    <w:p>
      <w:pPr>
        <w:ind w:left="764" w:hanging="764"/>
        <w:spacing w:after="0"/>
        <w:tabs>
          <w:tab w:leader="none" w:pos="764" w:val="left"/>
        </w:tabs>
        <w:numPr>
          <w:ilvl w:val="0"/>
          <w:numId w:val="349"/>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w:t>
      </w:r>
    </w:p>
    <w:p>
      <w:pPr>
        <w:spacing w:after="0" w:line="118" w:lineRule="exact"/>
        <w:rPr>
          <w:sz w:val="20"/>
          <w:szCs w:val="20"/>
          <w:color w:val="auto"/>
        </w:rPr>
      </w:pPr>
    </w:p>
    <w:p>
      <w:pPr>
        <w:ind w:left="764" w:hanging="768"/>
        <w:spacing w:after="0" w:line="236" w:lineRule="auto"/>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The Board recognizes that the possibility of an acquisition of the Company or an involuntary termination can be a distraction to you and can cause you to consider alternative employment opportunities. The Board has determined that it is in the best interests of Mereo BioPharma Group plc (the “</w:t>
      </w:r>
      <w:r>
        <w:rPr>
          <w:rFonts w:ascii="Arial" w:cs="Arial" w:eastAsia="Arial" w:hAnsi="Arial"/>
          <w:sz w:val="22"/>
          <w:szCs w:val="22"/>
          <w:b w:val="1"/>
          <w:bCs w:val="1"/>
          <w:color w:val="auto"/>
        </w:rPr>
        <w:t>Company</w:t>
      </w:r>
      <w:r>
        <w:rPr>
          <w:rFonts w:ascii="Arial" w:cs="Arial" w:eastAsia="Arial" w:hAnsi="Arial"/>
          <w:sz w:val="22"/>
          <w:szCs w:val="22"/>
          <w:color w:val="auto"/>
        </w:rPr>
        <w:t>”) and its shareholders to assure that the Company will have your continued dedication and objectivity, notwithstanding the possibility, threat or occurrence of such an event.</w:t>
      </w:r>
    </w:p>
    <w:p>
      <w:pPr>
        <w:spacing w:after="0" w:line="93"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Board believes that it is in the best interests of the Company to provide you with an incentive to continue your employment and to motivate you to maximize the value of the Company upon a Change in Control (as defined below) for the benefit of the Company’s shareholders.</w:t>
      </w:r>
    </w:p>
    <w:p>
      <w:pPr>
        <w:spacing w:after="0" w:line="92" w:lineRule="exact"/>
        <w:rPr>
          <w:sz w:val="20"/>
          <w:szCs w:val="20"/>
          <w:color w:val="auto"/>
        </w:rPr>
      </w:pPr>
    </w:p>
    <w:p>
      <w:pPr>
        <w:jc w:val="both"/>
        <w:ind w:left="764" w:right="460" w:hanging="768"/>
        <w:spacing w:after="0" w:line="257" w:lineRule="auto"/>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The Board believes that it is imperative to provide you with severance benefits upon certain terminations of your service to the Company that enhance your financial security and provide incentive and encouragement to you to remain with the Company notwithstanding the possibility of such an event.</w:t>
      </w:r>
    </w:p>
    <w:p>
      <w:pPr>
        <w:spacing w:after="0" w:line="7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otherwise defined herein, capitalized terms used in this Agreement are defined in paragraph 5 below.</w:t>
      </w:r>
    </w:p>
    <w:p>
      <w:pPr>
        <w:spacing w:after="0" w:line="112" w:lineRule="exact"/>
        <w:rPr>
          <w:sz w:val="20"/>
          <w:szCs w:val="20"/>
          <w:color w:val="auto"/>
        </w:rPr>
      </w:pPr>
    </w:p>
    <w:p>
      <w:pPr>
        <w:ind w:left="764" w:right="680" w:hanging="768"/>
        <w:spacing w:after="0" w:line="328" w:lineRule="auto"/>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You agree that the Contract is amended to insert the provisions below. In the event of any conflict between the provisions of the Contract and this Schedule II, the provisions of this Schedule II shall prevail.</w:t>
      </w:r>
    </w:p>
    <w:p>
      <w:pPr>
        <w:spacing w:after="0" w:line="247" w:lineRule="exact"/>
        <w:rPr>
          <w:sz w:val="20"/>
          <w:szCs w:val="20"/>
          <w:color w:val="auto"/>
        </w:rPr>
      </w:pPr>
    </w:p>
    <w:p>
      <w:pPr>
        <w:ind w:left="764" w:hanging="764"/>
        <w:spacing w:after="0"/>
        <w:tabs>
          <w:tab w:leader="none" w:pos="764" w:val="left"/>
        </w:tabs>
        <w:numPr>
          <w:ilvl w:val="0"/>
          <w:numId w:val="350"/>
        </w:numPr>
        <w:rPr>
          <w:rFonts w:ascii="Arial" w:cs="Arial" w:eastAsia="Arial" w:hAnsi="Arial"/>
          <w:sz w:val="22"/>
          <w:szCs w:val="22"/>
          <w:b w:val="1"/>
          <w:bCs w:val="1"/>
          <w:color w:val="auto"/>
        </w:rPr>
      </w:pPr>
      <w:r>
        <w:rPr>
          <w:rFonts w:ascii="Arial" w:cs="Arial" w:eastAsia="Arial" w:hAnsi="Arial"/>
          <w:sz w:val="22"/>
          <w:szCs w:val="22"/>
          <w:b w:val="1"/>
          <w:bCs w:val="1"/>
          <w:color w:val="auto"/>
        </w:rPr>
        <w:t>Covered Termination During a Change in Control Period</w:t>
      </w:r>
    </w:p>
    <w:p>
      <w:pPr>
        <w:spacing w:after="0" w:line="118" w:lineRule="exact"/>
        <w:rPr>
          <w:sz w:val="20"/>
          <w:szCs w:val="20"/>
          <w:color w:val="auto"/>
        </w:rPr>
      </w:pPr>
    </w:p>
    <w:p>
      <w:pPr>
        <w:ind w:left="764" w:hanging="768"/>
        <w:spacing w:after="0" w:line="279" w:lineRule="auto"/>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If you experience a Covered Termination during a Change in Control Period, then, subject to (i) you delivering to the Company an executed Settlement Agreement that becomes effective and irrevocable in accordance with paragraph 9.1 below, or such shorter period of time specified by the Company, following such Covered Termination and (ii) your continued compliance with clauses 16, 17 and 21 of the Contract, then in addition to any accrued but unpaid salary, benefits, holiday and expense reimbursements through the Covered Termination Date payable in accordance with applicable law, the Company shall provide you with the following:</w:t>
      </w:r>
    </w:p>
    <w:p>
      <w:pPr>
        <w:spacing w:after="0" w:line="56" w:lineRule="exact"/>
        <w:rPr>
          <w:sz w:val="20"/>
          <w:szCs w:val="20"/>
          <w:color w:val="auto"/>
        </w:rPr>
      </w:pPr>
    </w:p>
    <w:p>
      <w:pPr>
        <w:ind w:left="2204" w:right="40" w:hanging="768"/>
        <w:spacing w:after="0" w:line="234" w:lineRule="auto"/>
        <w:tabs>
          <w:tab w:leader="none" w:pos="218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color w:val="auto"/>
        </w:rPr>
        <w:t>The Company shall pay you an amount equal to the sum of (i) your annual base salary at the rate in effect immediately prior to the Covered Termination Date during the period of time commencing on the Covered Termination Date and ending on the twelve (12)-month anniversary thereof and (ii) your target annual bonus assuming achievement of performance goals at one hundred percent (100%) of target, payable in a cash lump sum, less applicable withholdings, on the first payroll date following the date the Settlement Agreement becomes effective and irrevocable in accordance with paragraph 9.1 below.</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0984"/>
          </w:cols>
          <w:pgMar w:left="436" w:top="261" w:right="479" w:bottom="1440" w:gutter="0" w:footer="0" w:header="0"/>
        </w:sectPr>
      </w:pPr>
    </w:p>
    <w:bookmarkStart w:id="372" w:name="page373"/>
    <w:bookmarkEnd w:id="372"/>
    <w:p>
      <w:pPr>
        <w:ind w:left="2204" w:right="100" w:hanging="768"/>
        <w:spacing w:after="0" w:line="282" w:lineRule="auto"/>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r>
      <w:r>
        <w:rPr>
          <w:sz w:val="20"/>
          <w:szCs w:val="20"/>
          <w:color w:val="auto"/>
        </w:rPr>
        <w:tab/>
      </w:r>
      <w:r>
        <w:rPr>
          <w:rFonts w:ascii="Arial" w:cs="Arial" w:eastAsia="Arial" w:hAnsi="Arial"/>
          <w:sz w:val="19"/>
          <w:szCs w:val="19"/>
          <w:color w:val="auto"/>
        </w:rPr>
        <w:t>Each outstanding and unvested equity award held in the Company that vests solely based on the passage of time held by you as of the Covered Termination Date shall automatically become vested and, if applicable, exercisable and any forfeiture restrictions or rights of repurchase thereon shall immediately lapse with respect to one percent (100%) of the ordinary shares of the Company subject thereto, as of immediately prior to the Covered Termination Date.</w:t>
      </w:r>
    </w:p>
    <w:p>
      <w:pPr>
        <w:spacing w:after="0" w:line="47" w:lineRule="exact"/>
        <w:rPr>
          <w:sz w:val="20"/>
          <w:szCs w:val="20"/>
          <w:color w:val="auto"/>
        </w:rPr>
      </w:pPr>
    </w:p>
    <w:p>
      <w:pPr>
        <w:ind w:left="764" w:hanging="764"/>
        <w:spacing w:after="0"/>
        <w:tabs>
          <w:tab w:leader="none" w:pos="764" w:val="left"/>
        </w:tabs>
        <w:numPr>
          <w:ilvl w:val="0"/>
          <w:numId w:val="351"/>
        </w:numPr>
        <w:rPr>
          <w:rFonts w:ascii="Arial" w:cs="Arial" w:eastAsia="Arial" w:hAnsi="Arial"/>
          <w:sz w:val="22"/>
          <w:szCs w:val="22"/>
          <w:b w:val="1"/>
          <w:bCs w:val="1"/>
          <w:color w:val="auto"/>
        </w:rPr>
      </w:pPr>
      <w:r>
        <w:rPr>
          <w:rFonts w:ascii="Arial" w:cs="Arial" w:eastAsia="Arial" w:hAnsi="Arial"/>
          <w:sz w:val="22"/>
          <w:szCs w:val="22"/>
          <w:b w:val="1"/>
          <w:bCs w:val="1"/>
          <w:color w:val="auto"/>
        </w:rPr>
        <w:t>Certain Reduction</w:t>
      </w:r>
    </w:p>
    <w:p>
      <w:pPr>
        <w:spacing w:after="0" w:line="118" w:lineRule="exact"/>
        <w:rPr>
          <w:sz w:val="20"/>
          <w:szCs w:val="20"/>
          <w:color w:val="auto"/>
        </w:rPr>
      </w:pPr>
    </w:p>
    <w:p>
      <w:pPr>
        <w:ind w:left="764" w:hanging="768"/>
        <w:spacing w:after="0" w:line="273" w:lineRule="auto"/>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Notwithstanding anything herein to the contrary, the Company shall reduce your severance benefits under this Schedule II, in whole or in part, by any other severance benefits, pay in lieu of notice, or other similar benefits payable to you by the Company in connection with your termination, including but not limited to payments or benefits</w:t>
      </w:r>
    </w:p>
    <w:p>
      <w:pPr>
        <w:spacing w:after="0" w:line="1" w:lineRule="exact"/>
        <w:rPr>
          <w:sz w:val="20"/>
          <w:szCs w:val="20"/>
          <w:color w:val="auto"/>
        </w:rPr>
      </w:pPr>
    </w:p>
    <w:p>
      <w:pPr>
        <w:ind w:left="764" w:right="280"/>
        <w:spacing w:after="0" w:line="233" w:lineRule="auto"/>
        <w:rPr>
          <w:sz w:val="20"/>
          <w:szCs w:val="20"/>
          <w:color w:val="auto"/>
        </w:rPr>
      </w:pPr>
      <w:r>
        <w:rPr>
          <w:rFonts w:ascii="Arial" w:cs="Arial" w:eastAsia="Arial" w:hAnsi="Arial"/>
          <w:sz w:val="22"/>
          <w:szCs w:val="22"/>
          <w:color w:val="auto"/>
        </w:rPr>
        <w:t>(a) pursuant to clause 18 of the Contract; (b) required by applicable law or (c) any applicable clawback policy. The benefits provided under this Schedule II are intended to satisfy, to the greatest extent possible, any and all statutory obligations that may arise out of your termination of employment. Such reductions shall be applied on a retroactive basis, with severance benefits paid first in time being recharacterized as payments pursuant to the Company’s statutory obligation.</w:t>
      </w:r>
    </w:p>
    <w:p>
      <w:pPr>
        <w:spacing w:after="0" w:line="327" w:lineRule="exact"/>
        <w:rPr>
          <w:sz w:val="20"/>
          <w:szCs w:val="20"/>
          <w:color w:val="auto"/>
        </w:rPr>
      </w:pPr>
    </w:p>
    <w:p>
      <w:pPr>
        <w:ind w:left="764" w:hanging="764"/>
        <w:spacing w:after="0"/>
        <w:tabs>
          <w:tab w:leader="none" w:pos="764" w:val="left"/>
        </w:tabs>
        <w:numPr>
          <w:ilvl w:val="0"/>
          <w:numId w:val="352"/>
        </w:numPr>
        <w:rPr>
          <w:rFonts w:ascii="Arial" w:cs="Arial" w:eastAsia="Arial" w:hAnsi="Arial"/>
          <w:sz w:val="22"/>
          <w:szCs w:val="22"/>
          <w:b w:val="1"/>
          <w:bCs w:val="1"/>
          <w:color w:val="auto"/>
        </w:rPr>
      </w:pPr>
      <w:r>
        <w:rPr>
          <w:rFonts w:ascii="Arial" w:cs="Arial" w:eastAsia="Arial" w:hAnsi="Arial"/>
          <w:sz w:val="22"/>
          <w:szCs w:val="22"/>
          <w:b w:val="1"/>
          <w:bCs w:val="1"/>
          <w:color w:val="auto"/>
        </w:rPr>
        <w:t>Deemed Resignation</w:t>
      </w:r>
    </w:p>
    <w:p>
      <w:pPr>
        <w:spacing w:after="0" w:line="118" w:lineRule="exact"/>
        <w:rPr>
          <w:sz w:val="20"/>
          <w:szCs w:val="20"/>
          <w:color w:val="auto"/>
        </w:rPr>
      </w:pPr>
    </w:p>
    <w:p>
      <w:pPr>
        <w:ind w:left="764" w:right="700" w:hanging="768"/>
        <w:spacing w:after="0" w:line="250" w:lineRule="auto"/>
        <w:tabs>
          <w:tab w:leader="none" w:pos="744"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provisions of clause 18.4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35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have the meaning set out in clause 19.1 of the Contract.</w:t>
      </w:r>
    </w:p>
    <w:p>
      <w:pPr>
        <w:spacing w:after="0" w:line="112" w:lineRule="exact"/>
        <w:rPr>
          <w:sz w:val="20"/>
          <w:szCs w:val="20"/>
          <w:color w:val="auto"/>
        </w:rPr>
      </w:pPr>
    </w:p>
    <w:p>
      <w:pPr>
        <w:ind w:left="764" w:right="120" w:hanging="768"/>
        <w:spacing w:after="0" w:line="273" w:lineRule="auto"/>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(i) the acquisition by any person or group of affiliated or associated persons of more than fifty percent (50%) of the outstanding capital shares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w:t>
      </w:r>
    </w:p>
    <w:p>
      <w:pPr>
        <w:spacing w:after="0" w:line="2" w:lineRule="exact"/>
        <w:rPr>
          <w:sz w:val="20"/>
          <w:szCs w:val="20"/>
          <w:color w:val="auto"/>
        </w:rPr>
      </w:pPr>
    </w:p>
    <w:p>
      <w:pPr>
        <w:ind w:left="764" w:firstLine="5"/>
        <w:spacing w:after="0" w:line="266" w:lineRule="auto"/>
        <w:tabs>
          <w:tab w:leader="none" w:pos="1142" w:val="left"/>
        </w:tabs>
        <w:numPr>
          <w:ilvl w:val="0"/>
          <w:numId w:val="354"/>
        </w:numPr>
        <w:rPr>
          <w:rFonts w:ascii="Arial" w:cs="Arial" w:eastAsia="Arial" w:hAnsi="Arial"/>
          <w:sz w:val="19"/>
          <w:szCs w:val="19"/>
          <w:color w:val="auto"/>
        </w:rPr>
      </w:pPr>
      <w:r>
        <w:rPr>
          <w:rFonts w:ascii="Arial" w:cs="Arial" w:eastAsia="Arial" w:hAnsi="Arial"/>
          <w:sz w:val="19"/>
          <w:szCs w:val="19"/>
          <w:color w:val="auto"/>
        </w:rPr>
        <w:t>the consummation of any merger involving the Company in which, immediately after giving effect to such merger, less than a majority of the total voting power of outstanding stock of the surviving or resulting entity is then “beneficially owned”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w:t>
      </w:r>
    </w:p>
    <w:p>
      <w:pPr>
        <w:spacing w:after="0" w:line="4" w:lineRule="exact"/>
        <w:rPr>
          <w:rFonts w:ascii="Arial" w:cs="Arial" w:eastAsia="Arial" w:hAnsi="Arial"/>
          <w:sz w:val="19"/>
          <w:szCs w:val="19"/>
          <w:color w:val="auto"/>
        </w:rPr>
      </w:pPr>
    </w:p>
    <w:p>
      <w:pPr>
        <w:ind w:left="764" w:right="80"/>
        <w:spacing w:after="0" w:line="232" w:lineRule="auto"/>
        <w:rPr>
          <w:rFonts w:ascii="Arial" w:cs="Arial" w:eastAsia="Arial" w:hAnsi="Arial"/>
          <w:sz w:val="19"/>
          <w:szCs w:val="19"/>
          <w:color w:val="auto"/>
        </w:rPr>
      </w:pPr>
      <w:r>
        <w:rPr>
          <w:rFonts w:ascii="Arial" w:cs="Arial" w:eastAsia="Arial" w:hAnsi="Arial"/>
          <w:sz w:val="22"/>
          <w:szCs w:val="22"/>
          <w:color w:val="auto"/>
        </w:rPr>
        <w:t>(B)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In the event of any conflict between the provisions of this clause 5.2 of Schedule II and the provisions of the Mereo Equity Incentive Plan, the terms of this Schedule II shall prevail.</w:t>
      </w:r>
    </w:p>
    <w:p>
      <w:pPr>
        <w:spacing w:after="0" w:line="121" w:lineRule="exact"/>
        <w:rPr>
          <w:rFonts w:ascii="Arial" w:cs="Arial" w:eastAsia="Arial" w:hAnsi="Arial"/>
          <w:sz w:val="19"/>
          <w:szCs w:val="19"/>
          <w:color w:val="auto"/>
        </w:rPr>
      </w:pPr>
    </w:p>
    <w:p>
      <w:pPr>
        <w:ind w:left="5404" w:hanging="130"/>
        <w:spacing w:after="0"/>
        <w:tabs>
          <w:tab w:leader="none" w:pos="5404" w:val="left"/>
        </w:tabs>
        <w:numPr>
          <w:ilvl w:val="1"/>
          <w:numId w:val="354"/>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004"/>
          </w:cols>
          <w:pgMar w:left="436" w:top="267" w:right="459" w:bottom="1440" w:gutter="0" w:footer="0" w:header="0"/>
        </w:sectPr>
      </w:pPr>
    </w:p>
    <w:bookmarkStart w:id="373" w:name="page374"/>
    <w:bookmarkEnd w:id="373"/>
    <w:p>
      <w:pPr>
        <w:ind w:left="764" w:right="20" w:hanging="768"/>
        <w:spacing w:after="0" w:line="256"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means the period commencing on a Change in Control and ending 12 months after such Change in Control.</w:t>
      </w:r>
    </w:p>
    <w:p>
      <w:pPr>
        <w:spacing w:after="0" w:line="68" w:lineRule="exact"/>
        <w:rPr>
          <w:sz w:val="20"/>
          <w:szCs w:val="20"/>
          <w:color w:val="auto"/>
        </w:rPr>
      </w:pPr>
    </w:p>
    <w:p>
      <w:pPr>
        <w:ind w:left="764" w:right="100" w:hanging="768"/>
        <w:spacing w:after="0" w:line="256" w:lineRule="auto"/>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Covered Termination</w:t>
      </w:r>
      <w:r>
        <w:rPr>
          <w:rFonts w:ascii="Arial" w:cs="Arial" w:eastAsia="Arial" w:hAnsi="Arial"/>
          <w:sz w:val="22"/>
          <w:szCs w:val="22"/>
          <w:color w:val="auto"/>
        </w:rPr>
        <w:t>” means the termination of your employment by the Company other than for Cause or by you for Good Reason, and shall not include a termination due to your death or disability.</w:t>
      </w:r>
    </w:p>
    <w:p>
      <w:pPr>
        <w:spacing w:after="0" w:line="6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Termination Date</w:t>
      </w:r>
      <w:r>
        <w:rPr>
          <w:rFonts w:ascii="Arial" w:cs="Arial" w:eastAsia="Arial" w:hAnsi="Arial"/>
          <w:sz w:val="19"/>
          <w:szCs w:val="19"/>
          <w:color w:val="auto"/>
        </w:rPr>
        <w:t>” means the date on which you experience a Covered Termination.</w:t>
      </w:r>
    </w:p>
    <w:p>
      <w:pPr>
        <w:spacing w:after="0" w:line="112" w:lineRule="exact"/>
        <w:rPr>
          <w:sz w:val="20"/>
          <w:szCs w:val="20"/>
          <w:color w:val="auto"/>
        </w:rPr>
      </w:pPr>
    </w:p>
    <w:p>
      <w:pPr>
        <w:ind w:left="764" w:right="200" w:hanging="768"/>
        <w:spacing w:after="0" w:line="272" w:lineRule="auto"/>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your resignation from employment with the Company after the occurrence, without your written consent, of any of the following: (i) a material reduction in your authorities, duties and responsibilities; (ii) a material reduction by the Company in your base salary from your base salary in effect immediately prior to such reduction, except in connection with a reduction in salary affecting all senior management employees of the Group Company; or (iii) a relocation of your office that increases your one-way commute by more than thirty-five</w:t>
      </w:r>
    </w:p>
    <w:p>
      <w:pPr>
        <w:spacing w:after="0" w:line="1" w:lineRule="exact"/>
        <w:rPr>
          <w:sz w:val="20"/>
          <w:szCs w:val="20"/>
          <w:color w:val="auto"/>
        </w:rPr>
      </w:pPr>
    </w:p>
    <w:p>
      <w:pPr>
        <w:ind w:left="764" w:firstLine="5"/>
        <w:spacing w:after="0" w:line="266" w:lineRule="auto"/>
        <w:tabs>
          <w:tab w:leader="none" w:pos="1178" w:val="left"/>
        </w:tabs>
        <w:numPr>
          <w:ilvl w:val="0"/>
          <w:numId w:val="355"/>
        </w:numPr>
        <w:rPr>
          <w:rFonts w:ascii="Arial" w:cs="Arial" w:eastAsia="Arial" w:hAnsi="Arial"/>
          <w:sz w:val="19"/>
          <w:szCs w:val="19"/>
          <w:color w:val="auto"/>
        </w:rPr>
      </w:pPr>
      <w:r>
        <w:rPr>
          <w:rFonts w:ascii="Arial" w:cs="Arial" w:eastAsia="Arial" w:hAnsi="Arial"/>
          <w:sz w:val="19"/>
          <w:szCs w:val="19"/>
          <w:color w:val="auto"/>
        </w:rPr>
        <w:t>miles, except that required travel on the Company’s business to an extent substantially consistent with your historical business travel obligations shall not be considered a relocation. Notwithstanding the foregoing, a resignation shall not be for “Good Reason” unless the event or condition giving rise to such resignation continues more than thirty</w:t>
      </w:r>
    </w:p>
    <w:p>
      <w:pPr>
        <w:spacing w:after="0" w:line="2" w:lineRule="exact"/>
        <w:rPr>
          <w:rFonts w:ascii="Arial" w:cs="Arial" w:eastAsia="Arial" w:hAnsi="Arial"/>
          <w:sz w:val="19"/>
          <w:szCs w:val="19"/>
          <w:color w:val="auto"/>
        </w:rPr>
      </w:pPr>
    </w:p>
    <w:p>
      <w:pPr>
        <w:ind w:left="764" w:right="120" w:firstLine="5"/>
        <w:spacing w:after="0" w:line="234" w:lineRule="auto"/>
        <w:tabs>
          <w:tab w:leader="none" w:pos="1178" w:val="left"/>
        </w:tabs>
        <w:numPr>
          <w:ilvl w:val="0"/>
          <w:numId w:val="356"/>
        </w:numPr>
        <w:rPr>
          <w:rFonts w:ascii="Arial" w:cs="Arial" w:eastAsia="Arial" w:hAnsi="Arial"/>
          <w:sz w:val="22"/>
          <w:szCs w:val="22"/>
          <w:color w:val="auto"/>
        </w:rPr>
      </w:pPr>
      <w:r>
        <w:rPr>
          <w:rFonts w:ascii="Arial" w:cs="Arial" w:eastAsia="Arial" w:hAnsi="Arial"/>
          <w:sz w:val="22"/>
          <w:szCs w:val="22"/>
          <w:color w:val="auto"/>
        </w:rPr>
        <w:t>days following your written notice of such condition provided to the Company within sixty (60) days of the first occurrence of such event or condition and such resignation is effective within thirty (30) days following the end of such notice period.</w:t>
      </w:r>
    </w:p>
    <w:p>
      <w:pPr>
        <w:spacing w:after="0" w:line="87" w:lineRule="exact"/>
        <w:rPr>
          <w:sz w:val="20"/>
          <w:szCs w:val="20"/>
          <w:color w:val="auto"/>
        </w:rPr>
      </w:pPr>
    </w:p>
    <w:p>
      <w:pPr>
        <w:ind w:left="764" w:right="620" w:hanging="768"/>
        <w:spacing w:after="0" w:line="256" w:lineRule="auto"/>
        <w:tabs>
          <w:tab w:leader="none" w:pos="744"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Settlement Agreement</w:t>
      </w:r>
      <w:r>
        <w:rPr>
          <w:rFonts w:ascii="Arial" w:cs="Arial" w:eastAsia="Arial" w:hAnsi="Arial"/>
          <w:sz w:val="22"/>
          <w:szCs w:val="22"/>
          <w:color w:val="auto"/>
        </w:rPr>
        <w:t>” means an appropriate waiver of all claims against the Company in a form reasonably acceptable to the Company.</w:t>
      </w:r>
    </w:p>
    <w:p>
      <w:pPr>
        <w:spacing w:after="0" w:line="311" w:lineRule="exact"/>
        <w:rPr>
          <w:sz w:val="20"/>
          <w:szCs w:val="20"/>
          <w:color w:val="auto"/>
        </w:rPr>
      </w:pPr>
    </w:p>
    <w:p>
      <w:pPr>
        <w:ind w:left="764" w:hanging="764"/>
        <w:spacing w:after="0"/>
        <w:tabs>
          <w:tab w:leader="none" w:pos="764" w:val="left"/>
        </w:tabs>
        <w:numPr>
          <w:ilvl w:val="0"/>
          <w:numId w:val="357"/>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p>
    <w:p>
      <w:pPr>
        <w:spacing w:after="0" w:line="118"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Any successor to the Company (whether direct or indirect and whether by purchase, merger, consolidation, liquidation or otherwise) to all or substantially all of the Company’s business or assets shall assume the obligations under this Schedule II and agree expressly to perform the obligations under this Schedule II in the same manner and to the same extent as the Company would be required to perform such obligations in the absence of a succession. For all purposes under this Schedule II, the term “Company” shall include any successor to the Company’s business or assets which executes and delivers the assumption agreement described in this paragraph 6.1 or which becomes bound by the terms of this Schedule II by operation of law.</w:t>
      </w:r>
    </w:p>
    <w:p>
      <w:pPr>
        <w:spacing w:after="0" w:line="90" w:lineRule="exact"/>
        <w:rPr>
          <w:sz w:val="20"/>
          <w:szCs w:val="20"/>
          <w:color w:val="auto"/>
        </w:rPr>
      </w:pPr>
    </w:p>
    <w:p>
      <w:pPr>
        <w:jc w:val="right"/>
        <w:ind w:left="4" w:right="500"/>
        <w:spacing w:after="0" w:line="328" w:lineRule="auto"/>
        <w:rPr>
          <w:sz w:val="20"/>
          <w:szCs w:val="20"/>
          <w:color w:val="auto"/>
        </w:rPr>
      </w:pPr>
      <w:r>
        <w:rPr>
          <w:rFonts w:ascii="Arial" w:cs="Arial" w:eastAsia="Arial" w:hAnsi="Arial"/>
          <w:sz w:val="19"/>
          <w:szCs w:val="19"/>
          <w:color w:val="auto"/>
        </w:rPr>
        <w:t>6.2     The terms of this Schedule II and your rights hereunder shall inure to the benefit of, and be enforceable by, your personal or legal representatives, executors, administrators, successors, heirs, distributees, devisees and legatees.</w:t>
      </w:r>
    </w:p>
    <w:p>
      <w:pPr>
        <w:spacing w:after="0" w:line="247" w:lineRule="exact"/>
        <w:rPr>
          <w:sz w:val="20"/>
          <w:szCs w:val="20"/>
          <w:color w:val="auto"/>
        </w:rPr>
      </w:pPr>
    </w:p>
    <w:p>
      <w:pPr>
        <w:ind w:left="764" w:hanging="764"/>
        <w:spacing w:after="0"/>
        <w:tabs>
          <w:tab w:leader="none" w:pos="764" w:val="left"/>
        </w:tabs>
        <w:numPr>
          <w:ilvl w:val="0"/>
          <w:numId w:val="358"/>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right="860" w:hanging="768"/>
        <w:spacing w:after="0" w:line="250"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provisions of clause 35 of the Contract shall apply to this Schedule II as if references to the Contract are references to this Schedule II.</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004"/>
          </w:cols>
          <w:pgMar w:left="436" w:top="261" w:right="459" w:bottom="1440" w:gutter="0" w:footer="0" w:header="0"/>
        </w:sectPr>
      </w:pPr>
    </w:p>
    <w:bookmarkStart w:id="374" w:name="page375"/>
    <w:bookmarkEnd w:id="374"/>
    <w:p>
      <w:pPr>
        <w:ind w:left="764" w:hanging="764"/>
        <w:spacing w:after="0"/>
        <w:tabs>
          <w:tab w:leader="none" w:pos="764" w:val="left"/>
        </w:tabs>
        <w:numPr>
          <w:ilvl w:val="0"/>
          <w:numId w:val="359"/>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p>
    <w:p>
      <w:pPr>
        <w:spacing w:after="0" w:line="118"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The provisions of clauses 32 and 33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36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Notwithstanding anything to the contrary in this Schedule II, to the extent that any payments due under this Schedule</w:t>
      </w:r>
    </w:p>
    <w:p>
      <w:pPr>
        <w:spacing w:after="0" w:line="8" w:lineRule="exact"/>
        <w:rPr>
          <w:sz w:val="20"/>
          <w:szCs w:val="20"/>
          <w:color w:val="auto"/>
        </w:rPr>
      </w:pPr>
    </w:p>
    <w:p>
      <w:pPr>
        <w:ind w:left="764" w:firstLine="5"/>
        <w:spacing w:after="0" w:line="243" w:lineRule="auto"/>
        <w:tabs>
          <w:tab w:leader="none" w:pos="962" w:val="left"/>
        </w:tabs>
        <w:numPr>
          <w:ilvl w:val="0"/>
          <w:numId w:val="361"/>
        </w:numPr>
        <w:rPr>
          <w:rFonts w:ascii="Arial" w:cs="Arial" w:eastAsia="Arial" w:hAnsi="Arial"/>
          <w:sz w:val="21"/>
          <w:szCs w:val="21"/>
          <w:color w:val="auto"/>
        </w:rPr>
      </w:pPr>
      <w:r>
        <w:rPr>
          <w:rFonts w:ascii="Arial" w:cs="Arial" w:eastAsia="Arial" w:hAnsi="Arial"/>
          <w:sz w:val="21"/>
          <w:szCs w:val="21"/>
          <w:color w:val="auto"/>
        </w:rPr>
        <w:t>as a result of your termination of employment are subject to your execution and delivery of a Settlement Agreement, (A) if you fail to execute the Settlement Agreement on or prior to the Settlement Agreement Expiration Date (as defined below) or the Settlement Agreement does not become effective and irrevocable within 60 days following the Covered Termination Date (or such shorter period specified by the Company), you shall not be entitled to any payments or benefits otherwise conditioned on the Settlement Agreement, and (B) in any case where your Covered Termination Date and the last day the Settlement Agreement may be considered or, if applicable, revoked fall in two separate taxable years, any payments required to be made to you that are conditioned on the Settlement Agreement shall commence or be made in the later taxable year. For purposes hereof, “</w:t>
      </w:r>
      <w:r>
        <w:rPr>
          <w:rFonts w:ascii="Arial" w:cs="Arial" w:eastAsia="Arial" w:hAnsi="Arial"/>
          <w:sz w:val="21"/>
          <w:szCs w:val="21"/>
          <w:b w:val="1"/>
          <w:bCs w:val="1"/>
          <w:color w:val="auto"/>
        </w:rPr>
        <w:t>Settlement Expiration Date</w:t>
      </w:r>
      <w:r>
        <w:rPr>
          <w:rFonts w:ascii="Arial" w:cs="Arial" w:eastAsia="Arial" w:hAnsi="Arial"/>
          <w:sz w:val="21"/>
          <w:szCs w:val="21"/>
          <w:color w:val="auto"/>
        </w:rPr>
        <w:t>” shall mean the date that is twenty one (21) days following the date upon which the Company timely delivers the Settlement Agreement to you.</w:t>
      </w:r>
    </w:p>
    <w:p>
      <w:pPr>
        <w:spacing w:after="0" w:line="88" w:lineRule="exact"/>
        <w:rPr>
          <w:sz w:val="20"/>
          <w:szCs w:val="20"/>
          <w:color w:val="auto"/>
        </w:rPr>
      </w:pPr>
    </w:p>
    <w:p>
      <w:pPr>
        <w:ind w:left="764" w:right="680" w:hanging="768"/>
        <w:spacing w:after="0" w:line="250"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The Company shall be entitled to withhold from any amounts payable under this Schedule any local or foreign withholding or other taxes or charges which the Company is required to withhold.</w:t>
      </w:r>
    </w:p>
    <w:p>
      <w:pPr>
        <w:spacing w:after="0" w:line="80" w:lineRule="exact"/>
        <w:rPr>
          <w:sz w:val="20"/>
          <w:szCs w:val="20"/>
          <w:color w:val="auto"/>
        </w:rPr>
      </w:pPr>
    </w:p>
    <w:p>
      <w:pPr>
        <w:jc w:val="both"/>
        <w:ind w:left="764" w:right="40" w:hanging="768"/>
        <w:spacing w:after="0" w:line="287" w:lineRule="auto"/>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No provision of this Schedule II shall be modified, waived or discharged unless the modification, waiver or discharge is agreed to in writing and signed by you and by an authorized officer of the Company (other than you). No waiver by either party of any breach of, or of compliance with, any condition or provision of this Schedule II by the other party shall be considered a waiver of any other condition or provision or of the same condition or provision at another time.</w:t>
      </w:r>
    </w:p>
    <w:p>
      <w:pPr>
        <w:spacing w:after="0" w:line="48" w:lineRule="exact"/>
        <w:rPr>
          <w:sz w:val="20"/>
          <w:szCs w:val="20"/>
          <w:color w:val="auto"/>
        </w:rPr>
      </w:pPr>
    </w:p>
    <w:p>
      <w:pPr>
        <w:ind w:left="764" w:right="160" w:hanging="768"/>
        <w:spacing w:after="0" w:line="249"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Whenever possible, each provision of this Schedule II will be interpreted in such manner as to be effective and valid under applicable law, but if any provision of this Schedule II is held to be invalid or unenforceable in any respect under any applicable law or rule in any jurisdiction, such invalidity or unenforceability will not affect any other provision or any other jurisdiction, but this Schedule II will be reformed, construed and enforced in such jurisdiction as if such invalid or unenforceable provisions had never been contained herein.</w:t>
      </w:r>
    </w:p>
    <w:p>
      <w:pPr>
        <w:spacing w:after="0" w:line="84"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The provisions of clauses 36 and 37 of the Contract shall apply to this Schedule II as if references to the Contract are references to this Schedule II.</w:t>
      </w:r>
    </w:p>
    <w:p>
      <w:pPr>
        <w:spacing w:after="0" w:line="8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You acknowledge that (i) you have consulted with or have had the opportunity to consult with independent counsel of your own choice concerning this Schedule II, and have been advised to do so by the Company, and (ii) that you have read and understand this Schedule II, are fully aware of its legal effect, and have entered into it freely based on your own judgment.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- 30 -</w:t>
      </w:r>
    </w:p>
    <w:p>
      <w:pPr>
        <w:sectPr>
          <w:pgSz w:w="11900" w:h="16838" w:orient="portrait"/>
          <w:cols w:equalWidth="0" w:num="1">
            <w:col w:w="11004"/>
          </w:cols>
          <w:pgMar w:left="436" w:top="261" w:right="459" w:bottom="1440" w:gutter="0" w:footer="0" w:header="0"/>
        </w:sectPr>
      </w:pPr>
    </w:p>
    <w:bookmarkStart w:id="375" w:name="page376"/>
    <w:bookmarkEnd w:id="375"/>
    <w:p>
      <w:pPr>
        <w:ind w:left="9904"/>
        <w:spacing w:after="0"/>
        <w:rPr>
          <w:sz w:val="20"/>
          <w:szCs w:val="20"/>
          <w:color w:val="auto"/>
        </w:rPr>
      </w:pPr>
      <w:r>
        <w:rPr>
          <w:rFonts w:ascii="Arial" w:cs="Arial" w:eastAsia="Arial" w:hAnsi="Arial"/>
          <w:sz w:val="19"/>
          <w:szCs w:val="19"/>
          <w:b w:val="1"/>
          <w:bCs w:val="1"/>
          <w:color w:val="auto"/>
        </w:rPr>
        <w:t>Exhibit 4.37</w:t>
      </w:r>
    </w:p>
    <w:p>
      <w:pPr>
        <w:spacing w:after="0" w:line="274" w:lineRule="exact"/>
        <w:rPr>
          <w:sz w:val="20"/>
          <w:szCs w:val="20"/>
          <w:color w:val="auto"/>
        </w:rPr>
      </w:pPr>
    </w:p>
    <w:p>
      <w:pPr>
        <w:ind w:left="4"/>
        <w:spacing w:after="0"/>
        <w:tabs>
          <w:tab w:leader="none" w:pos="9164" w:val="left"/>
        </w:tabs>
        <w:rPr>
          <w:sz w:val="20"/>
          <w:szCs w:val="20"/>
          <w:color w:val="auto"/>
        </w:rPr>
      </w:pPr>
      <w:r>
        <w:rPr>
          <w:rFonts w:ascii="Arial" w:cs="Arial" w:eastAsia="Arial" w:hAnsi="Arial"/>
          <w:sz w:val="22"/>
          <w:szCs w:val="22"/>
          <w:color w:val="auto"/>
        </w:rPr>
        <w:t>THIS AMENDED AND RESTATED CONTRACT OF EMPLOYMENT dated</w:t>
      </w:r>
      <w:r>
        <w:rPr>
          <w:sz w:val="20"/>
          <w:szCs w:val="20"/>
          <w:color w:val="auto"/>
        </w:rPr>
        <w:tab/>
      </w:r>
      <w:r>
        <w:rPr>
          <w:rFonts w:ascii="Arial" w:cs="Arial" w:eastAsia="Arial" w:hAnsi="Arial"/>
          <w:sz w:val="19"/>
          <w:szCs w:val="19"/>
          <w:color w:val="auto"/>
        </w:rPr>
        <w:t>August 2021 is made</w:t>
      </w:r>
    </w:p>
    <w:p>
      <w:pPr>
        <w:spacing w:after="0" w:line="9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BETWEEN:</w:t>
      </w:r>
    </w:p>
    <w:p>
      <w:pPr>
        <w:spacing w:after="0" w:line="112" w:lineRule="exact"/>
        <w:rPr>
          <w:sz w:val="20"/>
          <w:szCs w:val="20"/>
          <w:color w:val="auto"/>
        </w:rPr>
      </w:pPr>
    </w:p>
    <w:p>
      <w:pPr>
        <w:ind w:left="764" w:right="680" w:hanging="764"/>
        <w:spacing w:after="0" w:line="333" w:lineRule="auto"/>
        <w:tabs>
          <w:tab w:leader="none" w:pos="764" w:val="left"/>
        </w:tabs>
        <w:numPr>
          <w:ilvl w:val="0"/>
          <w:numId w:val="362"/>
        </w:numPr>
        <w:rPr>
          <w:rFonts w:ascii="Arial" w:cs="Arial" w:eastAsia="Arial" w:hAnsi="Arial"/>
          <w:sz w:val="19"/>
          <w:szCs w:val="19"/>
          <w:color w:val="auto"/>
        </w:rPr>
      </w:pPr>
      <w:r>
        <w:rPr>
          <w:rFonts w:ascii="Arial" w:cs="Arial" w:eastAsia="Arial" w:hAnsi="Arial"/>
          <w:sz w:val="19"/>
          <w:szCs w:val="19"/>
          <w:b w:val="1"/>
          <w:bCs w:val="1"/>
          <w:color w:val="auto"/>
        </w:rPr>
        <w:t>MEREO BIOPHARMA GROUP PLC</w:t>
      </w:r>
      <w:r>
        <w:rPr>
          <w:rFonts w:ascii="Arial" w:cs="Arial" w:eastAsia="Arial" w:hAnsi="Arial"/>
          <w:sz w:val="19"/>
          <w:szCs w:val="19"/>
          <w:color w:val="auto"/>
        </w:rPr>
        <w:t>, (a company incorporated in England and Wales and registered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number 9481161, whose registered office is at 1 Cavendish Place, London W1G 0QF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ind w:left="764" w:hanging="764"/>
        <w:spacing w:after="0"/>
        <w:tabs>
          <w:tab w:leader="none" w:pos="764" w:val="left"/>
        </w:tabs>
        <w:numPr>
          <w:ilvl w:val="0"/>
          <w:numId w:val="362"/>
        </w:numPr>
        <w:rPr>
          <w:rFonts w:ascii="Arial" w:cs="Arial" w:eastAsia="Arial" w:hAnsi="Arial"/>
          <w:sz w:val="22"/>
          <w:szCs w:val="22"/>
          <w:color w:val="auto"/>
        </w:rPr>
      </w:pPr>
      <w:r>
        <w:rPr>
          <w:rFonts w:ascii="Arial" w:cs="Arial" w:eastAsia="Arial" w:hAnsi="Arial"/>
          <w:sz w:val="22"/>
          <w:szCs w:val="22"/>
          <w:b w:val="1"/>
          <w:bCs w:val="1"/>
          <w:color w:val="auto"/>
        </w:rPr>
        <w:t xml:space="preserve">ALEXANDRA </w:t>
      </w:r>
      <w:r>
        <w:rPr>
          <w:rFonts w:ascii="Arial" w:cs="Arial" w:eastAsia="Arial" w:hAnsi="Arial"/>
          <w:sz w:val="22"/>
          <w:szCs w:val="22"/>
          <w:color w:val="auto"/>
        </w:rPr>
        <w:t>(</w:t>
      </w:r>
      <w:r>
        <w:rPr>
          <w:rFonts w:ascii="Arial" w:cs="Arial" w:eastAsia="Arial" w:hAnsi="Arial"/>
          <w:sz w:val="22"/>
          <w:szCs w:val="22"/>
          <w:b w:val="1"/>
          <w:bCs w:val="1"/>
          <w:color w:val="auto"/>
        </w:rPr>
        <w:t xml:space="preserve">WILLS) HUGHES-WILSON, </w:t>
      </w:r>
      <w:r>
        <w:rPr>
          <w:rFonts w:ascii="Arial" w:cs="Arial" w:eastAsia="Arial" w:hAnsi="Arial"/>
          <w:sz w:val="22"/>
          <w:szCs w:val="22"/>
          <w:color w:val="auto"/>
          <w:highlight w:val="black"/>
        </w:rPr>
        <w:t>rue du Mail, 59, B-1050 Brussels, Belgium</w:t>
      </w:r>
    </w:p>
    <w:p>
      <w:pPr>
        <w:spacing w:after="0" w:line="212" w:lineRule="exact"/>
        <w:rPr>
          <w:sz w:val="20"/>
          <w:szCs w:val="20"/>
          <w:color w:val="auto"/>
        </w:rPr>
      </w:pPr>
    </w:p>
    <w:p>
      <w:pPr>
        <w:ind w:left="4" w:right="60"/>
        <w:spacing w:after="0"/>
        <w:rPr>
          <w:sz w:val="20"/>
          <w:szCs w:val="20"/>
          <w:color w:val="auto"/>
        </w:rPr>
      </w:pPr>
      <w:r>
        <w:rPr>
          <w:rFonts w:ascii="Arial" w:cs="Arial" w:eastAsia="Arial" w:hAnsi="Arial"/>
          <w:sz w:val="22"/>
          <w:szCs w:val="22"/>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329" w:lineRule="exact"/>
        <w:rPr>
          <w:sz w:val="20"/>
          <w:szCs w:val="20"/>
          <w:color w:val="auto"/>
        </w:rPr>
      </w:pPr>
    </w:p>
    <w:p>
      <w:pPr>
        <w:ind w:left="544" w:hanging="544"/>
        <w:spacing w:after="0"/>
        <w:tabs>
          <w:tab w:leader="none" w:pos="544" w:val="left"/>
        </w:tabs>
        <w:numPr>
          <w:ilvl w:val="0"/>
          <w:numId w:val="363"/>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definitions and rules of interpretation in this clause 1 apply in this Contract.</w:t>
      </w:r>
    </w:p>
    <w:p>
      <w:pPr>
        <w:spacing w:after="0" w:line="106"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Appointment</w:t>
      </w:r>
      <w:r>
        <w:rPr>
          <w:rFonts w:ascii="Arial" w:cs="Arial" w:eastAsia="Arial" w:hAnsi="Arial"/>
          <w:sz w:val="19"/>
          <w:szCs w:val="19"/>
          <w:color w:val="auto"/>
        </w:rPr>
        <w:t>: the employment of the Employee by the Company on the terms of this Contract.</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Associated Employer</w:t>
      </w:r>
      <w:r>
        <w:rPr>
          <w:rFonts w:ascii="Arial" w:cs="Arial" w:eastAsia="Arial" w:hAnsi="Arial"/>
          <w:sz w:val="19"/>
          <w:szCs w:val="19"/>
          <w:color w:val="auto"/>
        </w:rPr>
        <w:t>: has the meaning given to it in the Employment Rights Act 1996.</w:t>
      </w:r>
    </w:p>
    <w:p>
      <w:pPr>
        <w:spacing w:after="0" w:line="112" w:lineRule="exact"/>
        <w:rPr>
          <w:sz w:val="20"/>
          <w:szCs w:val="20"/>
          <w:color w:val="auto"/>
        </w:rPr>
      </w:pPr>
    </w:p>
    <w:p>
      <w:pPr>
        <w:ind w:left="2204" w:right="120" w:hanging="768"/>
        <w:spacing w:after="0" w:line="256" w:lineRule="auto"/>
        <w:tabs>
          <w:tab w:leader="none" w:pos="218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color w:val="auto"/>
        </w:rPr>
        <w:t>Board</w:t>
      </w:r>
      <w:r>
        <w:rPr>
          <w:rFonts w:ascii="Arial" w:cs="Arial" w:eastAsia="Arial" w:hAnsi="Arial"/>
          <w:sz w:val="22"/>
          <w:szCs w:val="22"/>
          <w:color w:val="auto"/>
        </w:rPr>
        <w:t>: the board of directors of the Company (including any committee of the board duly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by it).</w:t>
      </w:r>
    </w:p>
    <w:p>
      <w:pPr>
        <w:spacing w:after="0" w:line="68"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Commencement Date </w:t>
      </w:r>
      <w:r>
        <w:rPr>
          <w:rFonts w:ascii="Arial" w:cs="Arial" w:eastAsia="Arial" w:hAnsi="Arial"/>
          <w:sz w:val="19"/>
          <w:szCs w:val="19"/>
          <w:color w:val="auto"/>
        </w:rPr>
        <w:t>5</w:t>
      </w:r>
      <w:r>
        <w:rPr>
          <w:rFonts w:ascii="Arial" w:cs="Arial" w:eastAsia="Arial" w:hAnsi="Arial"/>
          <w:sz w:val="16"/>
          <w:szCs w:val="16"/>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March 2018</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 all of</w:t>
      </w:r>
    </w:p>
    <w:p>
      <w:pPr>
        <w:spacing w:after="0" w:line="118" w:lineRule="exact"/>
        <w:rPr>
          <w:sz w:val="20"/>
          <w:szCs w:val="20"/>
          <w:color w:val="auto"/>
        </w:rPr>
      </w:pPr>
    </w:p>
    <w:p>
      <w:pPr>
        <w:ind w:left="2844" w:right="120" w:hanging="644"/>
        <w:spacing w:after="0" w:line="236" w:lineRule="auto"/>
        <w:tabs>
          <w:tab w:leader="none" w:pos="2844" w:val="left"/>
        </w:tabs>
        <w:numPr>
          <w:ilvl w:val="0"/>
          <w:numId w:val="364"/>
        </w:numPr>
        <w:rPr>
          <w:rFonts w:ascii="Arial" w:cs="Arial" w:eastAsia="Arial" w:hAnsi="Arial"/>
          <w:sz w:val="22"/>
          <w:szCs w:val="22"/>
          <w:color w:val="auto"/>
        </w:rPr>
      </w:pPr>
      <w:r>
        <w:rPr>
          <w:rFonts w:ascii="Arial" w:cs="Arial" w:eastAsia="Arial" w:hAnsi="Arial"/>
          <w:sz w:val="22"/>
          <w:szCs w:val="22"/>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92" w:lineRule="exact"/>
        <w:rPr>
          <w:rFonts w:ascii="Arial" w:cs="Arial" w:eastAsia="Arial" w:hAnsi="Arial"/>
          <w:sz w:val="22"/>
          <w:szCs w:val="22"/>
          <w:color w:val="auto"/>
        </w:rPr>
      </w:pPr>
    </w:p>
    <w:p>
      <w:pPr>
        <w:ind w:left="2844" w:right="420" w:hanging="644"/>
        <w:spacing w:after="0" w:line="297" w:lineRule="auto"/>
        <w:tabs>
          <w:tab w:leader="none" w:pos="2844" w:val="left"/>
        </w:tabs>
        <w:numPr>
          <w:ilvl w:val="0"/>
          <w:numId w:val="364"/>
        </w:numPr>
        <w:rPr>
          <w:rFonts w:ascii="Arial" w:cs="Arial" w:eastAsia="Arial" w:hAnsi="Arial"/>
          <w:sz w:val="19"/>
          <w:szCs w:val="19"/>
          <w:color w:val="auto"/>
        </w:rPr>
      </w:pPr>
      <w:r>
        <w:rPr>
          <w:rFonts w:ascii="Arial" w:cs="Arial" w:eastAsia="Arial" w:hAnsi="Arial"/>
          <w:sz w:val="19"/>
          <w:szCs w:val="19"/>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39" w:lineRule="exact"/>
        <w:rPr>
          <w:rFonts w:ascii="Arial" w:cs="Arial" w:eastAsia="Arial" w:hAnsi="Arial"/>
          <w:sz w:val="19"/>
          <w:szCs w:val="19"/>
          <w:color w:val="auto"/>
        </w:rPr>
      </w:pPr>
    </w:p>
    <w:p>
      <w:pPr>
        <w:ind w:left="2844" w:right="20" w:hanging="644"/>
        <w:spacing w:after="0" w:line="257" w:lineRule="auto"/>
        <w:tabs>
          <w:tab w:leader="none" w:pos="2844" w:val="left"/>
        </w:tabs>
        <w:numPr>
          <w:ilvl w:val="0"/>
          <w:numId w:val="364"/>
        </w:numPr>
        <w:rPr>
          <w:rFonts w:ascii="Arial" w:cs="Arial" w:eastAsia="Arial" w:hAnsi="Arial"/>
          <w:sz w:val="21"/>
          <w:szCs w:val="21"/>
          <w:color w:val="auto"/>
        </w:rPr>
      </w:pPr>
      <w:r>
        <w:rPr>
          <w:rFonts w:ascii="Arial" w:cs="Arial" w:eastAsia="Arial" w:hAnsi="Arial"/>
          <w:sz w:val="21"/>
          <w:szCs w:val="21"/>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101" w:lineRule="exact"/>
        <w:rPr>
          <w:rFonts w:ascii="Arial" w:cs="Arial" w:eastAsia="Arial" w:hAnsi="Arial"/>
          <w:sz w:val="21"/>
          <w:szCs w:val="21"/>
          <w:color w:val="auto"/>
        </w:rPr>
      </w:pPr>
    </w:p>
    <w:p>
      <w:pPr>
        <w:ind w:left="5464" w:hanging="136"/>
        <w:spacing w:after="0"/>
        <w:tabs>
          <w:tab w:leader="none" w:pos="5464" w:val="left"/>
        </w:tabs>
        <w:numPr>
          <w:ilvl w:val="1"/>
          <w:numId w:val="364"/>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024"/>
          </w:cols>
          <w:pgMar w:left="436" w:top="111" w:right="439" w:bottom="1440" w:gutter="0" w:footer="0" w:header="0"/>
        </w:sectPr>
      </w:pPr>
    </w:p>
    <w:bookmarkStart w:id="376" w:name="page377"/>
    <w:bookmarkEnd w:id="376"/>
    <w:p>
      <w:pPr>
        <w:ind w:left="1840" w:right="280" w:hanging="644"/>
        <w:spacing w:after="0"/>
        <w:tabs>
          <w:tab w:leader="none" w:pos="1840" w:val="left"/>
        </w:tabs>
        <w:numPr>
          <w:ilvl w:val="0"/>
          <w:numId w:val="36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details of the employees, officers and workers of and consultants to the Company or any Group Company their job skills and capabilities and of the remuneration and other benefits paid to them;</w:t>
      </w:r>
    </w:p>
    <w:p>
      <w:pPr>
        <w:spacing w:after="0" w:line="91" w:lineRule="exact"/>
        <w:rPr>
          <w:rFonts w:ascii="Arial" w:cs="Arial" w:eastAsia="Arial" w:hAnsi="Arial"/>
          <w:sz w:val="22"/>
          <w:szCs w:val="22"/>
          <w:color w:val="auto"/>
        </w:rPr>
      </w:pPr>
    </w:p>
    <w:p>
      <w:pPr>
        <w:ind w:left="1840" w:right="160" w:hanging="644"/>
        <w:spacing w:after="0" w:line="236" w:lineRule="auto"/>
        <w:tabs>
          <w:tab w:leader="none" w:pos="184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92" w:lineRule="exact"/>
        <w:rPr>
          <w:rFonts w:ascii="Arial" w:cs="Arial" w:eastAsia="Arial" w:hAnsi="Arial"/>
          <w:sz w:val="22"/>
          <w:szCs w:val="22"/>
          <w:color w:val="auto"/>
        </w:rPr>
      </w:pPr>
    </w:p>
    <w:p>
      <w:pPr>
        <w:jc w:val="both"/>
        <w:ind w:left="1840" w:right="180" w:hanging="644"/>
        <w:spacing w:after="0"/>
        <w:tabs>
          <w:tab w:leader="none" w:pos="184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confidential reports or research commissioned by or provided to the Company or any Group Company and any trade secrets and confidential transactions of the Company or any Group Company;</w:t>
      </w:r>
    </w:p>
    <w:p>
      <w:pPr>
        <w:spacing w:after="0" w:line="91" w:lineRule="exact"/>
        <w:rPr>
          <w:rFonts w:ascii="Arial" w:cs="Arial" w:eastAsia="Arial" w:hAnsi="Arial"/>
          <w:sz w:val="22"/>
          <w:szCs w:val="22"/>
          <w:color w:val="auto"/>
        </w:rPr>
      </w:pPr>
    </w:p>
    <w:p>
      <w:pPr>
        <w:ind w:left="1840" w:right="120" w:hanging="644"/>
        <w:spacing w:after="0"/>
        <w:tabs>
          <w:tab w:leader="none" w:pos="184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91" w:lineRule="exact"/>
        <w:rPr>
          <w:rFonts w:ascii="Arial" w:cs="Arial" w:eastAsia="Arial" w:hAnsi="Arial"/>
          <w:sz w:val="22"/>
          <w:szCs w:val="22"/>
          <w:color w:val="auto"/>
        </w:rPr>
      </w:pPr>
    </w:p>
    <w:p>
      <w:pPr>
        <w:ind w:left="1840" w:hanging="644"/>
        <w:spacing w:after="0" w:line="282" w:lineRule="auto"/>
        <w:tabs>
          <w:tab w:leader="none" w:pos="184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52" w:lineRule="exact"/>
        <w:rPr>
          <w:rFonts w:ascii="Arial" w:cs="Arial" w:eastAsia="Arial" w:hAnsi="Arial"/>
          <w:sz w:val="19"/>
          <w:szCs w:val="19"/>
          <w:color w:val="auto"/>
        </w:rPr>
      </w:pPr>
    </w:p>
    <w:p>
      <w:pPr>
        <w:ind w:left="1840" w:right="340" w:hanging="644"/>
        <w:spacing w:after="0" w:line="250" w:lineRule="auto"/>
        <w:tabs>
          <w:tab w:leader="none" w:pos="1840" w:val="left"/>
        </w:tabs>
        <w:numPr>
          <w:ilvl w:val="0"/>
          <w:numId w:val="365"/>
        </w:numPr>
        <w:rPr>
          <w:rFonts w:ascii="Arial" w:cs="Arial" w:eastAsia="Arial" w:hAnsi="Arial"/>
          <w:sz w:val="22"/>
          <w:szCs w:val="22"/>
          <w:color w:val="auto"/>
        </w:rPr>
      </w:pPr>
      <w:r>
        <w:rPr>
          <w:rFonts w:ascii="Arial" w:cs="Arial" w:eastAsia="Arial" w:hAnsi="Arial"/>
          <w:sz w:val="22"/>
          <w:szCs w:val="22"/>
          <w:color w:val="auto"/>
        </w:rPr>
        <w:t>details of any advertising, marketing or promotional campaign which the Company or any Group Company is to conduct; and</w:t>
      </w:r>
    </w:p>
    <w:p>
      <w:pPr>
        <w:spacing w:after="0" w:line="80" w:lineRule="exact"/>
        <w:rPr>
          <w:rFonts w:ascii="Arial" w:cs="Arial" w:eastAsia="Arial" w:hAnsi="Arial"/>
          <w:sz w:val="22"/>
          <w:szCs w:val="22"/>
          <w:color w:val="auto"/>
        </w:rPr>
      </w:pPr>
    </w:p>
    <w:p>
      <w:pPr>
        <w:ind w:left="1840" w:right="400" w:hanging="644"/>
        <w:spacing w:after="0" w:line="297" w:lineRule="auto"/>
        <w:tabs>
          <w:tab w:leader="none" w:pos="184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33" w:lineRule="exact"/>
        <w:rPr>
          <w:sz w:val="20"/>
          <w:szCs w:val="20"/>
          <w:color w:val="auto"/>
        </w:rPr>
      </w:pPr>
    </w:p>
    <w:p>
      <w:pPr>
        <w:ind w:left="1200" w:right="40" w:hanging="768"/>
        <w:spacing w:after="0" w:line="243" w:lineRule="auto"/>
        <w:tabs>
          <w:tab w:leader="none" w:pos="11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b w:val="1"/>
          <w:bCs w:val="1"/>
          <w:color w:val="auto"/>
        </w:rPr>
        <w:t xml:space="preserve">Documents: </w:t>
      </w:r>
      <w:r>
        <w:rPr>
          <w:rFonts w:ascii="Arial" w:cs="Arial" w:eastAsia="Arial" w:hAnsi="Arial"/>
          <w:sz w:val="22"/>
          <w:szCs w:val="22"/>
          <w:color w:val="auto"/>
        </w:rPr>
        <w:t>documents, manuals, disks, memory, notebooks, tapes (including copies)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medium, whether or not eye-readable, on which information (whether confidential or otherwise) may from time to time be referred to, written or recorded.</w:t>
      </w:r>
    </w:p>
    <w:p>
      <w:pPr>
        <w:spacing w:after="0" w:line="82" w:lineRule="exact"/>
        <w:rPr>
          <w:sz w:val="20"/>
          <w:szCs w:val="20"/>
          <w:color w:val="auto"/>
        </w:rPr>
      </w:pPr>
    </w:p>
    <w:p>
      <w:pPr>
        <w:ind w:left="1200" w:right="220" w:hanging="768"/>
        <w:spacing w:after="0" w:line="256" w:lineRule="auto"/>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b w:val="1"/>
          <w:bCs w:val="1"/>
          <w:color w:val="auto"/>
        </w:rPr>
        <w:t xml:space="preserve">Group Company </w:t>
      </w:r>
      <w:r>
        <w:rPr>
          <w:rFonts w:ascii="Arial" w:cs="Arial" w:eastAsia="Arial" w:hAnsi="Arial"/>
          <w:sz w:val="22"/>
          <w:szCs w:val="22"/>
          <w:color w:val="auto"/>
        </w:rPr>
        <w:t>: the Company, its Subsidiaries or Holding Companies from time to time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of any Holding Company from time to time.</w:t>
      </w:r>
    </w:p>
    <w:p>
      <w:pPr>
        <w:spacing w:after="0" w:line="10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980"/>
          </w:cols>
          <w:pgMar w:left="1440" w:top="267" w:right="479" w:bottom="1440" w:gutter="0" w:footer="0" w:header="0"/>
        </w:sectPr>
      </w:pPr>
    </w:p>
    <w:bookmarkStart w:id="377" w:name="page378"/>
    <w:bookmarkEnd w:id="377"/>
    <w:p>
      <w:pPr>
        <w:ind w:left="1200" w:right="60" w:hanging="768"/>
        <w:spacing w:after="0" w:line="256" w:lineRule="auto"/>
        <w:tabs>
          <w:tab w:leader="none" w:pos="11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w:t>
      </w:r>
      <w:r>
        <w:rPr>
          <w:sz w:val="20"/>
          <w:szCs w:val="20"/>
          <w:color w:val="auto"/>
        </w:rPr>
        <w:tab/>
      </w:r>
      <w:r>
        <w:rPr>
          <w:rFonts w:ascii="Arial" w:cs="Arial" w:eastAsia="Arial" w:hAnsi="Arial"/>
          <w:sz w:val="22"/>
          <w:szCs w:val="22"/>
          <w:b w:val="1"/>
          <w:bCs w:val="1"/>
          <w:color w:val="auto"/>
        </w:rPr>
        <w:t>Incapacity</w:t>
      </w:r>
      <w:r>
        <w:rPr>
          <w:rFonts w:ascii="Arial" w:cs="Arial" w:eastAsia="Arial" w:hAnsi="Arial"/>
          <w:sz w:val="22"/>
          <w:szCs w:val="22"/>
          <w:color w:val="auto"/>
        </w:rPr>
        <w:t>: any sickness, injury or other medical disorder or condition which prevents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from carrying out his duties.</w:t>
      </w:r>
    </w:p>
    <w:p>
      <w:pPr>
        <w:spacing w:after="0" w:line="68" w:lineRule="exact"/>
        <w:rPr>
          <w:sz w:val="20"/>
          <w:szCs w:val="20"/>
          <w:color w:val="auto"/>
        </w:rPr>
      </w:pPr>
    </w:p>
    <w:p>
      <w:pPr>
        <w:ind w:left="1200" w:right="280" w:hanging="768"/>
        <w:spacing w:after="0" w:line="256" w:lineRule="auto"/>
        <w:tabs>
          <w:tab w:leader="none" w:pos="11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any employee or contractor who is or was (in the Period) employed or engaged to</w:t>
      </w:r>
      <w:r>
        <w:rPr>
          <w:rFonts w:ascii="Arial" w:cs="Arial" w:eastAsia="Arial" w:hAnsi="Arial"/>
          <w:sz w:val="22"/>
          <w:szCs w:val="22"/>
          <w:b w:val="1"/>
          <w:bCs w:val="1"/>
          <w:color w:val="auto"/>
        </w:rPr>
        <w:t xml:space="preserve"> </w:t>
      </w:r>
      <w:r>
        <w:rPr>
          <w:rFonts w:ascii="Arial" w:cs="Arial" w:eastAsia="Arial" w:hAnsi="Arial"/>
          <w:sz w:val="22"/>
          <w:szCs w:val="22"/>
          <w:color w:val="auto"/>
        </w:rPr>
        <w:t>your knowledge:</w:t>
      </w:r>
    </w:p>
    <w:p>
      <w:pPr>
        <w:spacing w:after="0" w:line="74" w:lineRule="exact"/>
        <w:rPr>
          <w:sz w:val="20"/>
          <w:szCs w:val="20"/>
          <w:color w:val="auto"/>
        </w:rPr>
      </w:pPr>
    </w:p>
    <w:p>
      <w:pPr>
        <w:ind w:left="1840" w:hanging="644"/>
        <w:spacing w:after="0"/>
        <w:tabs>
          <w:tab w:leader="none" w:pos="184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at management grade; or</w:t>
      </w:r>
    </w:p>
    <w:p>
      <w:pPr>
        <w:spacing w:after="0" w:line="111" w:lineRule="exact"/>
        <w:rPr>
          <w:rFonts w:ascii="Arial" w:cs="Arial" w:eastAsia="Arial" w:hAnsi="Arial"/>
          <w:sz w:val="22"/>
          <w:szCs w:val="22"/>
          <w:color w:val="auto"/>
        </w:rPr>
      </w:pPr>
    </w:p>
    <w:p>
      <w:pPr>
        <w:ind w:left="1840" w:hanging="644"/>
        <w:spacing w:after="0"/>
        <w:tabs>
          <w:tab w:leader="none" w:pos="184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in a senior capacity; or</w:t>
      </w:r>
    </w:p>
    <w:p>
      <w:pPr>
        <w:spacing w:after="0" w:line="111" w:lineRule="exact"/>
        <w:rPr>
          <w:rFonts w:ascii="Arial" w:cs="Arial" w:eastAsia="Arial" w:hAnsi="Arial"/>
          <w:sz w:val="22"/>
          <w:szCs w:val="22"/>
          <w:color w:val="auto"/>
        </w:rPr>
      </w:pPr>
    </w:p>
    <w:p>
      <w:pPr>
        <w:ind w:left="1840" w:right="100" w:hanging="644"/>
        <w:spacing w:after="0" w:line="250" w:lineRule="auto"/>
        <w:tabs>
          <w:tab w:leader="none" w:pos="184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in a capacity in which he has access to or obtained Confidential Information and in respect of whom you exercised control or had managerial responsibility.</w:t>
      </w:r>
    </w:p>
    <w:p>
      <w:pPr>
        <w:spacing w:after="0" w:line="74" w:lineRule="exact"/>
        <w:rPr>
          <w:sz w:val="20"/>
          <w:szCs w:val="20"/>
          <w:color w:val="auto"/>
        </w:rPr>
      </w:pPr>
    </w:p>
    <w:p>
      <w:pPr>
        <w:ind w:left="1200" w:right="320" w:hanging="768"/>
        <w:spacing w:after="0" w:line="283" w:lineRule="auto"/>
        <w:tabs>
          <w:tab w:leader="none" w:pos="118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b w:val="1"/>
          <w:bCs w:val="1"/>
          <w:color w:val="auto"/>
        </w:rPr>
        <w:t xml:space="preserve">Know-how: </w:t>
      </w:r>
      <w:r>
        <w:rPr>
          <w:rFonts w:ascii="Arial" w:cs="Arial" w:eastAsia="Arial" w:hAnsi="Arial"/>
          <w:sz w:val="19"/>
          <w:szCs w:val="19"/>
          <w:color w:val="auto"/>
        </w:rPr>
        <w:t>information (including without limitation that comprised in formulae, specifications,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designs, drawings, component lists, 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b w:val="1"/>
          <w:bCs w:val="1"/>
          <w:color w:val="auto"/>
        </w:rPr>
        <w:t>Manager</w:t>
      </w:r>
      <w:r>
        <w:rPr>
          <w:rFonts w:ascii="Arial" w:cs="Arial" w:eastAsia="Arial" w:hAnsi="Arial"/>
          <w:sz w:val="19"/>
          <w:szCs w:val="19"/>
          <w:color w:val="auto"/>
        </w:rPr>
        <w:t>: Denise Scots-Knight</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b w:val="1"/>
          <w:bCs w:val="1"/>
          <w:color w:val="auto"/>
        </w:rPr>
        <w:t xml:space="preserve">Period: </w:t>
      </w:r>
      <w:r>
        <w:rPr>
          <w:rFonts w:ascii="Arial" w:cs="Arial" w:eastAsia="Arial" w:hAnsi="Arial"/>
          <w:sz w:val="19"/>
          <w:szCs w:val="19"/>
          <w:color w:val="auto"/>
        </w:rPr>
        <w:t>the period of 6 months immediately prior to the Termination Date.</w:t>
      </w:r>
    </w:p>
    <w:p>
      <w:pPr>
        <w:spacing w:after="0" w:line="112" w:lineRule="exact"/>
        <w:rPr>
          <w:sz w:val="20"/>
          <w:szCs w:val="20"/>
          <w:color w:val="auto"/>
        </w:rPr>
      </w:pPr>
    </w:p>
    <w:p>
      <w:pPr>
        <w:ind w:left="1200" w:right="260" w:hanging="768"/>
        <w:spacing w:after="0" w:line="300" w:lineRule="auto"/>
        <w:tabs>
          <w:tab w:leader="none" w:pos="118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b w:val="1"/>
          <w:bCs w:val="1"/>
          <w:color w:val="auto"/>
        </w:rPr>
        <w:t xml:space="preserve">Permitted Interest: </w:t>
      </w:r>
      <w:r>
        <w:rPr>
          <w:rFonts w:ascii="Arial" w:cs="Arial" w:eastAsia="Arial" w:hAnsi="Arial"/>
          <w:sz w:val="19"/>
          <w:szCs w:val="19"/>
          <w:color w:val="auto"/>
        </w:rPr>
        <w:t>an interest in any class of shares or other securities of any company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traded on a recognised investment exchange which amount to not more than 3% of such class of issued shares or securities and an interest in any units of any authorised unit trust.</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b w:val="1"/>
          <w:bCs w:val="1"/>
          <w:color w:val="auto"/>
        </w:rPr>
        <w:t xml:space="preserve">Restricted Area: </w:t>
      </w:r>
      <w:r>
        <w:rPr>
          <w:rFonts w:ascii="Arial" w:cs="Arial" w:eastAsia="Arial" w:hAnsi="Arial"/>
          <w:sz w:val="19"/>
          <w:szCs w:val="19"/>
          <w:color w:val="auto"/>
        </w:rPr>
        <w:t>England, Scotland, Wales or Northern Ireland.</w:t>
      </w:r>
    </w:p>
    <w:p>
      <w:pPr>
        <w:spacing w:after="0" w:line="112" w:lineRule="exact"/>
        <w:rPr>
          <w:sz w:val="20"/>
          <w:szCs w:val="20"/>
          <w:color w:val="auto"/>
        </w:rPr>
      </w:pPr>
    </w:p>
    <w:p>
      <w:pPr>
        <w:ind w:left="1200" w:hanging="768"/>
        <w:spacing w:after="0" w:line="300" w:lineRule="auto"/>
        <w:tabs>
          <w:tab w:leader="none" w:pos="118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b w:val="1"/>
          <w:bCs w:val="1"/>
          <w:color w:val="auto"/>
        </w:rPr>
        <w:t xml:space="preserve">Restricted Business: </w:t>
      </w:r>
      <w:r>
        <w:rPr>
          <w:rFonts w:ascii="Arial" w:cs="Arial" w:eastAsia="Arial" w:hAnsi="Arial"/>
          <w:sz w:val="19"/>
          <w:szCs w:val="19"/>
          <w:color w:val="auto"/>
        </w:rPr>
        <w:t>the research, acquisition, development and / or commercialisation of innovative</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by the Company or any Group Company as at the Termination Date and with which the Employee was involved to a material extent on the Termination Date or at any time during the Period.</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b w:val="1"/>
          <w:bCs w:val="1"/>
          <w:color w:val="auto"/>
        </w:rPr>
        <w:t>SSP</w:t>
      </w:r>
      <w:r>
        <w:rPr>
          <w:rFonts w:ascii="Arial" w:cs="Arial" w:eastAsia="Arial" w:hAnsi="Arial"/>
          <w:sz w:val="19"/>
          <w:szCs w:val="19"/>
          <w:color w:val="auto"/>
        </w:rPr>
        <w:t>: statutory sick pay.</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b w:val="1"/>
          <w:bCs w:val="1"/>
          <w:color w:val="auto"/>
        </w:rPr>
        <w:t>Staff Handbook</w:t>
      </w:r>
      <w:r>
        <w:rPr>
          <w:rFonts w:ascii="Arial" w:cs="Arial" w:eastAsia="Arial" w:hAnsi="Arial"/>
          <w:sz w:val="19"/>
          <w:szCs w:val="19"/>
          <w:color w:val="auto"/>
        </w:rPr>
        <w:t>: the Company’s staff handbook as amended from time to time.</w:t>
      </w:r>
    </w:p>
    <w:p>
      <w:pPr>
        <w:spacing w:after="0" w:line="112" w:lineRule="exact"/>
        <w:rPr>
          <w:sz w:val="20"/>
          <w:szCs w:val="20"/>
          <w:color w:val="auto"/>
        </w:rPr>
      </w:pPr>
    </w:p>
    <w:p>
      <w:pPr>
        <w:ind w:left="1200" w:right="100" w:hanging="768"/>
        <w:spacing w:after="0" w:line="239" w:lineRule="auto"/>
        <w:tabs>
          <w:tab w:leader="none" w:pos="118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22"/>
          <w:szCs w:val="22"/>
          <w:b w:val="1"/>
          <w:bCs w:val="1"/>
          <w:color w:val="auto"/>
        </w:rPr>
        <w:t>Subsidiary and Holding Company</w:t>
      </w:r>
      <w:r>
        <w:rPr>
          <w:rFonts w:ascii="Arial" w:cs="Arial" w:eastAsia="Arial" w:hAnsi="Arial"/>
          <w:sz w:val="22"/>
          <w:szCs w:val="22"/>
          <w:color w:val="auto"/>
        </w:rPr>
        <w:t>: in relation to a company mean “subsidiary” and “holding</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defined in section 1159 of the Companies Act 2006 and a company shall be treated, for the purposes only of the membership requirement contained in subsections 1159(1)(b) and (c), as a member of another company</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0000"/>
          </w:cols>
          <w:pgMar w:left="1440" w:top="260" w:right="459" w:bottom="1440" w:gutter="0" w:footer="0" w:header="0"/>
        </w:sectPr>
      </w:pPr>
    </w:p>
    <w:bookmarkStart w:id="378" w:name="page379"/>
    <w:bookmarkEnd w:id="378"/>
    <w:p>
      <w:pPr>
        <w:ind w:left="2204" w:right="12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 if its shares in that other company are registered in the name of (a) another person (or its nominee), whether by way of security or in connection with the taking of security, or (b) a nominee.</w:t>
      </w:r>
    </w:p>
    <w:p>
      <w:pPr>
        <w:spacing w:after="0" w:line="4"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the date of termination or expiration of this Contract.</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headings in this Contract are inserted for convenience only and shall not affect its construction.</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A reference to a particular law is a reference to it as it is in force for the time being taking account of any amendment,</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extension, or re-enactment and includes any subordinate legislation for the time being in force made under it.</w:t>
      </w:r>
    </w:p>
    <w:p>
      <w:pPr>
        <w:spacing w:after="0" w:line="9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the context otherwise requires, a reference to one gender shall include a reference to the other genders.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Unless the context otherwise requires, words in the singular include the plural and in the plural include the singular.</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The schedules to this Contract form part of (and are incorporated into) this Contract.</w:t>
      </w:r>
    </w:p>
    <w:p>
      <w:pPr>
        <w:spacing w:after="0" w:line="349" w:lineRule="exact"/>
        <w:rPr>
          <w:sz w:val="20"/>
          <w:szCs w:val="20"/>
          <w:color w:val="auto"/>
        </w:rPr>
      </w:pPr>
    </w:p>
    <w:p>
      <w:pPr>
        <w:ind w:left="764" w:hanging="764"/>
        <w:spacing w:after="0"/>
        <w:tabs>
          <w:tab w:leader="none" w:pos="764" w:val="left"/>
        </w:tabs>
        <w:numPr>
          <w:ilvl w:val="0"/>
          <w:numId w:val="367"/>
        </w:numPr>
        <w:rPr>
          <w:rFonts w:ascii="Arial" w:cs="Arial" w:eastAsia="Arial" w:hAnsi="Arial"/>
          <w:sz w:val="22"/>
          <w:szCs w:val="22"/>
          <w:b w:val="1"/>
          <w:bCs w:val="1"/>
          <w:color w:val="auto"/>
        </w:rPr>
      </w:pPr>
      <w:r>
        <w:rPr>
          <w:rFonts w:ascii="Arial" w:cs="Arial" w:eastAsia="Arial" w:hAnsi="Arial"/>
          <w:sz w:val="22"/>
          <w:szCs w:val="22"/>
          <w:b w:val="1"/>
          <w:bCs w:val="1"/>
          <w:color w:val="auto"/>
        </w:rPr>
        <w:t>Term of Appointment</w:t>
      </w:r>
    </w:p>
    <w:p>
      <w:pPr>
        <w:spacing w:after="0" w:line="118"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The Appointment shall commence on the Commencement Date and shall continue, subject to the remaining terms of this Contract, until terminated by either party giving the other not less than 6 months’ prior notice (or the statutory minimum notice, whichever is the greater) in writing.</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[This clause intentionally blank].</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No employment with a previous employer counts towards the Employee’s period of continuous employment with the Company.</w:t>
      </w:r>
    </w:p>
    <w:p>
      <w:pPr>
        <w:spacing w:after="0" w:line="80" w:lineRule="exact"/>
        <w:rPr>
          <w:sz w:val="20"/>
          <w:szCs w:val="20"/>
          <w:color w:val="auto"/>
        </w:rPr>
      </w:pPr>
    </w:p>
    <w:p>
      <w:pPr>
        <w:ind w:left="764" w:right="100" w:hanging="768"/>
        <w:spacing w:after="0" w:line="250" w:lineRule="auto"/>
        <w:tabs>
          <w:tab w:leader="none" w:pos="744"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The Employee consents to the transfer of his employment under this Contract to an Associated Employer at any time during the Appointment.</w:t>
      </w:r>
    </w:p>
    <w:p>
      <w:pPr>
        <w:spacing w:after="0" w:line="317" w:lineRule="exact"/>
        <w:rPr>
          <w:sz w:val="20"/>
          <w:szCs w:val="20"/>
          <w:color w:val="auto"/>
        </w:rPr>
      </w:pPr>
    </w:p>
    <w:p>
      <w:pPr>
        <w:ind w:left="764" w:hanging="764"/>
        <w:spacing w:after="0"/>
        <w:tabs>
          <w:tab w:leader="none" w:pos="764" w:val="left"/>
        </w:tabs>
        <w:numPr>
          <w:ilvl w:val="0"/>
          <w:numId w:val="368"/>
        </w:numPr>
        <w:rPr>
          <w:rFonts w:ascii="Arial" w:cs="Arial" w:eastAsia="Arial" w:hAnsi="Arial"/>
          <w:sz w:val="22"/>
          <w:szCs w:val="22"/>
          <w:b w:val="1"/>
          <w:bCs w:val="1"/>
          <w:color w:val="auto"/>
        </w:rPr>
      </w:pPr>
      <w:r>
        <w:rPr>
          <w:rFonts w:ascii="Arial" w:cs="Arial" w:eastAsia="Arial" w:hAnsi="Arial"/>
          <w:sz w:val="22"/>
          <w:szCs w:val="22"/>
          <w:b w:val="1"/>
          <w:bCs w:val="1"/>
          <w:color w:val="auto"/>
        </w:rPr>
        <w:t>Employee Warranties</w:t>
      </w:r>
    </w:p>
    <w:p>
      <w:pPr>
        <w:spacing w:after="0" w:line="118"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92" w:lineRule="exact"/>
        <w:rPr>
          <w:sz w:val="20"/>
          <w:szCs w:val="20"/>
          <w:color w:val="auto"/>
        </w:rPr>
      </w:pPr>
    </w:p>
    <w:p>
      <w:pPr>
        <w:ind w:left="764" w:right="40" w:hanging="768"/>
        <w:spacing w:after="0"/>
        <w:tabs>
          <w:tab w:leader="none" w:pos="744"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92" w:lineRule="exact"/>
        <w:rPr>
          <w:sz w:val="20"/>
          <w:szCs w:val="20"/>
          <w:color w:val="auto"/>
        </w:rPr>
      </w:pPr>
    </w:p>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You warrant that you are entitled to work in the UK without any additional approvals and will notify the Company immediately if you cease to be so entitled at any time during the Appointment.</w:t>
      </w:r>
    </w:p>
    <w:p>
      <w:pPr>
        <w:spacing w:after="0" w:line="107" w:lineRule="exact"/>
        <w:rPr>
          <w:sz w:val="20"/>
          <w:szCs w:val="20"/>
          <w:color w:val="auto"/>
        </w:rPr>
      </w:pPr>
    </w:p>
    <w:p>
      <w:pPr>
        <w:jc w:val="center"/>
        <w:ind w:right="-63"/>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0964"/>
          </w:cols>
          <w:pgMar w:left="436" w:top="266" w:right="499" w:bottom="1440" w:gutter="0" w:footer="0" w:header="0"/>
        </w:sectPr>
      </w:pPr>
    </w:p>
    <w:bookmarkStart w:id="379" w:name="page380"/>
    <w:bookmarkEnd w:id="379"/>
    <w:p>
      <w:pPr>
        <w:ind w:left="764" w:hanging="764"/>
        <w:spacing w:after="0"/>
        <w:tabs>
          <w:tab w:leader="none" w:pos="764" w:val="left"/>
        </w:tabs>
        <w:numPr>
          <w:ilvl w:val="0"/>
          <w:numId w:val="369"/>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Job Title and Reporting</w:t>
      </w:r>
    </w:p>
    <w:p>
      <w:pPr>
        <w:spacing w:after="0" w:line="104" w:lineRule="exact"/>
        <w:rPr>
          <w:rFonts w:ascii="Arial" w:cs="Arial" w:eastAsia="Arial" w:hAnsi="Arial"/>
          <w:sz w:val="22"/>
          <w:szCs w:val="22"/>
          <w:b w:val="1"/>
          <w:bCs w:val="1"/>
          <w:color w:val="auto"/>
        </w:rPr>
      </w:pPr>
    </w:p>
    <w:p>
      <w:pPr>
        <w:ind w:left="764" w:right="50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Your job title is Chief Patient Access and Commercial Planning and you will report to the Manager or such other person as may be authorised by the Company and notified to you.</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369"/>
        </w:numPr>
        <w:rPr>
          <w:rFonts w:ascii="Arial" w:cs="Arial" w:eastAsia="Arial" w:hAnsi="Arial"/>
          <w:sz w:val="22"/>
          <w:szCs w:val="22"/>
          <w:b w:val="1"/>
          <w:bCs w:val="1"/>
          <w:color w:val="auto"/>
        </w:rPr>
      </w:pPr>
      <w:r>
        <w:rPr>
          <w:rFonts w:ascii="Arial" w:cs="Arial" w:eastAsia="Arial" w:hAnsi="Arial"/>
          <w:sz w:val="22"/>
          <w:szCs w:val="22"/>
          <w:b w:val="1"/>
          <w:bCs w:val="1"/>
          <w:color w:val="auto"/>
        </w:rPr>
        <w:t>Job Description and Duties</w:t>
      </w:r>
    </w:p>
    <w:p>
      <w:pPr>
        <w:spacing w:after="0" w:line="118" w:lineRule="exact"/>
        <w:rPr>
          <w:sz w:val="20"/>
          <w:szCs w:val="20"/>
          <w:color w:val="auto"/>
        </w:rPr>
      </w:pPr>
    </w:p>
    <w:p>
      <w:pPr>
        <w:ind w:left="764" w:right="40" w:hanging="768"/>
        <w:spacing w:after="0" w:line="238" w:lineRule="auto"/>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You must perform your job to the best of your ability and to comply with any duties implied by law.</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During the Appointment you shall:</w:t>
      </w:r>
    </w:p>
    <w:p>
      <w:pPr>
        <w:spacing w:after="0" w:line="112" w:lineRule="exact"/>
        <w:rPr>
          <w:sz w:val="20"/>
          <w:szCs w:val="20"/>
          <w:color w:val="auto"/>
        </w:rPr>
      </w:pPr>
    </w:p>
    <w:p>
      <w:pPr>
        <w:ind w:left="2204" w:right="120" w:hanging="768"/>
        <w:spacing w:after="0" w:line="328" w:lineRule="auto"/>
        <w:tabs>
          <w:tab w:leader="none" w:pos="2184"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color w:val="auto"/>
        </w:rPr>
        <w:t>unless prevented by Incapacity, devote substantially the whole of your time, attention and abilities to the business of the Company and any Group Company of which you are an officer or consultant;</w:t>
      </w:r>
    </w:p>
    <w:p>
      <w:pPr>
        <w:spacing w:after="0" w:line="10" w:lineRule="exact"/>
        <w:rPr>
          <w:sz w:val="20"/>
          <w:szCs w:val="20"/>
          <w:color w:val="auto"/>
        </w:rPr>
      </w:pPr>
    </w:p>
    <w:p>
      <w:pPr>
        <w:jc w:val="both"/>
        <w:ind w:left="2204" w:hanging="768"/>
        <w:spacing w:after="0"/>
        <w:tabs>
          <w:tab w:leader="none" w:pos="2184" w:val="left"/>
        </w:tabs>
        <w:rPr>
          <w:sz w:val="20"/>
          <w:szCs w:val="20"/>
          <w:color w:val="auto"/>
        </w:rPr>
      </w:pPr>
      <w:r>
        <w:rPr>
          <w:rFonts w:ascii="Arial" w:cs="Arial" w:eastAsia="Arial" w:hAnsi="Arial"/>
          <w:sz w:val="22"/>
          <w:szCs w:val="22"/>
          <w:color w:val="auto"/>
        </w:rPr>
        <w:t>5.3.2</w:t>
      </w:r>
      <w:r>
        <w:rPr>
          <w:sz w:val="20"/>
          <w:szCs w:val="20"/>
          <w:color w:val="auto"/>
        </w:rPr>
        <w:tab/>
      </w:r>
      <w:r>
        <w:rPr>
          <w:rFonts w:ascii="Arial" w:cs="Arial" w:eastAsia="Arial" w:hAnsi="Arial"/>
          <w:sz w:val="22"/>
          <w:szCs w:val="22"/>
          <w:color w:val="auto"/>
        </w:rPr>
        <w:t>diligently exercise such powers and perform such duties as may from time to time be assigned to you by the Company together with such person or persons as the Company may appoint to act jointly with you;</w:t>
      </w:r>
    </w:p>
    <w:p>
      <w:pPr>
        <w:spacing w:after="0" w:line="9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5.3.3</w:t>
      </w:r>
      <w:r>
        <w:rPr>
          <w:sz w:val="20"/>
          <w:szCs w:val="20"/>
          <w:color w:val="auto"/>
        </w:rPr>
        <w:tab/>
      </w:r>
      <w:r>
        <w:rPr>
          <w:rFonts w:ascii="Arial" w:cs="Arial" w:eastAsia="Arial" w:hAnsi="Arial"/>
          <w:sz w:val="19"/>
          <w:szCs w:val="19"/>
          <w:color w:val="auto"/>
        </w:rPr>
        <w:t>comply with all reasonable and lawful directions given to you by the Company;</w:t>
      </w:r>
    </w:p>
    <w:p>
      <w:pPr>
        <w:spacing w:after="0" w:line="112" w:lineRule="exact"/>
        <w:rPr>
          <w:sz w:val="20"/>
          <w:szCs w:val="20"/>
          <w:color w:val="auto"/>
        </w:rPr>
      </w:pPr>
    </w:p>
    <w:p>
      <w:pPr>
        <w:ind w:left="2204" w:right="240" w:hanging="768"/>
        <w:spacing w:after="0" w:line="250" w:lineRule="auto"/>
        <w:tabs>
          <w:tab w:leader="none" w:pos="2184" w:val="left"/>
        </w:tabs>
        <w:rPr>
          <w:sz w:val="20"/>
          <w:szCs w:val="20"/>
          <w:color w:val="auto"/>
        </w:rPr>
      </w:pPr>
      <w:r>
        <w:rPr>
          <w:rFonts w:ascii="Arial" w:cs="Arial" w:eastAsia="Arial" w:hAnsi="Arial"/>
          <w:sz w:val="22"/>
          <w:szCs w:val="22"/>
          <w:color w:val="auto"/>
        </w:rPr>
        <w:t>5.3.4</w:t>
      </w:r>
      <w:r>
        <w:rPr>
          <w:sz w:val="20"/>
          <w:szCs w:val="20"/>
          <w:color w:val="auto"/>
        </w:rPr>
        <w:tab/>
      </w:r>
      <w:r>
        <w:rPr>
          <w:rFonts w:ascii="Arial" w:cs="Arial" w:eastAsia="Arial" w:hAnsi="Arial"/>
          <w:sz w:val="22"/>
          <w:szCs w:val="22"/>
          <w:color w:val="auto"/>
        </w:rPr>
        <w:t>promptly make such reports to your Manager in connection with the affairs of any Group Company on such matters and at such times as are reasonably required;</w:t>
      </w:r>
    </w:p>
    <w:p>
      <w:pPr>
        <w:spacing w:after="0" w:line="80" w:lineRule="exact"/>
        <w:rPr>
          <w:sz w:val="20"/>
          <w:szCs w:val="20"/>
          <w:color w:val="auto"/>
        </w:rPr>
      </w:pPr>
    </w:p>
    <w:p>
      <w:pPr>
        <w:ind w:left="2204" w:right="100" w:hanging="768"/>
        <w:spacing w:after="0" w:line="328" w:lineRule="auto"/>
        <w:tabs>
          <w:tab w:leader="none" w:pos="2184" w:val="left"/>
        </w:tabs>
        <w:rPr>
          <w:sz w:val="20"/>
          <w:szCs w:val="20"/>
          <w:color w:val="auto"/>
        </w:rPr>
      </w:pPr>
      <w:r>
        <w:rPr>
          <w:rFonts w:ascii="Arial" w:cs="Arial" w:eastAsia="Arial" w:hAnsi="Arial"/>
          <w:sz w:val="22"/>
          <w:szCs w:val="22"/>
          <w:color w:val="auto"/>
        </w:rPr>
        <w:t>5.3.5</w:t>
      </w:r>
      <w:r>
        <w:rPr>
          <w:sz w:val="20"/>
          <w:szCs w:val="20"/>
          <w:color w:val="auto"/>
        </w:rPr>
        <w:tab/>
      </w:r>
      <w:r>
        <w:rPr>
          <w:rFonts w:ascii="Arial" w:cs="Arial" w:eastAsia="Arial" w:hAnsi="Arial"/>
          <w:sz w:val="19"/>
          <w:szCs w:val="19"/>
          <w:color w:val="auto"/>
        </w:rPr>
        <w:t>report your own wrongdoing and any wrongdoing or proposed wrongdoing of any other employee or director of any Group Company to your Manager immediately on becoming aware of it;</w:t>
      </w:r>
    </w:p>
    <w:p>
      <w:pPr>
        <w:spacing w:after="0" w:line="10" w:lineRule="exact"/>
        <w:rPr>
          <w:sz w:val="20"/>
          <w:szCs w:val="20"/>
          <w:color w:val="auto"/>
        </w:rPr>
      </w:pPr>
    </w:p>
    <w:p>
      <w:pPr>
        <w:ind w:left="2204" w:right="840" w:hanging="768"/>
        <w:spacing w:after="0" w:line="250" w:lineRule="auto"/>
        <w:tabs>
          <w:tab w:leader="none" w:pos="2184" w:val="left"/>
        </w:tabs>
        <w:rPr>
          <w:sz w:val="20"/>
          <w:szCs w:val="20"/>
          <w:color w:val="auto"/>
        </w:rPr>
      </w:pPr>
      <w:r>
        <w:rPr>
          <w:rFonts w:ascii="Arial" w:cs="Arial" w:eastAsia="Arial" w:hAnsi="Arial"/>
          <w:sz w:val="22"/>
          <w:szCs w:val="22"/>
          <w:color w:val="auto"/>
        </w:rPr>
        <w:t>5.3.6</w:t>
      </w:r>
      <w:r>
        <w:rPr>
          <w:sz w:val="20"/>
          <w:szCs w:val="20"/>
          <w:color w:val="auto"/>
        </w:rPr>
        <w:tab/>
      </w:r>
      <w:r>
        <w:rPr>
          <w:rFonts w:ascii="Arial" w:cs="Arial" w:eastAsia="Arial" w:hAnsi="Arial"/>
          <w:sz w:val="22"/>
          <w:szCs w:val="22"/>
          <w:color w:val="auto"/>
        </w:rPr>
        <w:t>use your best endeavours to promote, protect, develop and extend the business of any Group Company; and</w:t>
      </w:r>
    </w:p>
    <w:p>
      <w:pPr>
        <w:spacing w:after="0" w:line="80" w:lineRule="exact"/>
        <w:rPr>
          <w:sz w:val="20"/>
          <w:szCs w:val="20"/>
          <w:color w:val="auto"/>
        </w:rPr>
      </w:pPr>
    </w:p>
    <w:p>
      <w:pPr>
        <w:ind w:left="2204" w:right="300" w:hanging="768"/>
        <w:spacing w:after="0"/>
        <w:tabs>
          <w:tab w:leader="none" w:pos="2184" w:val="left"/>
        </w:tabs>
        <w:rPr>
          <w:sz w:val="20"/>
          <w:szCs w:val="20"/>
          <w:color w:val="auto"/>
        </w:rPr>
      </w:pPr>
      <w:r>
        <w:rPr>
          <w:rFonts w:ascii="Arial" w:cs="Arial" w:eastAsia="Arial" w:hAnsi="Arial"/>
          <w:sz w:val="22"/>
          <w:szCs w:val="22"/>
          <w:color w:val="auto"/>
        </w:rPr>
        <w:t>5.3.7</w:t>
      </w:r>
      <w:r>
        <w:rPr>
          <w:sz w:val="20"/>
          <w:szCs w:val="20"/>
          <w:color w:val="auto"/>
        </w:rPr>
        <w:tab/>
      </w:r>
      <w:r>
        <w:rPr>
          <w:rFonts w:ascii="Arial" w:cs="Arial" w:eastAsia="Arial" w:hAnsi="Arial"/>
          <w:sz w:val="22"/>
          <w:szCs w:val="22"/>
          <w:color w:val="auto"/>
        </w:rPr>
        <w:t>consent to the Company monitoring and recording any use that you make of the Company’s electronic communications systems for the purpose of ensuring that the Company’s rules are being complied with and for legitimate business purposes.</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You shall comply with the Company’s anti-corruption and bribery policy and related procedures at all times.</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024"/>
          </w:cols>
          <w:pgMar w:left="436" w:top="260" w:right="439" w:bottom="1440" w:gutter="0" w:footer="0" w:header="0"/>
        </w:sectPr>
      </w:pPr>
    </w:p>
    <w:bookmarkStart w:id="380" w:name="page381"/>
    <w:bookmarkEnd w:id="380"/>
    <w:p>
      <w:pPr>
        <w:jc w:val="both"/>
        <w:ind w:left="764" w:right="60" w:hanging="768"/>
        <w:spacing w:after="0" w:line="257"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w:t>
      </w:r>
      <w:r>
        <w:rPr>
          <w:sz w:val="20"/>
          <w:szCs w:val="20"/>
          <w:color w:val="auto"/>
        </w:rPr>
        <w:tab/>
      </w:r>
      <w:r>
        <w:rPr>
          <w:rFonts w:ascii="Arial" w:cs="Arial" w:eastAsia="Arial" w:hAnsi="Arial"/>
          <w:sz w:val="21"/>
          <w:szCs w:val="21"/>
          <w:color w:val="auto"/>
        </w:rPr>
        <w:t>You shall comply with any rules, policies and procedures set out in the Staff Handbook. The Staff Handbook does not form part of this Contract and the Company may amend it at any time. To the extent that there is any conflict between the terms of this Contract and the Staff Handbook, this Contract shall prevail.</w:t>
      </w:r>
    </w:p>
    <w:p>
      <w:pPr>
        <w:spacing w:after="0" w:line="75"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9" w:lineRule="exact"/>
        <w:rPr>
          <w:sz w:val="20"/>
          <w:szCs w:val="20"/>
          <w:color w:val="auto"/>
        </w:rPr>
      </w:pPr>
    </w:p>
    <w:p>
      <w:pPr>
        <w:ind w:left="764" w:hanging="764"/>
        <w:spacing w:after="0"/>
        <w:tabs>
          <w:tab w:leader="none" w:pos="764" w:val="left"/>
        </w:tabs>
        <w:numPr>
          <w:ilvl w:val="0"/>
          <w:numId w:val="370"/>
        </w:numPr>
        <w:rPr>
          <w:rFonts w:ascii="Arial" w:cs="Arial" w:eastAsia="Arial" w:hAnsi="Arial"/>
          <w:sz w:val="22"/>
          <w:szCs w:val="22"/>
          <w:b w:val="1"/>
          <w:bCs w:val="1"/>
          <w:color w:val="auto"/>
        </w:rPr>
      </w:pPr>
      <w:r>
        <w:rPr>
          <w:rFonts w:ascii="Arial" w:cs="Arial" w:eastAsia="Arial" w:hAnsi="Arial"/>
          <w:sz w:val="22"/>
          <w:szCs w:val="22"/>
          <w:b w:val="1"/>
          <w:bCs w:val="1"/>
          <w:color w:val="auto"/>
        </w:rPr>
        <w:t>Location</w:t>
      </w:r>
    </w:p>
    <w:p>
      <w:pPr>
        <w:spacing w:after="0" w:line="118" w:lineRule="exact"/>
        <w:rPr>
          <w:sz w:val="20"/>
          <w:szCs w:val="20"/>
          <w:color w:val="auto"/>
        </w:rPr>
      </w:pPr>
    </w:p>
    <w:p>
      <w:pPr>
        <w:ind w:left="764" w:right="180" w:hanging="768"/>
        <w:spacing w:after="0" w:line="274"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Your normal place of work is the Company’s offices at 1 Cavendish Place, London W1G 0QF or such other place as the Company may reasonably determine for the proper performance and exercise of your duties.</w:t>
      </w:r>
    </w:p>
    <w:p>
      <w:pPr>
        <w:spacing w:after="0" w:line="56" w:lineRule="exact"/>
        <w:rPr>
          <w:sz w:val="20"/>
          <w:szCs w:val="20"/>
          <w:color w:val="auto"/>
        </w:rPr>
      </w:pPr>
    </w:p>
    <w:p>
      <w:pPr>
        <w:ind w:left="764" w:right="60" w:hanging="768"/>
        <w:spacing w:after="0" w:line="297" w:lineRule="auto"/>
        <w:tabs>
          <w:tab w:leader="none" w:pos="744"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39" w:lineRule="exact"/>
        <w:rPr>
          <w:sz w:val="20"/>
          <w:szCs w:val="20"/>
          <w:color w:val="auto"/>
        </w:rPr>
      </w:pPr>
    </w:p>
    <w:p>
      <w:pPr>
        <w:ind w:left="764" w:right="580" w:hanging="768"/>
        <w:spacing w:after="0" w:line="250" w:lineRule="auto"/>
        <w:tabs>
          <w:tab w:leader="none" w:pos="744"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You agree to travel on any Group Company’s business (both within the United Kingdom and abroad) as may be required for the proper performance of your duties under the Appointment.</w:t>
      </w:r>
    </w:p>
    <w:p>
      <w:pPr>
        <w:spacing w:after="0" w:line="317" w:lineRule="exact"/>
        <w:rPr>
          <w:sz w:val="20"/>
          <w:szCs w:val="20"/>
          <w:color w:val="auto"/>
        </w:rPr>
      </w:pPr>
    </w:p>
    <w:p>
      <w:pPr>
        <w:ind w:left="764" w:hanging="764"/>
        <w:spacing w:after="0"/>
        <w:tabs>
          <w:tab w:leader="none" w:pos="764" w:val="left"/>
        </w:tabs>
        <w:numPr>
          <w:ilvl w:val="0"/>
          <w:numId w:val="371"/>
        </w:numPr>
        <w:rPr>
          <w:rFonts w:ascii="Arial" w:cs="Arial" w:eastAsia="Arial" w:hAnsi="Arial"/>
          <w:sz w:val="22"/>
          <w:szCs w:val="22"/>
          <w:b w:val="1"/>
          <w:bCs w:val="1"/>
          <w:color w:val="auto"/>
        </w:rPr>
      </w:pPr>
      <w:r>
        <w:rPr>
          <w:rFonts w:ascii="Arial" w:cs="Arial" w:eastAsia="Arial" w:hAnsi="Arial"/>
          <w:sz w:val="22"/>
          <w:szCs w:val="22"/>
          <w:b w:val="1"/>
          <w:bCs w:val="1"/>
          <w:color w:val="auto"/>
        </w:rPr>
        <w:t>Hours of Work</w:t>
      </w:r>
    </w:p>
    <w:p>
      <w:pPr>
        <w:spacing w:after="0" w:line="118" w:lineRule="exact"/>
        <w:rPr>
          <w:sz w:val="20"/>
          <w:szCs w:val="20"/>
          <w:color w:val="auto"/>
        </w:rPr>
      </w:pPr>
    </w:p>
    <w:p>
      <w:pPr>
        <w:jc w:val="both"/>
        <w:ind w:left="764" w:right="740" w:hanging="768"/>
        <w:spacing w:after="0" w:line="297"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Your normal working hours are from 09:00 to 17:00 for four working days a week, excluding public and bank holidays of England and Wales, together with such additional hours, on week days (including public and bank holidays of England and Wales) or weekends, as may be necessary for the proper performance of your duties.</w:t>
      </w:r>
    </w:p>
    <w:p>
      <w:pPr>
        <w:spacing w:after="0" w:line="33" w:lineRule="exact"/>
        <w:rPr>
          <w:sz w:val="20"/>
          <w:szCs w:val="20"/>
          <w:color w:val="auto"/>
        </w:rPr>
      </w:pPr>
    </w:p>
    <w:p>
      <w:pPr>
        <w:ind w:left="764" w:right="80" w:hanging="768"/>
        <w:spacing w:after="0" w:line="260" w:lineRule="auto"/>
        <w:tabs>
          <w:tab w:leader="none" w:pos="744"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Regulation 4(1) of the Working Time Regulations 1998 (the “</w:t>
      </w:r>
      <w:r>
        <w:rPr>
          <w:rFonts w:ascii="Arial" w:cs="Arial" w:eastAsia="Arial" w:hAnsi="Arial"/>
          <w:sz w:val="21"/>
          <w:szCs w:val="21"/>
          <w:b w:val="1"/>
          <w:bCs w:val="1"/>
          <w:color w:val="auto"/>
        </w:rPr>
        <w:t>WTR</w:t>
      </w:r>
      <w:r>
        <w:rPr>
          <w:rFonts w:ascii="Arial" w:cs="Arial" w:eastAsia="Arial" w:hAnsi="Arial"/>
          <w:sz w:val="21"/>
          <w:szCs w:val="21"/>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58" w:lineRule="exact"/>
        <w:rPr>
          <w:sz w:val="20"/>
          <w:szCs w:val="20"/>
          <w:color w:val="auto"/>
        </w:rPr>
      </w:pPr>
    </w:p>
    <w:p>
      <w:pPr>
        <w:ind w:left="764"/>
        <w:spacing w:after="0" w:line="236" w:lineRule="auto"/>
        <w:rPr>
          <w:sz w:val="20"/>
          <w:szCs w:val="20"/>
          <w:color w:val="auto"/>
        </w:rPr>
      </w:pPr>
      <w:r>
        <w:rPr>
          <w:rFonts w:ascii="Arial" w:cs="Arial" w:eastAsia="Arial" w:hAnsi="Arial"/>
          <w:sz w:val="22"/>
          <w:szCs w:val="22"/>
          <w:color w:val="auto"/>
        </w:rPr>
        <w:t>You acknowledge that you hold an executive position with certain autonomous decision taking powers and that the duration of your working time is not measured or predetermined. You agree that you are therefore not subject to regulation 4(1) of the Working Time Regulations 1998 but without prejudice to that you accept that by signing this Contract you have agreed that, insofar as it would apply to your employment with the Company, regulation 4(1) of the Working Time Regulations 1998 shall not apply.</w:t>
      </w:r>
    </w:p>
    <w:p>
      <w:pPr>
        <w:spacing w:after="0" w:line="93" w:lineRule="exact"/>
        <w:rPr>
          <w:sz w:val="20"/>
          <w:szCs w:val="20"/>
          <w:color w:val="auto"/>
        </w:rPr>
      </w:pPr>
    </w:p>
    <w:p>
      <w:pPr>
        <w:ind w:left="764" w:right="20" w:hanging="768"/>
        <w:spacing w:after="0" w:line="328" w:lineRule="auto"/>
        <w:tabs>
          <w:tab w:leader="none" w:pos="744"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At any time during the Appointment, you or the Company may give three months’ prior written notice that the opt-out of clause 7.2 should no longer apply and it will cease to apply with effect from the expiry of the said notice.</w:t>
      </w:r>
    </w:p>
    <w:p>
      <w:pPr>
        <w:spacing w:after="0" w:line="3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004"/>
          </w:cols>
          <w:pgMar w:left="436" w:top="266" w:right="459" w:bottom="1440" w:gutter="0" w:footer="0" w:header="0"/>
        </w:sectPr>
      </w:pPr>
    </w:p>
    <w:bookmarkStart w:id="381" w:name="page382"/>
    <w:bookmarkEnd w:id="381"/>
    <w:p>
      <w:pPr>
        <w:ind w:left="764" w:right="34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r>
      <w:r>
        <w:rPr>
          <w:sz w:val="20"/>
          <w:szCs w:val="20"/>
          <w:color w:val="auto"/>
        </w:rPr>
        <w:tab/>
      </w:r>
      <w:r>
        <w:rPr>
          <w:rFonts w:ascii="Arial" w:cs="Arial" w:eastAsia="Arial" w:hAnsi="Arial"/>
          <w:sz w:val="22"/>
          <w:szCs w:val="22"/>
          <w:color w:val="auto"/>
        </w:rPr>
        <w:t>You will comply with any requests made or measures imposed to enable the Company and/or you to monitor and record your working time.</w:t>
      </w:r>
    </w:p>
    <w:p>
      <w:pPr>
        <w:spacing w:after="0" w:line="317" w:lineRule="exact"/>
        <w:rPr>
          <w:sz w:val="20"/>
          <w:szCs w:val="20"/>
          <w:color w:val="auto"/>
        </w:rPr>
      </w:pPr>
    </w:p>
    <w:p>
      <w:pPr>
        <w:ind w:left="764" w:hanging="764"/>
        <w:spacing w:after="0"/>
        <w:tabs>
          <w:tab w:leader="none" w:pos="764" w:val="left"/>
        </w:tabs>
        <w:numPr>
          <w:ilvl w:val="0"/>
          <w:numId w:val="372"/>
        </w:numPr>
        <w:rPr>
          <w:rFonts w:ascii="Arial" w:cs="Arial" w:eastAsia="Arial" w:hAnsi="Arial"/>
          <w:sz w:val="22"/>
          <w:szCs w:val="22"/>
          <w:b w:val="1"/>
          <w:bCs w:val="1"/>
          <w:color w:val="auto"/>
        </w:rPr>
      </w:pPr>
      <w:r>
        <w:rPr>
          <w:rFonts w:ascii="Arial" w:cs="Arial" w:eastAsia="Arial" w:hAnsi="Arial"/>
          <w:sz w:val="22"/>
          <w:szCs w:val="22"/>
          <w:b w:val="1"/>
          <w:bCs w:val="1"/>
          <w:color w:val="auto"/>
        </w:rPr>
        <w:t>Salary</w:t>
      </w:r>
    </w:p>
    <w:p>
      <w:pPr>
        <w:spacing w:after="0" w:line="112" w:lineRule="exact"/>
        <w:rPr>
          <w:sz w:val="20"/>
          <w:szCs w:val="20"/>
          <w:color w:val="auto"/>
        </w:rPr>
      </w:pPr>
    </w:p>
    <w:p>
      <w:pPr>
        <w:ind w:left="764" w:right="400" w:hanging="768"/>
        <w:spacing w:after="0" w:line="239"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 xml:space="preserve">Your salary is £200,000.00 per annum based on working four days a week for the Company (the </w:t>
      </w:r>
      <w:r>
        <w:rPr>
          <w:rFonts w:ascii="Arial" w:cs="Arial" w:eastAsia="Arial" w:hAnsi="Arial"/>
          <w:sz w:val="22"/>
          <w:szCs w:val="22"/>
          <w:b w:val="1"/>
          <w:bCs w:val="1"/>
          <w:color w:val="auto"/>
        </w:rPr>
        <w:t>“Salary”</w:t>
      </w:r>
      <w:r>
        <w:rPr>
          <w:rFonts w:ascii="Arial" w:cs="Arial" w:eastAsia="Arial" w:hAnsi="Arial"/>
          <w:sz w:val="22"/>
          <w:szCs w:val="22"/>
          <w:color w:val="auto"/>
        </w:rPr>
        <w:t>), less statutory and voluntary deduction. The Salary shall accrue from day to day and be payable by equal monthly instalments in arrears on the last business day of each calendar month directly into your bank or building society account.</w:t>
      </w:r>
    </w:p>
    <w:p>
      <w:pPr>
        <w:spacing w:after="0" w:line="92" w:lineRule="exact"/>
        <w:rPr>
          <w:sz w:val="20"/>
          <w:szCs w:val="20"/>
          <w:color w:val="auto"/>
        </w:rPr>
      </w:pPr>
    </w:p>
    <w:p>
      <w:pPr>
        <w:ind w:left="764" w:right="160" w:hanging="768"/>
        <w:spacing w:after="0" w:line="328" w:lineRule="auto"/>
        <w:tabs>
          <w:tab w:leader="none" w:pos="744"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You will receive no additional payment for any overtime worked. Your Salary will include any director’s, company secretary’s and other fees and emoluments due to you as an officer of the Company or of any Group Company.</w:t>
      </w:r>
    </w:p>
    <w:p>
      <w:pPr>
        <w:spacing w:after="0" w:line="10" w:lineRule="exact"/>
        <w:rPr>
          <w:sz w:val="20"/>
          <w:szCs w:val="20"/>
          <w:color w:val="auto"/>
        </w:rPr>
      </w:pPr>
    </w:p>
    <w:p>
      <w:pPr>
        <w:jc w:val="both"/>
        <w:ind w:left="764" w:right="200" w:hanging="768"/>
        <w:spacing w:after="0" w:line="297" w:lineRule="auto"/>
        <w:tabs>
          <w:tab w:leader="none" w:pos="744"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Your Salary will be reviewed by your Manager annually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39" w:lineRule="exact"/>
        <w:rPr>
          <w:sz w:val="20"/>
          <w:szCs w:val="20"/>
          <w:color w:val="auto"/>
        </w:rPr>
      </w:pPr>
    </w:p>
    <w:p>
      <w:pPr>
        <w:ind w:left="764" w:right="60" w:hanging="768"/>
        <w:spacing w:after="0" w:line="234" w:lineRule="auto"/>
        <w:tabs>
          <w:tab w:leader="none" w:pos="744"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96" w:lineRule="exact"/>
        <w:rPr>
          <w:sz w:val="20"/>
          <w:szCs w:val="20"/>
          <w:color w:val="auto"/>
        </w:rPr>
      </w:pPr>
    </w:p>
    <w:p>
      <w:pPr>
        <w:ind w:left="764" w:right="40" w:hanging="768"/>
        <w:spacing w:after="0" w:line="257" w:lineRule="auto"/>
        <w:tabs>
          <w:tab w:leader="none" w:pos="744"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color w:val="auto"/>
        </w:rPr>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12" w:lineRule="exact"/>
        <w:rPr>
          <w:sz w:val="20"/>
          <w:szCs w:val="20"/>
          <w:color w:val="auto"/>
        </w:rPr>
      </w:pPr>
    </w:p>
    <w:p>
      <w:pPr>
        <w:ind w:left="764" w:hanging="764"/>
        <w:spacing w:after="0"/>
        <w:tabs>
          <w:tab w:leader="none" w:pos="764" w:val="left"/>
        </w:tabs>
        <w:numPr>
          <w:ilvl w:val="0"/>
          <w:numId w:val="373"/>
        </w:numPr>
        <w:rPr>
          <w:rFonts w:ascii="Arial" w:cs="Arial" w:eastAsia="Arial" w:hAnsi="Arial"/>
          <w:sz w:val="22"/>
          <w:szCs w:val="22"/>
          <w:b w:val="1"/>
          <w:bCs w:val="1"/>
          <w:color w:val="auto"/>
        </w:rPr>
      </w:pPr>
      <w:r>
        <w:rPr>
          <w:rFonts w:ascii="Arial" w:cs="Arial" w:eastAsia="Arial" w:hAnsi="Arial"/>
          <w:sz w:val="22"/>
          <w:szCs w:val="22"/>
          <w:b w:val="1"/>
          <w:bCs w:val="1"/>
          <w:color w:val="auto"/>
        </w:rPr>
        <w:t>Discretionary Bonus</w:t>
      </w:r>
    </w:p>
    <w:p>
      <w:pPr>
        <w:spacing w:after="0" w:line="118" w:lineRule="exact"/>
        <w:rPr>
          <w:sz w:val="20"/>
          <w:szCs w:val="20"/>
          <w:color w:val="auto"/>
        </w:rPr>
      </w:pPr>
    </w:p>
    <w:p>
      <w:pPr>
        <w:ind w:left="764" w:right="60" w:hanging="768"/>
        <w:spacing w:after="0" w:line="297" w:lineRule="auto"/>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39" w:lineRule="exact"/>
        <w:rPr>
          <w:sz w:val="20"/>
          <w:szCs w:val="20"/>
          <w:color w:val="auto"/>
        </w:rPr>
      </w:pPr>
    </w:p>
    <w:p>
      <w:pPr>
        <w:ind w:left="764" w:right="560" w:hanging="768"/>
        <w:spacing w:after="0" w:line="328"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The terms of the discretionary bonus scheme are determined by the Company in its absolute discretion and the Company is entitled in its absolute discretion to change the terms of this scheme from year to year.</w:t>
      </w:r>
    </w:p>
    <w:p>
      <w:pPr>
        <w:spacing w:after="0" w:line="1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119" w:lineRule="exact"/>
        <w:rPr>
          <w:sz w:val="20"/>
          <w:szCs w:val="20"/>
          <w:color w:val="auto"/>
        </w:rPr>
      </w:pPr>
    </w:p>
    <w:p>
      <w:pPr>
        <w:jc w:val="center"/>
        <w:ind w:right="-123"/>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0884"/>
          </w:cols>
          <w:pgMar w:left="436" w:top="266" w:right="579" w:bottom="1440" w:gutter="0" w:footer="0" w:header="0"/>
        </w:sectPr>
      </w:pPr>
    </w:p>
    <w:bookmarkStart w:id="382" w:name="page383"/>
    <w:bookmarkEnd w:id="382"/>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9.4</w:t>
      </w:r>
      <w:r>
        <w:rPr>
          <w:sz w:val="20"/>
          <w:szCs w:val="20"/>
          <w:color w:val="auto"/>
        </w:rPr>
        <w:tab/>
      </w:r>
      <w:r>
        <w:rPr>
          <w:rFonts w:ascii="Arial" w:cs="Arial" w:eastAsia="Arial" w:hAnsi="Arial"/>
          <w:sz w:val="22"/>
          <w:szCs w:val="22"/>
          <w:color w:val="auto"/>
        </w:rPr>
        <w:t>If you commence employment part way through the calendar year any sum calculated in accordance with clause 9.2 shall be pro-rated, as appropriate.</w:t>
      </w:r>
    </w:p>
    <w:p>
      <w:pPr>
        <w:spacing w:after="0" w:line="80" w:lineRule="exact"/>
        <w:rPr>
          <w:sz w:val="20"/>
          <w:szCs w:val="20"/>
          <w:color w:val="auto"/>
        </w:rPr>
      </w:pPr>
    </w:p>
    <w:p>
      <w:pPr>
        <w:jc w:val="both"/>
        <w:ind w:left="764" w:right="20" w:hanging="768"/>
        <w:spacing w:after="0"/>
        <w:tabs>
          <w:tab w:leader="none" w:pos="744"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Save as provided in Schedule II, if you are working your period of notice (given by either you or the Company) at the date any bonus is payable to you, or the Appointment is terminated prior to that date, no bonus or pro-rata bonus shall be payable.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Any discretionary bonus payable in accordance with this clause 9 shall not be pensionable.</w:t>
      </w:r>
    </w:p>
    <w:p>
      <w:pPr>
        <w:spacing w:after="0" w:line="349" w:lineRule="exact"/>
        <w:rPr>
          <w:sz w:val="20"/>
          <w:szCs w:val="20"/>
          <w:color w:val="auto"/>
        </w:rPr>
      </w:pPr>
    </w:p>
    <w:p>
      <w:pPr>
        <w:ind w:left="764" w:hanging="764"/>
        <w:spacing w:after="0"/>
        <w:tabs>
          <w:tab w:leader="none" w:pos="764" w:val="left"/>
        </w:tabs>
        <w:numPr>
          <w:ilvl w:val="0"/>
          <w:numId w:val="374"/>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118" w:lineRule="exact"/>
        <w:rPr>
          <w:sz w:val="20"/>
          <w:szCs w:val="20"/>
          <w:color w:val="auto"/>
        </w:rPr>
      </w:pPr>
    </w:p>
    <w:p>
      <w:pPr>
        <w:ind w:left="764" w:right="360" w:hanging="768"/>
        <w:spacing w:after="0" w:line="238" w:lineRule="auto"/>
        <w:tabs>
          <w:tab w:leader="none" w:pos="744"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You shall comply with the Company’s expenses policy as set out in the Staff Handbook from time to time.</w:t>
      </w:r>
    </w:p>
    <w:p>
      <w:pPr>
        <w:spacing w:after="0" w:line="112" w:lineRule="exact"/>
        <w:rPr>
          <w:sz w:val="20"/>
          <w:szCs w:val="20"/>
          <w:color w:val="auto"/>
        </w:rPr>
      </w:pPr>
    </w:p>
    <w:p>
      <w:pPr>
        <w:jc w:val="both"/>
        <w:ind w:left="764" w:right="220" w:hanging="768"/>
        <w:spacing w:after="0"/>
        <w:tabs>
          <w:tab w:leader="none" w:pos="744"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Any expenses charged to a Company credit card must be documented in accordance with Company procedures and approved by the Chief Financial Officer within one month of the date that the credit card statement is received. No personal expenditure may be charged to Company credit cards.</w:t>
      </w:r>
    </w:p>
    <w:p>
      <w:pPr>
        <w:spacing w:after="0" w:line="329" w:lineRule="exact"/>
        <w:rPr>
          <w:sz w:val="20"/>
          <w:szCs w:val="20"/>
          <w:color w:val="auto"/>
        </w:rPr>
      </w:pPr>
    </w:p>
    <w:p>
      <w:pPr>
        <w:ind w:left="764" w:hanging="764"/>
        <w:spacing w:after="0"/>
        <w:tabs>
          <w:tab w:leader="none" w:pos="764" w:val="left"/>
        </w:tabs>
        <w:numPr>
          <w:ilvl w:val="0"/>
          <w:numId w:val="375"/>
        </w:numPr>
        <w:rPr>
          <w:rFonts w:ascii="Arial" w:cs="Arial" w:eastAsia="Arial" w:hAnsi="Arial"/>
          <w:sz w:val="22"/>
          <w:szCs w:val="22"/>
          <w:b w:val="1"/>
          <w:bCs w:val="1"/>
          <w:color w:val="auto"/>
        </w:rPr>
      </w:pPr>
      <w:r>
        <w:rPr>
          <w:rFonts w:ascii="Arial" w:cs="Arial" w:eastAsia="Arial" w:hAnsi="Arial"/>
          <w:sz w:val="22"/>
          <w:szCs w:val="22"/>
          <w:b w:val="1"/>
          <w:bCs w:val="1"/>
          <w:color w:val="auto"/>
        </w:rPr>
        <w:t>Other Employment</w:t>
      </w:r>
    </w:p>
    <w:p>
      <w:pPr>
        <w:spacing w:after="0" w:line="118" w:lineRule="exact"/>
        <w:rPr>
          <w:sz w:val="20"/>
          <w:szCs w:val="20"/>
          <w:color w:val="auto"/>
        </w:rPr>
      </w:pPr>
    </w:p>
    <w:p>
      <w:pPr>
        <w:ind w:left="764" w:right="380" w:hanging="768"/>
        <w:spacing w:after="0" w:line="250" w:lineRule="auto"/>
        <w:tabs>
          <w:tab w:leader="none" w:pos="74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You must devote substantially the whole of your time, attention and abilities during your normal hours of work to your duties for the Company.</w:t>
      </w:r>
    </w:p>
    <w:p>
      <w:pPr>
        <w:spacing w:after="0" w:line="80"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Without the prior written approval of the Board, you may not, whether directly or indirectly, undertake any other job (including voluntary work) or carry on a business, of whatever kind, during your hours of work for the Company. Without the prior written approval of the Board,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w:t>
      </w:r>
    </w:p>
    <w:p>
      <w:pPr>
        <w:spacing w:after="0" w:line="9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color w:val="auto"/>
        </w:rPr>
        <w:t>You may not at any time during the period of your employment by the Company without the prior written consent of the Chief Executive Officer engage, whether directly or indirectly, in any business or employment which is similar to or in any way connected with the business of the Company. Nothing in this clause 11.3 will prevent you from continuing with your activities relating to Phase4 Partners Limited.</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0964"/>
          </w:cols>
          <w:pgMar w:left="436" w:top="266" w:right="499" w:bottom="1440" w:gutter="0" w:footer="0" w:header="0"/>
        </w:sectPr>
      </w:pPr>
    </w:p>
    <w:bookmarkStart w:id="383" w:name="page384"/>
    <w:bookmarkEnd w:id="383"/>
    <w:p>
      <w:pPr>
        <w:ind w:left="764" w:hanging="764"/>
        <w:spacing w:after="0"/>
        <w:tabs>
          <w:tab w:leader="none" w:pos="764" w:val="left"/>
        </w:tabs>
        <w:numPr>
          <w:ilvl w:val="0"/>
          <w:numId w:val="376"/>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Holidays</w:t>
      </w:r>
    </w:p>
    <w:p>
      <w:pPr>
        <w:spacing w:after="0" w:line="118"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In addition to the usual public and bank holidays of England and Wales, you shall be entitled to 20 days’ paid holiday in each complete holiday year worked (and pro rata for any holiday year worked in part) to be taken at such time or times as shall be agreed by your Manager.</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The holiday year runs from 1 January each year to the following 31 December.</w:t>
      </w:r>
    </w:p>
    <w:p>
      <w:pPr>
        <w:spacing w:after="0" w:line="112"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color w:val="auto"/>
        </w:rPr>
        <w:t>Although the Company will agree to your proposed holiday dates wherever possible, it reserves the right to withhold approval where necessary to protect the interests of the business.</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The Company reserves the right to require you to take holiday on certain days to be determined by the Company of up to five days in each holiday year. The Company will notify you of any such requirement prior to the commencement of each holiday year.</w:t>
      </w:r>
    </w:p>
    <w:p>
      <w:pPr>
        <w:spacing w:after="0" w:line="92" w:lineRule="exact"/>
        <w:rPr>
          <w:sz w:val="20"/>
          <w:szCs w:val="20"/>
          <w:color w:val="auto"/>
        </w:rPr>
      </w:pPr>
    </w:p>
    <w:p>
      <w:pPr>
        <w:jc w:val="both"/>
        <w:ind w:left="764" w:right="280" w:hanging="768"/>
        <w:spacing w:after="0"/>
        <w:tabs>
          <w:tab w:leader="none" w:pos="744"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color w:val="auto"/>
        </w:rPr>
        <w:t>A maximum of five days untaken holiday entitlement may be carried forward from one holiday year subject to the prior written agreement of your Manager to the next and no money will be paid in lieu of any such untaken holiday entitlement.</w:t>
      </w:r>
    </w:p>
    <w:p>
      <w:pPr>
        <w:spacing w:after="0" w:line="92" w:lineRule="exact"/>
        <w:rPr>
          <w:sz w:val="20"/>
          <w:szCs w:val="20"/>
          <w:color w:val="auto"/>
        </w:rPr>
      </w:pPr>
    </w:p>
    <w:p>
      <w:pPr>
        <w:ind w:left="764" w:right="200" w:hanging="768"/>
        <w:spacing w:after="0" w:line="252" w:lineRule="auto"/>
        <w:tabs>
          <w:tab w:leader="none" w:pos="744"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color w:val="auto"/>
        </w:rPr>
        <w:t>On termination of the Appointment you shall be entitled to be paid in lieu of holiday accrued but untaken in the holiday year in which termination takes place. Your entitlement to holiday will be calculated on the basis that each day of paid holiday is equal to 1/208 of your salary. Alternatively, you will be required to repay to the Company pay for any holiday taken in excess of your entitlement at the same rate.</w:t>
      </w:r>
    </w:p>
    <w:p>
      <w:pPr>
        <w:spacing w:after="0" w:line="79" w:lineRule="exact"/>
        <w:rPr>
          <w:sz w:val="20"/>
          <w:szCs w:val="20"/>
          <w:color w:val="auto"/>
        </w:rPr>
      </w:pPr>
    </w:p>
    <w:p>
      <w:pPr>
        <w:jc w:val="both"/>
        <w:ind w:left="764" w:right="340" w:hanging="768"/>
        <w:spacing w:after="0"/>
        <w:tabs>
          <w:tab w:leader="none" w:pos="744"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color w:val="auto"/>
        </w:rPr>
        <w:t>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92" w:lineRule="exact"/>
        <w:rPr>
          <w:sz w:val="20"/>
          <w:szCs w:val="20"/>
          <w:color w:val="auto"/>
        </w:rPr>
      </w:pPr>
    </w:p>
    <w:p>
      <w:pPr>
        <w:ind w:left="764" w:right="260" w:hanging="768"/>
        <w:spacing w:after="0" w:line="250" w:lineRule="auto"/>
        <w:tabs>
          <w:tab w:leader="none" w:pos="744"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2"/>
          <w:szCs w:val="22"/>
          <w:color w:val="auto"/>
        </w:rPr>
        <w:t>The Company may require you to take any outstanding holiday entitlement during your notice period or during any period of garden leave as referred to in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The holiday year is also the leave year for parental leave purposes.</w:t>
      </w:r>
    </w:p>
    <w:p>
      <w:pPr>
        <w:spacing w:after="0" w:line="349" w:lineRule="exact"/>
        <w:rPr>
          <w:sz w:val="20"/>
          <w:szCs w:val="20"/>
          <w:color w:val="auto"/>
        </w:rPr>
      </w:pPr>
    </w:p>
    <w:p>
      <w:pPr>
        <w:ind w:left="764" w:hanging="764"/>
        <w:spacing w:after="0"/>
        <w:tabs>
          <w:tab w:leader="none" w:pos="764" w:val="left"/>
        </w:tabs>
        <w:numPr>
          <w:ilvl w:val="0"/>
          <w:numId w:val="377"/>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Sickness or Other Absence</w:t>
      </w:r>
    </w:p>
    <w:p>
      <w:pPr>
        <w:spacing w:after="0" w:line="118" w:lineRule="exact"/>
        <w:rPr>
          <w:sz w:val="20"/>
          <w:szCs w:val="20"/>
          <w:color w:val="auto"/>
        </w:rPr>
      </w:pPr>
    </w:p>
    <w:p>
      <w:pPr>
        <w:ind w:left="764" w:right="380" w:hanging="768"/>
        <w:spacing w:after="0" w:line="328" w:lineRule="auto"/>
        <w:tabs>
          <w:tab w:leader="none" w:pos="744"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If you are absent from work for any reason and your absence has not previously been authorised by your Manager you, or someone on your behalf, must inform your Manager by 10.00 am on each day of absence.</w:t>
      </w:r>
    </w:p>
    <w:p>
      <w:pPr>
        <w:spacing w:after="0" w:line="10"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Any unauthorised absence must be properly explained and in the case of an absence of uncertain duration you must keep the Company informed on a daily basis until you have provided the Company with a medical certificate.</w:t>
      </w:r>
    </w:p>
    <w:p>
      <w:pPr>
        <w:spacing w:after="0" w:line="10" w:lineRule="exact"/>
        <w:rPr>
          <w:sz w:val="20"/>
          <w:szCs w:val="20"/>
          <w:color w:val="auto"/>
        </w:rPr>
      </w:pPr>
    </w:p>
    <w:p>
      <w:pPr>
        <w:jc w:val="both"/>
        <w:ind w:left="764" w:right="40" w:hanging="768"/>
        <w:spacing w:after="0" w:line="257" w:lineRule="auto"/>
        <w:tabs>
          <w:tab w:leader="none" w:pos="744"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004"/>
          </w:cols>
          <w:pgMar w:left="436" w:top="260" w:right="459" w:bottom="1440" w:gutter="0" w:footer="0" w:header="0"/>
        </w:sectPr>
      </w:pPr>
    </w:p>
    <w:bookmarkStart w:id="384" w:name="page385"/>
    <w:bookmarkEnd w:id="384"/>
    <w:p>
      <w:pPr>
        <w:ind w:left="764" w:right="180" w:hanging="768"/>
        <w:spacing w:after="0" w:line="287"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13.4</w:t>
      </w:r>
      <w:r>
        <w:rPr>
          <w:sz w:val="20"/>
          <w:szCs w:val="20"/>
          <w:color w:val="auto"/>
        </w:rPr>
        <w:tab/>
      </w:r>
      <w:r>
        <w:rPr>
          <w:rFonts w:ascii="Arial" w:cs="Arial" w:eastAsia="Arial" w:hAnsi="Arial"/>
          <w:sz w:val="19"/>
          <w:szCs w:val="19"/>
          <w:color w:val="auto"/>
        </w:rPr>
        <w:t>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48" w:lineRule="exact"/>
        <w:rPr>
          <w:sz w:val="20"/>
          <w:szCs w:val="20"/>
          <w:color w:val="auto"/>
        </w:rPr>
      </w:pPr>
    </w:p>
    <w:p>
      <w:pPr>
        <w:ind w:left="764" w:right="280" w:hanging="768"/>
        <w:spacing w:after="0" w:line="250" w:lineRule="auto"/>
        <w:tabs>
          <w:tab w:leader="none" w:pos="744"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2"/>
          <w:szCs w:val="22"/>
          <w:color w:val="auto"/>
        </w:rPr>
        <w:t>Failure to comply with the above procedures may result in disciplinary action and/or the loss of Company sick pay (referred to below) and may also disqualify you from receiving Statutory Sick Pay.</w:t>
      </w:r>
    </w:p>
    <w:p>
      <w:pPr>
        <w:spacing w:after="0" w:line="80" w:lineRule="exact"/>
        <w:rPr>
          <w:sz w:val="20"/>
          <w:szCs w:val="20"/>
          <w:color w:val="auto"/>
        </w:rPr>
      </w:pPr>
    </w:p>
    <w:p>
      <w:pPr>
        <w:ind w:left="764" w:right="200" w:hanging="768"/>
        <w:spacing w:after="0" w:line="250" w:lineRule="auto"/>
        <w:tabs>
          <w:tab w:leader="none" w:pos="744"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2"/>
          <w:szCs w:val="22"/>
          <w:color w:val="auto"/>
        </w:rPr>
        <w:t>Your “qualifying days” for Statutory Sick Pay purposes are those days of the week on which you are due to work in accordance with this contract of employment.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You shall:</w:t>
      </w:r>
    </w:p>
    <w:p>
      <w:pPr>
        <w:spacing w:after="0" w:line="112" w:lineRule="exact"/>
        <w:rPr>
          <w:sz w:val="20"/>
          <w:szCs w:val="20"/>
          <w:color w:val="auto"/>
        </w:rPr>
      </w:pPr>
    </w:p>
    <w:p>
      <w:pPr>
        <w:ind w:left="2204" w:right="80" w:hanging="768"/>
        <w:spacing w:after="0" w:line="328" w:lineRule="auto"/>
        <w:tabs>
          <w:tab w:leader="none" w:pos="2184" w:val="left"/>
        </w:tabs>
        <w:rPr>
          <w:sz w:val="20"/>
          <w:szCs w:val="20"/>
          <w:color w:val="auto"/>
        </w:rPr>
      </w:pPr>
      <w:r>
        <w:rPr>
          <w:rFonts w:ascii="Arial" w:cs="Arial" w:eastAsia="Arial" w:hAnsi="Arial"/>
          <w:sz w:val="22"/>
          <w:szCs w:val="22"/>
          <w:color w:val="auto"/>
        </w:rPr>
        <w:t>13.7.1</w:t>
      </w:r>
      <w:r>
        <w:rPr>
          <w:sz w:val="20"/>
          <w:szCs w:val="20"/>
          <w:color w:val="auto"/>
        </w:rPr>
        <w:tab/>
      </w:r>
      <w:r>
        <w:rPr>
          <w:rFonts w:ascii="Arial" w:cs="Arial" w:eastAsia="Arial" w:hAnsi="Arial"/>
          <w:sz w:val="19"/>
          <w:szCs w:val="19"/>
          <w:color w:val="auto"/>
        </w:rPr>
        <w:t>agree to consent to a medical examination (at the Company’s expense) by a doctor nominated by the Company or your GP or any relevant consultant at any time should the Company so require; and</w:t>
      </w:r>
    </w:p>
    <w:p>
      <w:pPr>
        <w:spacing w:after="0" w:line="10" w:lineRule="exact"/>
        <w:rPr>
          <w:sz w:val="20"/>
          <w:szCs w:val="20"/>
          <w:color w:val="auto"/>
        </w:rPr>
      </w:pPr>
    </w:p>
    <w:p>
      <w:pPr>
        <w:ind w:left="2204" w:right="680" w:hanging="768"/>
        <w:spacing w:after="0" w:line="250" w:lineRule="auto"/>
        <w:tabs>
          <w:tab w:leader="none" w:pos="2184" w:val="left"/>
        </w:tabs>
        <w:rPr>
          <w:sz w:val="20"/>
          <w:szCs w:val="20"/>
          <w:color w:val="auto"/>
        </w:rPr>
      </w:pPr>
      <w:r>
        <w:rPr>
          <w:rFonts w:ascii="Arial" w:cs="Arial" w:eastAsia="Arial" w:hAnsi="Arial"/>
          <w:sz w:val="22"/>
          <w:szCs w:val="22"/>
          <w:color w:val="auto"/>
        </w:rPr>
        <w:t>13.7.2</w:t>
        <w:tab/>
        <w:t>authorise such medical practitioner to disclose to or discuss with the Company (or its medical adviser) any matters arising from such examination.</w:t>
      </w:r>
    </w:p>
    <w:p>
      <w:pPr>
        <w:spacing w:after="0" w:line="80" w:lineRule="exact"/>
        <w:rPr>
          <w:sz w:val="20"/>
          <w:szCs w:val="20"/>
          <w:color w:val="auto"/>
        </w:rPr>
      </w:pPr>
    </w:p>
    <w:p>
      <w:pPr>
        <w:ind w:left="764" w:right="200" w:hanging="768"/>
        <w:spacing w:after="0"/>
        <w:tabs>
          <w:tab w:leader="none" w:pos="744"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2"/>
          <w:szCs w:val="22"/>
          <w:color w:val="auto"/>
        </w:rPr>
        <w:t>The rights of the Company to terminate the Appointment under the terms of this Contract apply even when such termination would or might cause you to forfeit any entitlement to sick pay, payments under the medical scheme, or other benefits.</w:t>
      </w:r>
    </w:p>
    <w:p>
      <w:pPr>
        <w:spacing w:after="0" w:line="329" w:lineRule="exact"/>
        <w:rPr>
          <w:sz w:val="20"/>
          <w:szCs w:val="20"/>
          <w:color w:val="auto"/>
        </w:rPr>
      </w:pPr>
    </w:p>
    <w:p>
      <w:pPr>
        <w:ind w:left="764" w:hanging="764"/>
        <w:spacing w:after="0"/>
        <w:tabs>
          <w:tab w:leader="none" w:pos="764" w:val="left"/>
        </w:tabs>
        <w:numPr>
          <w:ilvl w:val="0"/>
          <w:numId w:val="378"/>
        </w:numPr>
        <w:rPr>
          <w:rFonts w:ascii="Arial" w:cs="Arial" w:eastAsia="Arial" w:hAnsi="Arial"/>
          <w:sz w:val="22"/>
          <w:szCs w:val="22"/>
          <w:b w:val="1"/>
          <w:bCs w:val="1"/>
          <w:color w:val="auto"/>
        </w:rPr>
      </w:pPr>
      <w:r>
        <w:rPr>
          <w:rFonts w:ascii="Arial" w:cs="Arial" w:eastAsia="Arial" w:hAnsi="Arial"/>
          <w:sz w:val="22"/>
          <w:szCs w:val="22"/>
          <w:b w:val="1"/>
          <w:bCs w:val="1"/>
          <w:color w:val="auto"/>
        </w:rPr>
        <w:t>Sick Pay</w:t>
      </w:r>
    </w:p>
    <w:p>
      <w:pPr>
        <w:spacing w:after="0" w:line="118" w:lineRule="exact"/>
        <w:rPr>
          <w:sz w:val="20"/>
          <w:szCs w:val="20"/>
          <w:color w:val="auto"/>
        </w:rPr>
      </w:pPr>
    </w:p>
    <w:p>
      <w:pPr>
        <w:ind w:left="764" w:right="80" w:hanging="768"/>
        <w:spacing w:after="0" w:line="248" w:lineRule="auto"/>
        <w:tabs>
          <w:tab w:leader="none" w:pos="744"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82" w:lineRule="exact"/>
        <w:rPr>
          <w:sz w:val="20"/>
          <w:szCs w:val="20"/>
          <w:color w:val="auto"/>
        </w:rPr>
      </w:pPr>
    </w:p>
    <w:p>
      <w:pPr>
        <w:ind w:left="764" w:hanging="768"/>
        <w:spacing w:after="0" w:line="248" w:lineRule="auto"/>
        <w:tabs>
          <w:tab w:leader="none" w:pos="744"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0964"/>
          </w:cols>
          <w:pgMar w:left="436" w:top="266" w:right="499" w:bottom="1440" w:gutter="0" w:footer="0" w:header="0"/>
        </w:sectPr>
      </w:pPr>
    </w:p>
    <w:bookmarkStart w:id="385" w:name="page386"/>
    <w:bookmarkEnd w:id="385"/>
    <w:p>
      <w:pPr>
        <w:ind w:left="764" w:right="12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14.3</w:t>
      </w:r>
      <w:r>
        <w:rPr>
          <w:sz w:val="20"/>
          <w:szCs w:val="20"/>
          <w:color w:val="auto"/>
        </w:rPr>
        <w:tab/>
      </w:r>
      <w:r>
        <w:rPr>
          <w:rFonts w:ascii="Arial" w:cs="Arial" w:eastAsia="Arial" w:hAnsi="Arial"/>
          <w:sz w:val="22"/>
          <w:szCs w:val="22"/>
          <w:color w:val="auto"/>
        </w:rPr>
        <w:t>The Company reserves the right to withhold payment of Company sick pay if you fail to comply with the provisions of clause 13 or if you are subject to disciplinary proceedings.</w:t>
      </w:r>
    </w:p>
    <w:p>
      <w:pPr>
        <w:spacing w:after="0" w:line="317" w:lineRule="exact"/>
        <w:rPr>
          <w:sz w:val="20"/>
          <w:szCs w:val="20"/>
          <w:color w:val="auto"/>
        </w:rPr>
      </w:pPr>
    </w:p>
    <w:p>
      <w:pPr>
        <w:ind w:left="764" w:hanging="764"/>
        <w:spacing w:after="0"/>
        <w:tabs>
          <w:tab w:leader="none" w:pos="764" w:val="left"/>
        </w:tabs>
        <w:numPr>
          <w:ilvl w:val="0"/>
          <w:numId w:val="379"/>
        </w:numPr>
        <w:rPr>
          <w:rFonts w:ascii="Arial" w:cs="Arial" w:eastAsia="Arial" w:hAnsi="Arial"/>
          <w:sz w:val="22"/>
          <w:szCs w:val="22"/>
          <w:b w:val="1"/>
          <w:bCs w:val="1"/>
          <w:color w:val="auto"/>
        </w:rPr>
      </w:pPr>
      <w:r>
        <w:rPr>
          <w:rFonts w:ascii="Arial" w:cs="Arial" w:eastAsia="Arial" w:hAnsi="Arial"/>
          <w:sz w:val="22"/>
          <w:szCs w:val="22"/>
          <w:b w:val="1"/>
          <w:bCs w:val="1"/>
          <w:color w:val="auto"/>
        </w:rPr>
        <w:t>Other Benefits</w:t>
      </w:r>
    </w:p>
    <w:p>
      <w:pPr>
        <w:spacing w:after="0" w:line="112" w:lineRule="exact"/>
        <w:rPr>
          <w:sz w:val="20"/>
          <w:szCs w:val="20"/>
          <w:color w:val="auto"/>
        </w:rPr>
      </w:pPr>
    </w:p>
    <w:p>
      <w:pPr>
        <w:ind w:left="764" w:hanging="768"/>
        <w:spacing w:after="0" w:line="273" w:lineRule="auto"/>
        <w:tabs>
          <w:tab w:leader="none" w:pos="744"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 xml:space="preserve">Pension. </w:t>
      </w:r>
      <w:r>
        <w:rPr>
          <w:rFonts w:ascii="Arial" w:cs="Arial" w:eastAsia="Arial" w:hAnsi="Arial"/>
          <w:sz w:val="19"/>
          <w:szCs w:val="19"/>
          <w:color w:val="auto"/>
        </w:rPr>
        <w:t>You are eligible to join the Company’s group personal pension scheme. Membership of and benefits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scheme are strictly subject to the rules of the scheme as amended from time to time. The Company expressly reserves the right in its discretion to amend or terminate the pension scheme. The Company shall contribute to the Company’s pension scheme an amount equal to 10% of your 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 pro-rata amount equal to 10% of your basic salary in lieu of a pension contribution to you as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310" w:lineRule="exact"/>
        <w:rPr>
          <w:sz w:val="20"/>
          <w:szCs w:val="20"/>
          <w:color w:val="auto"/>
        </w:rPr>
      </w:pPr>
    </w:p>
    <w:p>
      <w:pPr>
        <w:ind w:left="764" w:right="20" w:hanging="768"/>
        <w:spacing w:after="0" w:line="250" w:lineRule="auto"/>
        <w:tabs>
          <w:tab w:leader="none" w:pos="744"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color w:val="auto"/>
        </w:rPr>
        <w:t>The Company will comply with the employer pension duties in respect of your employment in accordance with Part I of the Pensions Act 2008.</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A contracting-out certificate under the Pension Schemes Act 1993 is not in force in respect of the Appointment.</w:t>
      </w:r>
    </w:p>
    <w:p>
      <w:pPr>
        <w:spacing w:after="0" w:line="112" w:lineRule="exact"/>
        <w:rPr>
          <w:sz w:val="20"/>
          <w:szCs w:val="20"/>
          <w:color w:val="auto"/>
        </w:rPr>
      </w:pPr>
    </w:p>
    <w:p>
      <w:pPr>
        <w:ind w:left="764" w:right="440" w:hanging="768"/>
        <w:spacing w:after="0" w:line="257" w:lineRule="auto"/>
        <w:tabs>
          <w:tab w:leader="none" w:pos="744"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color w:val="auto"/>
        </w:rPr>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69" w:lineRule="exact"/>
        <w:rPr>
          <w:sz w:val="20"/>
          <w:szCs w:val="20"/>
          <w:color w:val="auto"/>
        </w:rPr>
      </w:pPr>
    </w:p>
    <w:p>
      <w:pPr>
        <w:ind w:left="1424" w:right="400" w:hanging="647"/>
        <w:spacing w:after="0" w:line="280" w:lineRule="auto"/>
        <w:rPr>
          <w:sz w:val="20"/>
          <w:szCs w:val="20"/>
          <w:color w:val="auto"/>
        </w:rPr>
      </w:pPr>
      <w:r>
        <w:rPr>
          <w:rFonts w:ascii="Arial" w:cs="Arial" w:eastAsia="Arial" w:hAnsi="Arial"/>
          <w:sz w:val="21"/>
          <w:szCs w:val="21"/>
          <w:color w:val="auto"/>
        </w:rPr>
        <w:t xml:space="preserve">15.4.1 </w:t>
      </w:r>
      <w:r>
        <w:rPr>
          <w:rFonts w:ascii="Arial" w:cs="Arial" w:eastAsia="Arial" w:hAnsi="Arial"/>
          <w:sz w:val="21"/>
          <w:szCs w:val="21"/>
          <w:b w:val="1"/>
          <w:bCs w:val="1"/>
          <w:color w:val="auto"/>
        </w:rPr>
        <w:t>Medical Scheme.</w:t>
      </w:r>
      <w:r>
        <w:rPr>
          <w:rFonts w:ascii="Arial" w:cs="Arial" w:eastAsia="Arial" w:hAnsi="Arial"/>
          <w:sz w:val="21"/>
          <w:szCs w:val="21"/>
          <w:color w:val="auto"/>
        </w:rPr>
        <w:t xml:space="preserve"> You and your immediate family shall be entitled to participate in the medical insurance scheme maintained from time to time by the Company for the benefit of employees.</w:t>
      </w:r>
    </w:p>
    <w:p>
      <w:pPr>
        <w:spacing w:after="0" w:line="44" w:lineRule="exact"/>
        <w:rPr>
          <w:sz w:val="20"/>
          <w:szCs w:val="20"/>
          <w:color w:val="auto"/>
        </w:rPr>
      </w:pPr>
    </w:p>
    <w:p>
      <w:pPr>
        <w:ind w:left="764"/>
        <w:spacing w:after="0"/>
        <w:rPr>
          <w:sz w:val="20"/>
          <w:szCs w:val="20"/>
          <w:color w:val="auto"/>
        </w:rPr>
      </w:pPr>
      <w:r>
        <w:rPr>
          <w:rFonts w:ascii="Arial" w:cs="Arial" w:eastAsia="Arial" w:hAnsi="Arial"/>
          <w:sz w:val="19"/>
          <w:szCs w:val="19"/>
          <w:color w:val="auto"/>
        </w:rPr>
        <w:t xml:space="preserve">15.4.2 </w:t>
      </w:r>
      <w:r>
        <w:rPr>
          <w:rFonts w:ascii="Arial" w:cs="Arial" w:eastAsia="Arial" w:hAnsi="Arial"/>
          <w:sz w:val="19"/>
          <w:szCs w:val="19"/>
          <w:b w:val="1"/>
          <w:bCs w:val="1"/>
          <w:color w:val="auto"/>
        </w:rPr>
        <w:t>Life Assurance Scheme.</w:t>
      </w:r>
      <w:r>
        <w:rPr>
          <w:rFonts w:ascii="Arial" w:cs="Arial" w:eastAsia="Arial" w:hAnsi="Arial"/>
          <w:sz w:val="19"/>
          <w:szCs w:val="19"/>
          <w:color w:val="auto"/>
        </w:rPr>
        <w:t xml:space="preserve"> The Company shall maintain for you life assurance of four times your Salary.</w:t>
      </w:r>
    </w:p>
    <w:p>
      <w:pPr>
        <w:spacing w:after="0" w:line="146" w:lineRule="exact"/>
        <w:rPr>
          <w:sz w:val="20"/>
          <w:szCs w:val="20"/>
          <w:color w:val="auto"/>
        </w:rPr>
      </w:pPr>
    </w:p>
    <w:p>
      <w:pPr>
        <w:ind w:left="1424" w:right="320" w:hanging="647"/>
        <w:spacing w:after="0" w:line="256" w:lineRule="auto"/>
        <w:rPr>
          <w:sz w:val="20"/>
          <w:szCs w:val="20"/>
          <w:color w:val="auto"/>
        </w:rPr>
      </w:pPr>
      <w:r>
        <w:rPr>
          <w:rFonts w:ascii="Arial" w:cs="Arial" w:eastAsia="Arial" w:hAnsi="Arial"/>
          <w:sz w:val="22"/>
          <w:szCs w:val="22"/>
          <w:color w:val="auto"/>
        </w:rPr>
        <w:t xml:space="preserve">15.4.3 </w:t>
      </w:r>
      <w:r>
        <w:rPr>
          <w:rFonts w:ascii="Arial" w:cs="Arial" w:eastAsia="Arial" w:hAnsi="Arial"/>
          <w:sz w:val="22"/>
          <w:szCs w:val="22"/>
          <w:b w:val="1"/>
          <w:bCs w:val="1"/>
          <w:color w:val="auto"/>
        </w:rPr>
        <w:t>Income protection.</w:t>
      </w:r>
      <w:r>
        <w:rPr>
          <w:rFonts w:ascii="Arial" w:cs="Arial" w:eastAsia="Arial" w:hAnsi="Arial"/>
          <w:sz w:val="22"/>
          <w:szCs w:val="22"/>
          <w:color w:val="auto"/>
        </w:rPr>
        <w:t xml:space="preserve"> You will be eligible to participate in such income protection schemes as the Company may from time to time operate for employees of your level.</w:t>
      </w:r>
    </w:p>
    <w:p>
      <w:pPr>
        <w:spacing w:after="0" w:line="74" w:lineRule="exact"/>
        <w:rPr>
          <w:sz w:val="20"/>
          <w:szCs w:val="20"/>
          <w:color w:val="auto"/>
        </w:rPr>
      </w:pPr>
    </w:p>
    <w:p>
      <w:pPr>
        <w:ind w:left="764" w:right="80" w:hanging="768"/>
        <w:spacing w:after="0"/>
        <w:tabs>
          <w:tab w:leader="none" w:pos="744"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2"/>
          <w:szCs w:val="22"/>
          <w:color w:val="auto"/>
        </w:rPr>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0944"/>
          </w:cols>
          <w:pgMar w:left="436" w:top="266" w:right="519" w:bottom="1440" w:gutter="0" w:footer="0" w:header="0"/>
        </w:sectPr>
      </w:pPr>
    </w:p>
    <w:bookmarkStart w:id="386" w:name="page387"/>
    <w:bookmarkEnd w:id="386"/>
    <w:p>
      <w:pPr>
        <w:ind w:left="4"/>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w:t>
      </w:r>
      <w:r>
        <w:rPr>
          <w:sz w:val="20"/>
          <w:szCs w:val="20"/>
          <w:color w:val="auto"/>
        </w:rPr>
        <w:tab/>
      </w:r>
      <w:r>
        <w:rPr>
          <w:rFonts w:ascii="Arial" w:cs="Arial" w:eastAsia="Arial" w:hAnsi="Arial"/>
          <w:sz w:val="19"/>
          <w:szCs w:val="19"/>
          <w:color w:val="auto"/>
        </w:rPr>
        <w:t>Participation in any insurance or assurance scheme provided for you under this Contract:</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15.6.1</w:t>
      </w:r>
      <w:r>
        <w:rPr>
          <w:sz w:val="20"/>
          <w:szCs w:val="20"/>
          <w:color w:val="auto"/>
        </w:rPr>
        <w:tab/>
      </w:r>
      <w:r>
        <w:rPr>
          <w:rFonts w:ascii="Arial" w:cs="Arial" w:eastAsia="Arial" w:hAnsi="Arial"/>
          <w:sz w:val="19"/>
          <w:szCs w:val="19"/>
          <w:color w:val="auto"/>
        </w:rPr>
        <w:t>is absolutely subject to its terms and conditions from time to time in force;</w:t>
      </w:r>
    </w:p>
    <w:p>
      <w:pPr>
        <w:spacing w:after="0" w:line="11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15.6.2</w:t>
      </w:r>
      <w:r>
        <w:rPr>
          <w:sz w:val="20"/>
          <w:szCs w:val="20"/>
          <w:color w:val="auto"/>
        </w:rPr>
        <w:tab/>
      </w:r>
      <w:r>
        <w:rPr>
          <w:rFonts w:ascii="Arial" w:cs="Arial" w:eastAsia="Arial" w:hAnsi="Arial"/>
          <w:sz w:val="19"/>
          <w:szCs w:val="19"/>
          <w:color w:val="auto"/>
        </w:rPr>
        <w:t>is conditional on you satisfying any applicable requirements of the insurers;</w:t>
      </w:r>
    </w:p>
    <w:p>
      <w:pPr>
        <w:spacing w:after="0" w:line="112" w:lineRule="exact"/>
        <w:rPr>
          <w:sz w:val="20"/>
          <w:szCs w:val="20"/>
          <w:color w:val="auto"/>
        </w:rPr>
      </w:pPr>
    </w:p>
    <w:p>
      <w:pPr>
        <w:jc w:val="both"/>
        <w:ind w:left="2204" w:right="100" w:hanging="768"/>
        <w:spacing w:after="0"/>
        <w:tabs>
          <w:tab w:leader="none" w:pos="2184" w:val="left"/>
        </w:tabs>
        <w:rPr>
          <w:sz w:val="20"/>
          <w:szCs w:val="20"/>
          <w:color w:val="auto"/>
        </w:rPr>
      </w:pPr>
      <w:r>
        <w:rPr>
          <w:rFonts w:ascii="Arial" w:cs="Arial" w:eastAsia="Arial" w:hAnsi="Arial"/>
          <w:sz w:val="22"/>
          <w:szCs w:val="22"/>
          <w:color w:val="auto"/>
        </w:rPr>
        <w:t>15.6.3</w:t>
        <w:tab/>
        <w:t>is subject to you and any insured dependants satisfying the normal underwriting requirements of the relevant insurance provider and the relevant premium being at a rate which the Company considers reasonable; and</w:t>
      </w:r>
    </w:p>
    <w:p>
      <w:pPr>
        <w:spacing w:after="0" w:line="9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15.6.4</w:t>
      </w:r>
      <w:r>
        <w:rPr>
          <w:sz w:val="20"/>
          <w:szCs w:val="20"/>
          <w:color w:val="auto"/>
        </w:rPr>
        <w:tab/>
      </w:r>
      <w:r>
        <w:rPr>
          <w:rFonts w:ascii="Arial" w:cs="Arial" w:eastAsia="Arial" w:hAnsi="Arial"/>
          <w:sz w:val="19"/>
          <w:szCs w:val="19"/>
          <w:color w:val="auto"/>
        </w:rPr>
        <w:t>will end when you attain whichever is the greater of the age of 65 and the state pensionable age.</w:t>
      </w:r>
    </w:p>
    <w:p>
      <w:pPr>
        <w:spacing w:after="0" w:line="112" w:lineRule="exact"/>
        <w:rPr>
          <w:sz w:val="20"/>
          <w:szCs w:val="20"/>
          <w:color w:val="auto"/>
        </w:rPr>
      </w:pPr>
    </w:p>
    <w:p>
      <w:pPr>
        <w:ind w:left="764" w:right="220" w:hanging="768"/>
        <w:spacing w:after="0" w:line="236" w:lineRule="auto"/>
        <w:tabs>
          <w:tab w:leader="none" w:pos="744"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22"/>
          <w:szCs w:val="22"/>
          <w:color w:val="auto"/>
        </w:rPr>
        <w:t>The Company reserves the right at any time, on three months’ written notice, to withdraw any insurance or other benefits set out in 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93" w:lineRule="exact"/>
        <w:rPr>
          <w:sz w:val="20"/>
          <w:szCs w:val="20"/>
          <w:color w:val="auto"/>
        </w:rPr>
      </w:pPr>
    </w:p>
    <w:p>
      <w:pPr>
        <w:ind w:left="764" w:right="40" w:hanging="768"/>
        <w:spacing w:after="0" w:line="279" w:lineRule="auto"/>
        <w:tabs>
          <w:tab w:leader="none" w:pos="744"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293" w:lineRule="exact"/>
        <w:rPr>
          <w:sz w:val="20"/>
          <w:szCs w:val="20"/>
          <w:color w:val="auto"/>
        </w:rPr>
      </w:pPr>
    </w:p>
    <w:p>
      <w:pPr>
        <w:ind w:left="764" w:hanging="764"/>
        <w:spacing w:after="0"/>
        <w:tabs>
          <w:tab w:leader="none" w:pos="764" w:val="left"/>
        </w:tabs>
        <w:numPr>
          <w:ilvl w:val="0"/>
          <w:numId w:val="380"/>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118" w:lineRule="exact"/>
        <w:rPr>
          <w:sz w:val="20"/>
          <w:szCs w:val="20"/>
          <w:color w:val="auto"/>
        </w:rPr>
      </w:pPr>
    </w:p>
    <w:p>
      <w:pPr>
        <w:ind w:left="764" w:right="360" w:hanging="768"/>
        <w:spacing w:after="0" w:line="328" w:lineRule="auto"/>
        <w:tabs>
          <w:tab w:leader="none" w:pos="744"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You agree and acknowledge that during the course of your employment and in pursuance of the discharge of your duties you will make, create, produce and generate intellectual property rights, including Inventions.</w:t>
      </w:r>
    </w:p>
    <w:p>
      <w:pPr>
        <w:spacing w:after="0" w:line="1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Inventions</w:t>
      </w:r>
    </w:p>
    <w:p>
      <w:pPr>
        <w:spacing w:after="0" w:line="123" w:lineRule="exact"/>
        <w:rPr>
          <w:sz w:val="20"/>
          <w:szCs w:val="20"/>
          <w:color w:val="auto"/>
        </w:rPr>
      </w:pPr>
    </w:p>
    <w:p>
      <w:pPr>
        <w:ind w:left="1424" w:hanging="647"/>
        <w:spacing w:after="0" w:line="238" w:lineRule="auto"/>
        <w:rPr>
          <w:sz w:val="20"/>
          <w:szCs w:val="20"/>
          <w:color w:val="auto"/>
        </w:rPr>
      </w:pPr>
      <w:r>
        <w:rPr>
          <w:rFonts w:ascii="Arial" w:cs="Arial" w:eastAsia="Arial" w:hAnsi="Arial"/>
          <w:sz w:val="22"/>
          <w:szCs w:val="22"/>
          <w:color w:val="auto"/>
        </w:rPr>
        <w:t>16.2.1 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22"/>
          <w:szCs w:val="22"/>
          <w:b w:val="1"/>
          <w:bCs w:val="1"/>
          <w:color w:val="auto"/>
        </w:rPr>
        <w:t>an Invention</w:t>
      </w:r>
      <w:r>
        <w:rPr>
          <w:rFonts w:ascii="Arial" w:cs="Arial" w:eastAsia="Arial" w:hAnsi="Arial"/>
          <w:sz w:val="22"/>
          <w:szCs w:val="22"/>
          <w:color w:val="auto"/>
        </w:rPr>
        <w:t>”), you shall promptly give to a Director of the Company full written details thereof.</w:t>
      </w:r>
    </w:p>
    <w:p>
      <w:pPr>
        <w:spacing w:after="0" w:line="90" w:lineRule="exact"/>
        <w:rPr>
          <w:sz w:val="20"/>
          <w:szCs w:val="20"/>
          <w:color w:val="auto"/>
        </w:rPr>
      </w:pPr>
    </w:p>
    <w:p>
      <w:pPr>
        <w:ind w:left="1424" w:right="40" w:hanging="647"/>
        <w:spacing w:after="0" w:line="249" w:lineRule="auto"/>
        <w:rPr>
          <w:sz w:val="20"/>
          <w:szCs w:val="20"/>
          <w:color w:val="auto"/>
        </w:rPr>
      </w:pPr>
      <w:r>
        <w:rPr>
          <w:rFonts w:ascii="Arial" w:cs="Arial" w:eastAsia="Arial" w:hAnsi="Arial"/>
          <w:sz w:val="21"/>
          <w:szCs w:val="21"/>
          <w:color w:val="auto"/>
        </w:rPr>
        <w:t>16.2.2 If the Invention is a patentable invention within the meaning of Section 1 of the Patents Act 1977 and, according to the provisions of Section 39 of that Act it belongs to you (“</w:t>
      </w:r>
      <w:r>
        <w:rPr>
          <w:rFonts w:ascii="Arial" w:cs="Arial" w:eastAsia="Arial" w:hAnsi="Arial"/>
          <w:sz w:val="21"/>
          <w:szCs w:val="21"/>
          <w:b w:val="1"/>
          <w:bCs w:val="1"/>
          <w:color w:val="auto"/>
        </w:rPr>
        <w:t>Personal Invention</w:t>
      </w:r>
      <w:r>
        <w:rPr>
          <w:rFonts w:ascii="Arial" w:cs="Arial" w:eastAsia="Arial" w:hAnsi="Arial"/>
          <w:sz w:val="21"/>
          <w:szCs w:val="21"/>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0944"/>
          </w:cols>
          <w:pgMar w:left="436" w:top="266" w:right="519" w:bottom="1440" w:gutter="0" w:footer="0" w:header="0"/>
        </w:sectPr>
      </w:pPr>
    </w:p>
    <w:bookmarkStart w:id="387" w:name="page388"/>
    <w:bookmarkEnd w:id="387"/>
    <w:p>
      <w:pPr>
        <w:ind w:left="1420" w:hanging="647"/>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16.2.3 Subject to clause 16.2.4, any Invention created in the course of your employment by the Company shall belong to the Company (“</w:t>
      </w:r>
      <w:r>
        <w:rPr>
          <w:rFonts w:ascii="Arial" w:cs="Arial" w:eastAsia="Arial" w:hAnsi="Arial"/>
          <w:sz w:val="19"/>
          <w:szCs w:val="19"/>
          <w:b w:val="1"/>
          <w:bCs w:val="1"/>
          <w:color w:val="auto"/>
        </w:rPr>
        <w:t>Company Inventions</w:t>
      </w:r>
      <w:r>
        <w:rPr>
          <w:rFonts w:ascii="Arial" w:cs="Arial" w:eastAsia="Arial" w:hAnsi="Arial"/>
          <w:sz w:val="19"/>
          <w:szCs w:val="19"/>
          <w:color w:val="auto"/>
        </w:rPr>
        <w:t>”). Any and all intellectual property rights in or relating to any and all such Company Inventions shall be owned by the Company. You hereby irrevocably assign to the Company (by way of present assignment of present and future rights) with full title guarantee absolutely and free from all encumbrances all right, title and interest in and to all intellectual property rights in or relating to Company Inventions and all materials embodying such rights to the fullest extent permitted by law together with all accrued rights of action in respect of any infringement of such rights. Insofar as they do not so vest automatically by operation of law or under this Contract, you shall hold all such rights and inventions on trust for the exclusive benefit of the Company, and shall not transfer them to a third party or encumber them and shall on demand assign them to the Company without payment or other condition. You shall execute (both during and after the termination of your employment) all documents and do all things necessary to substantiate the Company’s rights in Company Inventions and to obtain registration or protection thereof in the Company’s name in any country.</w:t>
      </w:r>
    </w:p>
    <w:p>
      <w:pPr>
        <w:spacing w:after="0" w:line="309" w:lineRule="exact"/>
        <w:rPr>
          <w:sz w:val="20"/>
          <w:szCs w:val="20"/>
          <w:color w:val="auto"/>
        </w:rPr>
      </w:pPr>
    </w:p>
    <w:p>
      <w:pPr>
        <w:ind w:left="1420" w:right="40" w:hanging="647"/>
        <w:spacing w:after="0" w:line="245" w:lineRule="auto"/>
        <w:rPr>
          <w:sz w:val="20"/>
          <w:szCs w:val="20"/>
          <w:color w:val="auto"/>
        </w:rPr>
      </w:pPr>
      <w:r>
        <w:rPr>
          <w:rFonts w:ascii="Arial" w:cs="Arial" w:eastAsia="Arial" w:hAnsi="Arial"/>
          <w:sz w:val="21"/>
          <w:szCs w:val="21"/>
          <w:color w:val="auto"/>
        </w:rPr>
        <w:t>16.2.4 Where the Company Invention relates to a chemical compound, being the chemical compound itself of assets associated therewith (“</w:t>
      </w:r>
      <w:r>
        <w:rPr>
          <w:rFonts w:ascii="Arial" w:cs="Arial" w:eastAsia="Arial" w:hAnsi="Arial"/>
          <w:sz w:val="21"/>
          <w:szCs w:val="21"/>
          <w:b w:val="1"/>
          <w:bCs w:val="1"/>
          <w:color w:val="auto"/>
        </w:rPr>
        <w:t>Compounds</w:t>
      </w:r>
      <w:r>
        <w:rPr>
          <w:rFonts w:ascii="Arial" w:cs="Arial" w:eastAsia="Arial" w:hAnsi="Arial"/>
          <w:sz w:val="21"/>
          <w:szCs w:val="21"/>
          <w:color w:val="auto"/>
        </w:rPr>
        <w:t>”), any and all intellectual property rights in or relating to that Company Invention shall, with effect from their creation, automatically belong to and vest in the Subsidiary formed to undertake the research, development or commercialisation of that Compound. Insofar as they do not so vest automatically by operation of law or under this Contract, you shall hold all such rights and inventions on trust for the exclusive benefit of the Subsidiary, and shall not transfer them to a third party or encumber them and shall on demand assign them to the Subsidiary without payment or other condition. You shall execute (both during and after the termination of your employment) all documents and do all things necessary to substantiate the Subsidiary’s rights in the Compounds and to obtain registration or protection thereof in the Subsidiary’s name in any country.</w:t>
      </w:r>
    </w:p>
    <w:p>
      <w:pPr>
        <w:spacing w:after="0" w:line="86" w:lineRule="exact"/>
        <w:rPr>
          <w:sz w:val="20"/>
          <w:szCs w:val="20"/>
          <w:color w:val="auto"/>
        </w:rPr>
      </w:pPr>
    </w:p>
    <w:p>
      <w:pPr>
        <w:ind w:left="1420" w:right="120" w:hanging="647"/>
        <w:spacing w:after="0" w:line="277" w:lineRule="auto"/>
        <w:rPr>
          <w:sz w:val="20"/>
          <w:szCs w:val="20"/>
          <w:color w:val="auto"/>
        </w:rPr>
      </w:pPr>
      <w:r>
        <w:rPr>
          <w:rFonts w:ascii="Arial" w:cs="Arial" w:eastAsia="Arial" w:hAnsi="Arial"/>
          <w:sz w:val="19"/>
          <w:szCs w:val="19"/>
          <w:color w:val="auto"/>
        </w:rPr>
        <w:t>16.2.5 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5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Copyright and other rights</w:t>
      </w:r>
    </w:p>
    <w:p>
      <w:pPr>
        <w:spacing w:after="0" w:line="112" w:lineRule="exact"/>
        <w:rPr>
          <w:sz w:val="20"/>
          <w:szCs w:val="20"/>
          <w:color w:val="auto"/>
        </w:rPr>
      </w:pPr>
    </w:p>
    <w:p>
      <w:pPr>
        <w:ind w:left="1420" w:right="180" w:hanging="647"/>
        <w:spacing w:after="0" w:line="328" w:lineRule="auto"/>
        <w:rPr>
          <w:sz w:val="20"/>
          <w:szCs w:val="20"/>
          <w:color w:val="auto"/>
        </w:rPr>
      </w:pPr>
      <w:r>
        <w:rPr>
          <w:rFonts w:ascii="Arial" w:cs="Arial" w:eastAsia="Arial" w:hAnsi="Arial"/>
          <w:sz w:val="19"/>
          <w:szCs w:val="19"/>
          <w:color w:val="auto"/>
        </w:rPr>
        <w:t>16.3.1 If while employed by the Company you, whether on your own or with any other person, create any copyright work or design (including without limitation any literary, dramatic, musical or artistic work, and any film,</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020"/>
          </w:cols>
          <w:pgMar w:left="440" w:top="266" w:right="439" w:bottom="1440" w:gutter="0" w:footer="0" w:header="0"/>
        </w:sectPr>
      </w:pPr>
    </w:p>
    <w:bookmarkStart w:id="388" w:name="page389"/>
    <w:bookmarkEnd w:id="388"/>
    <w:p>
      <w:pPr>
        <w:ind w:left="142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9"/>
          <w:szCs w:val="19"/>
          <w:b w:val="1"/>
          <w:bCs w:val="1"/>
          <w:color w:val="auto"/>
        </w:rPr>
        <w:t>Protected Work</w:t>
      </w:r>
      <w:r>
        <w:rPr>
          <w:rFonts w:ascii="Arial" w:cs="Arial" w:eastAsia="Arial" w:hAnsi="Arial"/>
          <w:sz w:val="19"/>
          <w:szCs w:val="19"/>
          <w:color w:val="auto"/>
        </w:rPr>
        <w:t>”), you shall promptly disclose to the Chief Financial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63" w:lineRule="exact"/>
        <w:rPr>
          <w:sz w:val="20"/>
          <w:szCs w:val="20"/>
          <w:color w:val="auto"/>
        </w:rPr>
      </w:pPr>
    </w:p>
    <w:p>
      <w:pPr>
        <w:ind w:left="1420" w:right="60" w:hanging="647"/>
        <w:spacing w:after="0" w:line="287" w:lineRule="auto"/>
        <w:rPr>
          <w:sz w:val="20"/>
          <w:szCs w:val="20"/>
          <w:color w:val="auto"/>
        </w:rPr>
      </w:pPr>
      <w:r>
        <w:rPr>
          <w:rFonts w:ascii="Arial" w:cs="Arial" w:eastAsia="Arial" w:hAnsi="Arial"/>
          <w:sz w:val="19"/>
          <w:szCs w:val="19"/>
          <w:color w:val="auto"/>
        </w:rPr>
        <w:t>16.3.2 All proprietary rights in any Protected Work created by you in the course of your employment by the Company shall automatically vest in the Company, save that where a Protected Work relates to a Compound, all proprietary rights in that Protected Work shall, with effect from their creation, automatically belong to and vest in the Subsidiary formed to undertake the research, development or commercialisation of that Compound.</w:t>
      </w:r>
    </w:p>
    <w:p>
      <w:pPr>
        <w:spacing w:after="0" w:line="48" w:lineRule="exact"/>
        <w:rPr>
          <w:sz w:val="20"/>
          <w:szCs w:val="20"/>
          <w:color w:val="auto"/>
        </w:rPr>
      </w:pPr>
    </w:p>
    <w:p>
      <w:pPr>
        <w:ind w:left="1420" w:right="20" w:hanging="647"/>
        <w:spacing w:after="0" w:line="245" w:lineRule="auto"/>
        <w:rPr>
          <w:sz w:val="20"/>
          <w:szCs w:val="20"/>
          <w:color w:val="auto"/>
        </w:rPr>
      </w:pPr>
      <w:r>
        <w:rPr>
          <w:rFonts w:ascii="Arial" w:cs="Arial" w:eastAsia="Arial" w:hAnsi="Arial"/>
          <w:sz w:val="21"/>
          <w:szCs w:val="21"/>
          <w:color w:val="auto"/>
        </w:rPr>
        <w:t>16.3.3 To the extent that the Company, or, in the case of a Compound, the Subsidiary is not already the owner of the copyright, design rights, trade marks, database rights and other intellectual or industrial and commercial property rights (“</w:t>
      </w:r>
      <w:r>
        <w:rPr>
          <w:rFonts w:ascii="Arial" w:cs="Arial" w:eastAsia="Arial" w:hAnsi="Arial"/>
          <w:sz w:val="21"/>
          <w:szCs w:val="21"/>
          <w:b w:val="1"/>
          <w:bCs w:val="1"/>
          <w:color w:val="auto"/>
        </w:rPr>
        <w:t>the Rights</w:t>
      </w:r>
      <w:r>
        <w:rPr>
          <w:rFonts w:ascii="Arial" w:cs="Arial" w:eastAsia="Arial" w:hAnsi="Arial"/>
          <w:sz w:val="21"/>
          <w:szCs w:val="21"/>
          <w:color w:val="auto"/>
        </w:rPr>
        <w:t>”) in a Protected Work pursuant to clause 16.3.2 you shall hold the Protected Work and the Rights on trust for the Company or Subsidiary (as appropriate)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or Subsidiary (as appropriate) absolutely together with all accrued rights of action in respect of any infringement of the same.</w:t>
      </w:r>
    </w:p>
    <w:p>
      <w:pPr>
        <w:spacing w:after="0" w:line="90" w:lineRule="exact"/>
        <w:rPr>
          <w:sz w:val="20"/>
          <w:szCs w:val="20"/>
          <w:color w:val="auto"/>
        </w:rPr>
      </w:pPr>
    </w:p>
    <w:p>
      <w:pPr>
        <w:ind w:left="760" w:right="20" w:hanging="768"/>
        <w:spacing w:after="0" w:line="248" w:lineRule="auto"/>
        <w:tabs>
          <w:tab w:leader="none" w:pos="74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You shall, without charge to but at the cost of the Company, execute all documents and do all acts, things and matters beneficial to, required or necessary (both during and after the termination of your employment) to vest rights in the Company (or its Subsidiary, or its successors, as appropriate), or substantiate the Company’s (or its Subsidiary’s, or its successor’s, as appropriate) rights, in any Company Inventions, the Rights and Protected Works and to obtain protection for the Company Inventions, Rights and Protected Works in the Company’s (or its Subsidiary’s or its successor’s, as appropriate) name in any country.</w:t>
      </w:r>
    </w:p>
    <w:p>
      <w:pPr>
        <w:spacing w:after="0" w:line="82" w:lineRule="exact"/>
        <w:rPr>
          <w:sz w:val="20"/>
          <w:szCs w:val="20"/>
          <w:color w:val="auto"/>
        </w:rPr>
      </w:pPr>
    </w:p>
    <w:p>
      <w:pPr>
        <w:ind w:left="760" w:right="380" w:hanging="768"/>
        <w:spacing w:after="0" w:line="287" w:lineRule="auto"/>
        <w:tabs>
          <w:tab w:leader="none" w:pos="74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Should you create a Company Invention or any Rights in a Protected Work in relation to a Compound for which a Subsidiary has not yet been formed at the time of such creation, you agree to hold such Company Invention and Rights on trust pending the formation of such Subsidiary and shall be deemed automatically to have assigned such Company Invention and Rights to that Subsidiary from the moment it becomes a Group Company.</w:t>
      </w:r>
    </w:p>
    <w:p>
      <w:pPr>
        <w:spacing w:after="0" w:line="48" w:lineRule="exact"/>
        <w:rPr>
          <w:sz w:val="20"/>
          <w:szCs w:val="20"/>
          <w:color w:val="auto"/>
        </w:rPr>
      </w:pPr>
    </w:p>
    <w:p>
      <w:pPr>
        <w:ind w:left="760" w:right="180" w:hanging="768"/>
        <w:spacing w:after="0" w:line="250" w:lineRule="auto"/>
        <w:tabs>
          <w:tab w:leader="none" w:pos="74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22"/>
          <w:szCs w:val="22"/>
          <w:color w:val="auto"/>
        </w:rPr>
        <w:t>To the extent permitted by law, you hereby irrevocably and unconditionally waive any and all moral rights conferred by Chapter IV of the Copyright Designs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1020"/>
          </w:cols>
          <w:pgMar w:left="440" w:top="266" w:right="439" w:bottom="1440" w:gutter="0" w:footer="0" w:header="0"/>
        </w:sectPr>
      </w:pPr>
    </w:p>
    <w:bookmarkStart w:id="389" w:name="page390"/>
    <w:bookmarkEnd w:id="389"/>
    <w:p>
      <w:pPr>
        <w:ind w:left="764" w:right="1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Patents Act 1988 or any rights of a similar nature under laws now or in the future in force in any other jurisdiction in and to any and all Protected Work, such waiver being given in favour of the Company, its successors in title and assigns.</w:t>
      </w:r>
    </w:p>
    <w:p>
      <w:pPr>
        <w:spacing w:after="0" w:line="92" w:lineRule="exact"/>
        <w:rPr>
          <w:sz w:val="20"/>
          <w:szCs w:val="20"/>
          <w:color w:val="auto"/>
        </w:rPr>
      </w:pPr>
    </w:p>
    <w:p>
      <w:pPr>
        <w:ind w:left="764" w:right="100" w:hanging="768"/>
        <w:spacing w:after="0" w:line="236" w:lineRule="auto"/>
        <w:tabs>
          <w:tab w:leader="none" w:pos="744"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22"/>
          <w:szCs w:val="22"/>
          <w:color w:val="auto"/>
        </w:rPr>
        <w:t>You hereby irrevocably appoint the Company to be your attorney to execute and do any such instrument or thing and generally to use your name for the purpose of giving the Company or its nominee the benefit of this clause 16 and acknowledge in favour of a third party that a certificate in writing signed by any Director or the Company Secretary that any instrument or act falls within the authority conferred by this clause 16 shall be conclusive evidence that such is the case.</w:t>
      </w:r>
    </w:p>
    <w:p>
      <w:pPr>
        <w:spacing w:after="0" w:line="93"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2"/>
          <w:szCs w:val="22"/>
          <w:color w:val="auto"/>
        </w:rPr>
        <w:t>The provisions of this clause 16 will not be affected by the termination of this Contract for whatever reason and will continue after it ends.</w:t>
      </w:r>
    </w:p>
    <w:p>
      <w:pPr>
        <w:spacing w:after="0" w:line="317" w:lineRule="exact"/>
        <w:rPr>
          <w:sz w:val="20"/>
          <w:szCs w:val="20"/>
          <w:color w:val="auto"/>
        </w:rPr>
      </w:pPr>
    </w:p>
    <w:p>
      <w:pPr>
        <w:ind w:left="544" w:hanging="544"/>
        <w:spacing w:after="0"/>
        <w:tabs>
          <w:tab w:leader="none" w:pos="544" w:val="left"/>
        </w:tabs>
        <w:numPr>
          <w:ilvl w:val="0"/>
          <w:numId w:val="381"/>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8" w:lineRule="exact"/>
        <w:rPr>
          <w:sz w:val="20"/>
          <w:szCs w:val="20"/>
          <w:color w:val="auto"/>
        </w:rPr>
      </w:pPr>
    </w:p>
    <w:p>
      <w:pPr>
        <w:ind w:left="764" w:right="660" w:hanging="768"/>
        <w:spacing w:after="0" w:line="250" w:lineRule="auto"/>
        <w:tabs>
          <w:tab w:leader="none" w:pos="744"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2"/>
          <w:szCs w:val="22"/>
          <w:color w:val="auto"/>
        </w:rPr>
        <w:t>You acknowledge that in the course of the Appointment you will have access to Confidential Information. You therefore agree to accept the restrictions in this clause 17.</w:t>
      </w:r>
    </w:p>
    <w:p>
      <w:pPr>
        <w:spacing w:after="0" w:line="80"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color w:val="auto"/>
        </w:rPr>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9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17.2.1</w:t>
      </w:r>
      <w:r>
        <w:rPr>
          <w:sz w:val="20"/>
          <w:szCs w:val="20"/>
          <w:color w:val="auto"/>
        </w:rPr>
        <w:tab/>
      </w:r>
      <w:r>
        <w:rPr>
          <w:rFonts w:ascii="Arial" w:cs="Arial" w:eastAsia="Arial" w:hAnsi="Arial"/>
          <w:sz w:val="19"/>
          <w:szCs w:val="19"/>
          <w:color w:val="auto"/>
        </w:rPr>
        <w:t>any use or disclosure authorised by the Board in writing or required by law;</w:t>
      </w:r>
    </w:p>
    <w:p>
      <w:pPr>
        <w:spacing w:after="0" w:line="112" w:lineRule="exact"/>
        <w:rPr>
          <w:sz w:val="20"/>
          <w:szCs w:val="20"/>
          <w:color w:val="auto"/>
        </w:rPr>
      </w:pPr>
    </w:p>
    <w:p>
      <w:pPr>
        <w:ind w:left="2204" w:right="660" w:hanging="768"/>
        <w:spacing w:after="0" w:line="250" w:lineRule="auto"/>
        <w:tabs>
          <w:tab w:leader="none" w:pos="2184" w:val="left"/>
        </w:tabs>
        <w:rPr>
          <w:sz w:val="20"/>
          <w:szCs w:val="20"/>
          <w:color w:val="auto"/>
        </w:rPr>
      </w:pPr>
      <w:r>
        <w:rPr>
          <w:rFonts w:ascii="Arial" w:cs="Arial" w:eastAsia="Arial" w:hAnsi="Arial"/>
          <w:sz w:val="22"/>
          <w:szCs w:val="22"/>
          <w:color w:val="auto"/>
        </w:rPr>
        <w:t>17.2.2</w:t>
        <w:tab/>
        <w:t>any information which is already in, or comes into, the public domain other than through your unauthorised disclosure; or</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17.2.3</w:t>
      </w:r>
      <w:r>
        <w:rPr>
          <w:sz w:val="20"/>
          <w:szCs w:val="20"/>
          <w:color w:val="auto"/>
        </w:rPr>
        <w:tab/>
      </w:r>
      <w:r>
        <w:rPr>
          <w:rFonts w:ascii="Arial" w:cs="Arial" w:eastAsia="Arial" w:hAnsi="Arial"/>
          <w:sz w:val="19"/>
          <w:szCs w:val="19"/>
          <w:color w:val="auto"/>
        </w:rPr>
        <w:t>any protected disclosure within the meaning of section 43A of the Employment Rights Act 1996.</w:t>
      </w:r>
    </w:p>
    <w:p>
      <w:pPr>
        <w:spacing w:after="0" w:line="112" w:lineRule="exact"/>
        <w:rPr>
          <w:sz w:val="20"/>
          <w:szCs w:val="20"/>
          <w:color w:val="auto"/>
        </w:rPr>
      </w:pPr>
    </w:p>
    <w:p>
      <w:pPr>
        <w:ind w:left="764" w:right="120" w:hanging="768"/>
        <w:spacing w:after="0"/>
        <w:tabs>
          <w:tab w:leader="none" w:pos="744"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2"/>
          <w:szCs w:val="22"/>
          <w:color w:val="auto"/>
        </w:rPr>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329" w:lineRule="exact"/>
        <w:rPr>
          <w:sz w:val="20"/>
          <w:szCs w:val="20"/>
          <w:color w:val="auto"/>
        </w:rPr>
      </w:pPr>
    </w:p>
    <w:p>
      <w:pPr>
        <w:ind w:left="764" w:hanging="764"/>
        <w:spacing w:after="0"/>
        <w:tabs>
          <w:tab w:leader="none" w:pos="764" w:val="left"/>
        </w:tabs>
        <w:numPr>
          <w:ilvl w:val="0"/>
          <w:numId w:val="38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18" w:lineRule="exact"/>
        <w:rPr>
          <w:sz w:val="20"/>
          <w:szCs w:val="20"/>
          <w:color w:val="auto"/>
        </w:rPr>
      </w:pPr>
    </w:p>
    <w:p>
      <w:pPr>
        <w:ind w:left="764" w:right="120" w:hanging="768"/>
        <w:spacing w:after="0" w:line="250" w:lineRule="auto"/>
        <w:tabs>
          <w:tab w:leader="none" w:pos="744"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22"/>
          <w:szCs w:val="22"/>
          <w:color w:val="auto"/>
        </w:rPr>
        <w:t>You or the Company may terminate the Appointment on written notice of 6 months or the statutory minimum notice, whichever is greater.</w:t>
      </w:r>
    </w:p>
    <w:p>
      <w:pPr>
        <w:spacing w:after="0" w:line="80" w:lineRule="exact"/>
        <w:rPr>
          <w:sz w:val="20"/>
          <w:szCs w:val="20"/>
          <w:color w:val="auto"/>
        </w:rPr>
      </w:pPr>
    </w:p>
    <w:p>
      <w:pPr>
        <w:ind w:left="764" w:right="20" w:hanging="768"/>
        <w:spacing w:after="0" w:line="235" w:lineRule="auto"/>
        <w:tabs>
          <w:tab w:leader="none" w:pos="744"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2"/>
          <w:szCs w:val="22"/>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and a payment in lieu of any contractual benefits under clause 15 (excluding bonus) which you would have</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0984"/>
          </w:cols>
          <w:pgMar w:left="436" w:top="266" w:right="479" w:bottom="1440" w:gutter="0" w:footer="0" w:header="0"/>
        </w:sectPr>
      </w:pPr>
    </w:p>
    <w:bookmarkStart w:id="390" w:name="page391"/>
    <w:bookmarkEnd w:id="390"/>
    <w:p>
      <w:pPr>
        <w:ind w:left="764" w:right="180"/>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entitled to receive under this Contract during the notice period referred to at clause 2.2 or 18.1 (or, if notice has already been given, during the remainder of such notice period) (subject to statutory deductions)</w:t>
      </w:r>
    </w:p>
    <w:p>
      <w:pPr>
        <w:spacing w:after="0" w:line="56" w:lineRule="exact"/>
        <w:rPr>
          <w:sz w:val="20"/>
          <w:szCs w:val="20"/>
          <w:color w:val="auto"/>
        </w:rPr>
      </w:pPr>
    </w:p>
    <w:p>
      <w:pPr>
        <w:jc w:val="both"/>
        <w:ind w:left="764" w:right="60" w:hanging="768"/>
        <w:spacing w:after="0"/>
        <w:tabs>
          <w:tab w:leader="none" w:pos="744"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2"/>
          <w:szCs w:val="22"/>
          <w:color w:val="auto"/>
        </w:rPr>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92" w:lineRule="exact"/>
        <w:rPr>
          <w:sz w:val="20"/>
          <w:szCs w:val="20"/>
          <w:color w:val="auto"/>
        </w:rPr>
      </w:pPr>
    </w:p>
    <w:p>
      <w:pPr>
        <w:ind w:left="764" w:right="20" w:hanging="768"/>
        <w:spacing w:after="0" w:line="245" w:lineRule="auto"/>
        <w:tabs>
          <w:tab w:leader="none" w:pos="744"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21"/>
          <w:szCs w:val="21"/>
          <w:color w:val="auto"/>
        </w:rPr>
        <w:t>Upon the termination of your employment with the Company for whatever reason or after notice having been served at the request of the Company or if you shall 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90"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2"/>
          <w:szCs w:val="22"/>
          <w:color w:val="auto"/>
        </w:rPr>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The Company may at its absolute discretion during any period of notice given by either party:</w:t>
      </w:r>
    </w:p>
    <w:p>
      <w:pPr>
        <w:spacing w:after="0" w:line="112"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18.6.1 appoint a person to perform your duties jointly with you or, during any period of garden leave pursuant to clause 20 and/or during any period of suspension pursuant to clause 24.2, to perform all or some of your duties in your place; and/or</w:t>
      </w:r>
    </w:p>
    <w:p>
      <w:pPr>
        <w:spacing w:after="0" w:line="92" w:lineRule="exact"/>
        <w:rPr>
          <w:sz w:val="20"/>
          <w:szCs w:val="20"/>
          <w:color w:val="auto"/>
        </w:rPr>
      </w:pPr>
    </w:p>
    <w:p>
      <w:pPr>
        <w:ind w:left="1424" w:right="640" w:hanging="647"/>
        <w:spacing w:after="0" w:line="250" w:lineRule="auto"/>
        <w:rPr>
          <w:sz w:val="20"/>
          <w:szCs w:val="20"/>
          <w:color w:val="auto"/>
        </w:rPr>
      </w:pPr>
      <w:r>
        <w:rPr>
          <w:rFonts w:ascii="Arial" w:cs="Arial" w:eastAsia="Arial" w:hAnsi="Arial"/>
          <w:sz w:val="22"/>
          <w:szCs w:val="22"/>
          <w:color w:val="auto"/>
        </w:rPr>
        <w:t>18.6.2 suspend or cancel your access to the Company’s IT and telephone systems including, but not limited to, voicemail, email, internet and the Company’s intranet.</w:t>
      </w:r>
    </w:p>
    <w:p>
      <w:pPr>
        <w:spacing w:after="0" w:line="80" w:lineRule="exact"/>
        <w:rPr>
          <w:sz w:val="20"/>
          <w:szCs w:val="20"/>
          <w:color w:val="auto"/>
        </w:rPr>
      </w:pPr>
    </w:p>
    <w:p>
      <w:pPr>
        <w:ind w:left="764" w:right="240" w:hanging="768"/>
        <w:spacing w:after="0" w:line="274" w:lineRule="auto"/>
        <w:tabs>
          <w:tab w:leader="none" w:pos="744"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21"/>
          <w:szCs w:val="21"/>
          <w:color w:val="auto"/>
        </w:rPr>
        <w:t>This clause 18 is subject to the provisions of Schedule II appended to this Contract. In the event of conflict between this clause 18 and the provisions of Schedule II, the provisions of Schedule II shall prevail.</w:t>
      </w:r>
    </w:p>
    <w:p>
      <w:pPr>
        <w:spacing w:after="0" w:line="293" w:lineRule="exact"/>
        <w:rPr>
          <w:sz w:val="20"/>
          <w:szCs w:val="20"/>
          <w:color w:val="auto"/>
        </w:rPr>
      </w:pPr>
    </w:p>
    <w:p>
      <w:pPr>
        <w:ind w:left="544" w:hanging="544"/>
        <w:spacing w:after="0"/>
        <w:tabs>
          <w:tab w:leader="none" w:pos="544" w:val="left"/>
        </w:tabs>
        <w:numPr>
          <w:ilvl w:val="0"/>
          <w:numId w:val="383"/>
        </w:numPr>
        <w:rPr>
          <w:rFonts w:ascii="Arial" w:cs="Arial" w:eastAsia="Arial" w:hAnsi="Arial"/>
          <w:sz w:val="22"/>
          <w:szCs w:val="22"/>
          <w:b w:val="1"/>
          <w:bCs w:val="1"/>
          <w:color w:val="auto"/>
        </w:rPr>
      </w:pPr>
      <w:r>
        <w:rPr>
          <w:rFonts w:ascii="Arial" w:cs="Arial" w:eastAsia="Arial" w:hAnsi="Arial"/>
          <w:sz w:val="22"/>
          <w:szCs w:val="22"/>
          <w:b w:val="1"/>
          <w:bCs w:val="1"/>
          <w:color w:val="auto"/>
        </w:rPr>
        <w:t>Summary Termination</w:t>
      </w:r>
    </w:p>
    <w:p>
      <w:pPr>
        <w:spacing w:after="0" w:line="118"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2"/>
          <w:szCs w:val="22"/>
          <w:color w:val="auto"/>
        </w:rPr>
        <w:t>The Company is entitled to terminate the Appointment by summary notice in writing and without payment in lieu of notice for Cause, meaning if you:</w:t>
      </w:r>
    </w:p>
    <w:p>
      <w:pPr>
        <w:spacing w:after="0" w:line="80"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 are guilty of any gross misconduct affecting the business of any Group Company;</w:t>
      </w:r>
    </w:p>
    <w:p>
      <w:pPr>
        <w:spacing w:after="0" w:line="112" w:lineRule="exact"/>
        <w:rPr>
          <w:sz w:val="20"/>
          <w:szCs w:val="20"/>
          <w:color w:val="auto"/>
        </w:rPr>
      </w:pPr>
    </w:p>
    <w:p>
      <w:pPr>
        <w:ind w:left="1424" w:right="300" w:hanging="647"/>
        <w:spacing w:after="0" w:line="250" w:lineRule="auto"/>
        <w:rPr>
          <w:sz w:val="20"/>
          <w:szCs w:val="20"/>
          <w:color w:val="auto"/>
        </w:rPr>
      </w:pPr>
      <w:r>
        <w:rPr>
          <w:rFonts w:ascii="Arial" w:cs="Arial" w:eastAsia="Arial" w:hAnsi="Arial"/>
          <w:sz w:val="22"/>
          <w:szCs w:val="22"/>
          <w:color w:val="auto"/>
        </w:rPr>
        <w:t>19.1.2 commit any serious breach or repeated or continued (after warning) any material breach of your obligations under this Contract;</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004"/>
          </w:cols>
          <w:pgMar w:left="436" w:top="266" w:right="459" w:bottom="1440" w:gutter="0" w:footer="0" w:header="0"/>
        </w:sectPr>
      </w:pPr>
    </w:p>
    <w:bookmarkStart w:id="391" w:name="page392"/>
    <w:bookmarkEnd w:id="391"/>
    <w:p>
      <w:pPr>
        <w:ind w:left="660" w:right="100" w:hanging="647"/>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19.1.3 commit (by commission or omission) any act which brings or would tend to bring the Company or any Group Company into disrepute;</w:t>
      </w:r>
    </w:p>
    <w:p>
      <w:pPr>
        <w:spacing w:after="0" w:line="80" w:lineRule="exact"/>
        <w:rPr>
          <w:sz w:val="20"/>
          <w:szCs w:val="20"/>
          <w:color w:val="auto"/>
        </w:rPr>
      </w:pPr>
    </w:p>
    <w:p>
      <w:pPr>
        <w:ind w:left="660" w:right="860" w:hanging="647"/>
        <w:spacing w:after="0" w:line="250" w:lineRule="auto"/>
        <w:rPr>
          <w:sz w:val="20"/>
          <w:szCs w:val="20"/>
          <w:color w:val="auto"/>
        </w:rPr>
      </w:pPr>
      <w:r>
        <w:rPr>
          <w:rFonts w:ascii="Arial" w:cs="Arial" w:eastAsia="Arial" w:hAnsi="Arial"/>
          <w:sz w:val="22"/>
          <w:szCs w:val="22"/>
          <w:color w:val="auto"/>
        </w:rPr>
        <w:t>19.1.4 fail to perform your duties to a satisfactory standard after having received a written warning from the Company relating to the same;</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19.1.5 are guilty of any dishonesty, gross misconduct or wilful neglect of duty;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19.1.6 damage Company property maliciously;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19.1.7 falsify attendance or sickness or other records;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19.1.8 falsify any data during the course of your employment;</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19.1.9 conduct yourself in a manner materially adverse to the interests of the Company or any Group Company;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19.1.10are, in the reasonable opinion of the Board, negligent and incompetent in the performance of your duties;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19.1.11have a bankruptcy order made against you or enter into a voluntary arrangement within the meaning of section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253 Insolvency Act 1986;</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19.1.12consume or distribute narcotics on Company premises;</w:t>
      </w:r>
    </w:p>
    <w:p>
      <w:pPr>
        <w:spacing w:after="0" w:line="112" w:lineRule="exact"/>
        <w:rPr>
          <w:sz w:val="20"/>
          <w:szCs w:val="20"/>
          <w:color w:val="auto"/>
        </w:rPr>
      </w:pPr>
    </w:p>
    <w:p>
      <w:pPr>
        <w:jc w:val="both"/>
        <w:ind w:left="660" w:right="280" w:hanging="647"/>
        <w:spacing w:after="0"/>
        <w:rPr>
          <w:sz w:val="20"/>
          <w:szCs w:val="20"/>
          <w:color w:val="auto"/>
        </w:rPr>
      </w:pPr>
      <w:r>
        <w:rPr>
          <w:rFonts w:ascii="Arial" w:cs="Arial" w:eastAsia="Arial" w:hAnsi="Arial"/>
          <w:sz w:val="22"/>
          <w:szCs w:val="22"/>
          <w:color w:val="auto"/>
        </w:rPr>
        <w:t>19.1.13are convicted of any criminal offence (other than an offence under any road traffic legislation in the United Kingdom or elsewhere for which a fine or non-custodial penalty is imposed) whether or not in the course of your employment;</w:t>
      </w:r>
    </w:p>
    <w:p>
      <w:pPr>
        <w:spacing w:after="0" w:line="92" w:lineRule="exact"/>
        <w:rPr>
          <w:sz w:val="20"/>
          <w:szCs w:val="20"/>
          <w:color w:val="auto"/>
        </w:rPr>
      </w:pPr>
    </w:p>
    <w:p>
      <w:pPr>
        <w:ind w:left="660" w:hanging="647"/>
        <w:spacing w:after="0"/>
        <w:rPr>
          <w:sz w:val="20"/>
          <w:szCs w:val="20"/>
          <w:color w:val="auto"/>
        </w:rPr>
      </w:pPr>
      <w:r>
        <w:rPr>
          <w:rFonts w:ascii="Arial" w:cs="Arial" w:eastAsia="Arial" w:hAnsi="Arial"/>
          <w:sz w:val="22"/>
          <w:szCs w:val="22"/>
          <w:color w:val="auto"/>
        </w:rPr>
        <w:t>19.1.14are, in the opinion of a medical practitioner who is treating you, physically or mentally incapable of performing your duties and may remain so for more than three months and the medical practitioner has given a medical opinion to the Board to that effect;</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19.1.15cease to be eligible to work in the United Kingdom;</w:t>
      </w:r>
    </w:p>
    <w:p>
      <w:pPr>
        <w:spacing w:after="0" w:line="112" w:lineRule="exact"/>
        <w:rPr>
          <w:sz w:val="20"/>
          <w:szCs w:val="20"/>
          <w:color w:val="auto"/>
        </w:rPr>
      </w:pPr>
    </w:p>
    <w:p>
      <w:pPr>
        <w:ind w:left="660" w:right="340" w:hanging="647"/>
        <w:spacing w:after="0" w:line="250" w:lineRule="auto"/>
        <w:rPr>
          <w:sz w:val="20"/>
          <w:szCs w:val="20"/>
          <w:color w:val="auto"/>
        </w:rPr>
      </w:pPr>
      <w:r>
        <w:rPr>
          <w:rFonts w:ascii="Arial" w:cs="Arial" w:eastAsia="Arial" w:hAnsi="Arial"/>
          <w:sz w:val="22"/>
          <w:szCs w:val="22"/>
          <w:color w:val="auto"/>
        </w:rPr>
        <w:t>19.1.16knowingly commit any deliberate act which amounts to discrimination, victimisation or harassment on any unlawful ground;</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19.1.17are in breach of the Company’s anti-corruption and bribery policy and related procedures;</w:t>
      </w:r>
    </w:p>
    <w:p>
      <w:pPr>
        <w:spacing w:after="0" w:line="112" w:lineRule="exact"/>
        <w:rPr>
          <w:sz w:val="20"/>
          <w:szCs w:val="20"/>
          <w:color w:val="auto"/>
        </w:rPr>
      </w:pPr>
    </w:p>
    <w:p>
      <w:pPr>
        <w:ind w:left="660" w:right="320" w:hanging="647"/>
        <w:spacing w:after="0" w:line="250" w:lineRule="auto"/>
        <w:rPr>
          <w:sz w:val="20"/>
          <w:szCs w:val="20"/>
          <w:color w:val="auto"/>
        </w:rPr>
      </w:pPr>
      <w:r>
        <w:rPr>
          <w:rFonts w:ascii="Arial" w:cs="Arial" w:eastAsia="Arial" w:hAnsi="Arial"/>
          <w:sz w:val="22"/>
          <w:szCs w:val="22"/>
          <w:color w:val="auto"/>
        </w:rPr>
        <w:t>19.1.18are guilty of a serious breach of any rules issued by the Company from time to time regarding its electronic communications systems;</w:t>
      </w:r>
    </w:p>
    <w:p>
      <w:pPr>
        <w:spacing w:after="0" w:line="80" w:lineRule="exact"/>
        <w:rPr>
          <w:sz w:val="20"/>
          <w:szCs w:val="20"/>
          <w:color w:val="auto"/>
        </w:rPr>
      </w:pPr>
    </w:p>
    <w:p>
      <w:pPr>
        <w:ind w:left="660" w:right="500" w:hanging="647"/>
        <w:spacing w:after="0" w:line="250" w:lineRule="auto"/>
        <w:rPr>
          <w:sz w:val="20"/>
          <w:szCs w:val="20"/>
          <w:color w:val="auto"/>
        </w:rPr>
      </w:pPr>
      <w:r>
        <w:rPr>
          <w:rFonts w:ascii="Arial" w:cs="Arial" w:eastAsia="Arial" w:hAnsi="Arial"/>
          <w:sz w:val="22"/>
          <w:szCs w:val="22"/>
          <w:color w:val="auto"/>
        </w:rPr>
        <w:t>19.1.19are unable by reason of Incapacity to perform his duties under this Contract for an aggregate period of 26 weeks in any 52-week period; or</w:t>
      </w:r>
    </w:p>
    <w:p>
      <w:pPr>
        <w:spacing w:after="0" w:line="80" w:lineRule="exact"/>
        <w:rPr>
          <w:sz w:val="20"/>
          <w:szCs w:val="20"/>
          <w:color w:val="auto"/>
        </w:rPr>
      </w:pPr>
    </w:p>
    <w:p>
      <w:pPr>
        <w:ind w:left="660" w:right="700" w:hanging="647"/>
        <w:spacing w:after="0" w:line="250" w:lineRule="auto"/>
        <w:rPr>
          <w:sz w:val="20"/>
          <w:szCs w:val="20"/>
          <w:color w:val="auto"/>
        </w:rPr>
      </w:pPr>
      <w:r>
        <w:rPr>
          <w:rFonts w:ascii="Arial" w:cs="Arial" w:eastAsia="Arial" w:hAnsi="Arial"/>
          <w:sz w:val="22"/>
          <w:szCs w:val="22"/>
          <w:color w:val="auto"/>
        </w:rPr>
        <w:t>19.1.20commit any other offence of a similar gravity to the examples under this clause 19.1, which are neither exclusive nor exhaustive.</w:t>
      </w:r>
    </w:p>
    <w:p>
      <w:pPr>
        <w:spacing w:after="0" w:line="10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0240"/>
          </w:cols>
          <w:pgMar w:left="1200" w:top="266" w:right="459" w:bottom="1440" w:gutter="0" w:footer="0" w:header="0"/>
        </w:sectPr>
      </w:pPr>
    </w:p>
    <w:bookmarkStart w:id="392" w:name="page393"/>
    <w:bookmarkEnd w:id="392"/>
    <w:p>
      <w:pPr>
        <w:ind w:left="4"/>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w:t>
      </w:r>
      <w:r>
        <w:rPr>
          <w:sz w:val="20"/>
          <w:szCs w:val="20"/>
          <w:color w:val="auto"/>
        </w:rPr>
        <w:tab/>
      </w:r>
      <w:r>
        <w:rPr>
          <w:rFonts w:ascii="Arial" w:cs="Arial" w:eastAsia="Arial" w:hAnsi="Arial"/>
          <w:sz w:val="19"/>
          <w:szCs w:val="19"/>
          <w:color w:val="auto"/>
        </w:rPr>
        <w:t>Any delay by the Company in exercising such right of termination shall not constitute a waiver of that right.</w:t>
      </w:r>
    </w:p>
    <w:p>
      <w:pPr>
        <w:spacing w:after="0" w:line="112" w:lineRule="exact"/>
        <w:rPr>
          <w:sz w:val="20"/>
          <w:szCs w:val="20"/>
          <w:color w:val="auto"/>
        </w:rPr>
      </w:pPr>
    </w:p>
    <w:p>
      <w:pPr>
        <w:ind w:left="764" w:right="20" w:hanging="768"/>
        <w:spacing w:after="0"/>
        <w:tabs>
          <w:tab w:leader="none" w:pos="744"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2"/>
          <w:szCs w:val="22"/>
          <w:color w:val="auto"/>
        </w:rPr>
        <w:t>The termination by the Company of the Appointment pursuant to this clause 19 will be without prejudice to any claim that the Company may have for damages arising from any breach of this Contract by you that gives rise to such termination.</w:t>
      </w:r>
    </w:p>
    <w:p>
      <w:pPr>
        <w:spacing w:after="0" w:line="329" w:lineRule="exact"/>
        <w:rPr>
          <w:sz w:val="20"/>
          <w:szCs w:val="20"/>
          <w:color w:val="auto"/>
        </w:rPr>
      </w:pPr>
    </w:p>
    <w:p>
      <w:pPr>
        <w:ind w:left="764" w:hanging="764"/>
        <w:spacing w:after="0"/>
        <w:tabs>
          <w:tab w:leader="none" w:pos="764" w:val="left"/>
        </w:tabs>
        <w:numPr>
          <w:ilvl w:val="0"/>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Garden Leave</w:t>
      </w:r>
    </w:p>
    <w:p>
      <w:pPr>
        <w:spacing w:after="0" w:line="118" w:lineRule="exact"/>
        <w:rPr>
          <w:sz w:val="20"/>
          <w:szCs w:val="20"/>
          <w:color w:val="auto"/>
        </w:rPr>
      </w:pPr>
    </w:p>
    <w:p>
      <w:pPr>
        <w:ind w:left="764" w:right="80" w:hanging="768"/>
        <w:spacing w:after="0" w:line="252" w:lineRule="auto"/>
        <w:tabs>
          <w:tab w:leader="none" w:pos="744"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1"/>
          <w:szCs w:val="21"/>
          <w:color w:val="auto"/>
        </w:rPr>
        <w:t>After notice of termination has been given by either party pursuant to clause 18 provided that the Company continues to provide you with your normal Salary and 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79"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20.1.1 exclude you from the premises of the Company and any Group Company; and/or</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21"/>
          <w:szCs w:val="21"/>
          <w:color w:val="auto"/>
        </w:rPr>
        <w:t>20.1.2 require you to carry out specified duties other than your normal duties or to carry out no duties; and/or</w:t>
      </w:r>
    </w:p>
    <w:p>
      <w:pPr>
        <w:spacing w:after="0" w:line="123"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20.1.3 withdraw any powers vested in you; and/or</w:t>
      </w:r>
    </w:p>
    <w:p>
      <w:pPr>
        <w:spacing w:after="0" w:line="112" w:lineRule="exact"/>
        <w:rPr>
          <w:sz w:val="20"/>
          <w:szCs w:val="20"/>
          <w:color w:val="auto"/>
        </w:rPr>
      </w:pPr>
    </w:p>
    <w:p>
      <w:pPr>
        <w:ind w:left="1424" w:right="920" w:hanging="647"/>
        <w:spacing w:after="0" w:line="328" w:lineRule="auto"/>
        <w:rPr>
          <w:sz w:val="20"/>
          <w:szCs w:val="20"/>
          <w:color w:val="auto"/>
        </w:rPr>
      </w:pPr>
      <w:r>
        <w:rPr>
          <w:rFonts w:ascii="Arial" w:cs="Arial" w:eastAsia="Arial" w:hAnsi="Arial"/>
          <w:sz w:val="19"/>
          <w:szCs w:val="19"/>
          <w:color w:val="auto"/>
        </w:rPr>
        <w:t>20.1.4 instruct you not to communicate orally or in writing with suppliers, customers, employees, agents/or representatives of the Company or any Group Company until the Appointment has terminated.</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During any period of garden leave you shall:</w:t>
      </w:r>
    </w:p>
    <w:p>
      <w:pPr>
        <w:spacing w:after="0" w:line="112" w:lineRule="exact"/>
        <w:rPr>
          <w:sz w:val="20"/>
          <w:szCs w:val="20"/>
          <w:color w:val="auto"/>
        </w:rPr>
      </w:pPr>
    </w:p>
    <w:p>
      <w:pPr>
        <w:ind w:left="1424" w:right="340" w:hanging="647"/>
        <w:spacing w:after="0" w:line="250" w:lineRule="auto"/>
        <w:rPr>
          <w:sz w:val="20"/>
          <w:szCs w:val="20"/>
          <w:color w:val="auto"/>
        </w:rPr>
      </w:pPr>
      <w:r>
        <w:rPr>
          <w:rFonts w:ascii="Arial" w:cs="Arial" w:eastAsia="Arial" w:hAnsi="Arial"/>
          <w:sz w:val="22"/>
          <w:szCs w:val="22"/>
          <w:color w:val="auto"/>
        </w:rPr>
        <w:t>20.2.1 continue to receive your Salary and all contractual benefits in the usual way and subject to the terms of any benefit arrangement;</w:t>
      </w:r>
    </w:p>
    <w:p>
      <w:pPr>
        <w:spacing w:after="0" w:line="80" w:lineRule="exact"/>
        <w:rPr>
          <w:sz w:val="20"/>
          <w:szCs w:val="20"/>
          <w:color w:val="auto"/>
        </w:rPr>
      </w:pPr>
    </w:p>
    <w:p>
      <w:pPr>
        <w:ind w:left="1424" w:right="740" w:hanging="647"/>
        <w:spacing w:after="0" w:line="250" w:lineRule="auto"/>
        <w:rPr>
          <w:sz w:val="20"/>
          <w:szCs w:val="20"/>
          <w:color w:val="auto"/>
        </w:rPr>
      </w:pPr>
      <w:r>
        <w:rPr>
          <w:rFonts w:ascii="Arial" w:cs="Arial" w:eastAsia="Arial" w:hAnsi="Arial"/>
          <w:sz w:val="22"/>
          <w:szCs w:val="22"/>
          <w:color w:val="auto"/>
        </w:rPr>
        <w:t>20.2.2 remain an employee of the Company and bound by the terms of your contract of employment with the Company;</w:t>
      </w:r>
    </w:p>
    <w:p>
      <w:pPr>
        <w:spacing w:after="0" w:line="80" w:lineRule="exact"/>
        <w:rPr>
          <w:sz w:val="20"/>
          <w:szCs w:val="20"/>
          <w:color w:val="auto"/>
        </w:rPr>
      </w:pPr>
    </w:p>
    <w:p>
      <w:pPr>
        <w:ind w:left="1424" w:right="80" w:hanging="647"/>
        <w:spacing w:after="0" w:line="250" w:lineRule="auto"/>
        <w:rPr>
          <w:sz w:val="20"/>
          <w:szCs w:val="20"/>
          <w:color w:val="auto"/>
        </w:rPr>
      </w:pPr>
      <w:r>
        <w:rPr>
          <w:rFonts w:ascii="Arial" w:cs="Arial" w:eastAsia="Arial" w:hAnsi="Arial"/>
          <w:sz w:val="22"/>
          <w:szCs w:val="22"/>
          <w:color w:val="auto"/>
        </w:rPr>
        <w:t>20.2.3 not, without the prior written consent of your Manager, attend your place of work or any other premises of the Company or any Group Company;</w:t>
      </w:r>
    </w:p>
    <w:p>
      <w:pPr>
        <w:spacing w:after="0" w:line="80"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20.2.4 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92" w:lineRule="exact"/>
        <w:rPr>
          <w:sz w:val="20"/>
          <w:szCs w:val="20"/>
          <w:color w:val="auto"/>
        </w:rPr>
      </w:pPr>
    </w:p>
    <w:p>
      <w:pPr>
        <w:ind w:left="1424" w:right="40" w:hanging="647"/>
        <w:spacing w:after="0"/>
        <w:rPr>
          <w:sz w:val="20"/>
          <w:szCs w:val="20"/>
          <w:color w:val="auto"/>
        </w:rPr>
      </w:pPr>
      <w:r>
        <w:rPr>
          <w:rFonts w:ascii="Arial" w:cs="Arial" w:eastAsia="Arial" w:hAnsi="Arial"/>
          <w:sz w:val="22"/>
          <w:szCs w:val="22"/>
          <w:color w:val="auto"/>
        </w:rPr>
        <w:t>20.2.5 (except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9" w:lineRule="exact"/>
        <w:rPr>
          <w:sz w:val="20"/>
          <w:szCs w:val="20"/>
          <w:color w:val="auto"/>
        </w:rPr>
      </w:pPr>
    </w:p>
    <w:p>
      <w:pPr>
        <w:ind w:left="764" w:hanging="764"/>
        <w:spacing w:after="0"/>
        <w:tabs>
          <w:tab w:leader="none" w:pos="764" w:val="left"/>
        </w:tabs>
        <w:numPr>
          <w:ilvl w:val="0"/>
          <w:numId w:val="385"/>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after Employment</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You shall not, save in respect of a Permitted Interest or with the prior written consent of the Company, for a period of</w:t>
      </w:r>
    </w:p>
    <w:p>
      <w:pPr>
        <w:spacing w:after="0" w:line="8" w:lineRule="exact"/>
        <w:rPr>
          <w:sz w:val="20"/>
          <w:szCs w:val="20"/>
          <w:color w:val="auto"/>
        </w:rPr>
      </w:pPr>
    </w:p>
    <w:p>
      <w:pPr>
        <w:ind w:left="764"/>
        <w:spacing w:after="0"/>
        <w:rPr>
          <w:sz w:val="20"/>
          <w:szCs w:val="20"/>
          <w:color w:val="auto"/>
        </w:rPr>
      </w:pPr>
      <w:r>
        <w:rPr>
          <w:rFonts w:ascii="Arial" w:cs="Arial" w:eastAsia="Arial" w:hAnsi="Arial"/>
          <w:sz w:val="22"/>
          <w:szCs w:val="22"/>
          <w:color w:val="auto"/>
        </w:rPr>
        <w:t>6 months from the Termination Date</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004"/>
          </w:cols>
          <w:pgMar w:left="436" w:top="266" w:right="459" w:bottom="1440" w:gutter="0" w:footer="0" w:header="0"/>
        </w:sectPr>
      </w:pPr>
    </w:p>
    <w:bookmarkStart w:id="393" w:name="page394"/>
    <w:bookmarkEnd w:id="393"/>
    <w:p>
      <w:pPr>
        <w:ind w:left="760" w:right="3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92" w:lineRule="exact"/>
        <w:rPr>
          <w:sz w:val="20"/>
          <w:szCs w:val="20"/>
          <w:color w:val="auto"/>
        </w:rPr>
      </w:pPr>
    </w:p>
    <w:p>
      <w:pPr>
        <w:jc w:val="right"/>
        <w:ind w:right="180"/>
        <w:spacing w:after="0" w:line="328" w:lineRule="auto"/>
        <w:rPr>
          <w:sz w:val="20"/>
          <w:szCs w:val="20"/>
          <w:color w:val="auto"/>
        </w:rPr>
      </w:pPr>
      <w:r>
        <w:rPr>
          <w:rFonts w:ascii="Arial" w:cs="Arial" w:eastAsia="Arial" w:hAnsi="Arial"/>
          <w:sz w:val="19"/>
          <w:szCs w:val="19"/>
          <w:color w:val="auto"/>
        </w:rPr>
        <w:t>21.2    You shall not for a period of 6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21.2.1 deal with or accept custom from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21.2.2 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1420" w:right="380" w:hanging="647"/>
        <w:spacing w:after="0" w:line="250" w:lineRule="auto"/>
        <w:rPr>
          <w:sz w:val="20"/>
          <w:szCs w:val="20"/>
          <w:color w:val="auto"/>
        </w:rPr>
      </w:pPr>
      <w:r>
        <w:rPr>
          <w:rFonts w:ascii="Arial" w:cs="Arial" w:eastAsia="Arial" w:hAnsi="Arial"/>
          <w:sz w:val="22"/>
          <w:szCs w:val="22"/>
          <w:color w:val="auto"/>
        </w:rPr>
        <w:t>21.2.3 deal with or interfere with any company from whom the Company or any Group Company has licensed or acquired intellectual property.</w:t>
      </w:r>
    </w:p>
    <w:p>
      <w:pPr>
        <w:spacing w:after="0" w:line="80" w:lineRule="exact"/>
        <w:rPr>
          <w:sz w:val="20"/>
          <w:szCs w:val="20"/>
          <w:color w:val="auto"/>
        </w:rPr>
      </w:pPr>
    </w:p>
    <w:p>
      <w:pPr>
        <w:jc w:val="right"/>
        <w:ind w:right="180"/>
        <w:spacing w:after="0" w:line="328" w:lineRule="auto"/>
        <w:rPr>
          <w:sz w:val="20"/>
          <w:szCs w:val="20"/>
          <w:color w:val="auto"/>
        </w:rPr>
      </w:pPr>
      <w:r>
        <w:rPr>
          <w:rFonts w:ascii="Arial" w:cs="Arial" w:eastAsia="Arial" w:hAnsi="Arial"/>
          <w:sz w:val="19"/>
          <w:szCs w:val="19"/>
          <w:color w:val="auto"/>
        </w:rPr>
        <w:t>21.3    You shall not for a period of 9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0" w:hanging="647"/>
        <w:spacing w:after="0" w:line="287" w:lineRule="auto"/>
        <w:rPr>
          <w:sz w:val="20"/>
          <w:szCs w:val="20"/>
          <w:color w:val="auto"/>
        </w:rPr>
      </w:pPr>
      <w:r>
        <w:rPr>
          <w:rFonts w:ascii="Arial" w:cs="Arial" w:eastAsia="Arial" w:hAnsi="Arial"/>
          <w:sz w:val="19"/>
          <w:szCs w:val="19"/>
          <w:color w:val="auto"/>
        </w:rPr>
        <w:t>21.3.1 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48" w:lineRule="exact"/>
        <w:rPr>
          <w:sz w:val="20"/>
          <w:szCs w:val="20"/>
          <w:color w:val="auto"/>
        </w:rPr>
      </w:pPr>
    </w:p>
    <w:p>
      <w:pPr>
        <w:ind w:left="1420" w:right="20" w:hanging="647"/>
        <w:spacing w:after="0" w:line="287" w:lineRule="auto"/>
        <w:rPr>
          <w:sz w:val="20"/>
          <w:szCs w:val="20"/>
          <w:color w:val="auto"/>
        </w:rPr>
      </w:pPr>
      <w:r>
        <w:rPr>
          <w:rFonts w:ascii="Arial" w:cs="Arial" w:eastAsia="Arial" w:hAnsi="Arial"/>
          <w:sz w:val="19"/>
          <w:szCs w:val="19"/>
          <w:color w:val="auto"/>
        </w:rPr>
        <w:t>21.3.2 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48" w:lineRule="exact"/>
        <w:rPr>
          <w:sz w:val="20"/>
          <w:szCs w:val="20"/>
          <w:color w:val="auto"/>
        </w:rPr>
      </w:pPr>
    </w:p>
    <w:p>
      <w:pPr>
        <w:ind w:left="1420" w:hanging="647"/>
        <w:spacing w:after="0" w:line="250" w:lineRule="auto"/>
        <w:rPr>
          <w:sz w:val="20"/>
          <w:szCs w:val="20"/>
          <w:color w:val="auto"/>
        </w:rPr>
      </w:pPr>
      <w:r>
        <w:rPr>
          <w:rFonts w:ascii="Arial" w:cs="Arial" w:eastAsia="Arial" w:hAnsi="Arial"/>
          <w:sz w:val="22"/>
          <w:szCs w:val="22"/>
          <w:color w:val="auto"/>
        </w:rPr>
        <w:t>21.3.3 interfere or seek to interfere with the continuance, or any of the terms, of the supply of goods or services to the Company or any Group Company;</w:t>
      </w:r>
    </w:p>
    <w:p>
      <w:pPr>
        <w:spacing w:after="0" w:line="67" w:lineRule="exact"/>
        <w:rPr>
          <w:sz w:val="20"/>
          <w:szCs w:val="20"/>
          <w:color w:val="auto"/>
        </w:rPr>
      </w:pPr>
    </w:p>
    <w:p>
      <w:pPr>
        <w:ind w:left="760" w:right="220"/>
        <w:spacing w:after="0"/>
        <w:rPr>
          <w:sz w:val="20"/>
          <w:szCs w:val="20"/>
          <w:color w:val="auto"/>
        </w:rPr>
      </w:pPr>
      <w:r>
        <w:rPr>
          <w:rFonts w:ascii="Arial" w:cs="Arial" w:eastAsia="Arial" w:hAnsi="Arial"/>
          <w:sz w:val="22"/>
          <w:szCs w:val="22"/>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0980"/>
          </w:cols>
          <w:pgMar w:left="440" w:top="266" w:right="479" w:bottom="1440" w:gutter="0" w:footer="0" w:header="0"/>
        </w:sectPr>
      </w:pPr>
    </w:p>
    <w:bookmarkStart w:id="394" w:name="page395"/>
    <w:bookmarkEnd w:id="394"/>
    <w:p>
      <w:pPr>
        <w:ind w:left="764" w:right="60" w:hanging="768"/>
        <w:spacing w:after="0" w:line="236"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21.4</w:t>
      </w:r>
      <w:r>
        <w:rPr>
          <w:sz w:val="20"/>
          <w:szCs w:val="20"/>
          <w:color w:val="auto"/>
        </w:rPr>
        <w:tab/>
      </w:r>
      <w:r>
        <w:rPr>
          <w:rFonts w:ascii="Arial" w:cs="Arial" w:eastAsia="Arial" w:hAnsi="Arial"/>
          <w:sz w:val="22"/>
          <w:szCs w:val="22"/>
          <w:color w:val="auto"/>
        </w:rPr>
        <w:t>You shall not for a period of 6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93" w:lineRule="exact"/>
        <w:rPr>
          <w:sz w:val="20"/>
          <w:szCs w:val="20"/>
          <w:color w:val="auto"/>
        </w:rPr>
      </w:pPr>
    </w:p>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2"/>
          <w:szCs w:val="22"/>
          <w:color w:val="auto"/>
        </w:rPr>
        <w:t>You shall not, at any time after the Termination Date, either on your own behalf or on behalf of any other person, firm or company directly or indirectly:</w:t>
      </w:r>
    </w:p>
    <w:p>
      <w:pPr>
        <w:spacing w:after="0" w:line="80" w:lineRule="exact"/>
        <w:rPr>
          <w:sz w:val="20"/>
          <w:szCs w:val="20"/>
          <w:color w:val="auto"/>
        </w:rPr>
      </w:pPr>
    </w:p>
    <w:p>
      <w:pPr>
        <w:ind w:left="1424" w:right="220" w:hanging="647"/>
        <w:spacing w:after="0" w:line="249" w:lineRule="auto"/>
        <w:rPr>
          <w:sz w:val="20"/>
          <w:szCs w:val="20"/>
          <w:color w:val="auto"/>
        </w:rPr>
      </w:pPr>
      <w:r>
        <w:rPr>
          <w:rFonts w:ascii="Arial" w:cs="Arial" w:eastAsia="Arial" w:hAnsi="Arial"/>
          <w:sz w:val="21"/>
          <w:szCs w:val="21"/>
          <w:color w:val="auto"/>
        </w:rPr>
        <w:t>21.5.1 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84" w:lineRule="exact"/>
        <w:rPr>
          <w:sz w:val="20"/>
          <w:szCs w:val="20"/>
          <w:color w:val="auto"/>
        </w:rPr>
      </w:pPr>
    </w:p>
    <w:p>
      <w:pPr>
        <w:ind w:left="1424" w:right="20" w:hanging="647"/>
        <w:spacing w:after="0" w:line="282" w:lineRule="auto"/>
        <w:rPr>
          <w:sz w:val="20"/>
          <w:szCs w:val="20"/>
          <w:color w:val="auto"/>
        </w:rPr>
      </w:pPr>
      <w:r>
        <w:rPr>
          <w:rFonts w:ascii="Arial" w:cs="Arial" w:eastAsia="Arial" w:hAnsi="Arial"/>
          <w:sz w:val="19"/>
          <w:szCs w:val="19"/>
          <w:color w:val="auto"/>
        </w:rPr>
        <w:t>21.5.2 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9"/>
          <w:szCs w:val="19"/>
          <w:b w:val="1"/>
          <w:bCs w:val="1"/>
          <w:color w:val="auto"/>
        </w:rPr>
        <w:t>Relevant Personnel</w:t>
      </w:r>
      <w:r>
        <w:rPr>
          <w:rFonts w:ascii="Arial" w:cs="Arial" w:eastAsia="Arial" w:hAnsi="Arial"/>
          <w:sz w:val="19"/>
          <w:szCs w:val="19"/>
          <w:color w:val="auto"/>
        </w:rPr>
        <w:t>”) and/or which may be disparaging or derogatory to any of the Company or any Group Company or any Relevant Personnel.</w:t>
      </w:r>
    </w:p>
    <w:p>
      <w:pPr>
        <w:spacing w:after="0" w:line="53"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color w:val="auto"/>
        </w:rPr>
        <w:t>The period of the restrictions in clauses 21.1 to 21.4 inclusive shall be reduced by the period, if any, spent by you during which you are placed on garden leave in accordance with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You agree to notify your new employer of the restrictions contained within clauses 21.1 to 21.4 inclusive.</w:t>
      </w:r>
    </w:p>
    <w:p>
      <w:pPr>
        <w:spacing w:after="0" w:line="112"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1"/>
          <w:szCs w:val="21"/>
          <w:color w:val="auto"/>
        </w:rPr>
        <w:t>You acknowledge that, in the course of your employment, you are likely to have dealings with the clients, customers, suppliers and other contacts of the Company. 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327" w:lineRule="exact"/>
        <w:rPr>
          <w:sz w:val="20"/>
          <w:szCs w:val="20"/>
          <w:color w:val="auto"/>
        </w:rPr>
      </w:pPr>
    </w:p>
    <w:p>
      <w:pPr>
        <w:ind w:left="764" w:hanging="764"/>
        <w:spacing w:after="0"/>
        <w:tabs>
          <w:tab w:leader="none" w:pos="764" w:val="left"/>
        </w:tabs>
        <w:numPr>
          <w:ilvl w:val="0"/>
          <w:numId w:val="386"/>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118" w:lineRule="exact"/>
        <w:rPr>
          <w:sz w:val="20"/>
          <w:szCs w:val="20"/>
          <w:color w:val="auto"/>
        </w:rPr>
      </w:pPr>
    </w:p>
    <w:p>
      <w:pPr>
        <w:ind w:left="764" w:right="360" w:hanging="768"/>
        <w:spacing w:after="0" w:line="328" w:lineRule="auto"/>
        <w:tabs>
          <w:tab w:leader="none" w:pos="744"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All Documents and other property (including mobile telephones, laptop computers and other technical equipment) provided for your use by the Company, remain the property of the Company or any Group Company.</w:t>
      </w:r>
    </w:p>
    <w:p>
      <w:pPr>
        <w:spacing w:after="0" w:line="3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004"/>
          </w:cols>
          <w:pgMar w:left="436" w:top="266" w:right="459" w:bottom="1440" w:gutter="0" w:footer="0" w:header="0"/>
        </w:sectPr>
      </w:pPr>
    </w:p>
    <w:bookmarkStart w:id="395" w:name="page396"/>
    <w:bookmarkEnd w:id="395"/>
    <w:p>
      <w:pPr>
        <w:ind w:left="764" w:right="180" w:hanging="768"/>
        <w:spacing w:after="0" w:line="328"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w:t>
      </w:r>
      <w:r>
        <w:rPr>
          <w:sz w:val="20"/>
          <w:szCs w:val="20"/>
          <w:color w:val="auto"/>
        </w:rPr>
        <w:tab/>
      </w:r>
      <w:r>
        <w:rPr>
          <w:rFonts w:ascii="Arial" w:cs="Arial" w:eastAsia="Arial" w:hAnsi="Arial"/>
          <w:sz w:val="19"/>
          <w:szCs w:val="19"/>
          <w:color w:val="auto"/>
        </w:rPr>
        <w:t>Any Documents or other property in your possession and or obtained by you in the course of your employment shall be returned to your Manager at any time on request and in any event prior to the Termination Date.</w:t>
      </w:r>
    </w:p>
    <w:p>
      <w:pPr>
        <w:spacing w:after="0" w:line="10"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color w:val="auto"/>
        </w:rPr>
        <w:t>At any time upon request and in any event prior to the Termination Date you must irretrievably delete any information relating to the business of the Company or any Group Company stored on any magnetic or optical disk or memory and all matter derived from such sources which is in your possession or under your control outside the Company’s premises.</w:t>
      </w:r>
    </w:p>
    <w:p>
      <w:pPr>
        <w:spacing w:after="0" w:line="327" w:lineRule="exact"/>
        <w:rPr>
          <w:sz w:val="20"/>
          <w:szCs w:val="20"/>
          <w:color w:val="auto"/>
        </w:rPr>
      </w:pPr>
    </w:p>
    <w:p>
      <w:pPr>
        <w:ind w:left="764" w:hanging="764"/>
        <w:spacing w:after="0"/>
        <w:tabs>
          <w:tab w:leader="none" w:pos="764" w:val="left"/>
        </w:tabs>
        <w:numPr>
          <w:ilvl w:val="0"/>
          <w:numId w:val="387"/>
        </w:numPr>
        <w:rPr>
          <w:rFonts w:ascii="Arial" w:cs="Arial" w:eastAsia="Arial" w:hAnsi="Arial"/>
          <w:sz w:val="22"/>
          <w:szCs w:val="22"/>
          <w:b w:val="1"/>
          <w:bCs w:val="1"/>
          <w:color w:val="auto"/>
        </w:rPr>
      </w:pPr>
      <w:r>
        <w:rPr>
          <w:rFonts w:ascii="Arial" w:cs="Arial" w:eastAsia="Arial" w:hAnsi="Arial"/>
          <w:sz w:val="22"/>
          <w:szCs w:val="22"/>
          <w:b w:val="1"/>
          <w:bCs w:val="1"/>
          <w:color w:val="auto"/>
        </w:rPr>
        <w:t>Grievance Procedure</w:t>
      </w:r>
    </w:p>
    <w:p>
      <w:pPr>
        <w:spacing w:after="0" w:line="104" w:lineRule="exact"/>
        <w:rPr>
          <w:rFonts w:ascii="Arial" w:cs="Arial" w:eastAsia="Arial" w:hAnsi="Arial"/>
          <w:sz w:val="22"/>
          <w:szCs w:val="22"/>
          <w:b w:val="1"/>
          <w:bCs w:val="1"/>
          <w:color w:val="auto"/>
        </w:rPr>
      </w:pPr>
    </w:p>
    <w:p>
      <w:pPr>
        <w:ind w:left="764" w:right="100"/>
        <w:spacing w:after="0" w:line="279" w:lineRule="auto"/>
        <w:rPr>
          <w:rFonts w:ascii="Arial" w:cs="Arial" w:eastAsia="Arial" w:hAnsi="Arial"/>
          <w:sz w:val="22"/>
          <w:szCs w:val="22"/>
          <w:b w:val="1"/>
          <w:bCs w:val="1"/>
          <w:color w:val="auto"/>
        </w:rPr>
      </w:pPr>
      <w:r>
        <w:rPr>
          <w:rFonts w:ascii="Arial" w:cs="Arial" w:eastAsia="Arial" w:hAnsi="Arial"/>
          <w:sz w:val="19"/>
          <w:szCs w:val="19"/>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Financial Officer or General Counsel.</w:t>
      </w:r>
    </w:p>
    <w:p>
      <w:pPr>
        <w:spacing w:after="0" w:line="292" w:lineRule="exact"/>
        <w:rPr>
          <w:rFonts w:ascii="Arial" w:cs="Arial" w:eastAsia="Arial" w:hAnsi="Arial"/>
          <w:sz w:val="22"/>
          <w:szCs w:val="22"/>
          <w:b w:val="1"/>
          <w:bCs w:val="1"/>
          <w:color w:val="auto"/>
        </w:rPr>
      </w:pPr>
    </w:p>
    <w:p>
      <w:pPr>
        <w:ind w:left="764" w:hanging="764"/>
        <w:spacing w:after="0"/>
        <w:tabs>
          <w:tab w:leader="none" w:pos="764" w:val="left"/>
        </w:tabs>
        <w:numPr>
          <w:ilvl w:val="0"/>
          <w:numId w:val="387"/>
        </w:numPr>
        <w:rPr>
          <w:rFonts w:ascii="Arial" w:cs="Arial" w:eastAsia="Arial" w:hAnsi="Arial"/>
          <w:sz w:val="22"/>
          <w:szCs w:val="22"/>
          <w:b w:val="1"/>
          <w:bCs w:val="1"/>
          <w:color w:val="auto"/>
        </w:rPr>
      </w:pPr>
      <w:r>
        <w:rPr>
          <w:rFonts w:ascii="Arial" w:cs="Arial" w:eastAsia="Arial" w:hAnsi="Arial"/>
          <w:sz w:val="22"/>
          <w:szCs w:val="22"/>
          <w:b w:val="1"/>
          <w:bCs w:val="1"/>
          <w:color w:val="auto"/>
        </w:rPr>
        <w:t>Disciplinary Procedure</w:t>
      </w:r>
    </w:p>
    <w:p>
      <w:pPr>
        <w:spacing w:after="0" w:line="118" w:lineRule="exact"/>
        <w:rPr>
          <w:sz w:val="20"/>
          <w:szCs w:val="20"/>
          <w:color w:val="auto"/>
        </w:rPr>
      </w:pPr>
    </w:p>
    <w:p>
      <w:pPr>
        <w:ind w:left="764" w:right="320" w:hanging="768"/>
        <w:spacing w:after="0" w:line="249" w:lineRule="auto"/>
        <w:tabs>
          <w:tab w:leader="none" w:pos="744"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84" w:lineRule="exact"/>
        <w:rPr>
          <w:sz w:val="20"/>
          <w:szCs w:val="20"/>
          <w:color w:val="auto"/>
        </w:rPr>
      </w:pPr>
    </w:p>
    <w:p>
      <w:pPr>
        <w:jc w:val="both"/>
        <w:ind w:left="764" w:right="320" w:hanging="768"/>
        <w:spacing w:after="0" w:line="257" w:lineRule="auto"/>
        <w:tabs>
          <w:tab w:leader="none" w:pos="744"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75" w:lineRule="exact"/>
        <w:rPr>
          <w:sz w:val="20"/>
          <w:szCs w:val="20"/>
          <w:color w:val="auto"/>
        </w:rPr>
      </w:pPr>
    </w:p>
    <w:p>
      <w:pPr>
        <w:ind w:left="2204" w:right="580" w:hanging="768"/>
        <w:spacing w:after="0" w:line="250" w:lineRule="auto"/>
        <w:tabs>
          <w:tab w:leader="none" w:pos="2184" w:val="left"/>
        </w:tabs>
        <w:rPr>
          <w:sz w:val="20"/>
          <w:szCs w:val="20"/>
          <w:color w:val="auto"/>
        </w:rPr>
      </w:pPr>
      <w:r>
        <w:rPr>
          <w:rFonts w:ascii="Arial" w:cs="Arial" w:eastAsia="Arial" w:hAnsi="Arial"/>
          <w:sz w:val="22"/>
          <w:szCs w:val="22"/>
          <w:color w:val="auto"/>
        </w:rPr>
        <w:t>24.2.1</w:t>
        <w:tab/>
        <w:t>you shall continue to receive your basic salary and all contractual benefits in the usual way and subject to the terms of any benefit arrangement;</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24.2.2</w:t>
      </w:r>
      <w:r>
        <w:rPr>
          <w:sz w:val="20"/>
          <w:szCs w:val="20"/>
          <w:color w:val="auto"/>
        </w:rPr>
        <w:tab/>
      </w:r>
      <w:r>
        <w:rPr>
          <w:rFonts w:ascii="Arial" w:cs="Arial" w:eastAsia="Arial" w:hAnsi="Arial"/>
          <w:sz w:val="19"/>
          <w:szCs w:val="19"/>
          <w:color w:val="auto"/>
        </w:rPr>
        <w:t>you shall remain an employee of the Company and bound by the terms of this Contract;</w:t>
      </w:r>
    </w:p>
    <w:p>
      <w:pPr>
        <w:spacing w:after="0" w:line="112" w:lineRule="exact"/>
        <w:rPr>
          <w:sz w:val="20"/>
          <w:szCs w:val="20"/>
          <w:color w:val="auto"/>
        </w:rPr>
      </w:pPr>
    </w:p>
    <w:p>
      <w:pPr>
        <w:ind w:left="764" w:right="80" w:hanging="768"/>
        <w:spacing w:after="0" w:line="250" w:lineRule="auto"/>
        <w:tabs>
          <w:tab w:leader="none" w:pos="744"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2"/>
          <w:szCs w:val="22"/>
          <w:color w:val="auto"/>
        </w:rPr>
        <w:t>you shall ensure that your Manager knows where you will be and how you can be contacted during each working day (except during any periods taken as holiday in the usual way);</w:t>
      </w:r>
    </w:p>
    <w:p>
      <w:pPr>
        <w:spacing w:after="0" w:line="80" w:lineRule="exact"/>
        <w:rPr>
          <w:sz w:val="20"/>
          <w:szCs w:val="20"/>
          <w:color w:val="auto"/>
        </w:rPr>
      </w:pPr>
    </w:p>
    <w:p>
      <w:pPr>
        <w:ind w:left="764" w:right="820" w:hanging="768"/>
        <w:spacing w:after="0" w:line="250" w:lineRule="auto"/>
        <w:tabs>
          <w:tab w:leader="none" w:pos="744"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2"/>
          <w:szCs w:val="22"/>
          <w:color w:val="auto"/>
        </w:rPr>
        <w:t>the Company may exclude you from your place of work or any other premises of the Company or any Group Company; and</w:t>
      </w:r>
    </w:p>
    <w:p>
      <w:pPr>
        <w:spacing w:after="0" w:line="80" w:lineRule="exact"/>
        <w:rPr>
          <w:sz w:val="20"/>
          <w:szCs w:val="20"/>
          <w:color w:val="auto"/>
        </w:rPr>
      </w:pPr>
    </w:p>
    <w:p>
      <w:pPr>
        <w:ind w:left="764" w:right="20" w:hanging="768"/>
        <w:spacing w:after="0"/>
        <w:tabs>
          <w:tab w:leader="none" w:pos="744"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2"/>
          <w:szCs w:val="22"/>
          <w:color w:val="auto"/>
        </w:rPr>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- 21 -</w:t>
      </w:r>
    </w:p>
    <w:p>
      <w:pPr>
        <w:sectPr>
          <w:pgSz w:w="11900" w:h="16838" w:orient="portrait"/>
          <w:cols w:equalWidth="0" w:num="1">
            <w:col w:w="11004"/>
          </w:cols>
          <w:pgMar w:left="436" w:top="266" w:right="459" w:bottom="1440" w:gutter="0" w:footer="0" w:header="0"/>
        </w:sectPr>
      </w:pPr>
    </w:p>
    <w:bookmarkStart w:id="396" w:name="page397"/>
    <w:bookmarkEnd w:id="396"/>
    <w:p>
      <w:pPr>
        <w:ind w:left="764" w:hanging="764"/>
        <w:spacing w:after="0"/>
        <w:tabs>
          <w:tab w:leader="none" w:pos="764" w:val="left"/>
        </w:tabs>
        <w:numPr>
          <w:ilvl w:val="0"/>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 Agreements</w:t>
      </w:r>
    </w:p>
    <w:p>
      <w:pPr>
        <w:spacing w:after="0" w:line="104" w:lineRule="exact"/>
        <w:rPr>
          <w:rFonts w:ascii="Arial" w:cs="Arial" w:eastAsia="Arial" w:hAnsi="Arial"/>
          <w:sz w:val="22"/>
          <w:szCs w:val="22"/>
          <w:b w:val="1"/>
          <w:bCs w:val="1"/>
          <w:color w:val="auto"/>
        </w:rPr>
      </w:pPr>
    </w:p>
    <w:p>
      <w:pPr>
        <w:ind w:left="764"/>
        <w:spacing w:after="0"/>
        <w:rPr>
          <w:rFonts w:ascii="Arial" w:cs="Arial" w:eastAsia="Arial" w:hAnsi="Arial"/>
          <w:sz w:val="22"/>
          <w:szCs w:val="22"/>
          <w:b w:val="1"/>
          <w:bCs w:val="1"/>
          <w:color w:val="auto"/>
        </w:rPr>
      </w:pPr>
      <w:r>
        <w:rPr>
          <w:rFonts w:ascii="Arial" w:cs="Arial" w:eastAsia="Arial" w:hAnsi="Arial"/>
          <w:sz w:val="22"/>
          <w:szCs w:val="22"/>
          <w:color w:val="auto"/>
        </w:rPr>
        <w:t>There are no collective agreements affecting your terms and conditions of employment.</w:t>
      </w:r>
    </w:p>
    <w:p>
      <w:pPr>
        <w:spacing w:after="0" w:line="348" w:lineRule="exact"/>
        <w:rPr>
          <w:rFonts w:ascii="Arial" w:cs="Arial" w:eastAsia="Arial" w:hAnsi="Arial"/>
          <w:sz w:val="22"/>
          <w:szCs w:val="22"/>
          <w:b w:val="1"/>
          <w:bCs w:val="1"/>
          <w:color w:val="auto"/>
        </w:rPr>
      </w:pPr>
    </w:p>
    <w:p>
      <w:pPr>
        <w:ind w:left="764" w:hanging="764"/>
        <w:spacing w:after="0"/>
        <w:tabs>
          <w:tab w:leader="none" w:pos="764" w:val="left"/>
        </w:tabs>
        <w:numPr>
          <w:ilvl w:val="0"/>
          <w:numId w:val="388"/>
        </w:numPr>
        <w:rPr>
          <w:rFonts w:ascii="Arial" w:cs="Arial" w:eastAsia="Arial" w:hAnsi="Arial"/>
          <w:sz w:val="22"/>
          <w:szCs w:val="22"/>
          <w:b w:val="1"/>
          <w:bCs w:val="1"/>
          <w:color w:val="auto"/>
        </w:rPr>
      </w:pPr>
      <w:r>
        <w:rPr>
          <w:rFonts w:ascii="Arial" w:cs="Arial" w:eastAsia="Arial" w:hAnsi="Arial"/>
          <w:sz w:val="22"/>
          <w:szCs w:val="22"/>
          <w:b w:val="1"/>
          <w:bCs w:val="1"/>
          <w:color w:val="auto"/>
        </w:rPr>
        <w:t>Work outside the United Kingdom</w:t>
      </w:r>
    </w:p>
    <w:p>
      <w:pPr>
        <w:spacing w:after="0" w:line="118" w:lineRule="exact"/>
        <w:rPr>
          <w:sz w:val="20"/>
          <w:szCs w:val="20"/>
          <w:color w:val="auto"/>
        </w:rPr>
      </w:pPr>
    </w:p>
    <w:p>
      <w:pPr>
        <w:ind w:left="764" w:right="80" w:hanging="768"/>
        <w:spacing w:after="0" w:line="250" w:lineRule="auto"/>
        <w:tabs>
          <w:tab w:leader="none" w:pos="744"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22"/>
          <w:szCs w:val="22"/>
          <w:color w:val="auto"/>
        </w:rPr>
        <w:t>It is not envisaged by the Company that you will be required to travel for work purposes outside the United Kingdom for any periods longer than one month.</w:t>
      </w:r>
    </w:p>
    <w:p>
      <w:pPr>
        <w:spacing w:after="0" w:line="80" w:lineRule="exact"/>
        <w:rPr>
          <w:sz w:val="20"/>
          <w:szCs w:val="20"/>
          <w:color w:val="auto"/>
        </w:rPr>
      </w:pPr>
    </w:p>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2"/>
          <w:szCs w:val="22"/>
          <w:color w:val="auto"/>
        </w:rPr>
        <w:t>In the event you are required to work outside the United Kingdom for a period of more than one month, the Company will consult with you and will provide the prescribed information to you.</w:t>
      </w:r>
    </w:p>
    <w:p>
      <w:pPr>
        <w:spacing w:after="0" w:line="317" w:lineRule="exact"/>
        <w:rPr>
          <w:sz w:val="20"/>
          <w:szCs w:val="20"/>
          <w:color w:val="auto"/>
        </w:rPr>
      </w:pPr>
    </w:p>
    <w:p>
      <w:pPr>
        <w:ind w:left="764" w:hanging="764"/>
        <w:spacing w:after="0"/>
        <w:tabs>
          <w:tab w:leader="none" w:pos="764" w:val="left"/>
        </w:tabs>
        <w:numPr>
          <w:ilvl w:val="0"/>
          <w:numId w:val="389"/>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104" w:lineRule="exact"/>
        <w:rPr>
          <w:rFonts w:ascii="Arial" w:cs="Arial" w:eastAsia="Arial" w:hAnsi="Arial"/>
          <w:sz w:val="22"/>
          <w:szCs w:val="22"/>
          <w:b w:val="1"/>
          <w:bCs w:val="1"/>
          <w:color w:val="auto"/>
        </w:rPr>
      </w:pPr>
    </w:p>
    <w:p>
      <w:pPr>
        <w:ind w:left="764" w:right="2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For the purposes of the General Data Protection Regulation (EU) 2016/679 and the Data Protection Act 2018, the Company will hold, collect and otherwise process certain personal data as set out in the Company’s privacy notice, which is on the intranet. All personal data will be treated in accordance with applicable data protection laws and regulations.</w:t>
      </w:r>
    </w:p>
    <w:p>
      <w:pPr>
        <w:spacing w:after="0" w:line="327" w:lineRule="exact"/>
        <w:rPr>
          <w:rFonts w:ascii="Arial" w:cs="Arial" w:eastAsia="Arial" w:hAnsi="Arial"/>
          <w:sz w:val="22"/>
          <w:szCs w:val="22"/>
          <w:b w:val="1"/>
          <w:bCs w:val="1"/>
          <w:color w:val="auto"/>
        </w:rPr>
      </w:pPr>
    </w:p>
    <w:p>
      <w:pPr>
        <w:ind w:left="764" w:hanging="764"/>
        <w:spacing w:after="0"/>
        <w:tabs>
          <w:tab w:leader="none" w:pos="764" w:val="left"/>
        </w:tabs>
        <w:numPr>
          <w:ilvl w:val="0"/>
          <w:numId w:val="389"/>
        </w:numPr>
        <w:rPr>
          <w:rFonts w:ascii="Arial" w:cs="Arial" w:eastAsia="Arial" w:hAnsi="Arial"/>
          <w:sz w:val="22"/>
          <w:szCs w:val="22"/>
          <w:b w:val="1"/>
          <w:bCs w:val="1"/>
          <w:color w:val="auto"/>
        </w:rPr>
      </w:pPr>
      <w:r>
        <w:rPr>
          <w:rFonts w:ascii="Arial" w:cs="Arial" w:eastAsia="Arial" w:hAnsi="Arial"/>
          <w:sz w:val="22"/>
          <w:szCs w:val="22"/>
          <w:b w:val="1"/>
          <w:bCs w:val="1"/>
          <w:color w:val="auto"/>
        </w:rPr>
        <w:t>Monitoring</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color w:val="auto"/>
        </w:rPr>
        <w:t>You shall comply with any electronic communication systems policies that the Company may issue from time to time.</w:t>
      </w:r>
    </w:p>
    <w:p>
      <w:pPr>
        <w:spacing w:after="0" w:line="112" w:lineRule="exact"/>
        <w:rPr>
          <w:sz w:val="20"/>
          <w:szCs w:val="20"/>
          <w:color w:val="auto"/>
        </w:rPr>
      </w:pPr>
    </w:p>
    <w:p>
      <w:pPr>
        <w:ind w:left="764" w:right="20" w:hanging="768"/>
        <w:spacing w:after="0" w:line="279" w:lineRule="auto"/>
        <w:tabs>
          <w:tab w:leader="none" w:pos="744"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color w:val="auto"/>
        </w:rPr>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293" w:lineRule="exact"/>
        <w:rPr>
          <w:sz w:val="20"/>
          <w:szCs w:val="20"/>
          <w:color w:val="auto"/>
        </w:rPr>
      </w:pPr>
    </w:p>
    <w:p>
      <w:pPr>
        <w:ind w:left="764" w:hanging="764"/>
        <w:spacing w:after="0"/>
        <w:tabs>
          <w:tab w:leader="none" w:pos="764" w:val="left"/>
        </w:tabs>
        <w:numPr>
          <w:ilvl w:val="0"/>
          <w:numId w:val="390"/>
        </w:numPr>
        <w:rPr>
          <w:rFonts w:ascii="Arial" w:cs="Arial" w:eastAsia="Arial" w:hAnsi="Arial"/>
          <w:sz w:val="22"/>
          <w:szCs w:val="22"/>
          <w:b w:val="1"/>
          <w:bCs w:val="1"/>
          <w:color w:val="auto"/>
        </w:rPr>
      </w:pPr>
      <w:r>
        <w:rPr>
          <w:rFonts w:ascii="Arial" w:cs="Arial" w:eastAsia="Arial" w:hAnsi="Arial"/>
          <w:sz w:val="22"/>
          <w:szCs w:val="22"/>
          <w:b w:val="1"/>
          <w:bCs w:val="1"/>
          <w:color w:val="auto"/>
        </w:rPr>
        <w:t>Rules, Policies and Procedures</w:t>
      </w:r>
    </w:p>
    <w:p>
      <w:pPr>
        <w:spacing w:after="0" w:line="104" w:lineRule="exact"/>
        <w:rPr>
          <w:rFonts w:ascii="Arial" w:cs="Arial" w:eastAsia="Arial" w:hAnsi="Arial"/>
          <w:sz w:val="22"/>
          <w:szCs w:val="22"/>
          <w:b w:val="1"/>
          <w:bCs w:val="1"/>
          <w:color w:val="auto"/>
        </w:rPr>
      </w:pPr>
    </w:p>
    <w:p>
      <w:pPr>
        <w:ind w:left="764" w:right="6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119" w:lineRule="exact"/>
        <w:rPr>
          <w:rFonts w:ascii="Arial" w:cs="Arial" w:eastAsia="Arial" w:hAnsi="Arial"/>
          <w:sz w:val="22"/>
          <w:szCs w:val="22"/>
          <w:b w:val="1"/>
          <w:bCs w:val="1"/>
          <w:color w:val="auto"/>
        </w:rPr>
      </w:pPr>
    </w:p>
    <w:p>
      <w:pPr>
        <w:ind w:left="5404" w:hanging="130"/>
        <w:spacing w:after="0"/>
        <w:tabs>
          <w:tab w:leader="none" w:pos="5404" w:val="left"/>
        </w:tabs>
        <w:numPr>
          <w:ilvl w:val="1"/>
          <w:numId w:val="390"/>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0984"/>
          </w:cols>
          <w:pgMar w:left="436" w:top="260" w:right="479" w:bottom="1440" w:gutter="0" w:footer="0" w:header="0"/>
        </w:sectPr>
      </w:pPr>
    </w:p>
    <w:bookmarkStart w:id="397" w:name="page398"/>
    <w:bookmarkEnd w:id="397"/>
    <w:p>
      <w:pPr>
        <w:ind w:left="764" w:hanging="764"/>
        <w:spacing w:after="0"/>
        <w:tabs>
          <w:tab w:leader="none" w:pos="764" w:val="left"/>
        </w:tabs>
        <w:numPr>
          <w:ilvl w:val="0"/>
          <w:numId w:val="391"/>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Health and Safety</w:t>
      </w:r>
    </w:p>
    <w:p>
      <w:pPr>
        <w:spacing w:after="0" w:line="104" w:lineRule="exact"/>
        <w:rPr>
          <w:rFonts w:ascii="Arial" w:cs="Arial" w:eastAsia="Arial" w:hAnsi="Arial"/>
          <w:sz w:val="22"/>
          <w:szCs w:val="22"/>
          <w:b w:val="1"/>
          <w:bCs w:val="1"/>
          <w:color w:val="auto"/>
        </w:rPr>
      </w:pPr>
    </w:p>
    <w:p>
      <w:pPr>
        <w:ind w:left="764" w:right="1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All employees and workers have a duty in law to act responsibly and to take reasonable care for the health and safety at work of both themselves and their colleagues. This duty can be carried out by:</w:t>
      </w:r>
    </w:p>
    <w:p>
      <w:pPr>
        <w:spacing w:after="0" w:line="80" w:lineRule="exact"/>
        <w:rPr>
          <w:rFonts w:ascii="Arial" w:cs="Arial" w:eastAsia="Arial" w:hAnsi="Arial"/>
          <w:sz w:val="22"/>
          <w:szCs w:val="22"/>
          <w:b w:val="1"/>
          <w:bCs w:val="1"/>
          <w:color w:val="auto"/>
        </w:rPr>
      </w:pPr>
    </w:p>
    <w:p>
      <w:pPr>
        <w:ind w:left="1424" w:hanging="655"/>
        <w:spacing w:after="0"/>
        <w:tabs>
          <w:tab w:leader="none" w:pos="1424" w:val="left"/>
        </w:tabs>
        <w:numPr>
          <w:ilvl w:val="1"/>
          <w:numId w:val="391"/>
        </w:numPr>
        <w:rPr>
          <w:rFonts w:ascii="Arial" w:cs="Arial" w:eastAsia="Arial" w:hAnsi="Arial"/>
          <w:sz w:val="22"/>
          <w:szCs w:val="22"/>
          <w:color w:val="auto"/>
        </w:rPr>
      </w:pPr>
      <w:r>
        <w:rPr>
          <w:rFonts w:ascii="Arial" w:cs="Arial" w:eastAsia="Arial" w:hAnsi="Arial"/>
          <w:sz w:val="22"/>
          <w:szCs w:val="22"/>
          <w:color w:val="auto"/>
        </w:rPr>
        <w:t>working safely and efficiently;</w:t>
      </w:r>
    </w:p>
    <w:p>
      <w:pPr>
        <w:spacing w:after="0" w:line="111" w:lineRule="exact"/>
        <w:rPr>
          <w:rFonts w:ascii="Arial" w:cs="Arial" w:eastAsia="Arial" w:hAnsi="Arial"/>
          <w:sz w:val="22"/>
          <w:szCs w:val="22"/>
          <w:color w:val="auto"/>
        </w:rPr>
      </w:pPr>
    </w:p>
    <w:p>
      <w:pPr>
        <w:ind w:left="1424" w:hanging="655"/>
        <w:spacing w:after="0"/>
        <w:tabs>
          <w:tab w:leader="none" w:pos="1424" w:val="left"/>
        </w:tabs>
        <w:numPr>
          <w:ilvl w:val="1"/>
          <w:numId w:val="391"/>
        </w:numPr>
        <w:rPr>
          <w:rFonts w:ascii="Arial" w:cs="Arial" w:eastAsia="Arial" w:hAnsi="Arial"/>
          <w:sz w:val="22"/>
          <w:szCs w:val="22"/>
          <w:color w:val="auto"/>
        </w:rPr>
      </w:pPr>
      <w:r>
        <w:rPr>
          <w:rFonts w:ascii="Arial" w:cs="Arial" w:eastAsia="Arial" w:hAnsi="Arial"/>
          <w:sz w:val="22"/>
          <w:szCs w:val="22"/>
          <w:color w:val="auto"/>
        </w:rPr>
        <w:t>using any protective equipment provided and meeting statutory obligations;</w:t>
      </w:r>
    </w:p>
    <w:p>
      <w:pPr>
        <w:spacing w:after="0" w:line="111" w:lineRule="exact"/>
        <w:rPr>
          <w:rFonts w:ascii="Arial" w:cs="Arial" w:eastAsia="Arial" w:hAnsi="Arial"/>
          <w:sz w:val="22"/>
          <w:szCs w:val="22"/>
          <w:color w:val="auto"/>
        </w:rPr>
      </w:pPr>
    </w:p>
    <w:p>
      <w:pPr>
        <w:ind w:left="1424" w:hanging="655"/>
        <w:spacing w:after="0"/>
        <w:tabs>
          <w:tab w:leader="none" w:pos="1424" w:val="left"/>
        </w:tabs>
        <w:numPr>
          <w:ilvl w:val="1"/>
          <w:numId w:val="391"/>
        </w:numPr>
        <w:rPr>
          <w:rFonts w:ascii="Arial" w:cs="Arial" w:eastAsia="Arial" w:hAnsi="Arial"/>
          <w:sz w:val="22"/>
          <w:szCs w:val="22"/>
          <w:color w:val="auto"/>
        </w:rPr>
      </w:pPr>
      <w:r>
        <w:rPr>
          <w:rFonts w:ascii="Arial" w:cs="Arial" w:eastAsia="Arial" w:hAnsi="Arial"/>
          <w:sz w:val="22"/>
          <w:szCs w:val="22"/>
          <w:color w:val="auto"/>
        </w:rPr>
        <w:t>adhering to the Company procedures for securing a safe workplace.</w:t>
      </w:r>
    </w:p>
    <w:p>
      <w:pPr>
        <w:spacing w:after="0" w:line="98" w:lineRule="exact"/>
        <w:rPr>
          <w:sz w:val="20"/>
          <w:szCs w:val="20"/>
          <w:color w:val="auto"/>
        </w:rPr>
      </w:pPr>
    </w:p>
    <w:p>
      <w:pPr>
        <w:ind w:left="764"/>
        <w:spacing w:after="0"/>
        <w:rPr>
          <w:sz w:val="20"/>
          <w:szCs w:val="20"/>
          <w:color w:val="auto"/>
        </w:rPr>
      </w:pPr>
      <w:r>
        <w:rPr>
          <w:rFonts w:ascii="Arial" w:cs="Arial" w:eastAsia="Arial" w:hAnsi="Arial"/>
          <w:sz w:val="22"/>
          <w:szCs w:val="22"/>
          <w:color w:val="auto"/>
        </w:rPr>
        <w:t>Further provisions relating to health and safety can be found in the Employee Handbook.</w:t>
      </w:r>
    </w:p>
    <w:p>
      <w:pPr>
        <w:spacing w:after="0" w:line="349" w:lineRule="exact"/>
        <w:rPr>
          <w:sz w:val="20"/>
          <w:szCs w:val="20"/>
          <w:color w:val="auto"/>
        </w:rPr>
      </w:pPr>
    </w:p>
    <w:p>
      <w:pPr>
        <w:ind w:left="764" w:hanging="764"/>
        <w:spacing w:after="0"/>
        <w:tabs>
          <w:tab w:leader="none" w:pos="764" w:val="left"/>
        </w:tabs>
        <w:numPr>
          <w:ilvl w:val="0"/>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Contracts (Rights of Third Parties) Act 1999</w:t>
      </w:r>
    </w:p>
    <w:p>
      <w:pPr>
        <w:spacing w:after="0" w:line="104" w:lineRule="exact"/>
        <w:rPr>
          <w:rFonts w:ascii="Arial" w:cs="Arial" w:eastAsia="Arial" w:hAnsi="Arial"/>
          <w:sz w:val="22"/>
          <w:szCs w:val="22"/>
          <w:b w:val="1"/>
          <w:bCs w:val="1"/>
          <w:color w:val="auto"/>
        </w:rPr>
      </w:pPr>
    </w:p>
    <w:p>
      <w:pPr>
        <w:ind w:left="764" w:right="340"/>
        <w:spacing w:after="0"/>
        <w:rPr>
          <w:rFonts w:ascii="Arial" w:cs="Arial" w:eastAsia="Arial" w:hAnsi="Arial"/>
          <w:sz w:val="22"/>
          <w:szCs w:val="22"/>
          <w:b w:val="1"/>
          <w:bCs w:val="1"/>
          <w:color w:val="auto"/>
        </w:rPr>
      </w:pPr>
      <w:r>
        <w:rPr>
          <w:rFonts w:ascii="Arial" w:cs="Arial" w:eastAsia="Arial" w:hAnsi="Arial"/>
          <w:sz w:val="22"/>
          <w:szCs w:val="22"/>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04" w:lineRule="exact"/>
        <w:rPr>
          <w:rFonts w:ascii="Arial" w:cs="Arial" w:eastAsia="Arial" w:hAnsi="Arial"/>
          <w:sz w:val="22"/>
          <w:szCs w:val="22"/>
          <w:b w:val="1"/>
          <w:bCs w:val="1"/>
          <w:color w:val="auto"/>
        </w:rPr>
      </w:pPr>
    </w:p>
    <w:p>
      <w:pPr>
        <w:ind w:left="764" w:right="3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This Contract shall be interpreted and construed in accordance with the laws of England and shall be subject to the jurisdiction of the English courts.</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w:t>
      </w:r>
    </w:p>
    <w:p>
      <w:pPr>
        <w:spacing w:after="0" w:line="104" w:lineRule="exact"/>
        <w:rPr>
          <w:rFonts w:ascii="Arial" w:cs="Arial" w:eastAsia="Arial" w:hAnsi="Arial"/>
          <w:sz w:val="22"/>
          <w:szCs w:val="22"/>
          <w:b w:val="1"/>
          <w:bCs w:val="1"/>
          <w:color w:val="auto"/>
        </w:rPr>
      </w:pPr>
    </w:p>
    <w:p>
      <w:pPr>
        <w:ind w:left="764" w:right="500"/>
        <w:spacing w:after="0"/>
        <w:rPr>
          <w:rFonts w:ascii="Arial" w:cs="Arial" w:eastAsia="Arial" w:hAnsi="Arial"/>
          <w:sz w:val="22"/>
          <w:szCs w:val="22"/>
          <w:b w:val="1"/>
          <w:bCs w:val="1"/>
          <w:color w:val="auto"/>
        </w:rPr>
      </w:pPr>
      <w:r>
        <w:rPr>
          <w:rFonts w:ascii="Arial" w:cs="Arial" w:eastAsia="Arial" w:hAnsi="Arial"/>
          <w:sz w:val="22"/>
          <w:szCs w:val="22"/>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your Terms of Employment</w:t>
      </w:r>
    </w:p>
    <w:p>
      <w:pPr>
        <w:spacing w:after="0" w:line="104" w:lineRule="exact"/>
        <w:rPr>
          <w:rFonts w:ascii="Arial" w:cs="Arial" w:eastAsia="Arial" w:hAnsi="Arial"/>
          <w:sz w:val="22"/>
          <w:szCs w:val="22"/>
          <w:b w:val="1"/>
          <w:bCs w:val="1"/>
          <w:color w:val="auto"/>
        </w:rPr>
      </w:pPr>
    </w:p>
    <w:p>
      <w:pPr>
        <w:ind w:left="764" w:right="720"/>
        <w:spacing w:after="0" w:line="328" w:lineRule="auto"/>
        <w:rPr>
          <w:rFonts w:ascii="Arial" w:cs="Arial" w:eastAsia="Arial" w:hAnsi="Arial"/>
          <w:sz w:val="22"/>
          <w:szCs w:val="22"/>
          <w:b w:val="1"/>
          <w:bCs w:val="1"/>
          <w:color w:val="auto"/>
        </w:rPr>
      </w:pPr>
      <w:r>
        <w:rPr>
          <w:rFonts w:ascii="Arial" w:cs="Arial" w:eastAsia="Arial" w:hAnsi="Arial"/>
          <w:sz w:val="19"/>
          <w:szCs w:val="19"/>
          <w:color w:val="auto"/>
        </w:rPr>
        <w:t>The Company reserves the right to make reasonable changes to any of your terms of employment. You will be notified in writing of any change as soon as possible and in any event within one month of the change.</w:t>
      </w:r>
    </w:p>
    <w:p>
      <w:pPr>
        <w:spacing w:after="0" w:line="247" w:lineRule="exact"/>
        <w:rPr>
          <w:rFonts w:ascii="Arial" w:cs="Arial" w:eastAsia="Arial" w:hAnsi="Arial"/>
          <w:sz w:val="22"/>
          <w:szCs w:val="22"/>
          <w:b w:val="1"/>
          <w:bCs w:val="1"/>
          <w:color w:val="auto"/>
        </w:rPr>
      </w:pPr>
    </w:p>
    <w:p>
      <w:pPr>
        <w:ind w:left="764" w:hanging="764"/>
        <w:spacing w:after="0"/>
        <w:tabs>
          <w:tab w:leader="none" w:pos="764" w:val="left"/>
        </w:tabs>
        <w:numPr>
          <w:ilvl w:val="0"/>
          <w:numId w:val="392"/>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35.1</w:t>
      </w:r>
      <w:r>
        <w:rPr>
          <w:sz w:val="20"/>
          <w:szCs w:val="20"/>
          <w:color w:val="auto"/>
        </w:rPr>
        <w:tab/>
      </w:r>
      <w:r>
        <w:rPr>
          <w:rFonts w:ascii="Arial" w:cs="Arial" w:eastAsia="Arial" w:hAnsi="Arial"/>
          <w:sz w:val="22"/>
          <w:szCs w:val="22"/>
          <w:color w:val="auto"/>
        </w:rPr>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90" w:lineRule="exact"/>
        <w:rPr>
          <w:sz w:val="20"/>
          <w:szCs w:val="20"/>
          <w:color w:val="auto"/>
        </w:rPr>
      </w:pPr>
    </w:p>
    <w:p>
      <w:pPr>
        <w:ind w:left="764" w:right="80" w:hanging="768"/>
        <w:spacing w:after="0" w:line="328" w:lineRule="auto"/>
        <w:tabs>
          <w:tab w:leader="none" w:pos="744" w:val="left"/>
        </w:tabs>
        <w:rPr>
          <w:sz w:val="20"/>
          <w:szCs w:val="20"/>
          <w:color w:val="auto"/>
        </w:rPr>
      </w:pPr>
      <w:r>
        <w:rPr>
          <w:rFonts w:ascii="Arial" w:cs="Arial" w:eastAsia="Arial" w:hAnsi="Arial"/>
          <w:sz w:val="22"/>
          <w:szCs w:val="22"/>
          <w:color w:val="auto"/>
        </w:rPr>
        <w:t>35.2</w:t>
      </w:r>
      <w:r>
        <w:rPr>
          <w:sz w:val="20"/>
          <w:szCs w:val="20"/>
          <w:color w:val="auto"/>
        </w:rPr>
        <w:tab/>
      </w:r>
      <w:r>
        <w:rPr>
          <w:rFonts w:ascii="Arial" w:cs="Arial" w:eastAsia="Arial" w:hAnsi="Arial"/>
          <w:sz w:val="19"/>
          <w:szCs w:val="19"/>
          <w:color w:val="auto"/>
        </w:rPr>
        <w:t>Unless the contrary shall be proven, each such notice or communication shall be deemed to have been given or made, if sent by first class post, 48 hours after posting and, if delivered by hand, at the time of such delivery.</w:t>
      </w:r>
    </w:p>
    <w:p>
      <w:pPr>
        <w:spacing w:after="0" w:line="3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004"/>
          </w:cols>
          <w:pgMar w:left="436" w:top="260" w:right="459" w:bottom="1440" w:gutter="0" w:footer="0" w:header="0"/>
        </w:sectPr>
      </w:pPr>
    </w:p>
    <w:bookmarkStart w:id="398" w:name="page399"/>
    <w:bookmarkEnd w:id="398"/>
    <w:p>
      <w:pPr>
        <w:ind w:left="764" w:hanging="764"/>
        <w:spacing w:after="0"/>
        <w:tabs>
          <w:tab w:leader="none" w:pos="764" w:val="left"/>
        </w:tabs>
        <w:numPr>
          <w:ilvl w:val="0"/>
          <w:numId w:val="393"/>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p>
    <w:p>
      <w:pPr>
        <w:spacing w:after="0" w:line="118" w:lineRule="exact"/>
        <w:rPr>
          <w:sz w:val="20"/>
          <w:szCs w:val="20"/>
          <w:color w:val="auto"/>
        </w:rPr>
      </w:pPr>
    </w:p>
    <w:p>
      <w:pPr>
        <w:ind w:left="764" w:right="200" w:hanging="768"/>
        <w:spacing w:after="0"/>
        <w:tabs>
          <w:tab w:leader="none" w:pos="744"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22"/>
          <w:szCs w:val="22"/>
          <w:color w:val="auto"/>
        </w:rPr>
        <w:t>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92"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36.2</w:t>
      </w:r>
      <w:r>
        <w:rPr>
          <w:sz w:val="20"/>
          <w:szCs w:val="20"/>
          <w:color w:val="auto"/>
        </w:rPr>
        <w:tab/>
      </w:r>
      <w:r>
        <w:rPr>
          <w:rFonts w:ascii="Arial" w:cs="Arial" w:eastAsia="Arial" w:hAnsi="Arial"/>
          <w:sz w:val="22"/>
          <w:szCs w:val="22"/>
          <w:color w:val="auto"/>
        </w:rPr>
        <w:t>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92" w:lineRule="exact"/>
        <w:rPr>
          <w:sz w:val="20"/>
          <w:szCs w:val="20"/>
          <w:color w:val="auto"/>
        </w:rPr>
      </w:pPr>
    </w:p>
    <w:p>
      <w:pPr>
        <w:ind w:left="764" w:right="320" w:hanging="768"/>
        <w:spacing w:after="0" w:line="250" w:lineRule="auto"/>
        <w:tabs>
          <w:tab w:leader="none" w:pos="744"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22"/>
          <w:szCs w:val="22"/>
          <w:color w:val="auto"/>
        </w:rPr>
        <w:t>Each party agrees that it shall have no claim for innocent or negligent misrepresentation or negligent misstatement based on any statement in this Contract.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36.4</w:t>
      </w:r>
      <w:r>
        <w:rPr>
          <w:sz w:val="20"/>
          <w:szCs w:val="20"/>
          <w:color w:val="auto"/>
        </w:rPr>
        <w:tab/>
      </w:r>
      <w:r>
        <w:rPr>
          <w:rFonts w:ascii="Arial" w:cs="Arial" w:eastAsia="Arial" w:hAnsi="Arial"/>
          <w:sz w:val="19"/>
          <w:szCs w:val="19"/>
          <w:color w:val="auto"/>
        </w:rPr>
        <w:t>Nothing in this clause shall limit or exclude any liability for fraud.</w:t>
      </w:r>
    </w:p>
    <w:p>
      <w:pPr>
        <w:spacing w:after="0" w:line="349" w:lineRule="exact"/>
        <w:rPr>
          <w:sz w:val="20"/>
          <w:szCs w:val="20"/>
          <w:color w:val="auto"/>
        </w:rPr>
      </w:pPr>
    </w:p>
    <w:p>
      <w:pPr>
        <w:ind w:left="764" w:hanging="764"/>
        <w:spacing w:after="0"/>
        <w:tabs>
          <w:tab w:leader="none" w:pos="764" w:val="left"/>
        </w:tabs>
        <w:numPr>
          <w:ilvl w:val="0"/>
          <w:numId w:val="394"/>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118" w:lineRule="exact"/>
        <w:rPr>
          <w:sz w:val="20"/>
          <w:szCs w:val="20"/>
          <w:color w:val="auto"/>
        </w:rPr>
      </w:pPr>
    </w:p>
    <w:p>
      <w:pPr>
        <w:ind w:left="764" w:right="520" w:hanging="768"/>
        <w:spacing w:after="0" w:line="328" w:lineRule="auto"/>
        <w:tabs>
          <w:tab w:leader="none" w:pos="744"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19"/>
          <w:szCs w:val="19"/>
          <w:color w:val="auto"/>
        </w:rPr>
        <w:t>This Contract may be executed in any number of counterparts, each of which when executed and delivered shall constitute a duplicate original, but all the counterparts shall together constitute the one agreement.</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37.2</w:t>
      </w:r>
      <w:r>
        <w:rPr>
          <w:sz w:val="20"/>
          <w:szCs w:val="20"/>
          <w:color w:val="auto"/>
        </w:rPr>
        <w:tab/>
      </w:r>
      <w:r>
        <w:rPr>
          <w:rFonts w:ascii="Arial" w:cs="Arial" w:eastAsia="Arial" w:hAnsi="Arial"/>
          <w:sz w:val="19"/>
          <w:szCs w:val="19"/>
          <w:color w:val="auto"/>
        </w:rPr>
        <w:t>No counterpart shall be effective until each party has executed and delivered at least one counterpart.</w:t>
      </w:r>
    </w:p>
    <w:p>
      <w:pPr>
        <w:spacing w:after="0" w:line="349" w:lineRule="exact"/>
        <w:rPr>
          <w:sz w:val="20"/>
          <w:szCs w:val="20"/>
          <w:color w:val="auto"/>
        </w:rPr>
      </w:pPr>
    </w:p>
    <w:p>
      <w:pPr>
        <w:ind w:left="764" w:hanging="764"/>
        <w:spacing w:after="0"/>
        <w:tabs>
          <w:tab w:leader="none" w:pos="764" w:val="left"/>
        </w:tabs>
        <w:numPr>
          <w:ilvl w:val="0"/>
          <w:numId w:val="395"/>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04" w:lineRule="exact"/>
        <w:rPr>
          <w:rFonts w:ascii="Arial" w:cs="Arial" w:eastAsia="Arial" w:hAnsi="Arial"/>
          <w:sz w:val="22"/>
          <w:szCs w:val="22"/>
          <w:b w:val="1"/>
          <w:bCs w:val="1"/>
          <w:color w:val="auto"/>
        </w:rPr>
      </w:pPr>
    </w:p>
    <w:p>
      <w:pPr>
        <w:ind w:left="764" w:right="20"/>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This document has been executed as a deed and is delivered and takes effect on the date stated at the beginning of it.</w:t>
      </w:r>
    </w:p>
    <w:p>
      <w:pPr>
        <w:spacing w:after="0" w:line="173"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- 24 -</w:t>
      </w:r>
    </w:p>
    <w:p>
      <w:pPr>
        <w:sectPr>
          <w:pgSz w:w="11900" w:h="16838" w:orient="portrait"/>
          <w:cols w:equalWidth="0" w:num="1">
            <w:col w:w="10984"/>
          </w:cols>
          <w:pgMar w:left="436" w:top="260" w:right="479" w:bottom="1440" w:gutter="0" w:footer="0" w:header="0"/>
        </w:sectPr>
      </w:pPr>
    </w:p>
    <w:bookmarkStart w:id="399" w:name="page400"/>
    <w:bookmarkEnd w:id="399"/>
    <w:p>
      <w:pPr>
        <w:ind w:right="1420"/>
        <w:spacing w:after="0" w:line="260" w:lineRule="auto"/>
        <w:rPr>
          <w:sz w:val="20"/>
          <w:szCs w:val="20"/>
          <w:color w:val="auto"/>
        </w:rPr>
      </w:pPr>
      <w:r>
        <w:rPr>
          <w:rFonts w:ascii="Arial" w:cs="Arial" w:eastAsia="Arial" w:hAnsi="Arial"/>
          <w:sz w:val="20"/>
          <w:szCs w:val="20"/>
          <w:color w:val="auto"/>
        </w:rPr>
        <w:t>Signed by Mereo BioPharma Group plc acting by: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Signed as a deed by Alexandra (Wills)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Hughes Wilson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-680085</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-577215</wp:posOffset>
            </wp:positionV>
            <wp:extent cx="25800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3">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-139700</wp:posOffset>
            </wp:positionV>
            <wp:extent cx="25800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8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-143510</wp:posOffset>
            </wp:positionV>
            <wp:extent cx="25800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3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-135890</wp:posOffset>
            </wp:positionV>
            <wp:extent cx="258000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6">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471805</wp:posOffset>
            </wp:positionV>
            <wp:extent cx="25800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686435</wp:posOffset>
            </wp:positionV>
            <wp:extent cx="25800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Signature of witness</w:t>
      </w:r>
    </w:p>
    <w:p>
      <w:pPr>
        <w:spacing w:after="0" w:line="289"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-143510</wp:posOffset>
            </wp:positionV>
            <wp:extent cx="258000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22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-135890</wp:posOffset>
            </wp:positionV>
            <wp:extent cx="25800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- 25 -</w:t>
      </w:r>
    </w:p>
    <w:p>
      <w:pPr>
        <w:sectPr>
          <w:pgSz w:w="11900" w:h="16838" w:orient="portrait"/>
          <w:cols w:equalWidth="0" w:num="2">
            <w:col w:w="4560" w:space="720"/>
            <w:col w:w="4739"/>
          </w:cols>
          <w:pgMar w:left="440" w:top="271" w:right="1440" w:bottom="1440" w:gutter="0" w:footer="0" w:header="0"/>
        </w:sectPr>
      </w:pPr>
    </w:p>
    <w:bookmarkStart w:id="400" w:name="page401"/>
    <w:bookmarkEnd w:id="400"/>
    <w:p>
      <w:pPr>
        <w:ind w:left="4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WRITTEN JOB DESCRIPTION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Employee’s duties and responsibilities shall be as follows:-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Build and lead a best-in-class biopharmaceutical commercialisation approach in order to develop and launch the company’s products and deliver early and sustainable revenue in support of the company’s business objectives and to build value for all its stakeholders.</w:t>
      </w:r>
    </w:p>
    <w:p>
      <w:pPr>
        <w:spacing w:after="0" w:line="92" w:lineRule="exact"/>
        <w:rPr>
          <w:sz w:val="20"/>
          <w:szCs w:val="20"/>
          <w:color w:val="auto"/>
        </w:rPr>
      </w:pPr>
    </w:p>
    <w:p>
      <w:pPr>
        <w:ind w:left="1300" w:right="40" w:hanging="764"/>
        <w:spacing w:after="0" w:line="236" w:lineRule="auto"/>
        <w:tabs>
          <w:tab w:leader="none" w:pos="13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Define and execute the strategy for the development and delivery of commercialisation-oriented development programmes for Mereo’s portfolio and products to secure effective transition from development status to timely and sustainable launch, patient availability and revenue. Secure that Patient-Access-Centred / outcomes-focussed Research and Development is embedded across the organisation as an essential component of successful commercialisation</w:t>
      </w:r>
    </w:p>
    <w:p>
      <w:pPr>
        <w:spacing w:after="0" w:line="92" w:lineRule="exact"/>
        <w:rPr>
          <w:rFonts w:ascii="Arial" w:cs="Arial" w:eastAsia="Arial" w:hAnsi="Arial"/>
          <w:sz w:val="22"/>
          <w:szCs w:val="22"/>
          <w:color w:val="auto"/>
        </w:rPr>
      </w:pPr>
    </w:p>
    <w:p>
      <w:pPr>
        <w:ind w:left="1300" w:right="240" w:hanging="764"/>
        <w:spacing w:after="0" w:line="250" w:lineRule="auto"/>
        <w:tabs>
          <w:tab w:leader="none" w:pos="13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Define and deliver the strategy for launch and commercialisation of Mereo’s lead rare disease programmes in alignment with the company’s vision.</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Establish, build out and lead the global, regional and local resourcing and capabilities required to build and deliver an overarching and integrated, multi-functional external customer-facing commercialisation strategy at a global and local level</w:t>
      </w:r>
    </w:p>
    <w:p>
      <w:pPr>
        <w:spacing w:after="0" w:line="91" w:lineRule="exact"/>
        <w:rPr>
          <w:rFonts w:ascii="Arial" w:cs="Arial" w:eastAsia="Arial" w:hAnsi="Arial"/>
          <w:sz w:val="22"/>
          <w:szCs w:val="22"/>
          <w:color w:val="auto"/>
        </w:rPr>
      </w:pPr>
    </w:p>
    <w:p>
      <w:pPr>
        <w:ind w:left="1300" w:right="140" w:hanging="764"/>
        <w:spacing w:after="0" w:line="250" w:lineRule="auto"/>
        <w:tabs>
          <w:tab w:leader="none" w:pos="13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Support the identification, evaluation and successful completion of business transactions and alliances to drive Mereo’s successful execution of its strategy</w:t>
      </w:r>
    </w:p>
    <w:p>
      <w:pPr>
        <w:spacing w:after="0" w:line="80" w:lineRule="exact"/>
        <w:rPr>
          <w:rFonts w:ascii="Arial" w:cs="Arial" w:eastAsia="Arial" w:hAnsi="Arial"/>
          <w:sz w:val="22"/>
          <w:szCs w:val="22"/>
          <w:color w:val="auto"/>
        </w:rPr>
      </w:pPr>
    </w:p>
    <w:p>
      <w:pPr>
        <w:ind w:left="1300" w:right="80" w:hanging="764"/>
        <w:spacing w:after="0" w:line="238" w:lineRule="auto"/>
        <w:tabs>
          <w:tab w:leader="none" w:pos="13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Support the elevation of Mereo’s profile as a recognised and acknowledged pioneering company in the rare disease sector, in support of the business development, where Mereo’s way of working is an acknowledged and recognised value driver and a USP for potential partners and licensing / acquisition opportunities as well as attracting and retaining talent.</w:t>
      </w:r>
    </w:p>
    <w:p>
      <w:pPr>
        <w:spacing w:after="0" w:line="90" w:lineRule="exact"/>
        <w:rPr>
          <w:rFonts w:ascii="Arial" w:cs="Arial" w:eastAsia="Arial" w:hAnsi="Arial"/>
          <w:sz w:val="22"/>
          <w:szCs w:val="22"/>
          <w:color w:val="auto"/>
        </w:rPr>
      </w:pPr>
    </w:p>
    <w:p>
      <w:pPr>
        <w:ind w:left="1300" w:right="700" w:hanging="764"/>
        <w:spacing w:after="0" w:line="287" w:lineRule="auto"/>
        <w:tabs>
          <w:tab w:leader="none" w:pos="1300" w:val="left"/>
        </w:tabs>
        <w:numPr>
          <w:ilvl w:val="0"/>
          <w:numId w:val="396"/>
        </w:numPr>
        <w:rPr>
          <w:rFonts w:ascii="Arial" w:cs="Arial" w:eastAsia="Arial" w:hAnsi="Arial"/>
          <w:sz w:val="19"/>
          <w:szCs w:val="19"/>
          <w:color w:val="auto"/>
        </w:rPr>
      </w:pPr>
      <w:r>
        <w:rPr>
          <w:rFonts w:ascii="Arial" w:cs="Arial" w:eastAsia="Arial" w:hAnsi="Arial"/>
          <w:sz w:val="19"/>
          <w:szCs w:val="19"/>
          <w:color w:val="auto"/>
        </w:rPr>
        <w:t>Ensure that Mereo’s commercialisation activities are reflective of Mereo’s corporate values and ways of working, and in ensuring that our engagement with all our stakeholders, decision-makers and decision-influencers is conducted on the basis of authenticity and a genuine desire to understand the needs of the communities that we serve – be they medical, commercial or healthcare-system related.</w:t>
      </w:r>
    </w:p>
    <w:p>
      <w:pPr>
        <w:spacing w:after="0" w:line="48" w:lineRule="exact"/>
        <w:rPr>
          <w:rFonts w:ascii="Arial" w:cs="Arial" w:eastAsia="Arial" w:hAnsi="Arial"/>
          <w:sz w:val="19"/>
          <w:szCs w:val="19"/>
          <w:color w:val="auto"/>
        </w:rPr>
      </w:pPr>
    </w:p>
    <w:p>
      <w:pPr>
        <w:ind w:left="1300" w:right="420" w:hanging="764"/>
        <w:spacing w:after="0" w:line="250" w:lineRule="auto"/>
        <w:tabs>
          <w:tab w:leader="none" w:pos="130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Build and optimise a clear path to timely and sustainable value for all stakeholders, while remaining true to Mereo’s vision</w:t>
      </w:r>
    </w:p>
    <w:p>
      <w:pPr>
        <w:spacing w:after="0" w:line="107" w:lineRule="exact"/>
        <w:rPr>
          <w:rFonts w:ascii="Arial" w:cs="Arial" w:eastAsia="Arial" w:hAnsi="Arial"/>
          <w:sz w:val="22"/>
          <w:szCs w:val="22"/>
          <w:color w:val="auto"/>
        </w:rPr>
      </w:pPr>
    </w:p>
    <w:p>
      <w:pPr>
        <w:ind w:left="5400" w:hanging="130"/>
        <w:spacing w:after="0"/>
        <w:tabs>
          <w:tab w:leader="none" w:pos="5400" w:val="left"/>
        </w:tabs>
        <w:numPr>
          <w:ilvl w:val="1"/>
          <w:numId w:val="396"/>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0980"/>
          </w:cols>
          <w:pgMar w:left="440" w:top="260" w:right="479" w:bottom="1440" w:gutter="0" w:footer="0" w:header="0"/>
        </w:sectPr>
      </w:pPr>
    </w:p>
    <w:bookmarkStart w:id="401" w:name="page402"/>
    <w:bookmarkEnd w:id="401"/>
    <w:p>
      <w:pPr>
        <w:jc w:val="center"/>
        <w:ind w:right="-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06"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CHANGE IN CONTROL AND SEVERANCE</w:t>
      </w:r>
    </w:p>
    <w:p>
      <w:pPr>
        <w:spacing w:after="0" w:line="233" w:lineRule="exact"/>
        <w:rPr>
          <w:sz w:val="20"/>
          <w:szCs w:val="20"/>
          <w:color w:val="auto"/>
        </w:rPr>
      </w:pPr>
    </w:p>
    <w:p>
      <w:pPr>
        <w:ind w:left="764" w:hanging="764"/>
        <w:spacing w:after="0"/>
        <w:tabs>
          <w:tab w:leader="none" w:pos="764" w:val="left"/>
        </w:tabs>
        <w:numPr>
          <w:ilvl w:val="0"/>
          <w:numId w:val="397"/>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w:t>
      </w:r>
    </w:p>
    <w:p>
      <w:pPr>
        <w:spacing w:after="0" w:line="118" w:lineRule="exact"/>
        <w:rPr>
          <w:sz w:val="20"/>
          <w:szCs w:val="20"/>
          <w:color w:val="auto"/>
        </w:rPr>
      </w:pPr>
    </w:p>
    <w:p>
      <w:pPr>
        <w:ind w:left="764" w:hanging="768"/>
        <w:spacing w:after="0" w:line="236" w:lineRule="auto"/>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The Board recognizes that the possibility of an acquisition of the Company or an involuntary termination can be a distraction to you and can cause you to consider alternative employment opportunities. The Board has determined that it is in the best interests of Mereo BioPharma Group plc (the “</w:t>
      </w:r>
      <w:r>
        <w:rPr>
          <w:rFonts w:ascii="Arial" w:cs="Arial" w:eastAsia="Arial" w:hAnsi="Arial"/>
          <w:sz w:val="22"/>
          <w:szCs w:val="22"/>
          <w:b w:val="1"/>
          <w:bCs w:val="1"/>
          <w:color w:val="auto"/>
        </w:rPr>
        <w:t>Company</w:t>
      </w:r>
      <w:r>
        <w:rPr>
          <w:rFonts w:ascii="Arial" w:cs="Arial" w:eastAsia="Arial" w:hAnsi="Arial"/>
          <w:sz w:val="22"/>
          <w:szCs w:val="22"/>
          <w:color w:val="auto"/>
        </w:rPr>
        <w:t>”) and its shareholders to assure that the Company will have your continued dedication and objectivity, notwithstanding the possibility, threat or occurrence of such an event.</w:t>
      </w:r>
    </w:p>
    <w:p>
      <w:pPr>
        <w:spacing w:after="0" w:line="93"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Board believes that it is in the best interests of the Company to provide you with an incentive to continue your employment and to motivate you to maximize the value of the Company upon a Change in Control (as defined below) for the benefit of the Company’s shareholders.</w:t>
      </w:r>
    </w:p>
    <w:p>
      <w:pPr>
        <w:spacing w:after="0" w:line="92" w:lineRule="exact"/>
        <w:rPr>
          <w:sz w:val="20"/>
          <w:szCs w:val="20"/>
          <w:color w:val="auto"/>
        </w:rPr>
      </w:pPr>
    </w:p>
    <w:p>
      <w:pPr>
        <w:jc w:val="both"/>
        <w:ind w:left="764" w:right="460" w:hanging="768"/>
        <w:spacing w:after="0" w:line="257" w:lineRule="auto"/>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The Board believes that it is imperative to provide you with severance benefits upon certain terminations of your service to the Company that enhance your financial security and provide incentive and encouragement to you to remain with the Company notwithstanding the possibility of such an event.</w:t>
      </w:r>
    </w:p>
    <w:p>
      <w:pPr>
        <w:spacing w:after="0" w:line="7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otherwise defined herein, capitalized terms used in this Agreement are defined in paragraph 5 below.</w:t>
      </w:r>
    </w:p>
    <w:p>
      <w:pPr>
        <w:spacing w:after="0" w:line="112" w:lineRule="exact"/>
        <w:rPr>
          <w:sz w:val="20"/>
          <w:szCs w:val="20"/>
          <w:color w:val="auto"/>
        </w:rPr>
      </w:pPr>
    </w:p>
    <w:p>
      <w:pPr>
        <w:ind w:left="764" w:right="680" w:hanging="768"/>
        <w:spacing w:after="0" w:line="328" w:lineRule="auto"/>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You agree that the Contract is amended to insert the provisions below. In the event of any conflict between the provisions of the Contract and this Schedule II, the provisions of this Schedule II shall prevail.</w:t>
      </w:r>
    </w:p>
    <w:p>
      <w:pPr>
        <w:spacing w:after="0" w:line="247" w:lineRule="exact"/>
        <w:rPr>
          <w:sz w:val="20"/>
          <w:szCs w:val="20"/>
          <w:color w:val="auto"/>
        </w:rPr>
      </w:pPr>
    </w:p>
    <w:p>
      <w:pPr>
        <w:ind w:left="764" w:hanging="764"/>
        <w:spacing w:after="0"/>
        <w:tabs>
          <w:tab w:leader="none" w:pos="764" w:val="left"/>
        </w:tabs>
        <w:numPr>
          <w:ilvl w:val="0"/>
          <w:numId w:val="398"/>
        </w:numPr>
        <w:rPr>
          <w:rFonts w:ascii="Arial" w:cs="Arial" w:eastAsia="Arial" w:hAnsi="Arial"/>
          <w:sz w:val="22"/>
          <w:szCs w:val="22"/>
          <w:b w:val="1"/>
          <w:bCs w:val="1"/>
          <w:color w:val="auto"/>
        </w:rPr>
      </w:pPr>
      <w:r>
        <w:rPr>
          <w:rFonts w:ascii="Arial" w:cs="Arial" w:eastAsia="Arial" w:hAnsi="Arial"/>
          <w:sz w:val="22"/>
          <w:szCs w:val="22"/>
          <w:b w:val="1"/>
          <w:bCs w:val="1"/>
          <w:color w:val="auto"/>
        </w:rPr>
        <w:t>Covered Termination During a Change in Control Period</w:t>
      </w:r>
    </w:p>
    <w:p>
      <w:pPr>
        <w:spacing w:after="0" w:line="118" w:lineRule="exact"/>
        <w:rPr>
          <w:sz w:val="20"/>
          <w:szCs w:val="20"/>
          <w:color w:val="auto"/>
        </w:rPr>
      </w:pPr>
    </w:p>
    <w:p>
      <w:pPr>
        <w:ind w:left="764" w:hanging="768"/>
        <w:spacing w:after="0" w:line="279" w:lineRule="auto"/>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If you experience a Covered Termination during a Change in Control Period, then, subject to (i) you delivering to the Company an executed Settlement Agreement that becomes effective and irrevocable in accordance with paragraph 9.1 below, or such shorter period of time specified by the Company, following such Covered Termination and (ii) your continued compliance with clauses 16, 17 and 21 of the Contract, then in addition to any accrued but unpaid salary, benefits, holiday and expense reimbursements through the Covered Termination Date payable in accordance with applicable law, the Company shall provide you with the following:</w:t>
      </w:r>
    </w:p>
    <w:p>
      <w:pPr>
        <w:spacing w:after="0" w:line="56" w:lineRule="exact"/>
        <w:rPr>
          <w:sz w:val="20"/>
          <w:szCs w:val="20"/>
          <w:color w:val="auto"/>
        </w:rPr>
      </w:pPr>
    </w:p>
    <w:p>
      <w:pPr>
        <w:ind w:left="2204" w:right="40" w:hanging="768"/>
        <w:spacing w:after="0" w:line="234" w:lineRule="auto"/>
        <w:tabs>
          <w:tab w:leader="none" w:pos="218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color w:val="auto"/>
        </w:rPr>
        <w:t>The Company shall pay you an amount equal to the sum of (i) your annual base salary at the rate in effect immediately prior to the Covered Termination Date during the period of time commencing on the Covered Termination Date and ending on the twelve (12)-month anniversary thereof and (ii) your target annual bonus assuming achievement of performance goals at one hundred percent (100%) of target, payable in a cash lump sum, less applicable withholdings, on the first payroll date following the date the Settlement Agreement becomes effective and irrevocable in accordance with paragraph 9.1 below.</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0984"/>
          </w:cols>
          <w:pgMar w:left="436" w:top="260" w:right="479" w:bottom="1440" w:gutter="0" w:footer="0" w:header="0"/>
        </w:sectPr>
      </w:pPr>
    </w:p>
    <w:bookmarkStart w:id="402" w:name="page403"/>
    <w:bookmarkEnd w:id="402"/>
    <w:p>
      <w:pPr>
        <w:ind w:left="2204" w:right="100" w:hanging="768"/>
        <w:spacing w:after="0" w:line="282" w:lineRule="auto"/>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r>
      <w:r>
        <w:rPr>
          <w:sz w:val="20"/>
          <w:szCs w:val="20"/>
          <w:color w:val="auto"/>
        </w:rPr>
        <w:tab/>
      </w:r>
      <w:r>
        <w:rPr>
          <w:rFonts w:ascii="Arial" w:cs="Arial" w:eastAsia="Arial" w:hAnsi="Arial"/>
          <w:sz w:val="19"/>
          <w:szCs w:val="19"/>
          <w:color w:val="auto"/>
        </w:rPr>
        <w:t>Each outstanding and unvested equity award held in the Company that vests solely based on the passage of time held by you as of the Covered Termination Date shall automatically become vested and, if applicable, exercisable and any forfeiture restrictions or rights of repurchase thereon shall immediately lapse with respect to one percent (100%) of the ordinary shares of the Company subject thereto, as of immediately prior to the Covered Termination Date.</w:t>
      </w:r>
    </w:p>
    <w:p>
      <w:pPr>
        <w:spacing w:after="0" w:line="290" w:lineRule="exact"/>
        <w:rPr>
          <w:sz w:val="20"/>
          <w:szCs w:val="20"/>
          <w:color w:val="auto"/>
        </w:rPr>
      </w:pPr>
    </w:p>
    <w:p>
      <w:pPr>
        <w:ind w:left="764" w:hanging="764"/>
        <w:spacing w:after="0"/>
        <w:tabs>
          <w:tab w:leader="none" w:pos="764" w:val="left"/>
        </w:tabs>
        <w:numPr>
          <w:ilvl w:val="0"/>
          <w:numId w:val="399"/>
        </w:numPr>
        <w:rPr>
          <w:rFonts w:ascii="Arial" w:cs="Arial" w:eastAsia="Arial" w:hAnsi="Arial"/>
          <w:sz w:val="22"/>
          <w:szCs w:val="22"/>
          <w:b w:val="1"/>
          <w:bCs w:val="1"/>
          <w:color w:val="auto"/>
        </w:rPr>
      </w:pPr>
      <w:r>
        <w:rPr>
          <w:rFonts w:ascii="Arial" w:cs="Arial" w:eastAsia="Arial" w:hAnsi="Arial"/>
          <w:sz w:val="22"/>
          <w:szCs w:val="22"/>
          <w:b w:val="1"/>
          <w:bCs w:val="1"/>
          <w:color w:val="auto"/>
        </w:rPr>
        <w:t>Certain Reduction</w:t>
      </w:r>
    </w:p>
    <w:p>
      <w:pPr>
        <w:spacing w:after="0" w:line="118" w:lineRule="exact"/>
        <w:rPr>
          <w:sz w:val="20"/>
          <w:szCs w:val="20"/>
          <w:color w:val="auto"/>
        </w:rPr>
      </w:pPr>
    </w:p>
    <w:p>
      <w:pPr>
        <w:ind w:left="764" w:hanging="768"/>
        <w:spacing w:after="0" w:line="273" w:lineRule="auto"/>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Notwithstanding anything herein to the contrary, the Company shall reduce your severance benefits under this Schedule II, in whole or in part, by any other severance benefits, pay in lieu of notice, or other similar benefits payable to you by the Company in connection with your termination, including but not limited to payments or benefits</w:t>
      </w:r>
    </w:p>
    <w:p>
      <w:pPr>
        <w:spacing w:after="0" w:line="1" w:lineRule="exact"/>
        <w:rPr>
          <w:sz w:val="20"/>
          <w:szCs w:val="20"/>
          <w:color w:val="auto"/>
        </w:rPr>
      </w:pPr>
    </w:p>
    <w:p>
      <w:pPr>
        <w:ind w:left="764" w:right="280"/>
        <w:spacing w:after="0" w:line="233" w:lineRule="auto"/>
        <w:rPr>
          <w:sz w:val="20"/>
          <w:szCs w:val="20"/>
          <w:color w:val="auto"/>
        </w:rPr>
      </w:pPr>
      <w:r>
        <w:rPr>
          <w:rFonts w:ascii="Arial" w:cs="Arial" w:eastAsia="Arial" w:hAnsi="Arial"/>
          <w:sz w:val="22"/>
          <w:szCs w:val="22"/>
          <w:color w:val="auto"/>
        </w:rPr>
        <w:t>(a) pursuant to clause 18 of the Contract; (b) required by applicable law or (c) any applicable clawback policy. The benefits provided under this Schedule II are intended to satisfy, to the greatest extent possible, any and all statutory obligations that may arise out of your termination of employment. Such reductions shall be applied on a retroactive basis, with severance benefits paid first in time being recharacterized as payments pursuant to the Company’s statutory obligation.</w:t>
      </w:r>
    </w:p>
    <w:p>
      <w:pPr>
        <w:spacing w:after="0" w:line="327" w:lineRule="exact"/>
        <w:rPr>
          <w:sz w:val="20"/>
          <w:szCs w:val="20"/>
          <w:color w:val="auto"/>
        </w:rPr>
      </w:pPr>
    </w:p>
    <w:p>
      <w:pPr>
        <w:ind w:left="764" w:hanging="764"/>
        <w:spacing w:after="0"/>
        <w:tabs>
          <w:tab w:leader="none" w:pos="764" w:val="left"/>
        </w:tabs>
        <w:numPr>
          <w:ilvl w:val="0"/>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Deemed Resignation</w:t>
      </w:r>
    </w:p>
    <w:p>
      <w:pPr>
        <w:spacing w:after="0" w:line="118" w:lineRule="exact"/>
        <w:rPr>
          <w:sz w:val="20"/>
          <w:szCs w:val="20"/>
          <w:color w:val="auto"/>
        </w:rPr>
      </w:pPr>
    </w:p>
    <w:p>
      <w:pPr>
        <w:ind w:left="764" w:right="700" w:hanging="768"/>
        <w:spacing w:after="0" w:line="250" w:lineRule="auto"/>
        <w:tabs>
          <w:tab w:leader="none" w:pos="744"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provisions of clause 18.4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40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have the meaning set out in clause 19.1 of the Contract.</w:t>
      </w:r>
    </w:p>
    <w:p>
      <w:pPr>
        <w:spacing w:after="0" w:line="112" w:lineRule="exact"/>
        <w:rPr>
          <w:sz w:val="20"/>
          <w:szCs w:val="20"/>
          <w:color w:val="auto"/>
        </w:rPr>
      </w:pPr>
    </w:p>
    <w:p>
      <w:pPr>
        <w:ind w:left="764" w:right="120" w:hanging="768"/>
        <w:spacing w:after="0" w:line="273" w:lineRule="auto"/>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(i) the acquisition by any person or group of affiliated or associated persons of more than fifty percent (50%) of the outstanding capital shares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w:t>
      </w:r>
    </w:p>
    <w:p>
      <w:pPr>
        <w:spacing w:after="0" w:line="2" w:lineRule="exact"/>
        <w:rPr>
          <w:sz w:val="20"/>
          <w:szCs w:val="20"/>
          <w:color w:val="auto"/>
        </w:rPr>
      </w:pPr>
    </w:p>
    <w:p>
      <w:pPr>
        <w:ind w:left="764" w:firstLine="5"/>
        <w:spacing w:after="0" w:line="266" w:lineRule="auto"/>
        <w:tabs>
          <w:tab w:leader="none" w:pos="1142" w:val="left"/>
        </w:tabs>
        <w:numPr>
          <w:ilvl w:val="0"/>
          <w:numId w:val="402"/>
        </w:numPr>
        <w:rPr>
          <w:rFonts w:ascii="Arial" w:cs="Arial" w:eastAsia="Arial" w:hAnsi="Arial"/>
          <w:sz w:val="19"/>
          <w:szCs w:val="19"/>
          <w:color w:val="auto"/>
        </w:rPr>
      </w:pPr>
      <w:r>
        <w:rPr>
          <w:rFonts w:ascii="Arial" w:cs="Arial" w:eastAsia="Arial" w:hAnsi="Arial"/>
          <w:sz w:val="19"/>
          <w:szCs w:val="19"/>
          <w:color w:val="auto"/>
        </w:rPr>
        <w:t>the consummation of any merger involving the Company in which, immediately after giving effect to such merger, less than a majority of the total voting power of outstanding stock of the surviving or resulting entity is then “beneficially owned”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w:t>
      </w:r>
    </w:p>
    <w:p>
      <w:pPr>
        <w:spacing w:after="0" w:line="4" w:lineRule="exact"/>
        <w:rPr>
          <w:rFonts w:ascii="Arial" w:cs="Arial" w:eastAsia="Arial" w:hAnsi="Arial"/>
          <w:sz w:val="19"/>
          <w:szCs w:val="19"/>
          <w:color w:val="auto"/>
        </w:rPr>
      </w:pPr>
    </w:p>
    <w:p>
      <w:pPr>
        <w:ind w:left="764" w:right="80"/>
        <w:spacing w:after="0" w:line="232" w:lineRule="auto"/>
        <w:rPr>
          <w:rFonts w:ascii="Arial" w:cs="Arial" w:eastAsia="Arial" w:hAnsi="Arial"/>
          <w:sz w:val="19"/>
          <w:szCs w:val="19"/>
          <w:color w:val="auto"/>
        </w:rPr>
      </w:pPr>
      <w:r>
        <w:rPr>
          <w:rFonts w:ascii="Arial" w:cs="Arial" w:eastAsia="Arial" w:hAnsi="Arial"/>
          <w:sz w:val="22"/>
          <w:szCs w:val="22"/>
          <w:color w:val="auto"/>
        </w:rPr>
        <w:t>(B)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In the event of any conflict between the provisions of this clause 5.2 of Schedule II and the provisions of the Mereo Equity Incentive Plan, the terms of this Schedule II shall prevail.</w:t>
      </w:r>
    </w:p>
    <w:p>
      <w:pPr>
        <w:spacing w:after="0" w:line="121" w:lineRule="exact"/>
        <w:rPr>
          <w:rFonts w:ascii="Arial" w:cs="Arial" w:eastAsia="Arial" w:hAnsi="Arial"/>
          <w:sz w:val="19"/>
          <w:szCs w:val="19"/>
          <w:color w:val="auto"/>
        </w:rPr>
      </w:pPr>
    </w:p>
    <w:p>
      <w:pPr>
        <w:ind w:left="5404" w:hanging="130"/>
        <w:spacing w:after="0"/>
        <w:tabs>
          <w:tab w:leader="none" w:pos="5404" w:val="left"/>
        </w:tabs>
        <w:numPr>
          <w:ilvl w:val="1"/>
          <w:numId w:val="402"/>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004"/>
          </w:cols>
          <w:pgMar w:left="436" w:top="266" w:right="459" w:bottom="1440" w:gutter="0" w:footer="0" w:header="0"/>
        </w:sectPr>
      </w:pPr>
    </w:p>
    <w:bookmarkStart w:id="403" w:name="page404"/>
    <w:bookmarkEnd w:id="403"/>
    <w:p>
      <w:pPr>
        <w:ind w:left="764" w:right="20" w:hanging="768"/>
        <w:spacing w:after="0" w:line="256"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means the period commencing on a Change in Control and ending 12 months after such Change in Control.</w:t>
      </w:r>
    </w:p>
    <w:p>
      <w:pPr>
        <w:spacing w:after="0" w:line="68" w:lineRule="exact"/>
        <w:rPr>
          <w:sz w:val="20"/>
          <w:szCs w:val="20"/>
          <w:color w:val="auto"/>
        </w:rPr>
      </w:pPr>
    </w:p>
    <w:p>
      <w:pPr>
        <w:ind w:left="764" w:right="100" w:hanging="768"/>
        <w:spacing w:after="0" w:line="256" w:lineRule="auto"/>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Covered Termination</w:t>
      </w:r>
      <w:r>
        <w:rPr>
          <w:rFonts w:ascii="Arial" w:cs="Arial" w:eastAsia="Arial" w:hAnsi="Arial"/>
          <w:sz w:val="22"/>
          <w:szCs w:val="22"/>
          <w:color w:val="auto"/>
        </w:rPr>
        <w:t>” means the termination of your employment by the Company other than for Cause or by you for Good Reason, and shall not include a termination due to your death or disability.</w:t>
      </w:r>
    </w:p>
    <w:p>
      <w:pPr>
        <w:spacing w:after="0" w:line="6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Termination Date</w:t>
      </w:r>
      <w:r>
        <w:rPr>
          <w:rFonts w:ascii="Arial" w:cs="Arial" w:eastAsia="Arial" w:hAnsi="Arial"/>
          <w:sz w:val="19"/>
          <w:szCs w:val="19"/>
          <w:color w:val="auto"/>
        </w:rPr>
        <w:t>” means the date on which you experience a Covered Termination.</w:t>
      </w:r>
    </w:p>
    <w:p>
      <w:pPr>
        <w:spacing w:after="0" w:line="112" w:lineRule="exact"/>
        <w:rPr>
          <w:sz w:val="20"/>
          <w:szCs w:val="20"/>
          <w:color w:val="auto"/>
        </w:rPr>
      </w:pPr>
    </w:p>
    <w:p>
      <w:pPr>
        <w:ind w:left="764" w:right="200" w:hanging="768"/>
        <w:spacing w:after="0" w:line="272" w:lineRule="auto"/>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your resignation from employment with the Company after the occurrence, without your written consent, of any of the following: (i) a material reduction in your authorities, duties and responsibilities; (ii) a material reduction by the Company in your base salary from your base salary in effect immediately prior to such reduction, except in connection with a reduction in salary affecting all senior management employees of the Group Company; or (iii) a relocation of your office that increases your one-way commute by more than thirty-five</w:t>
      </w:r>
    </w:p>
    <w:p>
      <w:pPr>
        <w:spacing w:after="0" w:line="1" w:lineRule="exact"/>
        <w:rPr>
          <w:sz w:val="20"/>
          <w:szCs w:val="20"/>
          <w:color w:val="auto"/>
        </w:rPr>
      </w:pPr>
    </w:p>
    <w:p>
      <w:pPr>
        <w:ind w:left="764" w:firstLine="5"/>
        <w:spacing w:after="0" w:line="266" w:lineRule="auto"/>
        <w:tabs>
          <w:tab w:leader="none" w:pos="1178" w:val="left"/>
        </w:tabs>
        <w:numPr>
          <w:ilvl w:val="0"/>
          <w:numId w:val="403"/>
        </w:numPr>
        <w:rPr>
          <w:rFonts w:ascii="Arial" w:cs="Arial" w:eastAsia="Arial" w:hAnsi="Arial"/>
          <w:sz w:val="19"/>
          <w:szCs w:val="19"/>
          <w:color w:val="auto"/>
        </w:rPr>
      </w:pPr>
      <w:r>
        <w:rPr>
          <w:rFonts w:ascii="Arial" w:cs="Arial" w:eastAsia="Arial" w:hAnsi="Arial"/>
          <w:sz w:val="19"/>
          <w:szCs w:val="19"/>
          <w:color w:val="auto"/>
        </w:rPr>
        <w:t>miles, except that required travel on the Company’s business to an extent substantially consistent with your historical business travel obligations shall not be considered a relocation. Notwithstanding the foregoing, a resignation shall not be for “Good Reason” unless the event or condition giving rise to such resignation continues more than thirty</w:t>
      </w:r>
    </w:p>
    <w:p>
      <w:pPr>
        <w:spacing w:after="0" w:line="2" w:lineRule="exact"/>
        <w:rPr>
          <w:rFonts w:ascii="Arial" w:cs="Arial" w:eastAsia="Arial" w:hAnsi="Arial"/>
          <w:sz w:val="19"/>
          <w:szCs w:val="19"/>
          <w:color w:val="auto"/>
        </w:rPr>
      </w:pPr>
    </w:p>
    <w:p>
      <w:pPr>
        <w:ind w:left="764" w:right="120" w:firstLine="5"/>
        <w:spacing w:after="0" w:line="234" w:lineRule="auto"/>
        <w:tabs>
          <w:tab w:leader="none" w:pos="1178" w:val="left"/>
        </w:tabs>
        <w:numPr>
          <w:ilvl w:val="0"/>
          <w:numId w:val="404"/>
        </w:numPr>
        <w:rPr>
          <w:rFonts w:ascii="Arial" w:cs="Arial" w:eastAsia="Arial" w:hAnsi="Arial"/>
          <w:sz w:val="22"/>
          <w:szCs w:val="22"/>
          <w:color w:val="auto"/>
        </w:rPr>
      </w:pPr>
      <w:r>
        <w:rPr>
          <w:rFonts w:ascii="Arial" w:cs="Arial" w:eastAsia="Arial" w:hAnsi="Arial"/>
          <w:sz w:val="22"/>
          <w:szCs w:val="22"/>
          <w:color w:val="auto"/>
        </w:rPr>
        <w:t>days following your written notice of such condition provided to the Company within sixty (60) days of the first occurrence of such event or condition and such resignation is effective within thirty (30) days following the end of such notice period.</w:t>
      </w:r>
    </w:p>
    <w:p>
      <w:pPr>
        <w:spacing w:after="0" w:line="87" w:lineRule="exact"/>
        <w:rPr>
          <w:sz w:val="20"/>
          <w:szCs w:val="20"/>
          <w:color w:val="auto"/>
        </w:rPr>
      </w:pPr>
    </w:p>
    <w:p>
      <w:pPr>
        <w:ind w:left="764" w:right="620" w:hanging="768"/>
        <w:spacing w:after="0" w:line="256" w:lineRule="auto"/>
        <w:tabs>
          <w:tab w:leader="none" w:pos="744"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Settlement Agreement</w:t>
      </w:r>
      <w:r>
        <w:rPr>
          <w:rFonts w:ascii="Arial" w:cs="Arial" w:eastAsia="Arial" w:hAnsi="Arial"/>
          <w:sz w:val="22"/>
          <w:szCs w:val="22"/>
          <w:color w:val="auto"/>
        </w:rPr>
        <w:t>” means an appropriate waiver of all claims against the Company in a form reasonably acceptable to the Company.</w:t>
      </w:r>
    </w:p>
    <w:p>
      <w:pPr>
        <w:spacing w:after="0" w:line="311" w:lineRule="exact"/>
        <w:rPr>
          <w:sz w:val="20"/>
          <w:szCs w:val="20"/>
          <w:color w:val="auto"/>
        </w:rPr>
      </w:pPr>
    </w:p>
    <w:p>
      <w:pPr>
        <w:ind w:left="764" w:hanging="764"/>
        <w:spacing w:after="0"/>
        <w:tabs>
          <w:tab w:leader="none" w:pos="764" w:val="left"/>
        </w:tabs>
        <w:numPr>
          <w:ilvl w:val="0"/>
          <w:numId w:val="405"/>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p>
    <w:p>
      <w:pPr>
        <w:spacing w:after="0" w:line="118"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Any successor to the Company (whether direct or indirect and whether by purchase, merger, consolidation, liquidation or otherwise) to all or substantially all of the Company’s business or assets shall assume the obligations under this Schedule II and agree expressly to perform the obligations under this Schedule II in the same manner and to the same extent as the Company would be required to perform such obligations in the absence of a succession. For all purposes under this Schedule II, the term “Company” shall include any successor to the Company’s business or assets which executes and delivers the assumption agreement described in this paragraph 6.1 or which becomes bound by the terms of this Schedule II by operation of law.</w:t>
      </w:r>
    </w:p>
    <w:p>
      <w:pPr>
        <w:spacing w:after="0" w:line="90" w:lineRule="exact"/>
        <w:rPr>
          <w:sz w:val="20"/>
          <w:szCs w:val="20"/>
          <w:color w:val="auto"/>
        </w:rPr>
      </w:pPr>
    </w:p>
    <w:p>
      <w:pPr>
        <w:jc w:val="right"/>
        <w:ind w:left="4" w:right="500"/>
        <w:spacing w:after="0" w:line="328" w:lineRule="auto"/>
        <w:rPr>
          <w:sz w:val="20"/>
          <w:szCs w:val="20"/>
          <w:color w:val="auto"/>
        </w:rPr>
      </w:pPr>
      <w:r>
        <w:rPr>
          <w:rFonts w:ascii="Arial" w:cs="Arial" w:eastAsia="Arial" w:hAnsi="Arial"/>
          <w:sz w:val="19"/>
          <w:szCs w:val="19"/>
          <w:color w:val="auto"/>
        </w:rPr>
        <w:t>6.2     The terms of this Schedule II and your rights hereunder shall inure to the benefit of, and be enforceable by, your personal or legal representatives, executors, administrators, successors, heirs, distributees, devisees and legatees.</w:t>
      </w:r>
    </w:p>
    <w:p>
      <w:pPr>
        <w:spacing w:after="0" w:line="247" w:lineRule="exact"/>
        <w:rPr>
          <w:sz w:val="20"/>
          <w:szCs w:val="20"/>
          <w:color w:val="auto"/>
        </w:rPr>
      </w:pPr>
    </w:p>
    <w:p>
      <w:pPr>
        <w:ind w:left="764" w:hanging="764"/>
        <w:spacing w:after="0"/>
        <w:tabs>
          <w:tab w:leader="none" w:pos="764" w:val="left"/>
        </w:tabs>
        <w:numPr>
          <w:ilvl w:val="0"/>
          <w:numId w:val="406"/>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right="860" w:hanging="768"/>
        <w:spacing w:after="0" w:line="250"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provisions of clause 35 of the Contract shall apply to this Schedule II as if references to the Contract are references to this Schedule II.</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004"/>
          </w:cols>
          <w:pgMar w:left="436" w:top="260" w:right="459" w:bottom="1440" w:gutter="0" w:footer="0" w:header="0"/>
        </w:sectPr>
      </w:pPr>
    </w:p>
    <w:bookmarkStart w:id="404" w:name="page405"/>
    <w:bookmarkEnd w:id="404"/>
    <w:p>
      <w:pPr>
        <w:ind w:left="764" w:hanging="764"/>
        <w:spacing w:after="0"/>
        <w:tabs>
          <w:tab w:leader="none" w:pos="764" w:val="left"/>
        </w:tabs>
        <w:numPr>
          <w:ilvl w:val="0"/>
          <w:numId w:val="407"/>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p>
    <w:p>
      <w:pPr>
        <w:spacing w:after="0" w:line="118"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The provisions of clauses 32 and 33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40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Notwithstanding anything to the contrary in this Schedule II, to the extent that any payments due under this Schedule</w:t>
      </w:r>
    </w:p>
    <w:p>
      <w:pPr>
        <w:spacing w:after="0" w:line="8" w:lineRule="exact"/>
        <w:rPr>
          <w:sz w:val="20"/>
          <w:szCs w:val="20"/>
          <w:color w:val="auto"/>
        </w:rPr>
      </w:pPr>
    </w:p>
    <w:p>
      <w:pPr>
        <w:ind w:left="764" w:firstLine="5"/>
        <w:spacing w:after="0" w:line="243" w:lineRule="auto"/>
        <w:tabs>
          <w:tab w:leader="none" w:pos="962" w:val="left"/>
        </w:tabs>
        <w:numPr>
          <w:ilvl w:val="0"/>
          <w:numId w:val="409"/>
        </w:numPr>
        <w:rPr>
          <w:rFonts w:ascii="Arial" w:cs="Arial" w:eastAsia="Arial" w:hAnsi="Arial"/>
          <w:sz w:val="21"/>
          <w:szCs w:val="21"/>
          <w:color w:val="auto"/>
        </w:rPr>
      </w:pPr>
      <w:r>
        <w:rPr>
          <w:rFonts w:ascii="Arial" w:cs="Arial" w:eastAsia="Arial" w:hAnsi="Arial"/>
          <w:sz w:val="21"/>
          <w:szCs w:val="21"/>
          <w:color w:val="auto"/>
        </w:rPr>
        <w:t>as a result of your termination of employment are subject to your execution and delivery of a Settlement Agreement, (A) if you fail to execute the Settlement Agreement on or prior to the Settlement Agreement Expiration Date (as defined below) or the Settlement Agreement does not become effective and irrevocable within 60 days following the Covered Termination Date (or such shorter period specified by the Company), you shall not be entitled to any payments or benefits otherwise conditioned on the Settlement Agreement, and (B) in any case where your Covered Termination Date and the last day the Settlement Agreement may be considered or, if applicable, revoked fall in two separate taxable years, any payments required to be made to you that are conditioned on the Settlement Agreement shall commence or be made in the later taxable year. For purposes hereof, “</w:t>
      </w:r>
      <w:r>
        <w:rPr>
          <w:rFonts w:ascii="Arial" w:cs="Arial" w:eastAsia="Arial" w:hAnsi="Arial"/>
          <w:sz w:val="21"/>
          <w:szCs w:val="21"/>
          <w:b w:val="1"/>
          <w:bCs w:val="1"/>
          <w:color w:val="auto"/>
        </w:rPr>
        <w:t>Settlement Expiration Date</w:t>
      </w:r>
      <w:r>
        <w:rPr>
          <w:rFonts w:ascii="Arial" w:cs="Arial" w:eastAsia="Arial" w:hAnsi="Arial"/>
          <w:sz w:val="21"/>
          <w:szCs w:val="21"/>
          <w:color w:val="auto"/>
        </w:rPr>
        <w:t>” shall mean the date that is twenty one (21) days following the date upon which the Company timely delivers the Settlement Agreement to you.</w:t>
      </w:r>
    </w:p>
    <w:p>
      <w:pPr>
        <w:spacing w:after="0" w:line="88" w:lineRule="exact"/>
        <w:rPr>
          <w:sz w:val="20"/>
          <w:szCs w:val="20"/>
          <w:color w:val="auto"/>
        </w:rPr>
      </w:pPr>
    </w:p>
    <w:p>
      <w:pPr>
        <w:ind w:left="764" w:right="680" w:hanging="768"/>
        <w:spacing w:after="0" w:line="250"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The Company shall be entitled to withhold from any amounts payable under this Schedule any local or foreign withholding or other taxes or charges which the Company is required to withhold.</w:t>
      </w:r>
    </w:p>
    <w:p>
      <w:pPr>
        <w:spacing w:after="0" w:line="80" w:lineRule="exact"/>
        <w:rPr>
          <w:sz w:val="20"/>
          <w:szCs w:val="20"/>
          <w:color w:val="auto"/>
        </w:rPr>
      </w:pPr>
    </w:p>
    <w:p>
      <w:pPr>
        <w:jc w:val="both"/>
        <w:ind w:left="764" w:right="40" w:hanging="768"/>
        <w:spacing w:after="0" w:line="287" w:lineRule="auto"/>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No provision of this Schedule II shall be modified, waived or discharged unless the modification, waiver or discharge is agreed to in writing and signed by you and by an authorized officer of the Company (other than you). No waiver by either party of any breach of, or of compliance with, any condition or provision of this Schedule II by the other party shall be considered a waiver of any other condition or provision or of the same condition or provision at another time.</w:t>
      </w:r>
    </w:p>
    <w:p>
      <w:pPr>
        <w:spacing w:after="0" w:line="48" w:lineRule="exact"/>
        <w:rPr>
          <w:sz w:val="20"/>
          <w:szCs w:val="20"/>
          <w:color w:val="auto"/>
        </w:rPr>
      </w:pPr>
    </w:p>
    <w:p>
      <w:pPr>
        <w:ind w:left="764" w:right="160" w:hanging="768"/>
        <w:spacing w:after="0" w:line="249"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Whenever possible, each provision of this Schedule II will be interpreted in such manner as to be effective and valid under applicable law, but if any provision of this Schedule II is held to be invalid or unenforceable in any respect under any applicable law or rule in any jurisdiction, such invalidity or unenforceability will not affect any other provision or any other jurisdiction, but this Schedule II will be reformed, construed and enforced in such jurisdiction as if such invalid or unenforceable provisions had never been contained herein.</w:t>
      </w:r>
    </w:p>
    <w:p>
      <w:pPr>
        <w:spacing w:after="0" w:line="84"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The provisions of clauses 36 and 37 of the Contract shall apply to this Schedule II as if references to the Contract are references to this Schedule II.</w:t>
      </w:r>
    </w:p>
    <w:p>
      <w:pPr>
        <w:spacing w:after="0" w:line="8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You acknowledge that (i) you have consulted with or have had the opportunity to consult with independent counsel of your own choice concerning this Schedule II, and have been advised to do so by the Company, and (ii) that you have read and understand this Schedule II, are fully aware of its legal effect, and have entered into it freely based on your own judgment.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- 30 -</w:t>
      </w:r>
    </w:p>
    <w:p>
      <w:pPr>
        <w:sectPr>
          <w:pgSz w:w="11900" w:h="16838" w:orient="portrait"/>
          <w:cols w:equalWidth="0" w:num="1">
            <w:col w:w="11004"/>
          </w:cols>
          <w:pgMar w:left="436" w:top="260" w:right="459" w:bottom="1440" w:gutter="0" w:footer="0" w:header="0"/>
        </w:sectPr>
      </w:pPr>
    </w:p>
    <w:bookmarkStart w:id="405" w:name="page406"/>
    <w:bookmarkEnd w:id="405"/>
    <w:p>
      <w:pPr>
        <w:jc w:val="right"/>
        <w:spacing w:after="0"/>
        <w:rPr>
          <w:sz w:val="20"/>
          <w:szCs w:val="20"/>
          <w:color w:val="auto"/>
        </w:rPr>
      </w:pPr>
      <w:r>
        <w:rPr>
          <w:rFonts w:ascii="Arial" w:cs="Arial" w:eastAsia="Arial" w:hAnsi="Arial"/>
          <w:sz w:val="22"/>
          <w:szCs w:val="22"/>
          <w:b w:val="1"/>
          <w:bCs w:val="1"/>
          <w:color w:val="auto"/>
        </w:rPr>
        <w:t>Exhibit 4.38</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left="4" w:right="340" w:firstLine="551"/>
        <w:spacing w:after="0"/>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effective as of December 7, 2020 (the “</w:t>
      </w:r>
      <w:r>
        <w:rPr>
          <w:rFonts w:ascii="Arial" w:cs="Arial" w:eastAsia="Arial" w:hAnsi="Arial"/>
          <w:sz w:val="22"/>
          <w:szCs w:val="22"/>
          <w:b w:val="1"/>
          <w:bCs w:val="1"/>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by and between Mereo BioPharma Group plc, a company incorporated in England and Wales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Suba Krishnan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and, together with the Company,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0" w:lineRule="exact"/>
        <w:rPr>
          <w:sz w:val="20"/>
          <w:szCs w:val="20"/>
          <w:color w:val="auto"/>
        </w:rPr>
      </w:pPr>
    </w:p>
    <w:p>
      <w:pPr>
        <w:ind w:left="4" w:right="680" w:firstLine="551"/>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assure itself of the services of Executive by engaging Executive to perform</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as an employee of the Company under the terms hereof; and</w:t>
      </w:r>
    </w:p>
    <w:p>
      <w:pPr>
        <w:spacing w:after="0" w:line="162" w:lineRule="exact"/>
        <w:rPr>
          <w:sz w:val="20"/>
          <w:szCs w:val="20"/>
          <w:color w:val="auto"/>
        </w:rPr>
      </w:pPr>
    </w:p>
    <w:p>
      <w:pPr>
        <w:ind w:left="544"/>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desires to provide services to the Company on the terms herein provided.</w:t>
      </w:r>
    </w:p>
    <w:p>
      <w:pPr>
        <w:spacing w:after="0" w:line="206" w:lineRule="exact"/>
        <w:rPr>
          <w:sz w:val="20"/>
          <w:szCs w:val="20"/>
          <w:color w:val="auto"/>
        </w:rPr>
      </w:pPr>
    </w:p>
    <w:p>
      <w:pPr>
        <w:ind w:left="4" w:right="20" w:firstLine="551"/>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for other good and valuable consideration,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covenants and agreements set forth below, the receipt and sufficiency of which are hereby acknowledged, the Parties hereto agree as follows:</w:t>
      </w:r>
    </w:p>
    <w:p>
      <w:pPr>
        <w:spacing w:after="0" w:line="393" w:lineRule="exact"/>
        <w:rPr>
          <w:sz w:val="20"/>
          <w:szCs w:val="20"/>
          <w:color w:val="auto"/>
        </w:rPr>
      </w:pPr>
    </w:p>
    <w:p>
      <w:pPr>
        <w:ind w:left="764" w:hanging="213"/>
        <w:spacing w:after="0"/>
        <w:tabs>
          <w:tab w:leader="none" w:pos="764" w:val="left"/>
        </w:tabs>
        <w:numPr>
          <w:ilvl w:val="1"/>
          <w:numId w:val="410"/>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p>
    <w:p>
      <w:pPr>
        <w:spacing w:after="0" w:line="104" w:lineRule="exact"/>
        <w:rPr>
          <w:rFonts w:ascii="Arial" w:cs="Arial" w:eastAsia="Arial" w:hAnsi="Arial"/>
          <w:sz w:val="22"/>
          <w:szCs w:val="22"/>
          <w:b w:val="1"/>
          <w:bCs w:val="1"/>
          <w:color w:val="auto"/>
        </w:rPr>
      </w:pPr>
    </w:p>
    <w:p>
      <w:pPr>
        <w:ind w:left="4" w:right="60" w:firstLine="1208"/>
        <w:spacing w:after="0" w:line="250" w:lineRule="auto"/>
        <w:tabs>
          <w:tab w:leader="none" w:pos="1521" w:val="left"/>
        </w:tabs>
        <w:numPr>
          <w:ilvl w:val="2"/>
          <w:numId w:val="410"/>
        </w:numPr>
        <w:rPr>
          <w:rFonts w:ascii="Arial" w:cs="Arial" w:eastAsia="Arial" w:hAnsi="Arial"/>
          <w:sz w:val="22"/>
          <w:szCs w:val="22"/>
          <w:b w:val="1"/>
          <w:bCs w:val="1"/>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Company shall employ Executive upon the terms and conditions provided herein effective as of the Effective Date.</w:t>
      </w:r>
    </w:p>
    <w:p>
      <w:pPr>
        <w:spacing w:after="0" w:line="66" w:lineRule="exact"/>
        <w:rPr>
          <w:rFonts w:ascii="Arial" w:cs="Arial" w:eastAsia="Arial" w:hAnsi="Arial"/>
          <w:sz w:val="22"/>
          <w:szCs w:val="22"/>
          <w:b w:val="1"/>
          <w:bCs w:val="1"/>
          <w:color w:val="auto"/>
        </w:rPr>
      </w:pPr>
    </w:p>
    <w:p>
      <w:pPr>
        <w:ind w:left="4" w:right="20" w:firstLine="1208"/>
        <w:spacing w:after="0" w:line="273" w:lineRule="auto"/>
        <w:tabs>
          <w:tab w:leader="none" w:pos="1534" w:val="left"/>
        </w:tabs>
        <w:numPr>
          <w:ilvl w:val="2"/>
          <w:numId w:val="410"/>
        </w:numPr>
        <w:rPr>
          <w:rFonts w:ascii="Arial" w:cs="Arial" w:eastAsia="Arial" w:hAnsi="Arial"/>
          <w:sz w:val="19"/>
          <w:szCs w:val="19"/>
          <w:b w:val="1"/>
          <w:bCs w:val="1"/>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Effective as of the Effective Date, Executive: (i) shall serve as Senior Vice President, Clinical Development, with responsibilities, duties, and authority usual and customary for such position, subject to direction by the Chief Executive Officer of the Company; (ii) shall report directly to the Chief Executive Officer of the Company; and</w:t>
      </w:r>
    </w:p>
    <w:p>
      <w:pPr>
        <w:spacing w:after="0" w:line="1" w:lineRule="exact"/>
        <w:rPr>
          <w:rFonts w:ascii="Arial" w:cs="Arial" w:eastAsia="Arial" w:hAnsi="Arial"/>
          <w:sz w:val="19"/>
          <w:szCs w:val="19"/>
          <w:b w:val="1"/>
          <w:bCs w:val="1"/>
          <w:color w:val="auto"/>
        </w:rPr>
      </w:pPr>
    </w:p>
    <w:p>
      <w:pPr>
        <w:ind w:left="4" w:right="240" w:hanging="4"/>
        <w:spacing w:after="0" w:line="243" w:lineRule="auto"/>
        <w:tabs>
          <w:tab w:leader="none" w:pos="382" w:val="left"/>
        </w:tabs>
        <w:numPr>
          <w:ilvl w:val="0"/>
          <w:numId w:val="411"/>
        </w:numPr>
        <w:rPr>
          <w:rFonts w:ascii="Arial" w:cs="Arial" w:eastAsia="Arial" w:hAnsi="Arial"/>
          <w:sz w:val="21"/>
          <w:szCs w:val="21"/>
          <w:color w:val="auto"/>
        </w:rPr>
      </w:pPr>
      <w:r>
        <w:rPr>
          <w:rFonts w:ascii="Arial" w:cs="Arial" w:eastAsia="Arial" w:hAnsi="Arial"/>
          <w:sz w:val="21"/>
          <w:szCs w:val="21"/>
          <w:color w:val="auto"/>
        </w:rPr>
        <w:t>agrees promptly and faithfully to comply with all present and future policies, requirements, rules and regulations, and reasonable directions and requests, of the Company in connection with the business of the Company. At the request of the Company, Executive shall serve the Company and/or its subsidiaries and affiliates in such other capacities in addition to the foregoing as the Company shall designate, provided that such additional capacities are consistent with and do not limit or impede Executive’s position as the Senior Vice President, Clinical Development of the Company. In the event that Executive serves in any one or more of such additional capacities, Executive’s compensation shall not automatically be increased on account of such additional service.</w:t>
      </w:r>
    </w:p>
    <w:p>
      <w:pPr>
        <w:spacing w:after="0" w:line="79" w:lineRule="exact"/>
        <w:rPr>
          <w:rFonts w:ascii="Arial" w:cs="Arial" w:eastAsia="Arial" w:hAnsi="Arial"/>
          <w:sz w:val="21"/>
          <w:szCs w:val="21"/>
          <w:color w:val="auto"/>
        </w:rPr>
      </w:pPr>
    </w:p>
    <w:p>
      <w:pPr>
        <w:ind w:left="1504" w:hanging="292"/>
        <w:spacing w:after="0"/>
        <w:tabs>
          <w:tab w:leader="none" w:pos="1504" w:val="left"/>
        </w:tabs>
        <w:numPr>
          <w:ilvl w:val="2"/>
          <w:numId w:val="411"/>
        </w:numPr>
        <w:rPr>
          <w:rFonts w:ascii="Arial" w:cs="Arial" w:eastAsia="Arial" w:hAnsi="Arial"/>
          <w:sz w:val="19"/>
          <w:szCs w:val="19"/>
          <w:b w:val="1"/>
          <w:bCs w:val="1"/>
          <w:color w:val="auto"/>
        </w:rPr>
      </w:pPr>
      <w:r>
        <w:rPr>
          <w:rFonts w:ascii="Arial" w:cs="Arial" w:eastAsia="Arial" w:hAnsi="Arial"/>
          <w:sz w:val="19"/>
          <w:szCs w:val="19"/>
          <w:u w:val="single" w:color="auto"/>
          <w:color w:val="auto"/>
        </w:rPr>
        <w:t>Principal Office</w:t>
      </w:r>
      <w:r>
        <w:rPr>
          <w:rFonts w:ascii="Arial" w:cs="Arial" w:eastAsia="Arial" w:hAnsi="Arial"/>
          <w:sz w:val="19"/>
          <w:szCs w:val="19"/>
          <w:color w:val="auto"/>
        </w:rPr>
        <w:t>. Executive shall initially perform services for the Company (i) at Executive’s home office;</w:t>
      </w:r>
    </w:p>
    <w:p>
      <w:pPr>
        <w:spacing w:after="0" w:line="42" w:lineRule="exact"/>
        <w:rPr>
          <w:rFonts w:ascii="Arial" w:cs="Arial" w:eastAsia="Arial" w:hAnsi="Arial"/>
          <w:sz w:val="19"/>
          <w:szCs w:val="19"/>
          <w:b w:val="1"/>
          <w:bCs w:val="1"/>
          <w:color w:val="auto"/>
        </w:rPr>
      </w:pPr>
    </w:p>
    <w:p>
      <w:pPr>
        <w:ind w:left="4" w:hanging="4"/>
        <w:spacing w:after="0" w:line="233" w:lineRule="auto"/>
        <w:tabs>
          <w:tab w:leader="none" w:pos="322" w:val="left"/>
        </w:tabs>
        <w:numPr>
          <w:ilvl w:val="0"/>
          <w:numId w:val="412"/>
        </w:numPr>
        <w:rPr>
          <w:rFonts w:ascii="Arial" w:cs="Arial" w:eastAsia="Arial" w:hAnsi="Arial"/>
          <w:sz w:val="22"/>
          <w:szCs w:val="22"/>
          <w:color w:val="auto"/>
        </w:rPr>
      </w:pPr>
      <w:r>
        <w:rPr>
          <w:rFonts w:ascii="Arial" w:cs="Arial" w:eastAsia="Arial" w:hAnsi="Arial"/>
          <w:sz w:val="22"/>
          <w:szCs w:val="22"/>
          <w:color w:val="auto"/>
        </w:rPr>
        <w:t>from one of the Company’s offices for up to four days a week or for five days a week with Executive’s consent; or (iii) with the Company’s consent, at any other place in connection with the fulfillment of Executive’s role with the Company; provided, however, that the Company may from time to time require Executive to travel temporarily to other locations in connection with the Company’s business.</w:t>
      </w:r>
    </w:p>
    <w:p>
      <w:pPr>
        <w:spacing w:after="0" w:line="79" w:lineRule="exact"/>
        <w:rPr>
          <w:rFonts w:ascii="Arial" w:cs="Arial" w:eastAsia="Arial" w:hAnsi="Arial"/>
          <w:sz w:val="22"/>
          <w:szCs w:val="22"/>
          <w:color w:val="auto"/>
        </w:rPr>
      </w:pPr>
    </w:p>
    <w:p>
      <w:pPr>
        <w:ind w:left="4" w:right="240" w:firstLine="1208"/>
        <w:spacing w:after="0" w:line="287" w:lineRule="auto"/>
        <w:tabs>
          <w:tab w:leader="none" w:pos="1534" w:val="left"/>
        </w:tabs>
        <w:numPr>
          <w:ilvl w:val="2"/>
          <w:numId w:val="412"/>
        </w:numPr>
        <w:rPr>
          <w:rFonts w:ascii="Arial" w:cs="Arial" w:eastAsia="Arial" w:hAnsi="Arial"/>
          <w:sz w:val="19"/>
          <w:szCs w:val="19"/>
          <w:b w:val="1"/>
          <w:bCs w:val="1"/>
          <w:color w:val="auto"/>
        </w:rPr>
      </w:pPr>
      <w:r>
        <w:rPr>
          <w:rFonts w:ascii="Arial" w:cs="Arial" w:eastAsia="Arial" w:hAnsi="Arial"/>
          <w:sz w:val="19"/>
          <w:szCs w:val="19"/>
          <w:u w:val="single" w:color="auto"/>
          <w:color w:val="auto"/>
        </w:rPr>
        <w:t>Exclusivity</w:t>
      </w:r>
      <w:r>
        <w:rPr>
          <w:rFonts w:ascii="Arial" w:cs="Arial" w:eastAsia="Arial" w:hAnsi="Arial"/>
          <w:sz w:val="19"/>
          <w:szCs w:val="19"/>
          <w:color w:val="auto"/>
        </w:rPr>
        <w:t>. Except with the prior written approval of the Company’s Chief Executive Officer (the “</w:t>
      </w:r>
      <w:r>
        <w:rPr>
          <w:rFonts w:ascii="Arial" w:cs="Arial" w:eastAsia="Arial" w:hAnsi="Arial"/>
          <w:sz w:val="19"/>
          <w:szCs w:val="19"/>
          <w:b w:val="1"/>
          <w:bCs w:val="1"/>
          <w:i w:val="1"/>
          <w:iCs w:val="1"/>
          <w:color w:val="auto"/>
        </w:rPr>
        <w:t>CEO</w:t>
      </w:r>
      <w:r>
        <w:rPr>
          <w:rFonts w:ascii="Arial" w:cs="Arial" w:eastAsia="Arial" w:hAnsi="Arial"/>
          <w:sz w:val="19"/>
          <w:szCs w:val="19"/>
          <w:color w:val="auto"/>
        </w:rPr>
        <w:t>”) (which the CEO may grant or withhold in the CEO’s sole and absolute discretion), Executive shall devote Executive’s full working time, attention, and energies to the business of the Company, except during any paid vacation or other excused absence periods. Notwithstanding the foregoing, Executive may, without violating this Section 1(d), (i) as a passive</w:t>
      </w:r>
    </w:p>
    <w:p>
      <w:pPr>
        <w:spacing w:after="0" w:line="7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24"/>
          </w:cols>
          <w:pgMar w:left="436" w:top="111" w:right="439" w:bottom="1440" w:gutter="0" w:footer="0" w:header="0"/>
        </w:sectPr>
      </w:pPr>
    </w:p>
    <w:bookmarkStart w:id="406" w:name="page407"/>
    <w:bookmarkEnd w:id="406"/>
    <w:p>
      <w:pPr>
        <w:ind w:right="20"/>
        <w:spacing w:after="0" w:line="245"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own publicly traded securities in such form or manner as will not require any services by Executive in the operation of the entities in which such securities are owned; (ii) 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CEO; and (iii) such activities do not individually or in the aggregate interfere with the performance of Executive’s duties under this Agreement, violate the Company’s standards of conduct then in effect, or raise a conflict under the Company’s conflict of interest policies.</w:t>
      </w:r>
    </w:p>
    <w:p>
      <w:pPr>
        <w:spacing w:after="0" w:line="70" w:lineRule="exact"/>
        <w:rPr>
          <w:sz w:val="20"/>
          <w:szCs w:val="20"/>
          <w:color w:val="auto"/>
        </w:rPr>
      </w:pPr>
    </w:p>
    <w:p>
      <w:pPr>
        <w:jc w:val="both"/>
        <w:ind w:right="40" w:firstLine="547"/>
        <w:spacing w:after="0" w:line="260" w:lineRule="auto"/>
        <w:tabs>
          <w:tab w:leader="none" w:pos="767" w:val="left"/>
        </w:tabs>
        <w:numPr>
          <w:ilvl w:val="0"/>
          <w:numId w:val="413"/>
        </w:numPr>
        <w:rPr>
          <w:rFonts w:ascii="Arial" w:cs="Arial" w:eastAsia="Arial" w:hAnsi="Arial"/>
          <w:sz w:val="21"/>
          <w:szCs w:val="21"/>
          <w:b w:val="1"/>
          <w:bCs w:val="1"/>
          <w:color w:val="auto"/>
        </w:rPr>
      </w:pPr>
      <w:r>
        <w:rPr>
          <w:rFonts w:ascii="Arial" w:cs="Arial" w:eastAsia="Arial" w:hAnsi="Arial"/>
          <w:sz w:val="21"/>
          <w:szCs w:val="21"/>
          <w:b w:val="1"/>
          <w:bCs w:val="1"/>
          <w:color w:val="auto"/>
        </w:rPr>
        <w:t>Term</w:t>
      </w:r>
      <w:r>
        <w:rPr>
          <w:rFonts w:ascii="Arial" w:cs="Arial" w:eastAsia="Arial" w:hAnsi="Arial"/>
          <w:sz w:val="21"/>
          <w:szCs w:val="21"/>
          <w:color w:val="auto"/>
        </w:rPr>
        <w:t>. The period of Executive’s employment under this Agreement shall commence on the Effective Date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until Executive’s employment with the Company is terminated pursuant to Section 5. The phrase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as used in this Agreement shall refer to the entire period of employment of Executive by the Company.</w:t>
      </w:r>
    </w:p>
    <w:p>
      <w:pPr>
        <w:spacing w:after="0" w:line="52" w:lineRule="exact"/>
        <w:rPr>
          <w:rFonts w:ascii="Arial" w:cs="Arial" w:eastAsia="Arial" w:hAnsi="Arial"/>
          <w:sz w:val="21"/>
          <w:szCs w:val="21"/>
          <w:b w:val="1"/>
          <w:bCs w:val="1"/>
          <w:color w:val="auto"/>
        </w:rPr>
      </w:pPr>
    </w:p>
    <w:p>
      <w:pPr>
        <w:ind w:left="760" w:hanging="213"/>
        <w:spacing w:after="0"/>
        <w:tabs>
          <w:tab w:leader="none" w:pos="760" w:val="left"/>
        </w:tabs>
        <w:numPr>
          <w:ilvl w:val="0"/>
          <w:numId w:val="413"/>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Related Matters</w:t>
      </w:r>
      <w:r>
        <w:rPr>
          <w:rFonts w:ascii="Arial" w:cs="Arial" w:eastAsia="Arial" w:hAnsi="Arial"/>
          <w:sz w:val="22"/>
          <w:szCs w:val="22"/>
          <w:color w:val="auto"/>
        </w:rPr>
        <w:t>.</w:t>
      </w:r>
    </w:p>
    <w:p>
      <w:pPr>
        <w:spacing w:after="0" w:line="104" w:lineRule="exact"/>
        <w:rPr>
          <w:rFonts w:ascii="Arial" w:cs="Arial" w:eastAsia="Arial" w:hAnsi="Arial"/>
          <w:sz w:val="22"/>
          <w:szCs w:val="22"/>
          <w:b w:val="1"/>
          <w:bCs w:val="1"/>
          <w:color w:val="auto"/>
        </w:rPr>
      </w:pPr>
    </w:p>
    <w:p>
      <w:pPr>
        <w:ind w:firstLine="1208"/>
        <w:spacing w:after="0" w:line="282" w:lineRule="auto"/>
        <w:tabs>
          <w:tab w:leader="none" w:pos="1517" w:val="left"/>
        </w:tabs>
        <w:numPr>
          <w:ilvl w:val="1"/>
          <w:numId w:val="413"/>
        </w:numPr>
        <w:rPr>
          <w:rFonts w:ascii="Arial" w:cs="Arial" w:eastAsia="Arial" w:hAnsi="Arial"/>
          <w:sz w:val="19"/>
          <w:szCs w:val="19"/>
          <w:b w:val="1"/>
          <w:bCs w:val="1"/>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During the Term, Executive shall receive a base salary at the rate of $390,000 per year (as may be increased from time to time, the “</w:t>
      </w:r>
      <w:r>
        <w:rPr>
          <w:rFonts w:ascii="Arial" w:cs="Arial" w:eastAsia="Arial" w:hAnsi="Arial"/>
          <w:sz w:val="19"/>
          <w:szCs w:val="19"/>
          <w:b w:val="1"/>
          <w:bCs w:val="1"/>
          <w:i w:val="1"/>
          <w:iCs w:val="1"/>
          <w:color w:val="auto"/>
        </w:rPr>
        <w:t>Annual Base Salary</w:t>
      </w:r>
      <w:r>
        <w:rPr>
          <w:rFonts w:ascii="Arial" w:cs="Arial" w:eastAsia="Arial" w:hAnsi="Arial"/>
          <w:sz w:val="19"/>
          <w:szCs w:val="19"/>
          <w:color w:val="auto"/>
        </w:rPr>
        <w:t>”), subject to withholdings and deductions, which shall be paid to Executive in accordance with the customary payroll practices and procedures of the Company and pro-rated for any partial employment with the Company during the calendar year. Such Annual Base Salary shall be reviewed by the CEO, and, as applicable,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and/or a committee thereof, not less than annually.</w:t>
      </w:r>
    </w:p>
    <w:p>
      <w:pPr>
        <w:spacing w:after="0" w:line="39" w:lineRule="exact"/>
        <w:rPr>
          <w:rFonts w:ascii="Arial" w:cs="Arial" w:eastAsia="Arial" w:hAnsi="Arial"/>
          <w:sz w:val="19"/>
          <w:szCs w:val="19"/>
          <w:b w:val="1"/>
          <w:bCs w:val="1"/>
          <w:color w:val="auto"/>
        </w:rPr>
      </w:pPr>
    </w:p>
    <w:p>
      <w:pPr>
        <w:ind w:left="1520" w:hanging="312"/>
        <w:spacing w:after="0"/>
        <w:tabs>
          <w:tab w:leader="none" w:pos="1520" w:val="left"/>
        </w:tabs>
        <w:numPr>
          <w:ilvl w:val="1"/>
          <w:numId w:val="413"/>
        </w:numPr>
        <w:rPr>
          <w:rFonts w:ascii="Arial" w:cs="Arial" w:eastAsia="Arial" w:hAnsi="Arial"/>
          <w:sz w:val="22"/>
          <w:szCs w:val="22"/>
          <w:b w:val="1"/>
          <w:bCs w:val="1"/>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w:t>
      </w:r>
    </w:p>
    <w:p>
      <w:pPr>
        <w:spacing w:after="0" w:line="98" w:lineRule="exact"/>
        <w:rPr>
          <w:rFonts w:ascii="Arial" w:cs="Arial" w:eastAsia="Arial" w:hAnsi="Arial"/>
          <w:sz w:val="22"/>
          <w:szCs w:val="22"/>
          <w:b w:val="1"/>
          <w:bCs w:val="1"/>
          <w:color w:val="auto"/>
        </w:rPr>
      </w:pPr>
    </w:p>
    <w:p>
      <w:pPr>
        <w:ind w:right="100" w:firstLine="1758"/>
        <w:spacing w:after="0" w:line="279" w:lineRule="auto"/>
        <w:tabs>
          <w:tab w:leader="none" w:pos="2020" w:val="left"/>
        </w:tabs>
        <w:numPr>
          <w:ilvl w:val="2"/>
          <w:numId w:val="413"/>
        </w:numPr>
        <w:rPr>
          <w:rFonts w:ascii="Arial" w:cs="Arial" w:eastAsia="Arial" w:hAnsi="Arial"/>
          <w:sz w:val="19"/>
          <w:szCs w:val="19"/>
          <w:b w:val="1"/>
          <w:bCs w:val="1"/>
          <w:color w:val="auto"/>
        </w:rPr>
      </w:pPr>
      <w:r>
        <w:rPr>
          <w:rFonts w:ascii="Arial" w:cs="Arial" w:eastAsia="Arial" w:hAnsi="Arial"/>
          <w:sz w:val="19"/>
          <w:szCs w:val="19"/>
          <w:color w:val="auto"/>
        </w:rPr>
        <w:t>Executive shall be eligible to receive a discretionary annual bonus commencing for performance in fiscal year 2021 based on Executive’s achievement of performance objectives established by the Board, a committee thereof and/or the CEO, such bonus to be targeted at 40% of Executive’s Annual Base Salary (the “</w:t>
      </w:r>
      <w:r>
        <w:rPr>
          <w:rFonts w:ascii="Arial" w:cs="Arial" w:eastAsia="Arial" w:hAnsi="Arial"/>
          <w:sz w:val="19"/>
          <w:szCs w:val="19"/>
          <w:b w:val="1"/>
          <w:bCs w:val="1"/>
          <w:i w:val="1"/>
          <w:iCs w:val="1"/>
          <w:color w:val="auto"/>
        </w:rPr>
        <w:t>Annual Bonus</w:t>
      </w:r>
      <w:r>
        <w:rPr>
          <w:rFonts w:ascii="Arial" w:cs="Arial" w:eastAsia="Arial" w:hAnsi="Arial"/>
          <w:sz w:val="19"/>
          <w:szCs w:val="19"/>
          <w:b w:val="1"/>
          <w:bCs w:val="1"/>
          <w:color w:val="auto"/>
        </w:rPr>
        <w:t>”)</w:t>
      </w:r>
      <w:r>
        <w:rPr>
          <w:rFonts w:ascii="Arial" w:cs="Arial" w:eastAsia="Arial" w:hAnsi="Arial"/>
          <w:sz w:val="19"/>
          <w:szCs w:val="19"/>
          <w:color w:val="auto"/>
        </w:rPr>
        <w:t>. Any Annual Bonus approved by the Board, a committee thereof and/or the CEO shall be paid at the same time annual bonuses are paid to other executives of the Company generally, subject to Executive’s continuous employment through the date of payment (and Executive not having given notice of intent to terminate Executive’s employment with the Company).</w:t>
      </w:r>
    </w:p>
    <w:p>
      <w:pPr>
        <w:spacing w:after="0" w:line="42" w:lineRule="exact"/>
        <w:rPr>
          <w:rFonts w:ascii="Arial" w:cs="Arial" w:eastAsia="Arial" w:hAnsi="Arial"/>
          <w:sz w:val="19"/>
          <w:szCs w:val="19"/>
          <w:b w:val="1"/>
          <w:bCs w:val="1"/>
          <w:color w:val="auto"/>
        </w:rPr>
      </w:pPr>
    </w:p>
    <w:p>
      <w:pPr>
        <w:ind w:right="40" w:firstLine="1758"/>
        <w:spacing w:after="0" w:line="277" w:lineRule="auto"/>
        <w:tabs>
          <w:tab w:leader="none" w:pos="2080" w:val="left"/>
        </w:tabs>
        <w:numPr>
          <w:ilvl w:val="2"/>
          <w:numId w:val="413"/>
        </w:numPr>
        <w:rPr>
          <w:rFonts w:ascii="Arial" w:cs="Arial" w:eastAsia="Arial" w:hAnsi="Arial"/>
          <w:sz w:val="19"/>
          <w:szCs w:val="19"/>
          <w:b w:val="1"/>
          <w:bCs w:val="1"/>
          <w:color w:val="auto"/>
        </w:rPr>
      </w:pPr>
      <w:r>
        <w:rPr>
          <w:rFonts w:ascii="Arial" w:cs="Arial" w:eastAsia="Arial" w:hAnsi="Arial"/>
          <w:sz w:val="19"/>
          <w:szCs w:val="19"/>
          <w:color w:val="auto"/>
        </w:rPr>
        <w:t>In lieu of an Annual Bonus for 2020 performance pursuant to Section 2(b)(i) above, Executive shall receive a one-time bonus of $90,000 (the “</w:t>
      </w:r>
      <w:r>
        <w:rPr>
          <w:rFonts w:ascii="Arial" w:cs="Arial" w:eastAsia="Arial" w:hAnsi="Arial"/>
          <w:sz w:val="19"/>
          <w:szCs w:val="19"/>
          <w:b w:val="1"/>
          <w:bCs w:val="1"/>
          <w:i w:val="1"/>
          <w:iCs w:val="1"/>
          <w:color w:val="auto"/>
        </w:rPr>
        <w:t>2020 Bonus</w:t>
      </w:r>
      <w:r>
        <w:rPr>
          <w:rFonts w:ascii="Arial" w:cs="Arial" w:eastAsia="Arial" w:hAnsi="Arial"/>
          <w:sz w:val="19"/>
          <w:szCs w:val="19"/>
          <w:color w:val="auto"/>
        </w:rPr>
        <w:t>”), which shall be payable in a lump sum, less applicable withholdings and deductions when annual bonuses for 2020 are paid to other employees of the Company (but in no case later than 60 days following the conclusion of the 2020 fiscal year), subject to Executive’s continued employment with the Company through such date. If Executive is terminated by the Company with Cause (as defined below) or Executive resigns from the Company other than for Good Reason (as defined below), in either case, prior to the first anniversary of the Effective Date, Executive shall repay to the Company the full gross amount of the 2020 Bonus. The Company may (but is not required) to</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880"/>
          </w:cols>
          <w:pgMar w:left="440" w:top="266" w:right="579" w:bottom="1440" w:gutter="0" w:footer="0" w:header="0"/>
        </w:sectPr>
      </w:pPr>
    </w:p>
    <w:bookmarkStart w:id="407" w:name="page408"/>
    <w:bookmarkEnd w:id="407"/>
    <w:p>
      <w:pPr>
        <w:ind w:right="160"/>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 the applicable repayment amount from any final pay, on an after-tax basis, that may be owed to Executive upon the termination of Executive’s employment in the event Executive is responsible for such repayment.</w:t>
      </w:r>
    </w:p>
    <w:p>
      <w:pPr>
        <w:spacing w:after="0" w:line="43" w:lineRule="exact"/>
        <w:rPr>
          <w:sz w:val="20"/>
          <w:szCs w:val="20"/>
          <w:color w:val="auto"/>
        </w:rPr>
      </w:pPr>
    </w:p>
    <w:p>
      <w:pPr>
        <w:ind w:firstLine="1208"/>
        <w:spacing w:after="0" w:line="274" w:lineRule="auto"/>
        <w:tabs>
          <w:tab w:leader="none" w:pos="1505" w:val="left"/>
        </w:tabs>
        <w:numPr>
          <w:ilvl w:val="1"/>
          <w:numId w:val="414"/>
        </w:numPr>
        <w:rPr>
          <w:rFonts w:ascii="Arial" w:cs="Arial" w:eastAsia="Arial" w:hAnsi="Arial"/>
          <w:sz w:val="19"/>
          <w:szCs w:val="19"/>
          <w:b w:val="1"/>
          <w:bCs w:val="1"/>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Executive shall be entitled to receive a one-time sign on bonus of $150,000 (the “</w:t>
      </w:r>
      <w:r>
        <w:rPr>
          <w:rFonts w:ascii="Arial" w:cs="Arial" w:eastAsia="Arial" w:hAnsi="Arial"/>
          <w:sz w:val="19"/>
          <w:szCs w:val="19"/>
          <w:b w:val="1"/>
          <w:bCs w:val="1"/>
          <w:i w:val="1"/>
          <w:iCs w:val="1"/>
          <w:color w:val="auto"/>
        </w:rPr>
        <w:t>Sign-On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which shall be payable in a lump sum, less applicable withholdings and deductions, within five days of the Effective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 If Executive is terminated by the Company with Cause or Executive resigns from the Company other than for Good Reason, in either case, prior to the first anniversary of the Effective Date, Executive shall repay to the Company the full gross amount of the Sign-On Bonus, and if Executive is terminated by the Company with Cause or Executive resigns from the Company other than for Good Reason, in either case, on or following the first anniversary of the Effective Date and before the second anniversary of the Effective Date, Executive shall repay to the Company 50% of the full gross amount of the Sign-On Bonus. The Company may (but is not required) to withhold the applicable repayment amount from any final pay, on an after-tax basis, that may be owed to Executive upon the termination of Executive’s employment in the event Executive is responsible for such repayment.</w:t>
      </w:r>
    </w:p>
    <w:p>
      <w:pPr>
        <w:spacing w:after="0" w:line="293" w:lineRule="exact"/>
        <w:rPr>
          <w:rFonts w:ascii="Arial" w:cs="Arial" w:eastAsia="Arial" w:hAnsi="Arial"/>
          <w:sz w:val="19"/>
          <w:szCs w:val="19"/>
          <w:b w:val="1"/>
          <w:bCs w:val="1"/>
          <w:color w:val="auto"/>
        </w:rPr>
      </w:pPr>
    </w:p>
    <w:p>
      <w:pPr>
        <w:ind w:right="20" w:firstLine="1208"/>
        <w:spacing w:after="0" w:line="282" w:lineRule="auto"/>
        <w:tabs>
          <w:tab w:leader="none" w:pos="1530" w:val="left"/>
        </w:tabs>
        <w:numPr>
          <w:ilvl w:val="1"/>
          <w:numId w:val="414"/>
        </w:numPr>
        <w:rPr>
          <w:rFonts w:ascii="Arial" w:cs="Arial" w:eastAsia="Arial" w:hAnsi="Arial"/>
          <w:sz w:val="19"/>
          <w:szCs w:val="19"/>
          <w:b w:val="1"/>
          <w:bCs w:val="1"/>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 Executive shall also be entitled with respect to any acts or failures to act during her employment to liability insurance coverage on the same basis as other managers and officers of the Company.</w:t>
      </w:r>
    </w:p>
    <w:p>
      <w:pPr>
        <w:spacing w:after="0" w:line="39" w:lineRule="exact"/>
        <w:rPr>
          <w:rFonts w:ascii="Arial" w:cs="Arial" w:eastAsia="Arial" w:hAnsi="Arial"/>
          <w:sz w:val="19"/>
          <w:szCs w:val="19"/>
          <w:b w:val="1"/>
          <w:bCs w:val="1"/>
          <w:color w:val="auto"/>
        </w:rPr>
      </w:pPr>
    </w:p>
    <w:p>
      <w:pPr>
        <w:ind w:right="80" w:firstLine="1208"/>
        <w:spacing w:after="0" w:line="235" w:lineRule="auto"/>
        <w:tabs>
          <w:tab w:leader="none" w:pos="1505" w:val="left"/>
        </w:tabs>
        <w:numPr>
          <w:ilvl w:val="1"/>
          <w:numId w:val="414"/>
        </w:numPr>
        <w:rPr>
          <w:rFonts w:ascii="Arial" w:cs="Arial" w:eastAsia="Arial" w:hAnsi="Arial"/>
          <w:sz w:val="22"/>
          <w:szCs w:val="22"/>
          <w:b w:val="1"/>
          <w:bCs w:val="1"/>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Executive shall also be reimbursed any legal expenses associated with the review of the terms and conditions of her employment by the Company in an amount not to exceed $2,500 following the submission to the Company of appropriate documentation.</w:t>
      </w:r>
    </w:p>
    <w:p>
      <w:pPr>
        <w:spacing w:after="0" w:line="79" w:lineRule="exact"/>
        <w:rPr>
          <w:rFonts w:ascii="Arial" w:cs="Arial" w:eastAsia="Arial" w:hAnsi="Arial"/>
          <w:sz w:val="22"/>
          <w:szCs w:val="22"/>
          <w:b w:val="1"/>
          <w:bCs w:val="1"/>
          <w:color w:val="auto"/>
        </w:rPr>
      </w:pPr>
    </w:p>
    <w:p>
      <w:pPr>
        <w:ind w:right="20" w:firstLine="1208"/>
        <w:spacing w:after="0" w:line="250" w:lineRule="auto"/>
        <w:tabs>
          <w:tab w:leader="none" w:pos="1481" w:val="left"/>
        </w:tabs>
        <w:numPr>
          <w:ilvl w:val="1"/>
          <w:numId w:val="414"/>
        </w:numPr>
        <w:rPr>
          <w:rFonts w:ascii="Arial" w:cs="Arial" w:eastAsia="Arial" w:hAnsi="Arial"/>
          <w:sz w:val="22"/>
          <w:szCs w:val="22"/>
          <w:b w:val="1"/>
          <w:bCs w:val="1"/>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will be entitled to paid vacation in accordance with the Company’s vacation policy, as in effect from time to time.</w:t>
      </w:r>
    </w:p>
    <w:p>
      <w:pPr>
        <w:spacing w:after="0" w:line="60" w:lineRule="exact"/>
        <w:rPr>
          <w:rFonts w:ascii="Arial" w:cs="Arial" w:eastAsia="Arial" w:hAnsi="Arial"/>
          <w:sz w:val="22"/>
          <w:szCs w:val="22"/>
          <w:b w:val="1"/>
          <w:bCs w:val="1"/>
          <w:color w:val="auto"/>
        </w:rPr>
      </w:pPr>
    </w:p>
    <w:p>
      <w:pPr>
        <w:ind w:right="20" w:firstLine="547"/>
        <w:spacing w:after="0" w:line="276" w:lineRule="auto"/>
        <w:tabs>
          <w:tab w:leader="none" w:pos="767" w:val="left"/>
        </w:tabs>
        <w:numPr>
          <w:ilvl w:val="0"/>
          <w:numId w:val="4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Equity Awards. </w:t>
      </w:r>
      <w:r>
        <w:rPr>
          <w:rFonts w:ascii="Arial" w:cs="Arial" w:eastAsia="Arial" w:hAnsi="Arial"/>
          <w:sz w:val="19"/>
          <w:szCs w:val="19"/>
          <w:color w:val="auto"/>
        </w:rPr>
        <w:t>Subject to approval by the Board at the next meeting of the Board following the Effective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grant to Executive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200,000 American Depositary Shares (“</w:t>
      </w:r>
      <w:r>
        <w:rPr>
          <w:rFonts w:ascii="Arial" w:cs="Arial" w:eastAsia="Arial" w:hAnsi="Arial"/>
          <w:sz w:val="19"/>
          <w:szCs w:val="19"/>
          <w:b w:val="1"/>
          <w:bCs w:val="1"/>
          <w:i w:val="1"/>
          <w:iCs w:val="1"/>
          <w:color w:val="auto"/>
        </w:rPr>
        <w:t>ADSs</w:t>
      </w:r>
      <w:r>
        <w:rPr>
          <w:rFonts w:ascii="Arial" w:cs="Arial" w:eastAsia="Arial" w:hAnsi="Arial"/>
          <w:sz w:val="19"/>
          <w:szCs w:val="19"/>
          <w:color w:val="auto"/>
        </w:rPr>
        <w:t>”) of the Company at an exercise price per share equal to the closing price per share of the ADSs on the date immediately before the date of grant, or if such date is not a trading day, on the most recent trading day before such date. The Option will vest as to 1/4</w:t>
      </w:r>
      <w:r>
        <w:rPr>
          <w:rFonts w:ascii="Arial" w:cs="Arial" w:eastAsia="Arial" w:hAnsi="Arial"/>
          <w:sz w:val="16"/>
          <w:szCs w:val="16"/>
          <w:color w:val="auto"/>
        </w:rPr>
        <w:t>th</w:t>
      </w:r>
      <w:r>
        <w:rPr>
          <w:rFonts w:ascii="Arial" w:cs="Arial" w:eastAsia="Arial" w:hAnsi="Arial"/>
          <w:sz w:val="19"/>
          <w:szCs w:val="19"/>
          <w:color w:val="auto"/>
        </w:rPr>
        <w:t xml:space="preserve"> of the ADSs subject to the Option on the first anniversary of the grant (the </w:t>
      </w:r>
      <w:r>
        <w:rPr>
          <w:rFonts w:ascii="Arial" w:cs="Arial" w:eastAsia="Arial" w:hAnsi="Arial"/>
          <w:sz w:val="19"/>
          <w:szCs w:val="19"/>
          <w:b w:val="1"/>
          <w:bCs w:val="1"/>
          <w:i w:val="1"/>
          <w:iCs w:val="1"/>
          <w:color w:val="auto"/>
        </w:rPr>
        <w:t>“First Year Anniversary</w:t>
      </w:r>
      <w:r>
        <w:rPr>
          <w:rFonts w:ascii="Arial" w:cs="Arial" w:eastAsia="Arial" w:hAnsi="Arial"/>
          <w:sz w:val="19"/>
          <w:szCs w:val="19"/>
          <w:color w:val="auto"/>
        </w:rPr>
        <w:t>”), and as to the remaining ADSs in equal monthly installments over the three year period following the First Year Anniversary, subject to Executive’s continued service to the Company or an affiliate thereof on each applicable vesting date. The Option is subject to the terms and conditions of the Company’s 2019 Equity Incentive Plan and an award</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20"/>
          </w:cols>
          <w:pgMar w:left="440" w:top="266" w:right="539" w:bottom="1440" w:gutter="0" w:footer="0" w:header="0"/>
        </w:sectPr>
      </w:pPr>
    </w:p>
    <w:bookmarkStart w:id="408" w:name="page409"/>
    <w:bookmarkEnd w:id="408"/>
    <w:p>
      <w:pPr>
        <w:ind w:left="4" w:right="100"/>
        <w:spacing w:after="0" w:line="32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to be entered into between Executive and the Company (collectively, the “</w:t>
      </w:r>
      <w:r>
        <w:rPr>
          <w:rFonts w:ascii="Arial" w:cs="Arial" w:eastAsia="Arial" w:hAnsi="Arial"/>
          <w:sz w:val="19"/>
          <w:szCs w:val="19"/>
          <w:b w:val="1"/>
          <w:bCs w:val="1"/>
          <w:i w:val="1"/>
          <w:iCs w:val="1"/>
          <w:color w:val="auto"/>
        </w:rPr>
        <w:t>Equity Documents</w:t>
      </w:r>
      <w:r>
        <w:rPr>
          <w:rFonts w:ascii="Arial" w:cs="Arial" w:eastAsia="Arial" w:hAnsi="Arial"/>
          <w:sz w:val="19"/>
          <w:szCs w:val="19"/>
          <w:color w:val="auto"/>
        </w:rPr>
        <w:t>”). Executive shall be eligible to receive future annual grants of equity awards as determined in the discretion of the Board.</w:t>
      </w:r>
    </w:p>
    <w:p>
      <w:pPr>
        <w:spacing w:after="0" w:line="2" w:lineRule="exact"/>
        <w:rPr>
          <w:sz w:val="20"/>
          <w:szCs w:val="20"/>
          <w:color w:val="auto"/>
        </w:rPr>
      </w:pPr>
    </w:p>
    <w:p>
      <w:pPr>
        <w:ind w:left="764" w:hanging="213"/>
        <w:spacing w:after="0"/>
        <w:tabs>
          <w:tab w:leader="none" w:pos="764" w:val="left"/>
        </w:tabs>
        <w:numPr>
          <w:ilvl w:val="1"/>
          <w:numId w:val="416"/>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04" w:lineRule="exact"/>
        <w:rPr>
          <w:rFonts w:ascii="Arial" w:cs="Arial" w:eastAsia="Arial" w:hAnsi="Arial"/>
          <w:sz w:val="22"/>
          <w:szCs w:val="22"/>
          <w:b w:val="1"/>
          <w:bCs w:val="1"/>
          <w:color w:val="auto"/>
        </w:rPr>
      </w:pPr>
    </w:p>
    <w:p>
      <w:pPr>
        <w:ind w:left="4" w:firstLine="1208"/>
        <w:spacing w:after="0" w:line="244" w:lineRule="auto"/>
        <w:tabs>
          <w:tab w:leader="none" w:pos="1521" w:val="left"/>
        </w:tabs>
        <w:numPr>
          <w:ilvl w:val="2"/>
          <w:numId w:val="416"/>
        </w:numPr>
        <w:rPr>
          <w:rFonts w:ascii="Arial" w:cs="Arial" w:eastAsia="Arial" w:hAnsi="Arial"/>
          <w:sz w:val="21"/>
          <w:szCs w:val="21"/>
          <w:b w:val="1"/>
          <w:bCs w:val="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reason, Executive shall not be entitled to any payments, benefits, award or compensation other than as provided in this Agreement or pursuant to applicable law.</w:t>
      </w:r>
    </w:p>
    <w:p>
      <w:pPr>
        <w:spacing w:after="0" w:line="80" w:lineRule="exact"/>
        <w:rPr>
          <w:rFonts w:ascii="Arial" w:cs="Arial" w:eastAsia="Arial" w:hAnsi="Arial"/>
          <w:sz w:val="21"/>
          <w:szCs w:val="21"/>
          <w:b w:val="1"/>
          <w:bCs w:val="1"/>
          <w:color w:val="auto"/>
        </w:rPr>
      </w:pPr>
    </w:p>
    <w:p>
      <w:pPr>
        <w:ind w:left="4" w:firstLine="1208"/>
        <w:spacing w:after="0" w:line="273" w:lineRule="auto"/>
        <w:tabs>
          <w:tab w:leader="none" w:pos="1534" w:val="left"/>
        </w:tabs>
        <w:numPr>
          <w:ilvl w:val="2"/>
          <w:numId w:val="416"/>
        </w:numPr>
        <w:rPr>
          <w:rFonts w:ascii="Arial" w:cs="Arial" w:eastAsia="Arial" w:hAnsi="Arial"/>
          <w:sz w:val="19"/>
          <w:szCs w:val="19"/>
          <w:b w:val="1"/>
          <w:bCs w:val="1"/>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During the Term, any termination of Executive’s employment by the Company or by Executive (other than by reason of death) shall be communicated by written notice (a “</w:t>
      </w:r>
      <w:r>
        <w:rPr>
          <w:rFonts w:ascii="Arial" w:cs="Arial" w:eastAsia="Arial" w:hAnsi="Arial"/>
          <w:sz w:val="19"/>
          <w:szCs w:val="19"/>
          <w:b w:val="1"/>
          <w:bCs w:val="1"/>
          <w:i w:val="1"/>
          <w:iCs w:val="1"/>
          <w:color w:val="auto"/>
        </w:rPr>
        <w:t>Notice of Termination</w:t>
      </w:r>
      <w:r>
        <w:rPr>
          <w:rFonts w:ascii="Arial" w:cs="Arial" w:eastAsia="Arial" w:hAnsi="Arial"/>
          <w:sz w:val="19"/>
          <w:szCs w:val="19"/>
          <w:color w:val="auto"/>
        </w:rPr>
        <w:t>”) from one Party hereto to the other Party hereto (i) indicating the specific termination provision in this Agreement relied upon, if any,</w:t>
      </w:r>
    </w:p>
    <w:p>
      <w:pPr>
        <w:spacing w:after="0" w:line="1" w:lineRule="exact"/>
        <w:rPr>
          <w:rFonts w:ascii="Arial" w:cs="Arial" w:eastAsia="Arial" w:hAnsi="Arial"/>
          <w:sz w:val="19"/>
          <w:szCs w:val="19"/>
          <w:b w:val="1"/>
          <w:bCs w:val="1"/>
          <w:color w:val="auto"/>
        </w:rPr>
      </w:pPr>
    </w:p>
    <w:p>
      <w:pPr>
        <w:ind w:left="4" w:right="220" w:hanging="4"/>
        <w:spacing w:after="0" w:line="245" w:lineRule="auto"/>
        <w:tabs>
          <w:tab w:leader="none" w:pos="322" w:val="left"/>
        </w:tabs>
        <w:numPr>
          <w:ilvl w:val="0"/>
          <w:numId w:val="417"/>
        </w:numPr>
        <w:rPr>
          <w:rFonts w:ascii="Arial" w:cs="Arial" w:eastAsia="Arial" w:hAnsi="Arial"/>
          <w:sz w:val="21"/>
          <w:szCs w:val="21"/>
          <w:color w:val="auto"/>
        </w:rPr>
      </w:pPr>
      <w:r>
        <w:rPr>
          <w:rFonts w:ascii="Arial" w:cs="Arial" w:eastAsia="Arial" w:hAnsi="Arial"/>
          <w:sz w:val="21"/>
          <w:szCs w:val="21"/>
          <w:color w:val="auto"/>
        </w:rPr>
        <w:t>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w:t>
      </w:r>
    </w:p>
    <w:p>
      <w:pPr>
        <w:spacing w:after="0" w:line="72" w:lineRule="exact"/>
        <w:rPr>
          <w:rFonts w:ascii="Arial" w:cs="Arial" w:eastAsia="Arial" w:hAnsi="Arial"/>
          <w:sz w:val="21"/>
          <w:szCs w:val="21"/>
          <w:color w:val="auto"/>
        </w:rPr>
      </w:pPr>
    </w:p>
    <w:p>
      <w:pPr>
        <w:ind w:left="4" w:right="520" w:firstLine="1208"/>
        <w:spacing w:after="0" w:line="274" w:lineRule="auto"/>
        <w:tabs>
          <w:tab w:leader="none" w:pos="1509" w:val="left"/>
        </w:tabs>
        <w:numPr>
          <w:ilvl w:val="2"/>
          <w:numId w:val="417"/>
        </w:numPr>
        <w:rPr>
          <w:rFonts w:ascii="Arial" w:cs="Arial" w:eastAsia="Arial" w:hAnsi="Arial"/>
          <w:sz w:val="21"/>
          <w:szCs w:val="21"/>
          <w:b w:val="1"/>
          <w:bCs w:val="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For purposes of this Agreement, “</w:t>
      </w:r>
      <w:r>
        <w:rPr>
          <w:rFonts w:ascii="Arial" w:cs="Arial" w:eastAsia="Arial" w:hAnsi="Arial"/>
          <w:sz w:val="21"/>
          <w:szCs w:val="21"/>
          <w:b w:val="1"/>
          <w:bCs w:val="1"/>
          <w:i w:val="1"/>
          <w:iCs w:val="1"/>
          <w:color w:val="auto"/>
        </w:rPr>
        <w:t>Date of Termination</w:t>
      </w:r>
      <w:r>
        <w:rPr>
          <w:rFonts w:ascii="Arial" w:cs="Arial" w:eastAsia="Arial" w:hAnsi="Arial"/>
          <w:sz w:val="21"/>
          <w:szCs w:val="21"/>
          <w:color w:val="auto"/>
        </w:rPr>
        <w:t>” shall mean the date of the termination of Executive’s employment with the Company specified in a Notice of Termination.</w:t>
      </w:r>
    </w:p>
    <w:p>
      <w:pPr>
        <w:spacing w:after="0" w:line="42" w:lineRule="exact"/>
        <w:rPr>
          <w:rFonts w:ascii="Arial" w:cs="Arial" w:eastAsia="Arial" w:hAnsi="Arial"/>
          <w:sz w:val="21"/>
          <w:szCs w:val="21"/>
          <w:b w:val="1"/>
          <w:bCs w:val="1"/>
          <w:color w:val="auto"/>
        </w:rPr>
      </w:pPr>
    </w:p>
    <w:p>
      <w:pPr>
        <w:ind w:left="4" w:right="240" w:firstLine="1208"/>
        <w:spacing w:after="0" w:line="238" w:lineRule="auto"/>
        <w:tabs>
          <w:tab w:leader="none" w:pos="1534" w:val="left"/>
        </w:tabs>
        <w:numPr>
          <w:ilvl w:val="2"/>
          <w:numId w:val="417"/>
        </w:numPr>
        <w:rPr>
          <w:rFonts w:ascii="Arial" w:cs="Arial" w:eastAsia="Arial" w:hAnsi="Arial"/>
          <w:sz w:val="22"/>
          <w:szCs w:val="22"/>
          <w:b w:val="1"/>
          <w:bCs w:val="1"/>
          <w:color w:val="auto"/>
        </w:rPr>
      </w:pPr>
      <w:r>
        <w:rPr>
          <w:rFonts w:ascii="Arial" w:cs="Arial" w:eastAsia="Arial" w:hAnsi="Arial"/>
          <w:sz w:val="22"/>
          <w:szCs w:val="22"/>
          <w:u w:val="single" w:color="auto"/>
          <w:color w:val="auto"/>
        </w:rPr>
        <w:t>Deemed Resignation</w:t>
      </w:r>
      <w:r>
        <w:rPr>
          <w:rFonts w:ascii="Arial" w:cs="Arial" w:eastAsia="Arial" w:hAnsi="Arial"/>
          <w:sz w:val="22"/>
          <w:szCs w:val="22"/>
          <w:color w:val="auto"/>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70" w:lineRule="exact"/>
        <w:rPr>
          <w:rFonts w:ascii="Arial" w:cs="Arial" w:eastAsia="Arial" w:hAnsi="Arial"/>
          <w:sz w:val="22"/>
          <w:szCs w:val="22"/>
          <w:b w:val="1"/>
          <w:bCs w:val="1"/>
          <w:color w:val="auto"/>
        </w:rPr>
      </w:pPr>
    </w:p>
    <w:p>
      <w:pPr>
        <w:ind w:left="764" w:hanging="213"/>
        <w:spacing w:after="0"/>
        <w:tabs>
          <w:tab w:leader="none" w:pos="764" w:val="left"/>
        </w:tabs>
        <w:numPr>
          <w:ilvl w:val="1"/>
          <w:numId w:val="417"/>
        </w:numPr>
        <w:rPr>
          <w:rFonts w:ascii="Arial" w:cs="Arial" w:eastAsia="Arial" w:hAnsi="Arial"/>
          <w:sz w:val="22"/>
          <w:szCs w:val="22"/>
          <w:b w:val="1"/>
          <w:bCs w:val="1"/>
          <w:color w:val="auto"/>
        </w:rPr>
      </w:pPr>
      <w:r>
        <w:rPr>
          <w:rFonts w:ascii="Arial" w:cs="Arial" w:eastAsia="Arial" w:hAnsi="Arial"/>
          <w:sz w:val="22"/>
          <w:szCs w:val="22"/>
          <w:b w:val="1"/>
          <w:bCs w:val="1"/>
          <w:color w:val="auto"/>
        </w:rPr>
        <w:t>Consequences of Termination</w:t>
      </w:r>
      <w:r>
        <w:rPr>
          <w:rFonts w:ascii="Arial" w:cs="Arial" w:eastAsia="Arial" w:hAnsi="Arial"/>
          <w:sz w:val="22"/>
          <w:szCs w:val="22"/>
          <w:color w:val="auto"/>
        </w:rPr>
        <w:t>.</w:t>
      </w:r>
    </w:p>
    <w:p>
      <w:pPr>
        <w:spacing w:after="0" w:line="104" w:lineRule="exact"/>
        <w:rPr>
          <w:rFonts w:ascii="Arial" w:cs="Arial" w:eastAsia="Arial" w:hAnsi="Arial"/>
          <w:sz w:val="22"/>
          <w:szCs w:val="22"/>
          <w:b w:val="1"/>
          <w:bCs w:val="1"/>
          <w:color w:val="auto"/>
        </w:rPr>
      </w:pPr>
    </w:p>
    <w:p>
      <w:pPr>
        <w:jc w:val="both"/>
        <w:ind w:left="4" w:right="80" w:firstLine="1208"/>
        <w:spacing w:after="0" w:line="276" w:lineRule="auto"/>
        <w:tabs>
          <w:tab w:leader="none" w:pos="1521" w:val="left"/>
        </w:tabs>
        <w:numPr>
          <w:ilvl w:val="2"/>
          <w:numId w:val="418"/>
        </w:numPr>
        <w:rPr>
          <w:rFonts w:ascii="Arial" w:cs="Arial" w:eastAsia="Arial" w:hAnsi="Arial"/>
          <w:sz w:val="19"/>
          <w:szCs w:val="19"/>
          <w:b w:val="1"/>
          <w:bCs w:val="1"/>
          <w:color w:val="auto"/>
        </w:rPr>
      </w:pPr>
      <w:r>
        <w:rPr>
          <w:rFonts w:ascii="Arial" w:cs="Arial" w:eastAsia="Arial" w:hAnsi="Arial"/>
          <w:sz w:val="19"/>
          <w:szCs w:val="19"/>
          <w:u w:val="single" w:color="auto"/>
          <w:color w:val="auto"/>
        </w:rPr>
        <w:t>Payments of Accrued Obligations upon all Terminations of Employment</w:t>
      </w:r>
      <w:r>
        <w:rPr>
          <w:rFonts w:ascii="Arial" w:cs="Arial" w:eastAsia="Arial" w:hAnsi="Arial"/>
          <w:sz w:val="19"/>
          <w:szCs w:val="19"/>
          <w:color w:val="auto"/>
        </w:rPr>
        <w:t>. Upon a termination of Executive’s employment for any reason, Executive (or Executive’s estate or legal representative, as applicable) shall be entitled to receive:</w:t>
      </w:r>
    </w:p>
    <w:p>
      <w:pPr>
        <w:spacing w:after="0" w:line="1" w:lineRule="exact"/>
        <w:rPr>
          <w:rFonts w:ascii="Arial" w:cs="Arial" w:eastAsia="Arial" w:hAnsi="Arial"/>
          <w:sz w:val="19"/>
          <w:szCs w:val="19"/>
          <w:b w:val="1"/>
          <w:bCs w:val="1"/>
          <w:color w:val="auto"/>
        </w:rPr>
      </w:pPr>
    </w:p>
    <w:p>
      <w:pPr>
        <w:ind w:left="264" w:hanging="264"/>
        <w:spacing w:after="0"/>
        <w:tabs>
          <w:tab w:leader="none" w:pos="264" w:val="left"/>
        </w:tabs>
        <w:numPr>
          <w:ilvl w:val="0"/>
          <w:numId w:val="419"/>
        </w:numPr>
        <w:rPr>
          <w:rFonts w:ascii="Arial" w:cs="Arial" w:eastAsia="Arial" w:hAnsi="Arial"/>
          <w:sz w:val="22"/>
          <w:szCs w:val="22"/>
          <w:color w:val="auto"/>
        </w:rPr>
      </w:pPr>
      <w:r>
        <w:rPr>
          <w:rFonts w:ascii="Arial" w:cs="Arial" w:eastAsia="Arial" w:hAnsi="Arial"/>
          <w:sz w:val="22"/>
          <w:szCs w:val="22"/>
          <w:color w:val="auto"/>
        </w:rPr>
        <w:t>any portion of Executive’s</w:t>
      </w:r>
    </w:p>
    <w:p>
      <w:pPr>
        <w:spacing w:after="0" w:line="121"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84"/>
          </w:cols>
          <w:pgMar w:left="436" w:top="266" w:right="479" w:bottom="1440" w:gutter="0" w:footer="0" w:header="0"/>
        </w:sectPr>
      </w:pPr>
    </w:p>
    <w:bookmarkStart w:id="409" w:name="page410"/>
    <w:bookmarkEnd w:id="409"/>
    <w:p>
      <w:pPr>
        <w:ind w:right="20"/>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Base Salary earned through Executive’s Date of Termination not theretofore paid, (ii) any expenses owed to Executive under Section 3, (iii) any accrued but unused paid time-off owed to Executive, and (iv)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6(b) and (c), the payments and benefits described in this Section 6(a) shall be the only payments and benefits payable in the event of Executive’s termination of employment for any reason.</w:t>
      </w:r>
    </w:p>
    <w:p>
      <w:pPr>
        <w:spacing w:after="0" w:line="42" w:lineRule="exact"/>
        <w:rPr>
          <w:sz w:val="20"/>
          <w:szCs w:val="20"/>
          <w:color w:val="auto"/>
        </w:rPr>
      </w:pPr>
    </w:p>
    <w:p>
      <w:pPr>
        <w:ind w:right="20" w:firstLine="1208"/>
        <w:spacing w:after="0" w:line="246" w:lineRule="auto"/>
        <w:tabs>
          <w:tab w:leader="none" w:pos="1530" w:val="left"/>
        </w:tabs>
        <w:numPr>
          <w:ilvl w:val="0"/>
          <w:numId w:val="420"/>
        </w:numPr>
        <w:rPr>
          <w:rFonts w:ascii="Arial" w:cs="Arial" w:eastAsia="Arial" w:hAnsi="Arial"/>
          <w:sz w:val="21"/>
          <w:szCs w:val="21"/>
          <w:b w:val="1"/>
          <w:bCs w:val="1"/>
          <w:color w:val="auto"/>
        </w:rPr>
      </w:pPr>
      <w:r>
        <w:rPr>
          <w:rFonts w:ascii="Arial" w:cs="Arial" w:eastAsia="Arial" w:hAnsi="Arial"/>
          <w:sz w:val="21"/>
          <w:szCs w:val="21"/>
          <w:u w:val="single" w:color="auto"/>
          <w:color w:val="auto"/>
        </w:rPr>
        <w:t>Severance Payments upon Covered Termination Outside a Change in Control Period</w:t>
      </w:r>
      <w:r>
        <w:rPr>
          <w:rFonts w:ascii="Arial" w:cs="Arial" w:eastAsia="Arial" w:hAnsi="Arial"/>
          <w:sz w:val="21"/>
          <w:szCs w:val="21"/>
          <w:color w:val="auto"/>
        </w:rPr>
        <w:t xml:space="preserve">. If, during the Term, Executive experiences a Covered Termination outside of a Change in Control Period (each as defined below), then in addition to the payments and benefits described in Section 6(a), the Company shall, subject to Executive’s delivery to the Company of a waiver and release of claims agreement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(but updated to the extent deemed by the Company to be necessary to reflect any changes in applicable law)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that becomes effective and irrevocable in accordance with Section 10(d) and subject to Executive’s continued compliance with the Confidentiality Agreement (as defined below), provide Executive with the following:</w:t>
      </w:r>
    </w:p>
    <w:p>
      <w:pPr>
        <w:spacing w:after="0" w:line="76" w:lineRule="exact"/>
        <w:rPr>
          <w:rFonts w:ascii="Arial" w:cs="Arial" w:eastAsia="Arial" w:hAnsi="Arial"/>
          <w:sz w:val="21"/>
          <w:szCs w:val="21"/>
          <w:b w:val="1"/>
          <w:bCs w:val="1"/>
          <w:color w:val="auto"/>
        </w:rPr>
      </w:pPr>
    </w:p>
    <w:p>
      <w:pPr>
        <w:ind w:left="1200" w:right="160" w:firstLine="498"/>
        <w:spacing w:after="0" w:line="234" w:lineRule="auto"/>
        <w:tabs>
          <w:tab w:leader="none" w:pos="1948" w:val="left"/>
        </w:tabs>
        <w:numPr>
          <w:ilvl w:val="1"/>
          <w:numId w:val="420"/>
        </w:numPr>
        <w:rPr>
          <w:rFonts w:ascii="Arial" w:cs="Arial" w:eastAsia="Arial" w:hAnsi="Arial"/>
          <w:sz w:val="22"/>
          <w:szCs w:val="22"/>
          <w:b w:val="1"/>
          <w:bCs w:val="1"/>
          <w:color w:val="auto"/>
        </w:rPr>
      </w:pPr>
      <w:r>
        <w:rPr>
          <w:rFonts w:ascii="Arial" w:cs="Arial" w:eastAsia="Arial" w:hAnsi="Arial"/>
          <w:sz w:val="22"/>
          <w:szCs w:val="22"/>
          <w:color w:val="auto"/>
        </w:rPr>
        <w:t>The Company shall continue to pay Executive the Annual Base Salary at the rate in effect immediately prior to the Date of Termination during the period of time commencing on the Date of Termination and ending on the six (6)-month anniversary thereof, payable in substantially equal installments in accordance with the Company’s standard payroll policies, less applicable withholdings, with such installments to commence on the first payroll date following the date the Release becomes effective and irrevocable and the first installment to include any amount that would have been paid had the Release been effective and irrevocable on the Date of Termination.</w:t>
      </w:r>
    </w:p>
    <w:p>
      <w:pPr>
        <w:spacing w:after="0" w:line="82" w:lineRule="exact"/>
        <w:rPr>
          <w:rFonts w:ascii="Arial" w:cs="Arial" w:eastAsia="Arial" w:hAnsi="Arial"/>
          <w:sz w:val="22"/>
          <w:szCs w:val="22"/>
          <w:b w:val="1"/>
          <w:bCs w:val="1"/>
          <w:color w:val="auto"/>
        </w:rPr>
      </w:pPr>
    </w:p>
    <w:p>
      <w:pPr>
        <w:ind w:left="1200" w:firstLine="498"/>
        <w:spacing w:after="0" w:line="270" w:lineRule="auto"/>
        <w:tabs>
          <w:tab w:leader="none" w:pos="2008" w:val="left"/>
        </w:tabs>
        <w:numPr>
          <w:ilvl w:val="1"/>
          <w:numId w:val="420"/>
        </w:numPr>
        <w:rPr>
          <w:rFonts w:ascii="Arial" w:cs="Arial" w:eastAsia="Arial" w:hAnsi="Arial"/>
          <w:sz w:val="19"/>
          <w:szCs w:val="19"/>
          <w:b w:val="1"/>
          <w:bCs w:val="1"/>
          <w:color w:val="auto"/>
        </w:rPr>
      </w:pPr>
      <w:r>
        <w:rPr>
          <w:rFonts w:ascii="Arial" w:cs="Arial" w:eastAsia="Arial" w:hAnsi="Arial"/>
          <w:sz w:val="19"/>
          <w:szCs w:val="19"/>
          <w:color w:val="auto"/>
        </w:rPr>
        <w:t>During the period commencing on the Date of Termination and ending on the six (6)-month anniversary thereof or, if earlier, the date on which Executive becomes eligible for comparable replacement coverage under a subsequent employer’s group health plan (in any case, the “</w:t>
      </w:r>
      <w:r>
        <w:rPr>
          <w:rFonts w:ascii="Arial" w:cs="Arial" w:eastAsia="Arial" w:hAnsi="Arial"/>
          <w:sz w:val="19"/>
          <w:szCs w:val="19"/>
          <w:b w:val="1"/>
          <w:bCs w:val="1"/>
          <w:i w:val="1"/>
          <w:iCs w:val="1"/>
          <w:color w:val="auto"/>
        </w:rPr>
        <w:t>Non-CIC COBRA Period</w:t>
      </w:r>
      <w:r>
        <w:rPr>
          <w:rFonts w:ascii="Arial" w:cs="Arial" w:eastAsia="Arial" w:hAnsi="Arial"/>
          <w:sz w:val="19"/>
          <w:szCs w:val="19"/>
          <w:color w:val="auto"/>
        </w:rPr>
        <w:t>”), subject to Executive’s valid election to continue healthcare coverage under Section 4980B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the regulations thereunder, the Company shall, in its sole discretion, either</w:t>
      </w:r>
    </w:p>
    <w:p>
      <w:pPr>
        <w:spacing w:after="0" w:line="4" w:lineRule="exact"/>
        <w:rPr>
          <w:rFonts w:ascii="Arial" w:cs="Arial" w:eastAsia="Arial" w:hAnsi="Arial"/>
          <w:sz w:val="19"/>
          <w:szCs w:val="19"/>
          <w:b w:val="1"/>
          <w:bCs w:val="1"/>
          <w:color w:val="auto"/>
        </w:rPr>
      </w:pPr>
    </w:p>
    <w:p>
      <w:pPr>
        <w:ind w:left="1200"/>
        <w:spacing w:after="0" w:line="230" w:lineRule="auto"/>
        <w:rPr>
          <w:rFonts w:ascii="Arial" w:cs="Arial" w:eastAsia="Arial" w:hAnsi="Arial"/>
          <w:sz w:val="19"/>
          <w:szCs w:val="19"/>
          <w:b w:val="1"/>
          <w:bCs w:val="1"/>
          <w:color w:val="auto"/>
        </w:rPr>
      </w:pPr>
      <w:r>
        <w:rPr>
          <w:rFonts w:ascii="Arial" w:cs="Arial" w:eastAsia="Arial" w:hAnsi="Arial"/>
          <w:sz w:val="22"/>
          <w:szCs w:val="22"/>
          <w:color w:val="auto"/>
        </w:rPr>
        <w:t>(A) continue to provide to Executive and Executive’s dependents, at the Company’s sole expense, or</w:t>
      </w:r>
    </w:p>
    <w:p>
      <w:pPr>
        <w:ind w:left="1200" w:right="160"/>
        <w:spacing w:after="0" w:line="266" w:lineRule="auto"/>
        <w:rPr>
          <w:rFonts w:ascii="Arial" w:cs="Arial" w:eastAsia="Arial" w:hAnsi="Arial"/>
          <w:sz w:val="19"/>
          <w:szCs w:val="19"/>
          <w:b w:val="1"/>
          <w:bCs w:val="1"/>
          <w:color w:val="auto"/>
        </w:rPr>
      </w:pPr>
      <w:r>
        <w:rPr>
          <w:rFonts w:ascii="Arial" w:cs="Arial" w:eastAsia="Arial" w:hAnsi="Arial"/>
          <w:sz w:val="19"/>
          <w:szCs w:val="19"/>
          <w:color w:val="auto"/>
        </w:rPr>
        <w:t xml:space="preserve">(B) reimburse Executive and Executive’s dependents for coverage under its group health plan (if any) at the same levels in effect on the Date of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w:t>
      </w:r>
    </w:p>
    <w:p>
      <w:pPr>
        <w:spacing w:after="0" w:line="4" w:lineRule="exact"/>
        <w:rPr>
          <w:rFonts w:ascii="Arial" w:cs="Arial" w:eastAsia="Arial" w:hAnsi="Arial"/>
          <w:sz w:val="19"/>
          <w:szCs w:val="19"/>
          <w:b w:val="1"/>
          <w:bCs w:val="1"/>
          <w:color w:val="auto"/>
        </w:rPr>
      </w:pPr>
    </w:p>
    <w:p>
      <w:pPr>
        <w:ind w:left="1200" w:right="520"/>
        <w:spacing w:after="0" w:line="233" w:lineRule="auto"/>
        <w:rPr>
          <w:rFonts w:ascii="Arial" w:cs="Arial" w:eastAsia="Arial" w:hAnsi="Arial"/>
          <w:sz w:val="19"/>
          <w:szCs w:val="19"/>
          <w:b w:val="1"/>
          <w:bCs w:val="1"/>
          <w:color w:val="auto"/>
        </w:rPr>
      </w:pPr>
      <w:r>
        <w:rPr>
          <w:rFonts w:ascii="Arial" w:cs="Arial" w:eastAsia="Arial" w:hAnsi="Arial"/>
          <w:sz w:val="22"/>
          <w:szCs w:val="22"/>
          <w:color w:val="auto"/>
        </w:rPr>
        <w:t>(3)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00"/>
          </w:cols>
          <w:pgMar w:left="440" w:top="266" w:right="459" w:bottom="1440" w:gutter="0" w:footer="0" w:header="0"/>
        </w:sectPr>
      </w:pPr>
    </w:p>
    <w:bookmarkStart w:id="410" w:name="page411"/>
    <w:bookmarkEnd w:id="410"/>
    <w:p>
      <w:pPr>
        <w:ind w:right="200" w:firstLine="547"/>
        <w:spacing w:after="0" w:line="282" w:lineRule="auto"/>
        <w:tabs>
          <w:tab w:leader="none" w:pos="844" w:val="left"/>
        </w:tabs>
        <w:numPr>
          <w:ilvl w:val="0"/>
          <w:numId w:val="421"/>
        </w:numPr>
        <w:rPr>
          <w:rFonts w:ascii="Arial" w:cs="Arial" w:eastAsia="Arial" w:hAnsi="Arial"/>
          <w:sz w:val="19"/>
          <w:szCs w:val="19"/>
          <w:b w:val="1"/>
          <w:bCs w:val="1"/>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 Payments upon Covered Termination During a Change in Control Period</w:t>
      </w:r>
      <w:r>
        <w:rPr>
          <w:rFonts w:ascii="Arial" w:cs="Arial" w:eastAsia="Arial" w:hAnsi="Arial"/>
          <w:sz w:val="19"/>
          <w:szCs w:val="19"/>
          <w:color w:val="auto"/>
        </w:rPr>
        <w:t>. If, during the Term, Executive experiences a Covered Termination during a Change in Control Period, then, in addition to the payments and benefits described in Section 6(a) (and in lieu of any payments and benefits set forth in Section 6(b)), the Company shall, subject to Executive’s delivery to the Company of the Release that becomes effective and irrevocable in accordance with Section 10(d) and subject to Executive’s continued compliance with the Confidentiality Agreement, provide Executive with the following:</w:t>
      </w:r>
    </w:p>
    <w:p>
      <w:pPr>
        <w:spacing w:after="0" w:line="39" w:lineRule="exact"/>
        <w:rPr>
          <w:rFonts w:ascii="Arial" w:cs="Arial" w:eastAsia="Arial" w:hAnsi="Arial"/>
          <w:sz w:val="19"/>
          <w:szCs w:val="19"/>
          <w:b w:val="1"/>
          <w:bCs w:val="1"/>
          <w:color w:val="auto"/>
        </w:rPr>
      </w:pPr>
    </w:p>
    <w:p>
      <w:pPr>
        <w:ind w:left="1320" w:hanging="250"/>
        <w:spacing w:after="0"/>
        <w:tabs>
          <w:tab w:leader="none" w:pos="1320" w:val="left"/>
        </w:tabs>
        <w:numPr>
          <w:ilvl w:val="1"/>
          <w:numId w:val="421"/>
        </w:numPr>
        <w:rPr>
          <w:rFonts w:ascii="Arial" w:cs="Arial" w:eastAsia="Arial" w:hAnsi="Arial"/>
          <w:sz w:val="21"/>
          <w:szCs w:val="21"/>
          <w:b w:val="1"/>
          <w:bCs w:val="1"/>
          <w:color w:val="auto"/>
        </w:rPr>
      </w:pPr>
      <w:r>
        <w:rPr>
          <w:rFonts w:ascii="Arial" w:cs="Arial" w:eastAsia="Arial" w:hAnsi="Arial"/>
          <w:sz w:val="21"/>
          <w:szCs w:val="21"/>
          <w:color w:val="auto"/>
        </w:rPr>
        <w:t>The Company shall pay to Executive an amount equal to Executive’s Annual Base Salary as in effect</w:t>
      </w:r>
    </w:p>
    <w:p>
      <w:pPr>
        <w:spacing w:after="0" w:line="19" w:lineRule="exact"/>
        <w:rPr>
          <w:rFonts w:ascii="Arial" w:cs="Arial" w:eastAsia="Arial" w:hAnsi="Arial"/>
          <w:sz w:val="21"/>
          <w:szCs w:val="21"/>
          <w:b w:val="1"/>
          <w:bCs w:val="1"/>
          <w:color w:val="auto"/>
        </w:rPr>
      </w:pPr>
    </w:p>
    <w:p>
      <w:pPr>
        <w:ind w:left="540" w:right="200"/>
        <w:spacing w:after="0" w:line="234" w:lineRule="auto"/>
        <w:rPr>
          <w:rFonts w:ascii="Arial" w:cs="Arial" w:eastAsia="Arial" w:hAnsi="Arial"/>
          <w:sz w:val="21"/>
          <w:szCs w:val="21"/>
          <w:b w:val="1"/>
          <w:bCs w:val="1"/>
          <w:color w:val="auto"/>
        </w:rPr>
      </w:pPr>
      <w:r>
        <w:rPr>
          <w:rFonts w:ascii="Arial" w:cs="Arial" w:eastAsia="Arial" w:hAnsi="Arial"/>
          <w:sz w:val="22"/>
          <w:szCs w:val="22"/>
          <w:color w:val="auto"/>
        </w:rPr>
        <w:t>immediately prior to the Date of Termination. Such amount will be subject to applicable withholdings and payable in a single lump sum cash payment on the first regular payroll date following the date the Release becomes effective and irrevocable in accordance with Section 10(d).</w:t>
      </w:r>
    </w:p>
    <w:p>
      <w:pPr>
        <w:spacing w:after="0" w:line="79" w:lineRule="exact"/>
        <w:rPr>
          <w:rFonts w:ascii="Arial" w:cs="Arial" w:eastAsia="Arial" w:hAnsi="Arial"/>
          <w:sz w:val="21"/>
          <w:szCs w:val="21"/>
          <w:b w:val="1"/>
          <w:bCs w:val="1"/>
          <w:color w:val="auto"/>
        </w:rPr>
      </w:pPr>
    </w:p>
    <w:p>
      <w:pPr>
        <w:ind w:left="540" w:right="100" w:firstLine="530"/>
        <w:spacing w:after="0" w:line="270" w:lineRule="auto"/>
        <w:tabs>
          <w:tab w:leader="none" w:pos="1381" w:val="left"/>
        </w:tabs>
        <w:numPr>
          <w:ilvl w:val="1"/>
          <w:numId w:val="421"/>
        </w:numPr>
        <w:rPr>
          <w:rFonts w:ascii="Arial" w:cs="Arial" w:eastAsia="Arial" w:hAnsi="Arial"/>
          <w:sz w:val="19"/>
          <w:szCs w:val="19"/>
          <w:b w:val="1"/>
          <w:bCs w:val="1"/>
          <w:color w:val="auto"/>
        </w:rPr>
      </w:pPr>
      <w:r>
        <w:rPr>
          <w:rFonts w:ascii="Arial" w:cs="Arial" w:eastAsia="Arial" w:hAnsi="Arial"/>
          <w:sz w:val="19"/>
          <w:szCs w:val="19"/>
          <w:color w:val="auto"/>
        </w:rPr>
        <w:t>During the period commencing on the Date of Termination and ending on the first anniversary thereof or, if earlier, the date on which Executive becomes eligible for comparable replacement coverage under a subsequent employer’s group health plan (in any case, the “</w:t>
      </w:r>
      <w:r>
        <w:rPr>
          <w:rFonts w:ascii="Arial" w:cs="Arial" w:eastAsia="Arial" w:hAnsi="Arial"/>
          <w:sz w:val="19"/>
          <w:szCs w:val="19"/>
          <w:b w:val="1"/>
          <w:bCs w:val="1"/>
          <w:i w:val="1"/>
          <w:iCs w:val="1"/>
          <w:color w:val="auto"/>
        </w:rPr>
        <w:t>CIC COBRA Period</w:t>
      </w:r>
      <w:r>
        <w:rPr>
          <w:rFonts w:ascii="Arial" w:cs="Arial" w:eastAsia="Arial" w:hAnsi="Arial"/>
          <w:sz w:val="19"/>
          <w:szCs w:val="19"/>
          <w:color w:val="auto"/>
        </w:rPr>
        <w:t>”), subject to Executive’s valid election to continue healthcare coverage under Section 4980B of the Code and the regulations thereunder, the Company shall, in its sole discretion, either (A) continue to provide to Executive and Executive’s dependents, at the Company’s sole expense, or</w:t>
      </w:r>
    </w:p>
    <w:p>
      <w:pPr>
        <w:spacing w:after="0" w:line="4" w:lineRule="exact"/>
        <w:rPr>
          <w:rFonts w:ascii="Arial" w:cs="Arial" w:eastAsia="Arial" w:hAnsi="Arial"/>
          <w:sz w:val="19"/>
          <w:szCs w:val="19"/>
          <w:b w:val="1"/>
          <w:bCs w:val="1"/>
          <w:color w:val="auto"/>
        </w:rPr>
      </w:pPr>
    </w:p>
    <w:p>
      <w:pPr>
        <w:ind w:left="540"/>
        <w:spacing w:after="0" w:line="272" w:lineRule="auto"/>
        <w:rPr>
          <w:rFonts w:ascii="Arial" w:cs="Arial" w:eastAsia="Arial" w:hAnsi="Arial"/>
          <w:sz w:val="19"/>
          <w:szCs w:val="19"/>
          <w:b w:val="1"/>
          <w:bCs w:val="1"/>
          <w:color w:val="auto"/>
        </w:rPr>
      </w:pPr>
      <w:r>
        <w:rPr>
          <w:rFonts w:ascii="Arial" w:cs="Arial" w:eastAsia="Arial" w:hAnsi="Arial"/>
          <w:sz w:val="19"/>
          <w:szCs w:val="19"/>
          <w:color w:val="auto"/>
        </w:rPr>
        <w:t xml:space="preserve">(B) reimburse Executive and Executive’s dependents for coverage under its group health plan (if any) at the same levels in effect on the Date of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spacing w:after="0" w:line="53" w:lineRule="exact"/>
        <w:rPr>
          <w:rFonts w:ascii="Arial" w:cs="Arial" w:eastAsia="Arial" w:hAnsi="Arial"/>
          <w:sz w:val="19"/>
          <w:szCs w:val="19"/>
          <w:b w:val="1"/>
          <w:bCs w:val="1"/>
          <w:color w:val="auto"/>
        </w:rPr>
      </w:pPr>
    </w:p>
    <w:p>
      <w:pPr>
        <w:ind w:left="540" w:right="60" w:firstLine="530"/>
        <w:spacing w:after="0" w:line="238" w:lineRule="auto"/>
        <w:tabs>
          <w:tab w:leader="none" w:pos="1441" w:val="left"/>
        </w:tabs>
        <w:numPr>
          <w:ilvl w:val="1"/>
          <w:numId w:val="421"/>
        </w:numPr>
        <w:rPr>
          <w:rFonts w:ascii="Arial" w:cs="Arial" w:eastAsia="Arial" w:hAnsi="Arial"/>
          <w:sz w:val="22"/>
          <w:szCs w:val="22"/>
          <w:b w:val="1"/>
          <w:bCs w:val="1"/>
          <w:color w:val="auto"/>
        </w:rPr>
      </w:pPr>
      <w:r>
        <w:rPr>
          <w:rFonts w:ascii="Arial" w:cs="Arial" w:eastAsia="Arial" w:hAnsi="Arial"/>
          <w:sz w:val="22"/>
          <w:szCs w:val="22"/>
          <w:color w:val="auto"/>
        </w:rPr>
        <w:t>Cause any unvested equity awards that vest solely based on the passage of time, including any stock options or restricted stock awards, held by Executive as of the Date of Termination, to become fully vested and, if applicable, exercisable, and cause all restrictions and rights of repurchase on such awards to lapse with respect to all of the ADSs or ordinary shares of the Company subject thereto.</w:t>
      </w:r>
    </w:p>
    <w:p>
      <w:pPr>
        <w:spacing w:after="0" w:line="76" w:lineRule="exact"/>
        <w:rPr>
          <w:rFonts w:ascii="Arial" w:cs="Arial" w:eastAsia="Arial" w:hAnsi="Arial"/>
          <w:sz w:val="22"/>
          <w:szCs w:val="22"/>
          <w:b w:val="1"/>
          <w:bCs w:val="1"/>
          <w:color w:val="auto"/>
        </w:rPr>
      </w:pPr>
    </w:p>
    <w:p>
      <w:pPr>
        <w:ind w:right="140" w:firstLine="547"/>
        <w:spacing w:after="0"/>
        <w:tabs>
          <w:tab w:leader="none" w:pos="869" w:val="left"/>
        </w:tabs>
        <w:numPr>
          <w:ilvl w:val="0"/>
          <w:numId w:val="421"/>
        </w:numPr>
        <w:rPr>
          <w:rFonts w:ascii="Arial" w:cs="Arial" w:eastAsia="Arial" w:hAnsi="Arial"/>
          <w:sz w:val="22"/>
          <w:szCs w:val="22"/>
          <w:b w:val="1"/>
          <w:bCs w:val="1"/>
          <w:color w:val="auto"/>
        </w:rPr>
      </w:pPr>
      <w:r>
        <w:rPr>
          <w:rFonts w:ascii="Arial" w:cs="Arial" w:eastAsia="Arial" w:hAnsi="Arial"/>
          <w:sz w:val="22"/>
          <w:szCs w:val="22"/>
          <w:u w:val="single" w:color="auto"/>
          <w:color w:val="auto"/>
        </w:rPr>
        <w:t>No Other Severance</w:t>
      </w:r>
      <w:r>
        <w:rPr>
          <w:rFonts w:ascii="Arial" w:cs="Arial" w:eastAsia="Arial" w:hAnsi="Arial"/>
          <w:sz w:val="22"/>
          <w:szCs w:val="22"/>
          <w:color w:val="auto"/>
        </w:rPr>
        <w:t>. Except as otherwise approved by the Board, the provisions of this Section 6 shall supersede in their entirety any severance payment provisions in any severance plan, policy, program, or other arrangement maintained by the Company.</w:t>
      </w:r>
    </w:p>
    <w:p>
      <w:pPr>
        <w:spacing w:after="0" w:line="78" w:lineRule="exact"/>
        <w:rPr>
          <w:rFonts w:ascii="Arial" w:cs="Arial" w:eastAsia="Arial" w:hAnsi="Arial"/>
          <w:sz w:val="22"/>
          <w:szCs w:val="22"/>
          <w:b w:val="1"/>
          <w:bCs w:val="1"/>
          <w:color w:val="auto"/>
        </w:rPr>
      </w:pPr>
    </w:p>
    <w:p>
      <w:pPr>
        <w:ind w:right="160" w:firstLine="547"/>
        <w:spacing w:after="0" w:line="297" w:lineRule="auto"/>
        <w:tabs>
          <w:tab w:leader="none" w:pos="844" w:val="left"/>
        </w:tabs>
        <w:numPr>
          <w:ilvl w:val="0"/>
          <w:numId w:val="421"/>
        </w:numPr>
        <w:rPr>
          <w:rFonts w:ascii="Arial" w:cs="Arial" w:eastAsia="Arial" w:hAnsi="Arial"/>
          <w:sz w:val="19"/>
          <w:szCs w:val="19"/>
          <w:b w:val="1"/>
          <w:bCs w:val="1"/>
          <w:color w:val="auto"/>
        </w:rPr>
      </w:pPr>
      <w:r>
        <w:rPr>
          <w:rFonts w:ascii="Arial" w:cs="Arial" w:eastAsia="Arial" w:hAnsi="Arial"/>
          <w:sz w:val="19"/>
          <w:szCs w:val="19"/>
          <w:u w:val="single" w:color="auto"/>
          <w:color w:val="auto"/>
        </w:rPr>
        <w:t>No Requirement to Mitigate; Survival</w:t>
      </w:r>
      <w:r>
        <w:rPr>
          <w:rFonts w:ascii="Arial" w:cs="Arial" w:eastAsia="Arial" w:hAnsi="Arial"/>
          <w:sz w:val="19"/>
          <w:szCs w:val="19"/>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00"/>
          </w:cols>
          <w:pgMar w:left="440" w:top="266" w:right="459" w:bottom="1440" w:gutter="0" w:footer="0" w:header="0"/>
        </w:sectPr>
      </w:pPr>
    </w:p>
    <w:bookmarkStart w:id="411" w:name="page412"/>
    <w:bookmarkEnd w:id="411"/>
    <w:p>
      <w:pPr>
        <w:ind w:left="-20" w:right="40" w:firstLine="547"/>
        <w:spacing w:after="0" w:line="270" w:lineRule="auto"/>
        <w:tabs>
          <w:tab w:leader="none" w:pos="801" w:val="left"/>
        </w:tabs>
        <w:numPr>
          <w:ilvl w:val="0"/>
          <w:numId w:val="422"/>
        </w:numPr>
        <w:rPr>
          <w:rFonts w:ascii="Arial" w:cs="Arial" w:eastAsia="Arial" w:hAnsi="Arial"/>
          <w:sz w:val="19"/>
          <w:szCs w:val="19"/>
          <w:b w:val="1"/>
          <w:bCs w:val="1"/>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 of Cause</w:t>
      </w:r>
      <w:r>
        <w:rPr>
          <w:rFonts w:ascii="Arial" w:cs="Arial" w:eastAsia="Arial" w:hAnsi="Arial"/>
          <w:sz w:val="19"/>
          <w:szCs w:val="19"/>
          <w:color w:val="auto"/>
        </w:rPr>
        <w:t>. For purposes hereof,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shall mean any one of the following: (i) Executive engaging in any act of theft or fraud concerning, or misappropriation of, funds or other assets of the Company or any of its affiliates, or other acts of dishonesty, willful misconduct or gross negligence involving the property or affairs of the Company or its affiliates; (ii) a conviction (by trial, upon a plea or otherwise) of Executive or the admission of guilt via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by Executive of any felony or misdemeanor involving moral turpitude; (iii) Executive’s willful violation of any material policy or procedure of the Company; (iv) Executive’s material breach of the fiduciary duties owed by an officer of the Company to the Company under applicable law; (v) Executive’s willful failure (other than due to mental or physical incapacity or other disability recognized under applicable law) or refusal to obey and execute all reasonable and lawful directions given by or under the authority of the Company; (vi) Executive’s willful and material breach of any of the terms and conditions of this Agreement; (vii) Executive’s willful and material breach of any restrictive covenants by which Executive is bound under this Agreement or any other agreement with the Company or any of its affiliates. Notwithstanding the foregoing, if there exists a circumstance that constitutes “Cause” as set forth above which is capable of being cured by Executive, the Company will promptly notify Executive in writing of such event (which notification shall specify in reasonable detail the conduct that the Company alleges to constitute Cause and the specific actions, if any, which the Company believes Executive must take to cure such events or conditions) and Executive will have 30 days from the date such written notice is given to cure such events (if curable), and, if cured, such events or conditions will be deemed not to constitute Cause hereunder. For the purposes of this definition, no act or failure to act on Executive’s part shall be considered “willful” unless it is done or omitted to be done by Executive in bad faith and without reasonable belief that the act or failure to act was in the best interest of the Company.</w:t>
      </w:r>
    </w:p>
    <w:p>
      <w:pPr>
        <w:spacing w:after="0" w:line="57" w:lineRule="exact"/>
        <w:rPr>
          <w:rFonts w:ascii="Arial" w:cs="Arial" w:eastAsia="Arial" w:hAnsi="Arial"/>
          <w:sz w:val="19"/>
          <w:szCs w:val="19"/>
          <w:b w:val="1"/>
          <w:bCs w:val="1"/>
          <w:color w:val="auto"/>
        </w:rPr>
      </w:pPr>
    </w:p>
    <w:p>
      <w:pPr>
        <w:ind w:left="-20" w:firstLine="547"/>
        <w:spacing w:after="0" w:line="271" w:lineRule="auto"/>
        <w:tabs>
          <w:tab w:leader="none" w:pos="837" w:val="left"/>
        </w:tabs>
        <w:numPr>
          <w:ilvl w:val="0"/>
          <w:numId w:val="422"/>
        </w:numPr>
        <w:rPr>
          <w:rFonts w:ascii="Arial" w:cs="Arial" w:eastAsia="Arial" w:hAnsi="Arial"/>
          <w:sz w:val="19"/>
          <w:szCs w:val="19"/>
          <w:b w:val="1"/>
          <w:bCs w:val="1"/>
          <w:color w:val="auto"/>
        </w:rPr>
      </w:pPr>
      <w:r>
        <w:rPr>
          <w:rFonts w:ascii="Arial" w:cs="Arial" w:eastAsia="Arial" w:hAnsi="Arial"/>
          <w:sz w:val="19"/>
          <w:szCs w:val="19"/>
          <w:u w:val="single" w:color="auto"/>
          <w:color w:val="auto"/>
        </w:rPr>
        <w:t>Definition of Change in Control</w:t>
      </w:r>
      <w:r>
        <w:rPr>
          <w:rFonts w:ascii="Arial" w:cs="Arial" w:eastAsia="Arial" w:hAnsi="Arial"/>
          <w:sz w:val="19"/>
          <w:szCs w:val="19"/>
          <w:color w:val="auto"/>
        </w:rPr>
        <w:t>. “</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(i) the acquisition by any person or group of affiliated or associated persons of more than fifty percent (50%) of the outstanding capital stock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 (iii) the consummation of any merger involving the Company in which, immediately after giving effect to such merger, less than a majority of the total voting power of outstanding stock of the surviving or resulting entity is then “beneficially owned” (within the meaning of Rule 13d-3 under the Securities Exchange Act of 1934, as amended)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 (B)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Notwithstanding the foregoing, if a Change in Control would give rise to a payment or settlement event that constitutes “nonqualified deferred compensation,” the transaction or event constituting the Change in Control must also constitute a “change in control event” (as defined in Treasury Regulation §1.409A-3(i)(5)) in order to give rise to the payment or settlement event, to the extent required by Section 409A.</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60"/>
          </w:cols>
          <w:pgMar w:left="460" w:top="266" w:right="479" w:bottom="1440" w:gutter="0" w:footer="0" w:header="0"/>
        </w:sectPr>
      </w:pPr>
    </w:p>
    <w:bookmarkStart w:id="412" w:name="page413"/>
    <w:bookmarkEnd w:id="412"/>
    <w:p>
      <w:pPr>
        <w:ind w:left="-20" w:right="320" w:firstLine="1208"/>
        <w:spacing w:after="0" w:line="274" w:lineRule="auto"/>
        <w:tabs>
          <w:tab w:leader="none" w:pos="1510" w:val="left"/>
        </w:tabs>
        <w:numPr>
          <w:ilvl w:val="1"/>
          <w:numId w:val="423"/>
        </w:numPr>
        <w:rPr>
          <w:rFonts w:ascii="Arial" w:cs="Arial" w:eastAsia="Arial" w:hAnsi="Arial"/>
          <w:sz w:val="21"/>
          <w:szCs w:val="21"/>
          <w:b w:val="1"/>
          <w:bCs w:val="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 of Change in Control Period</w:t>
      </w:r>
      <w:r>
        <w:rPr>
          <w:rFonts w:ascii="Arial" w:cs="Arial" w:eastAsia="Arial" w:hAnsi="Arial"/>
          <w:sz w:val="21"/>
          <w:szCs w:val="21"/>
          <w:color w:val="auto"/>
        </w:rPr>
        <w:t>. For purposes hereof, “</w:t>
      </w:r>
      <w:r>
        <w:rPr>
          <w:rFonts w:ascii="Arial" w:cs="Arial" w:eastAsia="Arial" w:hAnsi="Arial"/>
          <w:sz w:val="21"/>
          <w:szCs w:val="21"/>
          <w:b w:val="1"/>
          <w:bCs w:val="1"/>
          <w:i w:val="1"/>
          <w:iCs w:val="1"/>
          <w:color w:val="auto"/>
        </w:rPr>
        <w:t>Change in Control Period</w:t>
      </w:r>
      <w:r>
        <w:rPr>
          <w:rFonts w:ascii="Arial" w:cs="Arial" w:eastAsia="Arial" w:hAnsi="Arial"/>
          <w:sz w:val="21"/>
          <w:szCs w:val="21"/>
          <w:color w:val="auto"/>
        </w:rPr>
        <w:t>” shall mean the period commencing on a Change in Control and ending 12 months after such Change in Control.</w:t>
      </w:r>
    </w:p>
    <w:p>
      <w:pPr>
        <w:spacing w:after="0" w:line="42" w:lineRule="exact"/>
        <w:rPr>
          <w:rFonts w:ascii="Arial" w:cs="Arial" w:eastAsia="Arial" w:hAnsi="Arial"/>
          <w:sz w:val="21"/>
          <w:szCs w:val="21"/>
          <w:b w:val="1"/>
          <w:bCs w:val="1"/>
          <w:color w:val="auto"/>
        </w:rPr>
      </w:pPr>
    </w:p>
    <w:p>
      <w:pPr>
        <w:ind w:left="-20" w:right="140" w:firstLine="1208"/>
        <w:spacing w:after="0"/>
        <w:tabs>
          <w:tab w:leader="none" w:pos="1449" w:val="left"/>
        </w:tabs>
        <w:numPr>
          <w:ilvl w:val="1"/>
          <w:numId w:val="423"/>
        </w:numPr>
        <w:rPr>
          <w:rFonts w:ascii="Arial" w:cs="Arial" w:eastAsia="Arial" w:hAnsi="Arial"/>
          <w:sz w:val="22"/>
          <w:szCs w:val="22"/>
          <w:b w:val="1"/>
          <w:bCs w:val="1"/>
          <w:color w:val="auto"/>
        </w:rPr>
      </w:pPr>
      <w:r>
        <w:rPr>
          <w:rFonts w:ascii="Arial" w:cs="Arial" w:eastAsia="Arial" w:hAnsi="Arial"/>
          <w:sz w:val="22"/>
          <w:szCs w:val="22"/>
          <w:u w:val="single" w:color="auto"/>
          <w:color w:val="auto"/>
        </w:rPr>
        <w:t>Definition of Covered Termination</w:t>
      </w:r>
      <w:r>
        <w:rPr>
          <w:rFonts w:ascii="Arial" w:cs="Arial" w:eastAsia="Arial" w:hAnsi="Arial"/>
          <w:sz w:val="22"/>
          <w:szCs w:val="22"/>
          <w:color w:val="auto"/>
        </w:rPr>
        <w:t>. For purposes hereof, “</w:t>
      </w:r>
      <w:r>
        <w:rPr>
          <w:rFonts w:ascii="Arial" w:cs="Arial" w:eastAsia="Arial" w:hAnsi="Arial"/>
          <w:sz w:val="22"/>
          <w:szCs w:val="22"/>
          <w:b w:val="1"/>
          <w:bCs w:val="1"/>
          <w:i w:val="1"/>
          <w:iCs w:val="1"/>
          <w:color w:val="auto"/>
        </w:rPr>
        <w:t>Covered Termination</w:t>
      </w:r>
      <w:r>
        <w:rPr>
          <w:rFonts w:ascii="Arial" w:cs="Arial" w:eastAsia="Arial" w:hAnsi="Arial"/>
          <w:sz w:val="22"/>
          <w:szCs w:val="22"/>
          <w:color w:val="auto"/>
        </w:rPr>
        <w:t>” shall mean the termination of Executive’s employment by the Company without Cause or by Executive for Good Reason, and shall not include a termination due to Executive’s death or disability.</w:t>
      </w:r>
    </w:p>
    <w:p>
      <w:pPr>
        <w:spacing w:after="0" w:line="78" w:lineRule="exact"/>
        <w:rPr>
          <w:rFonts w:ascii="Arial" w:cs="Arial" w:eastAsia="Arial" w:hAnsi="Arial"/>
          <w:sz w:val="22"/>
          <w:szCs w:val="22"/>
          <w:b w:val="1"/>
          <w:bCs w:val="1"/>
          <w:color w:val="auto"/>
        </w:rPr>
      </w:pPr>
    </w:p>
    <w:p>
      <w:pPr>
        <w:ind w:left="-20" w:right="40" w:firstLine="1208"/>
        <w:spacing w:after="0" w:line="272" w:lineRule="auto"/>
        <w:tabs>
          <w:tab w:leader="none" w:pos="1461" w:val="left"/>
        </w:tabs>
        <w:numPr>
          <w:ilvl w:val="1"/>
          <w:numId w:val="423"/>
        </w:numPr>
        <w:rPr>
          <w:rFonts w:ascii="Arial" w:cs="Arial" w:eastAsia="Arial" w:hAnsi="Arial"/>
          <w:sz w:val="19"/>
          <w:szCs w:val="19"/>
          <w:b w:val="1"/>
          <w:bCs w:val="1"/>
          <w:color w:val="auto"/>
        </w:rPr>
      </w:pPr>
      <w:r>
        <w:rPr>
          <w:rFonts w:ascii="Arial" w:cs="Arial" w:eastAsia="Arial" w:hAnsi="Arial"/>
          <w:sz w:val="19"/>
          <w:szCs w:val="19"/>
          <w:u w:val="single" w:color="auto"/>
          <w:color w:val="auto"/>
        </w:rPr>
        <w:t>Definition of Good Reason</w:t>
      </w:r>
      <w:r>
        <w:rPr>
          <w:rFonts w:ascii="Arial" w:cs="Arial" w:eastAsia="Arial" w:hAnsi="Arial"/>
          <w:sz w:val="19"/>
          <w:szCs w:val="19"/>
          <w:color w:val="auto"/>
        </w:rPr>
        <w:t>. For purposes hereof,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Executive’s resignation from employment with the Company after the occurrence, without Executive’s written consent, of any of the following: (i) a material reduction in Executive’s authorities, duties and responsibilities; (ii) a material reduction by the Company in Executive’s Annual Base Salary from Executive’s Annual Base Salary in effect immediately prior to such reduction, except in connection with a reduction in salary affecting all senior management employees of the Company; or (iii) a relocation of Executive’s office that increases Executive’s one-way commute by more than thirty-five (35) miles, provided that if Executive’s office as of such relocation is Executive’s home office, such commute shall be measured from Executive’s home office as of the Effective Date, or a relocation of Executive’s office to a location outside of New Jersey or New York, except that required travel on the Company’s business to an extent substantially consistent with Executive’s historical business travel obligations shall not be considered a relocation. Notwithstanding the foregoing, a resignation shall not be for “Good Reason” unless the event or condition giving rise to such resignation continues more than thirty (30) days following Executive’s written notice of such condition provided to the Company within sixty (60) days of the first occurrence of such event or condition and such resignation is effective within thirty (30) days following the end of such notice period.</w:t>
      </w:r>
    </w:p>
    <w:p>
      <w:pPr>
        <w:spacing w:after="0" w:line="41" w:lineRule="exact"/>
        <w:rPr>
          <w:rFonts w:ascii="Arial" w:cs="Arial" w:eastAsia="Arial" w:hAnsi="Arial"/>
          <w:sz w:val="19"/>
          <w:szCs w:val="19"/>
          <w:b w:val="1"/>
          <w:bCs w:val="1"/>
          <w:color w:val="auto"/>
        </w:rPr>
      </w:pPr>
    </w:p>
    <w:p>
      <w:pPr>
        <w:ind w:left="-20" w:right="160" w:firstLine="547"/>
        <w:spacing w:after="0" w:line="280" w:lineRule="auto"/>
        <w:tabs>
          <w:tab w:leader="none" w:pos="735" w:val="left"/>
        </w:tabs>
        <w:numPr>
          <w:ilvl w:val="0"/>
          <w:numId w:val="424"/>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 and Successors</w:t>
      </w:r>
      <w:r>
        <w:rPr>
          <w:rFonts w:ascii="Arial" w:cs="Arial" w:eastAsia="Arial" w:hAnsi="Arial"/>
          <w:sz w:val="19"/>
          <w:szCs w:val="19"/>
          <w:color w:val="auto"/>
        </w:rPr>
        <w:t>. The Company shall assign its rights and obligations under this Agreement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36" w:lineRule="exact"/>
        <w:rPr>
          <w:rFonts w:ascii="Arial" w:cs="Arial" w:eastAsia="Arial" w:hAnsi="Arial"/>
          <w:sz w:val="19"/>
          <w:szCs w:val="19"/>
          <w:b w:val="1"/>
          <w:bCs w:val="1"/>
          <w:color w:val="auto"/>
        </w:rPr>
      </w:pPr>
    </w:p>
    <w:p>
      <w:pPr>
        <w:ind w:left="740" w:hanging="213"/>
        <w:spacing w:after="0"/>
        <w:tabs>
          <w:tab w:leader="none" w:pos="740" w:val="left"/>
        </w:tabs>
        <w:numPr>
          <w:ilvl w:val="0"/>
          <w:numId w:val="42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104" w:lineRule="exact"/>
        <w:rPr>
          <w:rFonts w:ascii="Arial" w:cs="Arial" w:eastAsia="Arial" w:hAnsi="Arial"/>
          <w:sz w:val="22"/>
          <w:szCs w:val="22"/>
          <w:b w:val="1"/>
          <w:bCs w:val="1"/>
          <w:color w:val="auto"/>
        </w:rPr>
      </w:pPr>
    </w:p>
    <w:p>
      <w:pPr>
        <w:ind w:left="-20" w:firstLine="1208"/>
        <w:spacing w:after="0" w:line="248" w:lineRule="auto"/>
        <w:tabs>
          <w:tab w:leader="none" w:pos="1497" w:val="left"/>
        </w:tabs>
        <w:numPr>
          <w:ilvl w:val="1"/>
          <w:numId w:val="424"/>
        </w:numPr>
        <w:rPr>
          <w:rFonts w:ascii="Arial" w:cs="Arial" w:eastAsia="Arial" w:hAnsi="Arial"/>
          <w:sz w:val="21"/>
          <w:szCs w:val="21"/>
          <w:b w:val="1"/>
          <w:bCs w:val="1"/>
          <w:color w:val="auto"/>
        </w:rPr>
      </w:pP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xml:space="preserve">. As a condition to the effectiveness of this Agreement, Executive will execute and deliver to the Company contemporaneously herewith the Employee Proprietary Information and Inventions Assignment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Confidentiality Agreement</w:t>
      </w:r>
      <w:r>
        <w:rPr>
          <w:rFonts w:ascii="Arial" w:cs="Arial" w:eastAsia="Arial" w:hAnsi="Arial"/>
          <w:sz w:val="21"/>
          <w:szCs w:val="21"/>
          <w:color w:val="auto"/>
        </w:rPr>
        <w:t>”). Executive agrees to abide by the terms of the Confidentiality Agreement, which are hereby incorporated by reference into this Agreement. Executive acknowledges that the provisions of the Confidentiality Agreement will survive the termination of Executive’s employment and the termination of the Term for the periods set forth in the Confidentiality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60"/>
          </w:cols>
          <w:pgMar w:left="460" w:top="266" w:right="479" w:bottom="1440" w:gutter="0" w:footer="0" w:header="0"/>
        </w:sectPr>
      </w:pPr>
    </w:p>
    <w:bookmarkStart w:id="413" w:name="page414"/>
    <w:bookmarkEnd w:id="413"/>
    <w:p>
      <w:pPr>
        <w:ind w:left="4" w:right="80" w:firstLine="1208"/>
        <w:spacing w:after="0" w:line="270" w:lineRule="auto"/>
        <w:tabs>
          <w:tab w:leader="none" w:pos="1534" w:val="left"/>
        </w:tabs>
        <w:numPr>
          <w:ilvl w:val="1"/>
          <w:numId w:val="425"/>
        </w:numPr>
        <w:rPr>
          <w:rFonts w:ascii="Arial" w:cs="Arial" w:eastAsia="Arial" w:hAnsi="Arial"/>
          <w:sz w:val="19"/>
          <w:szCs w:val="19"/>
          <w:b w:val="1"/>
          <w:bCs w:val="1"/>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Non-Solicitation of Employees</w:t>
      </w:r>
      <w:r>
        <w:rPr>
          <w:rFonts w:ascii="Arial" w:cs="Arial" w:eastAsia="Arial" w:hAnsi="Arial"/>
          <w:sz w:val="19"/>
          <w:szCs w:val="19"/>
          <w:color w:val="auto"/>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clauses</w:t>
      </w:r>
    </w:p>
    <w:p>
      <w:pPr>
        <w:spacing w:after="0" w:line="4" w:lineRule="exact"/>
        <w:rPr>
          <w:rFonts w:ascii="Arial" w:cs="Arial" w:eastAsia="Arial" w:hAnsi="Arial"/>
          <w:sz w:val="19"/>
          <w:szCs w:val="19"/>
          <w:b w:val="1"/>
          <w:bCs w:val="1"/>
          <w:color w:val="auto"/>
        </w:rPr>
      </w:pPr>
    </w:p>
    <w:p>
      <w:pPr>
        <w:ind w:left="4" w:right="980" w:hanging="4"/>
        <w:spacing w:after="0" w:line="236" w:lineRule="auto"/>
        <w:tabs>
          <w:tab w:leader="none" w:pos="262" w:val="left"/>
        </w:tabs>
        <w:numPr>
          <w:ilvl w:val="0"/>
          <w:numId w:val="426"/>
        </w:numPr>
        <w:rPr>
          <w:rFonts w:ascii="Arial" w:cs="Arial" w:eastAsia="Arial" w:hAnsi="Arial"/>
          <w:sz w:val="22"/>
          <w:szCs w:val="22"/>
          <w:color w:val="auto"/>
        </w:rPr>
      </w:pPr>
      <w:r>
        <w:rPr>
          <w:rFonts w:ascii="Arial" w:cs="Arial" w:eastAsia="Arial" w:hAnsi="Arial"/>
          <w:sz w:val="22"/>
          <w:szCs w:val="22"/>
          <w:color w:val="auto"/>
        </w:rPr>
        <w:t>and (ii) shall not apply to a general advertisement or solicitation (or any hiring pursuant to such advertisement or solicitation) that is not specifically targeted to such employees or consultants.</w:t>
      </w:r>
    </w:p>
    <w:p>
      <w:pPr>
        <w:spacing w:after="0" w:line="78" w:lineRule="exact"/>
        <w:rPr>
          <w:rFonts w:ascii="Arial" w:cs="Arial" w:eastAsia="Arial" w:hAnsi="Arial"/>
          <w:sz w:val="22"/>
          <w:szCs w:val="22"/>
          <w:color w:val="auto"/>
        </w:rPr>
      </w:pPr>
    </w:p>
    <w:p>
      <w:pPr>
        <w:ind w:left="4" w:right="120" w:firstLine="1208"/>
        <w:spacing w:after="0" w:line="287" w:lineRule="auto"/>
        <w:tabs>
          <w:tab w:leader="none" w:pos="1509" w:val="left"/>
        </w:tabs>
        <w:numPr>
          <w:ilvl w:val="1"/>
          <w:numId w:val="426"/>
        </w:numPr>
        <w:rPr>
          <w:rFonts w:ascii="Arial" w:cs="Arial" w:eastAsia="Arial" w:hAnsi="Arial"/>
          <w:sz w:val="19"/>
          <w:szCs w:val="19"/>
          <w:b w:val="1"/>
          <w:bCs w:val="1"/>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State of New Jersey, without giving effect to any principles of conflicts of law, whether of the State of New Jersey or any other jurisdiction, and where applicable, the laws of the United States, that would result in the application of the laws of any other jurisdiction.</w:t>
      </w:r>
    </w:p>
    <w:p>
      <w:pPr>
        <w:spacing w:after="0" w:line="34" w:lineRule="exact"/>
        <w:rPr>
          <w:rFonts w:ascii="Arial" w:cs="Arial" w:eastAsia="Arial" w:hAnsi="Arial"/>
          <w:sz w:val="19"/>
          <w:szCs w:val="19"/>
          <w:b w:val="1"/>
          <w:bCs w:val="1"/>
          <w:color w:val="auto"/>
        </w:rPr>
      </w:pPr>
    </w:p>
    <w:p>
      <w:pPr>
        <w:ind w:left="4" w:right="140" w:firstLine="1208"/>
        <w:spacing w:after="0" w:line="274" w:lineRule="auto"/>
        <w:tabs>
          <w:tab w:leader="none" w:pos="1534" w:val="left"/>
        </w:tabs>
        <w:numPr>
          <w:ilvl w:val="1"/>
          <w:numId w:val="426"/>
        </w:numPr>
        <w:rPr>
          <w:rFonts w:ascii="Arial" w:cs="Arial" w:eastAsia="Arial" w:hAnsi="Arial"/>
          <w:sz w:val="21"/>
          <w:szCs w:val="21"/>
          <w:b w:val="1"/>
          <w:bCs w:val="1"/>
          <w:color w:val="auto"/>
        </w:rPr>
      </w:pPr>
      <w:r>
        <w:rPr>
          <w:rFonts w:ascii="Arial" w:cs="Arial" w:eastAsia="Arial" w:hAnsi="Arial"/>
          <w:sz w:val="21"/>
          <w:szCs w:val="21"/>
          <w:u w:val="single" w:color="auto"/>
          <w:color w:val="auto"/>
        </w:rPr>
        <w:t>Validity</w:t>
      </w:r>
      <w:r>
        <w:rPr>
          <w:rFonts w:ascii="Arial" w:cs="Arial" w:eastAsia="Arial" w:hAnsi="Arial"/>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42" w:lineRule="exact"/>
        <w:rPr>
          <w:rFonts w:ascii="Arial" w:cs="Arial" w:eastAsia="Arial" w:hAnsi="Arial"/>
          <w:sz w:val="21"/>
          <w:szCs w:val="21"/>
          <w:b w:val="1"/>
          <w:bCs w:val="1"/>
          <w:color w:val="auto"/>
        </w:rPr>
      </w:pPr>
    </w:p>
    <w:p>
      <w:pPr>
        <w:ind w:left="4" w:right="100" w:firstLine="1208"/>
        <w:spacing w:after="0"/>
        <w:tabs>
          <w:tab w:leader="none" w:pos="1509" w:val="left"/>
        </w:tabs>
        <w:numPr>
          <w:ilvl w:val="1"/>
          <w:numId w:val="426"/>
        </w:numPr>
        <w:rPr>
          <w:rFonts w:ascii="Arial" w:cs="Arial" w:eastAsia="Arial" w:hAnsi="Arial"/>
          <w:sz w:val="22"/>
          <w:szCs w:val="22"/>
          <w:b w:val="1"/>
          <w:bCs w:val="1"/>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78" w:lineRule="exact"/>
        <w:rPr>
          <w:rFonts w:ascii="Arial" w:cs="Arial" w:eastAsia="Arial" w:hAnsi="Arial"/>
          <w:sz w:val="22"/>
          <w:szCs w:val="22"/>
          <w:b w:val="1"/>
          <w:bCs w:val="1"/>
          <w:color w:val="auto"/>
        </w:rPr>
      </w:pPr>
    </w:p>
    <w:p>
      <w:pPr>
        <w:ind w:left="4" w:firstLine="1208"/>
        <w:spacing w:after="0" w:line="274" w:lineRule="auto"/>
        <w:tabs>
          <w:tab w:leader="none" w:pos="1485" w:val="left"/>
        </w:tabs>
        <w:numPr>
          <w:ilvl w:val="1"/>
          <w:numId w:val="426"/>
        </w:numPr>
        <w:rPr>
          <w:rFonts w:ascii="Arial" w:cs="Arial" w:eastAsia="Arial" w:hAnsi="Arial"/>
          <w:sz w:val="19"/>
          <w:szCs w:val="19"/>
          <w:b w:val="1"/>
          <w:bCs w:val="1"/>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terms of this Agreement, together with the Confidentiality Agreement and the Equity Documents, are intended by the Parties to be the final expression of their agreement with respect to the employment of Executive by the Company and supersede all prior understandings and agreements, whether written or oral, regarding Executive’s service to the Company, including any prior offer letter or employment agreement between Executive and the Company. The Parties further intend that this Agreement, together with the Confidentiality Agreement and the Equity Documents, shall constitute the complete and exclusive statement of their terms and that no extrinsic evidence whatsoever may be introduced in any judicial, administrative, or other legal proceeding to vary the terms of this Agreement or the Confidentiality Agreement. Notwithstanding the foregoing, in the event of any conflict between the terms of the Confidentiality Agreement and the terms of this Agreement, the terms of this Agreement shall prevail.</w:t>
      </w:r>
    </w:p>
    <w:p>
      <w:pPr>
        <w:spacing w:after="0" w:line="50" w:lineRule="exact"/>
        <w:rPr>
          <w:rFonts w:ascii="Arial" w:cs="Arial" w:eastAsia="Arial" w:hAnsi="Arial"/>
          <w:sz w:val="19"/>
          <w:szCs w:val="19"/>
          <w:b w:val="1"/>
          <w:bCs w:val="1"/>
          <w:color w:val="auto"/>
        </w:rPr>
      </w:pPr>
    </w:p>
    <w:p>
      <w:pPr>
        <w:ind w:left="4" w:right="120" w:firstLine="1208"/>
        <w:spacing w:after="0" w:line="277" w:lineRule="auto"/>
        <w:tabs>
          <w:tab w:leader="none" w:pos="1521" w:val="left"/>
        </w:tabs>
        <w:numPr>
          <w:ilvl w:val="1"/>
          <w:numId w:val="426"/>
        </w:numPr>
        <w:rPr>
          <w:rFonts w:ascii="Arial" w:cs="Arial" w:eastAsia="Arial" w:hAnsi="Arial"/>
          <w:sz w:val="19"/>
          <w:szCs w:val="19"/>
          <w:b w:val="1"/>
          <w:bCs w:val="1"/>
          <w:color w:val="auto"/>
        </w:rPr>
      </w:pPr>
      <w:r>
        <w:rPr>
          <w:rFonts w:ascii="Arial" w:cs="Arial" w:eastAsia="Arial" w:hAnsi="Arial"/>
          <w:sz w:val="19"/>
          <w:szCs w:val="19"/>
          <w:u w:val="single" w:color="auto"/>
          <w:color w:val="auto"/>
        </w:rPr>
        <w:t>Amendments; Waivers</w:t>
      </w:r>
      <w:r>
        <w:rPr>
          <w:rFonts w:ascii="Arial" w:cs="Arial" w:eastAsia="Arial" w:hAnsi="Arial"/>
          <w:sz w:val="19"/>
          <w:szCs w:val="19"/>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84"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84"/>
          </w:cols>
          <w:pgMar w:left="436" w:top="266" w:right="479" w:bottom="1440" w:gutter="0" w:footer="0" w:header="0"/>
        </w:sectPr>
      </w:pPr>
    </w:p>
    <w:bookmarkStart w:id="414" w:name="page415"/>
    <w:bookmarkEnd w:id="414"/>
    <w:p>
      <w:pPr>
        <w:ind w:firstLine="1208"/>
        <w:spacing w:after="0" w:line="269" w:lineRule="auto"/>
        <w:tabs>
          <w:tab w:leader="none" w:pos="1530" w:val="left"/>
        </w:tabs>
        <w:numPr>
          <w:ilvl w:val="0"/>
          <w:numId w:val="427"/>
        </w:numPr>
        <w:rPr>
          <w:rFonts w:ascii="Arial" w:cs="Arial" w:eastAsia="Arial" w:hAnsi="Arial"/>
          <w:sz w:val="19"/>
          <w:szCs w:val="19"/>
          <w:b w:val="1"/>
          <w:bCs w:val="1"/>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Arial" w:cs="Arial" w:eastAsia="Arial" w:hAnsi="Arial"/>
          <w:sz w:val="19"/>
          <w:szCs w:val="19"/>
          <w:color w:val="auto"/>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 Mateo County, California through JAMS in conformity with the then-existing JAMS employment arbitration rules, which can be found at </w:t>
      </w:r>
      <w:r>
        <w:rPr>
          <w:rFonts w:ascii="Arial" w:cs="Arial" w:eastAsia="Arial" w:hAnsi="Arial"/>
          <w:sz w:val="19"/>
          <w:szCs w:val="19"/>
          <w:u w:val="single" w:color="auto"/>
          <w:color w:val="auto"/>
        </w:rPr>
        <w:t>https://www.jamsadr.com/rules-employment-arbitration/</w:t>
      </w:r>
      <w:r>
        <w:rPr>
          <w:rFonts w:ascii="Arial" w:cs="Arial" w:eastAsia="Arial" w:hAnsi="Arial"/>
          <w:sz w:val="19"/>
          <w:szCs w:val="19"/>
          <w:color w:val="auto"/>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Sections 8(a) or 8(b),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 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spacing w:after="0" w:line="305" w:lineRule="exact"/>
        <w:rPr>
          <w:rFonts w:ascii="Arial" w:cs="Arial" w:eastAsia="Arial" w:hAnsi="Arial"/>
          <w:sz w:val="19"/>
          <w:szCs w:val="19"/>
          <w:b w:val="1"/>
          <w:bCs w:val="1"/>
          <w:color w:val="auto"/>
        </w:rPr>
      </w:pPr>
    </w:p>
    <w:p>
      <w:pPr>
        <w:ind w:right="160" w:firstLine="1208"/>
        <w:spacing w:after="0" w:line="246" w:lineRule="auto"/>
        <w:tabs>
          <w:tab w:leader="none" w:pos="1469" w:val="left"/>
        </w:tabs>
        <w:numPr>
          <w:ilvl w:val="0"/>
          <w:numId w:val="427"/>
        </w:numPr>
        <w:rPr>
          <w:rFonts w:ascii="Arial" w:cs="Arial" w:eastAsia="Arial" w:hAnsi="Arial"/>
          <w:sz w:val="21"/>
          <w:szCs w:val="21"/>
          <w:b w:val="1"/>
          <w:bCs w:val="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76" w:lineRule="exact"/>
        <w:rPr>
          <w:rFonts w:ascii="Arial" w:cs="Arial" w:eastAsia="Arial" w:hAnsi="Arial"/>
          <w:sz w:val="21"/>
          <w:szCs w:val="21"/>
          <w:b w:val="1"/>
          <w:bCs w:val="1"/>
          <w:color w:val="auto"/>
        </w:rPr>
      </w:pPr>
    </w:p>
    <w:p>
      <w:pPr>
        <w:jc w:val="both"/>
        <w:ind w:firstLine="1208"/>
        <w:spacing w:after="0" w:line="297" w:lineRule="auto"/>
        <w:tabs>
          <w:tab w:leader="none" w:pos="1481" w:val="left"/>
        </w:tabs>
        <w:numPr>
          <w:ilvl w:val="0"/>
          <w:numId w:val="427"/>
        </w:numPr>
        <w:rPr>
          <w:rFonts w:ascii="Arial" w:cs="Arial" w:eastAsia="Arial" w:hAnsi="Arial"/>
          <w:sz w:val="19"/>
          <w:szCs w:val="19"/>
          <w:b w:val="1"/>
          <w:bCs w:val="1"/>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440" w:top="266" w:right="439" w:bottom="1440" w:gutter="0" w:footer="0" w:header="0"/>
        </w:sectPr>
      </w:pPr>
    </w:p>
    <w:bookmarkStart w:id="415" w:name="page416"/>
    <w:bookmarkEnd w:id="415"/>
    <w:p>
      <w:pPr>
        <w:ind w:left="4" w:right="40" w:firstLine="1208"/>
        <w:spacing w:after="0" w:line="271" w:lineRule="auto"/>
        <w:tabs>
          <w:tab w:leader="none" w:pos="1534" w:val="left"/>
        </w:tabs>
        <w:numPr>
          <w:ilvl w:val="2"/>
          <w:numId w:val="428"/>
        </w:numPr>
        <w:rPr>
          <w:rFonts w:ascii="Arial" w:cs="Arial" w:eastAsia="Arial" w:hAnsi="Arial"/>
          <w:sz w:val="19"/>
          <w:szCs w:val="19"/>
          <w:b w:val="1"/>
          <w:bCs w:val="1"/>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Whistleblower Protections and Trade Secrets</w:t>
      </w:r>
      <w:r>
        <w:rPr>
          <w:rFonts w:ascii="Arial" w:cs="Arial" w:eastAsia="Arial" w:hAnsi="Arial"/>
          <w:sz w:val="19"/>
          <w:szCs w:val="19"/>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96" w:lineRule="exact"/>
        <w:rPr>
          <w:rFonts w:ascii="Arial" w:cs="Arial" w:eastAsia="Arial" w:hAnsi="Arial"/>
          <w:sz w:val="19"/>
          <w:szCs w:val="19"/>
          <w:b w:val="1"/>
          <w:bCs w:val="1"/>
          <w:color w:val="auto"/>
        </w:rPr>
      </w:pPr>
    </w:p>
    <w:p>
      <w:pPr>
        <w:ind w:left="764" w:hanging="213"/>
        <w:spacing w:after="0"/>
        <w:tabs>
          <w:tab w:leader="none" w:pos="764" w:val="left"/>
        </w:tabs>
        <w:numPr>
          <w:ilvl w:val="1"/>
          <w:numId w:val="429"/>
        </w:numPr>
        <w:rPr>
          <w:rFonts w:ascii="Arial" w:cs="Arial" w:eastAsia="Arial" w:hAnsi="Arial"/>
          <w:sz w:val="22"/>
          <w:szCs w:val="22"/>
          <w:b w:val="1"/>
          <w:bCs w:val="1"/>
          <w:color w:val="auto"/>
        </w:rPr>
      </w:pPr>
      <w:r>
        <w:rPr>
          <w:rFonts w:ascii="Arial" w:cs="Arial" w:eastAsia="Arial" w:hAnsi="Arial"/>
          <w:sz w:val="22"/>
          <w:szCs w:val="22"/>
          <w:b w:val="1"/>
          <w:bCs w:val="1"/>
          <w:color w:val="auto"/>
        </w:rPr>
        <w:t>Golden Parachute Excise Tax</w:t>
      </w:r>
      <w:r>
        <w:rPr>
          <w:rFonts w:ascii="Arial" w:cs="Arial" w:eastAsia="Arial" w:hAnsi="Arial"/>
          <w:sz w:val="22"/>
          <w:szCs w:val="22"/>
          <w:color w:val="auto"/>
        </w:rPr>
        <w:t>.</w:t>
      </w:r>
    </w:p>
    <w:p>
      <w:pPr>
        <w:spacing w:after="0" w:line="104" w:lineRule="exact"/>
        <w:rPr>
          <w:rFonts w:ascii="Arial" w:cs="Arial" w:eastAsia="Arial" w:hAnsi="Arial"/>
          <w:sz w:val="22"/>
          <w:szCs w:val="22"/>
          <w:b w:val="1"/>
          <w:bCs w:val="1"/>
          <w:color w:val="auto"/>
        </w:rPr>
      </w:pPr>
    </w:p>
    <w:p>
      <w:pPr>
        <w:ind w:left="4" w:firstLine="1208"/>
        <w:spacing w:after="0" w:line="267" w:lineRule="auto"/>
        <w:tabs>
          <w:tab w:leader="none" w:pos="1521" w:val="left"/>
        </w:tabs>
        <w:numPr>
          <w:ilvl w:val="2"/>
          <w:numId w:val="429"/>
        </w:numPr>
        <w:rPr>
          <w:rFonts w:ascii="Arial" w:cs="Arial" w:eastAsia="Arial" w:hAnsi="Arial"/>
          <w:sz w:val="19"/>
          <w:szCs w:val="19"/>
          <w:b w:val="1"/>
          <w:bCs w:val="1"/>
          <w:color w:val="auto"/>
        </w:rPr>
      </w:pPr>
      <w:r>
        <w:rPr>
          <w:rFonts w:ascii="Arial" w:cs="Arial" w:eastAsia="Arial" w:hAnsi="Arial"/>
          <w:sz w:val="19"/>
          <w:szCs w:val="19"/>
          <w:u w:val="single" w:color="auto"/>
          <w:color w:val="auto"/>
        </w:rPr>
        <w:t>Best Pay</w:t>
      </w:r>
      <w:r>
        <w:rPr>
          <w:rFonts w:ascii="Arial" w:cs="Arial" w:eastAsia="Arial" w:hAnsi="Arial"/>
          <w:sz w:val="19"/>
          <w:szCs w:val="19"/>
          <w:color w:val="auto"/>
        </w:rPr>
        <w:t>. Any provision of this Agreement to the contrary notwithstanding, if any payment or benefit Executive would receive from the Company pursuant to this Agreement or otherwise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will be equal to the Reduced Amount (as defined below).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i w:val="1"/>
          <w:iCs w:val="1"/>
          <w:color w:val="auto"/>
        </w:rPr>
        <w:t>Pro Rata Reduction Method</w:t>
      </w:r>
      <w:r>
        <w:rPr>
          <w:rFonts w:ascii="Arial" w:cs="Arial" w:eastAsia="Arial" w:hAnsi="Arial"/>
          <w:sz w:val="19"/>
          <w:szCs w:val="19"/>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9"/>
          <w:szCs w:val="19"/>
          <w:i w:val="1"/>
          <w:iCs w:val="1"/>
          <w:color w:val="auto"/>
        </w:rPr>
        <w:t>e.g</w:t>
      </w:r>
      <w:r>
        <w:rPr>
          <w:rFonts w:ascii="Arial" w:cs="Arial" w:eastAsia="Arial" w:hAnsi="Arial"/>
          <w:sz w:val="19"/>
          <w:szCs w:val="19"/>
          <w:color w:val="auto"/>
        </w:rPr>
        <w:t>., being terminated without cause), shall be reduced (or eliminated) before Payments that are not contingent on future events; and</w:t>
      </w:r>
    </w:p>
    <w:p>
      <w:pPr>
        <w:spacing w:after="0" w:line="16" w:lineRule="exact"/>
        <w:rPr>
          <w:rFonts w:ascii="Arial" w:cs="Arial" w:eastAsia="Arial" w:hAnsi="Arial"/>
          <w:sz w:val="19"/>
          <w:szCs w:val="19"/>
          <w:b w:val="1"/>
          <w:bCs w:val="1"/>
          <w:color w:val="auto"/>
        </w:rPr>
      </w:pPr>
    </w:p>
    <w:p>
      <w:pPr>
        <w:ind w:left="4" w:right="400" w:hanging="4"/>
        <w:spacing w:after="0" w:line="256" w:lineRule="auto"/>
        <w:tabs>
          <w:tab w:leader="none" w:pos="310" w:val="left"/>
        </w:tabs>
        <w:numPr>
          <w:ilvl w:val="0"/>
          <w:numId w:val="430"/>
        </w:numPr>
        <w:rPr>
          <w:rFonts w:ascii="Arial" w:cs="Arial" w:eastAsia="Arial" w:hAnsi="Arial"/>
          <w:sz w:val="21"/>
          <w:szCs w:val="21"/>
          <w:color w:val="auto"/>
        </w:rPr>
      </w:pPr>
      <w:r>
        <w:rPr>
          <w:rFonts w:ascii="Arial" w:cs="Arial" w:eastAsia="Arial" w:hAnsi="Arial"/>
          <w:sz w:val="21"/>
          <w:szCs w:val="21"/>
          <w:color w:val="auto"/>
        </w:rPr>
        <w:t>as a third priority, Payments that are “deferred compensation” within the meaning of Section 409A shall be reduced (or eliminated) before Payments that are not deferred compensation within the meaning of Section 409A.</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04"/>
          </w:cols>
          <w:pgMar w:left="436" w:top="266" w:right="459" w:bottom="1440" w:gutter="0" w:footer="0" w:header="0"/>
        </w:sectPr>
      </w:pPr>
    </w:p>
    <w:bookmarkStart w:id="416" w:name="page417"/>
    <w:bookmarkEnd w:id="416"/>
    <w:p>
      <w:pPr>
        <w:ind w:firstLine="1208"/>
        <w:spacing w:after="0" w:line="273" w:lineRule="auto"/>
        <w:tabs>
          <w:tab w:leader="none" w:pos="1530" w:val="left"/>
        </w:tabs>
        <w:numPr>
          <w:ilvl w:val="1"/>
          <w:numId w:val="431"/>
        </w:numPr>
        <w:rPr>
          <w:rFonts w:ascii="Arial" w:cs="Arial" w:eastAsia="Arial" w:hAnsi="Arial"/>
          <w:sz w:val="19"/>
          <w:szCs w:val="19"/>
          <w:b w:val="1"/>
          <w:bCs w:val="1"/>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Firm</w:t>
      </w:r>
      <w:r>
        <w:rPr>
          <w:rFonts w:ascii="Arial" w:cs="Arial" w:eastAsia="Arial" w:hAnsi="Arial"/>
          <w:sz w:val="19"/>
          <w:szCs w:val="19"/>
          <w:color w:val="auto"/>
        </w:rPr>
        <w:t>. The accounting firm engaged by the Company for general tax purposes as of the day prior to the Change in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41" w:lineRule="exact"/>
        <w:rPr>
          <w:rFonts w:ascii="Arial" w:cs="Arial" w:eastAsia="Arial" w:hAnsi="Arial"/>
          <w:sz w:val="19"/>
          <w:szCs w:val="19"/>
          <w:b w:val="1"/>
          <w:bCs w:val="1"/>
          <w:color w:val="auto"/>
        </w:rPr>
      </w:pPr>
    </w:p>
    <w:p>
      <w:pPr>
        <w:ind w:left="880" w:hanging="333"/>
        <w:spacing w:after="0"/>
        <w:tabs>
          <w:tab w:leader="none" w:pos="880" w:val="left"/>
        </w:tabs>
        <w:numPr>
          <w:ilvl w:val="0"/>
          <w:numId w:val="432"/>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04" w:lineRule="exact"/>
        <w:rPr>
          <w:rFonts w:ascii="Arial" w:cs="Arial" w:eastAsia="Arial" w:hAnsi="Arial"/>
          <w:sz w:val="22"/>
          <w:szCs w:val="22"/>
          <w:b w:val="1"/>
          <w:bCs w:val="1"/>
          <w:color w:val="auto"/>
        </w:rPr>
      </w:pPr>
    </w:p>
    <w:p>
      <w:pPr>
        <w:ind w:firstLine="1208"/>
        <w:spacing w:after="0" w:line="272" w:lineRule="auto"/>
        <w:tabs>
          <w:tab w:leader="none" w:pos="1517" w:val="left"/>
        </w:tabs>
        <w:numPr>
          <w:ilvl w:val="1"/>
          <w:numId w:val="432"/>
        </w:numPr>
        <w:rPr>
          <w:rFonts w:ascii="Arial" w:cs="Arial" w:eastAsia="Arial" w:hAnsi="Arial"/>
          <w:sz w:val="19"/>
          <w:szCs w:val="19"/>
          <w:b w:val="1"/>
          <w:bCs w:val="1"/>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10(a)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spacing w:after="0" w:line="47" w:lineRule="exact"/>
        <w:rPr>
          <w:rFonts w:ascii="Arial" w:cs="Arial" w:eastAsia="Arial" w:hAnsi="Arial"/>
          <w:sz w:val="19"/>
          <w:szCs w:val="19"/>
          <w:b w:val="1"/>
          <w:bCs w:val="1"/>
          <w:color w:val="auto"/>
        </w:rPr>
      </w:pPr>
    </w:p>
    <w:p>
      <w:pPr>
        <w:ind w:left="1520" w:hanging="312"/>
        <w:spacing w:after="0"/>
        <w:tabs>
          <w:tab w:leader="none" w:pos="1520" w:val="left"/>
        </w:tabs>
        <w:numPr>
          <w:ilvl w:val="1"/>
          <w:numId w:val="432"/>
        </w:numPr>
        <w:rPr>
          <w:rFonts w:ascii="Arial" w:cs="Arial" w:eastAsia="Arial" w:hAnsi="Arial"/>
          <w:sz w:val="19"/>
          <w:szCs w:val="19"/>
          <w:b w:val="1"/>
          <w:bCs w:val="1"/>
          <w:color w:val="auto"/>
        </w:rPr>
      </w:pPr>
      <w:r>
        <w:rPr>
          <w:rFonts w:ascii="Arial" w:cs="Arial" w:eastAsia="Arial" w:hAnsi="Arial"/>
          <w:sz w:val="19"/>
          <w:szCs w:val="19"/>
          <w:u w:val="single" w:color="auto"/>
          <w:color w:val="auto"/>
        </w:rPr>
        <w:t>Separation from Service, Installments and Reimbursements</w:t>
      </w:r>
      <w:r>
        <w:rPr>
          <w:rFonts w:ascii="Arial" w:cs="Arial" w:eastAsia="Arial" w:hAnsi="Arial"/>
          <w:sz w:val="19"/>
          <w:szCs w:val="19"/>
          <w:color w:val="auto"/>
        </w:rPr>
        <w:t>. Notwithstanding any provision to the contrary in</w:t>
      </w:r>
    </w:p>
    <w:p>
      <w:pPr>
        <w:spacing w:after="0" w:line="42" w:lineRule="exact"/>
        <w:rPr>
          <w:rFonts w:ascii="Arial" w:cs="Arial" w:eastAsia="Arial" w:hAnsi="Arial"/>
          <w:sz w:val="19"/>
          <w:szCs w:val="19"/>
          <w:b w:val="1"/>
          <w:bCs w:val="1"/>
          <w:color w:val="auto"/>
        </w:rPr>
      </w:pPr>
    </w:p>
    <w:p>
      <w:pPr>
        <w:ind w:right="20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this Agreement: (i) no amount that constitutes “deferred compensation” under Section 409A shall be payable pursuant to Section 6 unless the termination of Executive’s employment constitutes a “separation from service” within the meaning of Section 1.409A-1(h) of the Department of Treasury Regulations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Arial" w:cs="Arial" w:eastAsia="Arial" w:hAnsi="Arial"/>
          <w:sz w:val="16"/>
          <w:szCs w:val="16"/>
          <w:color w:val="auto"/>
        </w:rPr>
        <w:t>st</w:t>
      </w:r>
      <w:r>
        <w:rPr>
          <w:rFonts w:ascii="Arial" w:cs="Arial" w:eastAsia="Arial" w:hAnsi="Arial"/>
          <w:sz w:val="19"/>
          <w:szCs w:val="19"/>
          <w:color w:val="auto"/>
        </w:rPr>
        <w:t xml:space="preserve"> of the year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00"/>
          </w:cols>
          <w:pgMar w:left="440" w:top="266" w:right="459" w:bottom="1440" w:gutter="0" w:footer="0" w:header="0"/>
        </w:sectPr>
      </w:pPr>
    </w:p>
    <w:bookmarkStart w:id="417" w:name="page418"/>
    <w:bookmarkEnd w:id="417"/>
    <w:p>
      <w:pPr>
        <w:ind w:right="2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78" w:lineRule="exact"/>
        <w:rPr>
          <w:sz w:val="20"/>
          <w:szCs w:val="20"/>
          <w:color w:val="auto"/>
        </w:rPr>
      </w:pPr>
    </w:p>
    <w:p>
      <w:pPr>
        <w:ind w:firstLine="1208"/>
        <w:spacing w:after="0" w:line="245" w:lineRule="auto"/>
        <w:tabs>
          <w:tab w:leader="none" w:pos="1505" w:val="left"/>
        </w:tabs>
        <w:numPr>
          <w:ilvl w:val="1"/>
          <w:numId w:val="433"/>
        </w:numPr>
        <w:rPr>
          <w:rFonts w:ascii="Arial" w:cs="Arial" w:eastAsia="Arial" w:hAnsi="Arial"/>
          <w:sz w:val="21"/>
          <w:szCs w:val="21"/>
          <w:b w:val="1"/>
          <w:bCs w:val="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76" w:lineRule="exact"/>
        <w:rPr>
          <w:rFonts w:ascii="Arial" w:cs="Arial" w:eastAsia="Arial" w:hAnsi="Arial"/>
          <w:sz w:val="21"/>
          <w:szCs w:val="21"/>
          <w:b w:val="1"/>
          <w:bCs w:val="1"/>
          <w:color w:val="auto"/>
        </w:rPr>
      </w:pPr>
    </w:p>
    <w:p>
      <w:pPr>
        <w:ind w:right="40" w:firstLine="1208"/>
        <w:spacing w:after="0" w:line="273" w:lineRule="auto"/>
        <w:tabs>
          <w:tab w:leader="none" w:pos="1530" w:val="left"/>
        </w:tabs>
        <w:numPr>
          <w:ilvl w:val="1"/>
          <w:numId w:val="433"/>
        </w:numPr>
        <w:rPr>
          <w:rFonts w:ascii="Arial" w:cs="Arial" w:eastAsia="Arial" w:hAnsi="Arial"/>
          <w:sz w:val="19"/>
          <w:szCs w:val="19"/>
          <w:b w:val="1"/>
          <w:bCs w:val="1"/>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10(d), “</w:t>
      </w:r>
      <w:r>
        <w:rPr>
          <w:rFonts w:ascii="Arial" w:cs="Arial" w:eastAsia="Arial" w:hAnsi="Arial"/>
          <w:sz w:val="19"/>
          <w:szCs w:val="19"/>
          <w:b w:val="1"/>
          <w:bCs w:val="1"/>
          <w:i w:val="1"/>
          <w:iCs w:val="1"/>
          <w:color w:val="auto"/>
        </w:rPr>
        <w:t>Release Expiration Date</w:t>
      </w:r>
      <w:r>
        <w:rPr>
          <w:rFonts w:ascii="Arial" w:cs="Arial" w:eastAsia="Arial" w:hAnsi="Arial"/>
          <w:sz w:val="19"/>
          <w:szCs w:val="19"/>
          <w:color w:val="auto"/>
        </w:rPr>
        <w:t>” shall mean the date that is 21 days following the date upon which the Company delivers the Release to Executive, or, in the event that Executive’s termination of employment is “in connection with an exit incentive or other employment termination program” (as such phrase is defined in the Age Discrimination in Employment Act of 1967), the date that is 45 days following such delivery date.</w:t>
      </w:r>
    </w:p>
    <w:p>
      <w:pPr>
        <w:spacing w:after="0" w:line="41" w:lineRule="exact"/>
        <w:rPr>
          <w:rFonts w:ascii="Arial" w:cs="Arial" w:eastAsia="Arial" w:hAnsi="Arial"/>
          <w:sz w:val="19"/>
          <w:szCs w:val="19"/>
          <w:b w:val="1"/>
          <w:bCs w:val="1"/>
          <w:color w:val="auto"/>
        </w:rPr>
      </w:pPr>
    </w:p>
    <w:p>
      <w:pPr>
        <w:jc w:val="both"/>
        <w:ind w:right="80" w:firstLine="547"/>
        <w:spacing w:after="0" w:line="300" w:lineRule="auto"/>
        <w:tabs>
          <w:tab w:leader="none" w:pos="863" w:val="left"/>
        </w:tabs>
        <w:numPr>
          <w:ilvl w:val="0"/>
          <w:numId w:val="434"/>
        </w:numPr>
        <w:rPr>
          <w:rFonts w:ascii="Arial" w:cs="Arial" w:eastAsia="Arial" w:hAnsi="Arial"/>
          <w:sz w:val="19"/>
          <w:szCs w:val="19"/>
          <w:b w:val="1"/>
          <w:bCs w:val="1"/>
          <w:color w:val="auto"/>
        </w:rPr>
      </w:pPr>
      <w:r>
        <w:rPr>
          <w:rFonts w:ascii="Arial" w:cs="Arial" w:eastAsia="Arial" w:hAnsi="Arial"/>
          <w:sz w:val="19"/>
          <w:szCs w:val="19"/>
          <w:b w:val="1"/>
          <w:bCs w:val="1"/>
          <w:color w:val="auto"/>
        </w:rPr>
        <w:t>Employee Acknowledgement</w:t>
      </w:r>
      <w:r>
        <w:rPr>
          <w:rFonts w:ascii="Arial" w:cs="Arial" w:eastAsia="Arial" w:hAnsi="Arial"/>
          <w:sz w:val="19"/>
          <w:szCs w:val="19"/>
          <w:color w:val="auto"/>
        </w:rPr>
        <w:t>. Executive acknowledges that Executive has read and understands this Agreement, is</w:t>
      </w:r>
      <w:r>
        <w:rPr>
          <w:rFonts w:ascii="Arial" w:cs="Arial" w:eastAsia="Arial" w:hAnsi="Arial"/>
          <w:sz w:val="19"/>
          <w:szCs w:val="19"/>
          <w:b w:val="1"/>
          <w:bCs w:val="1"/>
          <w:color w:val="auto"/>
        </w:rPr>
        <w:t xml:space="preserve"> </w:t>
      </w:r>
      <w:r>
        <w:rPr>
          <w:rFonts w:ascii="Arial" w:cs="Arial" w:eastAsia="Arial" w:hAnsi="Arial"/>
          <w:sz w:val="19"/>
          <w:szCs w:val="19"/>
          <w:color w:val="auto"/>
        </w:rPr>
        <w:t>fully aware of its legal effect, has not acted in reliance upon any representations or promises made by the Company other than those contained in writing herein, and has entered into this Agreement freely based on Executive’s own judgment.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00"/>
          </w:cols>
          <w:pgMar w:left="440" w:top="266" w:right="459" w:bottom="1440" w:gutter="0" w:footer="0" w:header="0"/>
        </w:sectPr>
      </w:pPr>
    </w:p>
    <w:bookmarkStart w:id="418" w:name="page419"/>
    <w:bookmarkEnd w:id="41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Agreement as of the date first set forth above.</w:t>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9"/>
          <w:szCs w:val="19"/>
          <w:b w:val="1"/>
          <w:bCs w:val="1"/>
          <w:color w:val="auto"/>
        </w:rPr>
        <w:t>MEREO BIOPHARMA GROUP PLC</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-6350</wp:posOffset>
            </wp:positionV>
            <wp:extent cx="237426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-6350</wp:posOffset>
            </wp:positionV>
            <wp:extent cx="23742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-6350</wp:posOffset>
            </wp:positionV>
            <wp:extent cx="23742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90"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EXECUTIVE</w:t>
      </w:r>
    </w:p>
    <w:p>
      <w:pPr>
        <w:spacing w:after="0" w:line="249"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-6350</wp:posOffset>
            </wp:positionV>
            <wp:extent cx="237426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20"/>
          <w:szCs w:val="20"/>
          <w:color w:val="auto"/>
        </w:rPr>
        <w:t>Name: Suba Krishnan</w:t>
      </w:r>
    </w:p>
    <w:p>
      <w:pPr>
        <w:sectPr>
          <w:pgSz w:w="11900" w:h="16838" w:orient="portrait"/>
          <w:cols w:equalWidth="0" w:num="1">
            <w:col w:w="10019"/>
          </w:cols>
          <w:pgMar w:left="440" w:top="266" w:right="1440" w:bottom="1440" w:gutter="0" w:footer="0" w:header="0"/>
        </w:sectPr>
      </w:pPr>
    </w:p>
    <w:bookmarkStart w:id="419" w:name="page420"/>
    <w:bookmarkEnd w:id="419"/>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OF CLAIMS</w:t>
      </w:r>
    </w:p>
    <w:p>
      <w:pPr>
        <w:spacing w:after="0" w:line="188" w:lineRule="exact"/>
        <w:rPr>
          <w:sz w:val="20"/>
          <w:szCs w:val="20"/>
          <w:color w:val="auto"/>
        </w:rPr>
      </w:pPr>
    </w:p>
    <w:p>
      <w:pPr>
        <w:ind w:left="540"/>
        <w:spacing w:after="0"/>
        <w:tabs>
          <w:tab w:leader="none" w:pos="6060" w:val="left"/>
        </w:tabs>
        <w:rPr>
          <w:sz w:val="20"/>
          <w:szCs w:val="20"/>
          <w:color w:val="auto"/>
        </w:rPr>
      </w:pPr>
      <w:r>
        <w:rPr>
          <w:rFonts w:ascii="Arial" w:cs="Arial" w:eastAsia="Arial" w:hAnsi="Arial"/>
          <w:sz w:val="22"/>
          <w:szCs w:val="22"/>
          <w:color w:val="auto"/>
        </w:rPr>
        <w:t>This Release of Claims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is entered into as of</w:t>
      </w:r>
      <w:r>
        <w:rPr>
          <w:sz w:val="20"/>
          <w:szCs w:val="20"/>
          <w:color w:val="auto"/>
        </w:rPr>
        <w:tab/>
      </w:r>
      <w:r>
        <w:rPr>
          <w:rFonts w:ascii="Arial" w:cs="Arial" w:eastAsia="Arial" w:hAnsi="Arial"/>
          <w:sz w:val="19"/>
          <w:szCs w:val="19"/>
          <w:color w:val="auto"/>
        </w:rPr>
        <w:t>, 20__, between Suba Krishnan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-17780</wp:posOffset>
            </wp:positionV>
            <wp:extent cx="4114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right="280"/>
        <w:spacing w:after="0" w:line="234" w:lineRule="auto"/>
        <w:rPr>
          <w:sz w:val="20"/>
          <w:szCs w:val="20"/>
          <w:color w:val="auto"/>
        </w:rPr>
      </w:pPr>
      <w:r>
        <w:rPr>
          <w:rFonts w:ascii="Arial" w:cs="Arial" w:eastAsia="Arial" w:hAnsi="Arial"/>
          <w:sz w:val="22"/>
          <w:szCs w:val="22"/>
          <w:color w:val="auto"/>
        </w:rPr>
        <w:t>Mereo BioPharma Group plc, a company incorporated in England and Wales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together with Executive,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effective eight days after Executive’s signature hereto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unless Executive revokes Executive’s acceptance of this Release as provided in Paragraph 1(c), below.</w:t>
      </w:r>
    </w:p>
    <w:p>
      <w:pPr>
        <w:spacing w:after="0" w:line="200" w:lineRule="exact"/>
        <w:rPr>
          <w:sz w:val="20"/>
          <w:szCs w:val="20"/>
          <w:color w:val="auto"/>
        </w:rPr>
      </w:pPr>
    </w:p>
    <w:p>
      <w:pPr>
        <w:spacing w:after="0" w:line="203" w:lineRule="exact"/>
        <w:rPr>
          <w:sz w:val="20"/>
          <w:szCs w:val="20"/>
          <w:color w:val="auto"/>
        </w:rPr>
      </w:pPr>
    </w:p>
    <w:p>
      <w:pPr>
        <w:ind w:firstLine="1208"/>
        <w:spacing w:after="0" w:line="297" w:lineRule="auto"/>
        <w:tabs>
          <w:tab w:leader="none" w:pos="1428" w:val="left"/>
        </w:tabs>
        <w:numPr>
          <w:ilvl w:val="1"/>
          <w:numId w:val="435"/>
        </w:numPr>
        <w:rPr>
          <w:rFonts w:ascii="Arial" w:cs="Arial" w:eastAsia="Arial" w:hAnsi="Arial"/>
          <w:sz w:val="19"/>
          <w:szCs w:val="19"/>
          <w:color w:val="auto"/>
        </w:rPr>
      </w:pPr>
      <w:r>
        <w:rPr>
          <w:rFonts w:ascii="Arial" w:cs="Arial" w:eastAsia="Arial" w:hAnsi="Arial"/>
          <w:sz w:val="19"/>
          <w:szCs w:val="19"/>
          <w:u w:val="single" w:color="auto"/>
          <w:color w:val="auto"/>
        </w:rPr>
        <w:t>Executive’s Release of the Company</w:t>
      </w:r>
      <w:r>
        <w:rPr>
          <w:rFonts w:ascii="Arial" w:cs="Arial" w:eastAsia="Arial" w:hAnsi="Arial"/>
          <w:sz w:val="19"/>
          <w:szCs w:val="19"/>
          <w:color w:val="auto"/>
        </w:rPr>
        <w:t>. Executive understands that by agreeing to this Release, Executive is agreeing not to sue, or otherwise file any claim against, the Company or any of its respective employees or other agents for any reason whatsoever based on anything that has occurred as of the date Executive signs this Release.</w:t>
      </w:r>
    </w:p>
    <w:p>
      <w:pPr>
        <w:spacing w:after="0" w:line="25" w:lineRule="exact"/>
        <w:rPr>
          <w:rFonts w:ascii="Arial" w:cs="Arial" w:eastAsia="Arial" w:hAnsi="Arial"/>
          <w:sz w:val="19"/>
          <w:szCs w:val="19"/>
          <w:color w:val="auto"/>
        </w:rPr>
      </w:pPr>
    </w:p>
    <w:p>
      <w:pPr>
        <w:ind w:left="540" w:firstLine="530"/>
        <w:spacing w:after="0" w:line="269" w:lineRule="auto"/>
        <w:tabs>
          <w:tab w:leader="none" w:pos="1357" w:val="left"/>
        </w:tabs>
        <w:numPr>
          <w:ilvl w:val="0"/>
          <w:numId w:val="436"/>
        </w:numPr>
        <w:rPr>
          <w:rFonts w:ascii="Arial" w:cs="Arial" w:eastAsia="Arial" w:hAnsi="Arial"/>
          <w:sz w:val="19"/>
          <w:szCs w:val="19"/>
          <w:color w:val="auto"/>
        </w:rPr>
      </w:pPr>
      <w:r>
        <w:rPr>
          <w:rFonts w:ascii="Arial" w:cs="Arial" w:eastAsia="Arial" w:hAnsi="Arial"/>
          <w:sz w:val="19"/>
          <w:szCs w:val="19"/>
          <w:color w:val="auto"/>
        </w:rPr>
        <w:t>On behalf of Executive and Executive’s heirs and assigns, Executive hereby releases and forever discharges the “</w:t>
      </w:r>
      <w:r>
        <w:rPr>
          <w:rFonts w:ascii="Arial" w:cs="Arial" w:eastAsia="Arial" w:hAnsi="Arial"/>
          <w:sz w:val="19"/>
          <w:szCs w:val="19"/>
          <w:u w:val="single" w:color="auto"/>
          <w:color w:val="auto"/>
        </w:rPr>
        <w:t>Releasees</w:t>
      </w:r>
      <w:r>
        <w:rPr>
          <w:rFonts w:ascii="Arial" w:cs="Arial" w:eastAsia="Arial" w:hAnsi="Arial"/>
          <w:sz w:val="19"/>
          <w:szCs w:val="19"/>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29 U.S.C. § 621, et seq.; Title VII of the Civil Rights Act of 1964, as amended by the Civil Rights Act of 1991, 42 U.S.C. § 2000 et seq.; the Equal Pay Act, 29 U.S.C. § 206(d); the Civil Rights Act of 1866, 42 U.S.C. § 1981; the Family and Medical Leave Act of 1993, 29 U.S.C. § 2601 et seq.; the Americans with Disabilities Act of 1990, 42 U.S.C. § 12101 et seq.; the False Claims Act , 31 U.S.C. § 3729 et seq.; the Employee Retirement Income Security Act, 29 U.S.C. § 1001 et seq.; the Worker Adjustment and Retraining Notification Act, 29 U.S.C. § 2101 et seq. the Fair Labor Standards Act, 29 U.S.C. § 215 et seq., the Sarbanes-Oxley Act of 2002; the California Labor Code; the employment and civil rights laws of California; the New Jersey Law Against Discrimination, the New Jersey Conscientious Employee Protection Act, the New Jersey Family Leave Act, the New Jersey Wage Payment Law, the New Jersey Wage and Hour Law, the New Jersey Equal Pay Act, and retaliation claims under the New Jersey Workers’ Compensation Law;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00"/>
          </w:cols>
          <w:pgMar w:left="440" w:top="260" w:right="459" w:bottom="1440" w:gutter="0" w:footer="0" w:header="0"/>
        </w:sectPr>
      </w:pPr>
    </w:p>
    <w:bookmarkStart w:id="420" w:name="page421"/>
    <w:bookmarkEnd w:id="420"/>
    <w:p>
      <w:pPr>
        <w:ind w:left="380" w:hanging="310"/>
        <w:spacing w:after="0"/>
        <w:tabs>
          <w:tab w:leader="none" w:pos="380" w:val="left"/>
        </w:tabs>
        <w:numPr>
          <w:ilvl w:val="0"/>
          <w:numId w:val="43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generality of the foregoing, Executive does not release the following claims:</w:t>
      </w:r>
    </w:p>
    <w:p>
      <w:pPr>
        <w:spacing w:after="0" w:line="98" w:lineRule="exact"/>
        <w:rPr>
          <w:rFonts w:ascii="Arial" w:cs="Arial" w:eastAsia="Arial" w:hAnsi="Arial"/>
          <w:sz w:val="22"/>
          <w:szCs w:val="22"/>
          <w:color w:val="auto"/>
        </w:rPr>
      </w:pPr>
    </w:p>
    <w:p>
      <w:pPr>
        <w:ind w:left="200" w:right="120" w:firstLine="498"/>
        <w:spacing w:after="0" w:line="250" w:lineRule="auto"/>
        <w:tabs>
          <w:tab w:leader="none" w:pos="948" w:val="left"/>
        </w:tabs>
        <w:numPr>
          <w:ilvl w:val="1"/>
          <w:numId w:val="437"/>
        </w:numPr>
        <w:rPr>
          <w:rFonts w:ascii="Arial" w:cs="Arial" w:eastAsia="Arial" w:hAnsi="Arial"/>
          <w:sz w:val="22"/>
          <w:szCs w:val="22"/>
          <w:color w:val="auto"/>
        </w:rPr>
      </w:pPr>
      <w:r>
        <w:rPr>
          <w:rFonts w:ascii="Arial" w:cs="Arial" w:eastAsia="Arial" w:hAnsi="Arial"/>
          <w:sz w:val="22"/>
          <w:szCs w:val="22"/>
          <w:color w:val="auto"/>
        </w:rPr>
        <w:t>Claims for unemployment compensation or any state disability insurance benefits pursuant to the terms of applicable state law;</w:t>
      </w:r>
    </w:p>
    <w:p>
      <w:pPr>
        <w:spacing w:after="0" w:line="66" w:lineRule="exact"/>
        <w:rPr>
          <w:rFonts w:ascii="Arial" w:cs="Arial" w:eastAsia="Arial" w:hAnsi="Arial"/>
          <w:sz w:val="22"/>
          <w:szCs w:val="22"/>
          <w:color w:val="auto"/>
        </w:rPr>
      </w:pPr>
    </w:p>
    <w:p>
      <w:pPr>
        <w:ind w:left="200" w:right="300" w:firstLine="498"/>
        <w:spacing w:after="0" w:line="250" w:lineRule="auto"/>
        <w:tabs>
          <w:tab w:leader="none" w:pos="1008" w:val="left"/>
        </w:tabs>
        <w:numPr>
          <w:ilvl w:val="1"/>
          <w:numId w:val="437"/>
        </w:numPr>
        <w:rPr>
          <w:rFonts w:ascii="Arial" w:cs="Arial" w:eastAsia="Arial" w:hAnsi="Arial"/>
          <w:sz w:val="22"/>
          <w:szCs w:val="22"/>
          <w:color w:val="auto"/>
        </w:rPr>
      </w:pPr>
      <w:r>
        <w:rPr>
          <w:rFonts w:ascii="Arial" w:cs="Arial" w:eastAsia="Arial" w:hAnsi="Arial"/>
          <w:sz w:val="22"/>
          <w:szCs w:val="22"/>
          <w:color w:val="auto"/>
        </w:rPr>
        <w:t>Claims for workers’ compensation insurance benefits under the terms of any worker’s compensation insurance policy or fund of the Company;</w:t>
      </w:r>
    </w:p>
    <w:p>
      <w:pPr>
        <w:spacing w:after="0" w:line="66" w:lineRule="exact"/>
        <w:rPr>
          <w:rFonts w:ascii="Arial" w:cs="Arial" w:eastAsia="Arial" w:hAnsi="Arial"/>
          <w:sz w:val="22"/>
          <w:szCs w:val="22"/>
          <w:color w:val="auto"/>
        </w:rPr>
      </w:pPr>
    </w:p>
    <w:p>
      <w:pPr>
        <w:ind w:left="200" w:firstLine="498"/>
        <w:spacing w:after="0" w:line="250" w:lineRule="auto"/>
        <w:tabs>
          <w:tab w:leader="none" w:pos="1068" w:val="left"/>
        </w:tabs>
        <w:numPr>
          <w:ilvl w:val="1"/>
          <w:numId w:val="437"/>
        </w:numPr>
        <w:rPr>
          <w:rFonts w:ascii="Arial" w:cs="Arial" w:eastAsia="Arial" w:hAnsi="Arial"/>
          <w:sz w:val="22"/>
          <w:szCs w:val="22"/>
          <w:color w:val="auto"/>
        </w:rPr>
      </w:pPr>
      <w:r>
        <w:rPr>
          <w:rFonts w:ascii="Arial" w:cs="Arial" w:eastAsia="Arial" w:hAnsi="Arial"/>
          <w:sz w:val="22"/>
          <w:szCs w:val="22"/>
          <w:color w:val="auto"/>
        </w:rPr>
        <w:t>Claims to continued participation in certain of the Company’s group benefit plans pursuant to the terms and conditions of COBRA;</w:t>
      </w:r>
    </w:p>
    <w:p>
      <w:pPr>
        <w:spacing w:after="0" w:line="66" w:lineRule="exact"/>
        <w:rPr>
          <w:rFonts w:ascii="Arial" w:cs="Arial" w:eastAsia="Arial" w:hAnsi="Arial"/>
          <w:sz w:val="22"/>
          <w:szCs w:val="22"/>
          <w:color w:val="auto"/>
        </w:rPr>
      </w:pPr>
    </w:p>
    <w:p>
      <w:pPr>
        <w:ind w:left="200" w:right="80" w:firstLine="498"/>
        <w:spacing w:after="0" w:line="250" w:lineRule="auto"/>
        <w:tabs>
          <w:tab w:leader="none" w:pos="1056" w:val="left"/>
        </w:tabs>
        <w:numPr>
          <w:ilvl w:val="1"/>
          <w:numId w:val="437"/>
        </w:numPr>
        <w:rPr>
          <w:rFonts w:ascii="Arial" w:cs="Arial" w:eastAsia="Arial" w:hAnsi="Arial"/>
          <w:sz w:val="22"/>
          <w:szCs w:val="22"/>
          <w:color w:val="auto"/>
        </w:rPr>
      </w:pPr>
      <w:r>
        <w:rPr>
          <w:rFonts w:ascii="Arial" w:cs="Arial" w:eastAsia="Arial" w:hAnsi="Arial"/>
          <w:sz w:val="22"/>
          <w:szCs w:val="22"/>
          <w:color w:val="auto"/>
        </w:rPr>
        <w:t>Claims to any benefit entitlements vested as the date of Executive’s employment termination, pursuant to written terms of any Company employee benefit plan;</w:t>
      </w:r>
    </w:p>
    <w:p>
      <w:pPr>
        <w:spacing w:after="0" w:line="66" w:lineRule="exact"/>
        <w:rPr>
          <w:rFonts w:ascii="Arial" w:cs="Arial" w:eastAsia="Arial" w:hAnsi="Arial"/>
          <w:sz w:val="22"/>
          <w:szCs w:val="22"/>
          <w:color w:val="auto"/>
        </w:rPr>
      </w:pPr>
    </w:p>
    <w:p>
      <w:pPr>
        <w:ind w:left="200" w:right="320" w:firstLine="498"/>
        <w:spacing w:after="0" w:line="326" w:lineRule="auto"/>
        <w:tabs>
          <w:tab w:leader="none" w:pos="996" w:val="left"/>
        </w:tabs>
        <w:numPr>
          <w:ilvl w:val="1"/>
          <w:numId w:val="437"/>
        </w:numPr>
        <w:rPr>
          <w:rFonts w:ascii="Arial" w:cs="Arial" w:eastAsia="Arial" w:hAnsi="Arial"/>
          <w:sz w:val="19"/>
          <w:szCs w:val="19"/>
          <w:color w:val="auto"/>
        </w:rPr>
      </w:pPr>
      <w:r>
        <w:rPr>
          <w:rFonts w:ascii="Arial" w:cs="Arial" w:eastAsia="Arial" w:hAnsi="Arial"/>
          <w:sz w:val="19"/>
          <w:szCs w:val="19"/>
          <w:color w:val="auto"/>
        </w:rPr>
        <w:t>Claims for indemnification under any indemnification agreement with the Company, the Company’s Articles of Association, California Labor Code Section 2802 or any other applicable law; and</w:t>
      </w:r>
    </w:p>
    <w:p>
      <w:pPr>
        <w:ind w:left="200" w:firstLine="498"/>
        <w:spacing w:after="0"/>
        <w:tabs>
          <w:tab w:leader="none" w:pos="1056" w:val="left"/>
        </w:tabs>
        <w:numPr>
          <w:ilvl w:val="1"/>
          <w:numId w:val="437"/>
        </w:numPr>
        <w:rPr>
          <w:rFonts w:ascii="Arial" w:cs="Arial" w:eastAsia="Arial" w:hAnsi="Arial"/>
          <w:sz w:val="22"/>
          <w:szCs w:val="22"/>
          <w:color w:val="auto"/>
        </w:rPr>
      </w:pPr>
      <w:r>
        <w:rPr>
          <w:rFonts w:ascii="Arial" w:cs="Arial" w:eastAsia="Arial" w:hAnsi="Arial"/>
          <w:sz w:val="22"/>
          <w:szCs w:val="22"/>
          <w:color w:val="auto"/>
        </w:rPr>
        <w:t xml:space="preserve">Executive’s right to bring to the attention of the Equal Employment Opportunity Commission claims of discrimination;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does release Executive’s right to secure any damages for alleged discriminatory treatment.</w:t>
      </w:r>
    </w:p>
    <w:p>
      <w:pPr>
        <w:spacing w:after="0" w:line="78" w:lineRule="exact"/>
        <w:rPr>
          <w:rFonts w:ascii="Arial" w:cs="Arial" w:eastAsia="Arial" w:hAnsi="Arial"/>
          <w:sz w:val="22"/>
          <w:szCs w:val="22"/>
          <w:color w:val="auto"/>
        </w:rPr>
      </w:pPr>
    </w:p>
    <w:p>
      <w:pPr>
        <w:ind w:left="-460" w:right="600" w:firstLine="530"/>
        <w:spacing w:after="0" w:line="250" w:lineRule="auto"/>
        <w:tabs>
          <w:tab w:leader="none" w:pos="357" w:val="left"/>
        </w:tabs>
        <w:numPr>
          <w:ilvl w:val="0"/>
          <w:numId w:val="437"/>
        </w:numPr>
        <w:rPr>
          <w:rFonts w:ascii="Arial" w:cs="Arial" w:eastAsia="Arial" w:hAnsi="Arial"/>
          <w:sz w:val="22"/>
          <w:szCs w:val="22"/>
          <w:color w:val="auto"/>
        </w:rPr>
      </w:pPr>
      <w:r>
        <w:rPr>
          <w:rFonts w:ascii="Arial" w:cs="Arial" w:eastAsia="Arial" w:hAnsi="Arial"/>
          <w:sz w:val="22"/>
          <w:szCs w:val="22"/>
          <w:color w:val="auto"/>
        </w:rPr>
        <w:t>In accordance with the Older Workers Benefit Protection Act of 1990, Executive has been advised of the following:</w:t>
      </w:r>
    </w:p>
    <w:p>
      <w:pPr>
        <w:spacing w:after="0" w:line="66" w:lineRule="exact"/>
        <w:rPr>
          <w:rFonts w:ascii="Arial" w:cs="Arial" w:eastAsia="Arial" w:hAnsi="Arial"/>
          <w:sz w:val="22"/>
          <w:szCs w:val="22"/>
          <w:color w:val="auto"/>
        </w:rPr>
      </w:pPr>
    </w:p>
    <w:p>
      <w:pPr>
        <w:ind w:left="960" w:hanging="262"/>
        <w:spacing w:after="0"/>
        <w:tabs>
          <w:tab w:leader="none" w:pos="960" w:val="left"/>
        </w:tabs>
        <w:numPr>
          <w:ilvl w:val="1"/>
          <w:numId w:val="437"/>
        </w:numPr>
        <w:rPr>
          <w:rFonts w:ascii="Arial" w:cs="Arial" w:eastAsia="Arial" w:hAnsi="Arial"/>
          <w:sz w:val="22"/>
          <w:szCs w:val="22"/>
          <w:color w:val="auto"/>
        </w:rPr>
      </w:pPr>
      <w:r>
        <w:rPr>
          <w:rFonts w:ascii="Arial" w:cs="Arial" w:eastAsia="Arial" w:hAnsi="Arial"/>
          <w:sz w:val="22"/>
          <w:szCs w:val="22"/>
          <w:color w:val="auto"/>
        </w:rPr>
        <w:t>Executive has the right to consult with an attorney before signing this Release;</w:t>
      </w:r>
    </w:p>
    <w:p>
      <w:pPr>
        <w:spacing w:after="0" w:line="98" w:lineRule="exact"/>
        <w:rPr>
          <w:rFonts w:ascii="Arial" w:cs="Arial" w:eastAsia="Arial" w:hAnsi="Arial"/>
          <w:sz w:val="22"/>
          <w:szCs w:val="22"/>
          <w:color w:val="auto"/>
        </w:rPr>
      </w:pPr>
    </w:p>
    <w:p>
      <w:pPr>
        <w:ind w:left="1020" w:hanging="322"/>
        <w:spacing w:after="0"/>
        <w:tabs>
          <w:tab w:leader="none" w:pos="1020" w:val="left"/>
        </w:tabs>
        <w:numPr>
          <w:ilvl w:val="1"/>
          <w:numId w:val="437"/>
        </w:numPr>
        <w:rPr>
          <w:rFonts w:ascii="Arial" w:cs="Arial" w:eastAsia="Arial" w:hAnsi="Arial"/>
          <w:sz w:val="22"/>
          <w:szCs w:val="22"/>
          <w:color w:val="auto"/>
        </w:rPr>
      </w:pPr>
      <w:r>
        <w:rPr>
          <w:rFonts w:ascii="Arial" w:cs="Arial" w:eastAsia="Arial" w:hAnsi="Arial"/>
          <w:sz w:val="22"/>
          <w:szCs w:val="22"/>
          <w:color w:val="auto"/>
        </w:rPr>
        <w:t>Executive has been given at least [twenty-one (21)] days to consider this Release;</w:t>
      </w:r>
    </w:p>
    <w:p>
      <w:pPr>
        <w:spacing w:after="0" w:line="98" w:lineRule="exact"/>
        <w:rPr>
          <w:rFonts w:ascii="Arial" w:cs="Arial" w:eastAsia="Arial" w:hAnsi="Arial"/>
          <w:sz w:val="22"/>
          <w:szCs w:val="22"/>
          <w:color w:val="auto"/>
        </w:rPr>
      </w:pPr>
    </w:p>
    <w:p>
      <w:pPr>
        <w:ind w:left="200" w:right="100" w:firstLine="498"/>
        <w:spacing w:after="0" w:line="282" w:lineRule="auto"/>
        <w:tabs>
          <w:tab w:leader="none" w:pos="1068" w:val="left"/>
        </w:tabs>
        <w:numPr>
          <w:ilvl w:val="1"/>
          <w:numId w:val="437"/>
        </w:numPr>
        <w:rPr>
          <w:rFonts w:ascii="Arial" w:cs="Arial" w:eastAsia="Arial" w:hAnsi="Arial"/>
          <w:sz w:val="19"/>
          <w:szCs w:val="19"/>
          <w:color w:val="auto"/>
        </w:rPr>
      </w:pPr>
      <w:r>
        <w:rPr>
          <w:rFonts w:ascii="Arial" w:cs="Arial" w:eastAsia="Arial" w:hAnsi="Arial"/>
          <w:sz w:val="19"/>
          <w:szCs w:val="19"/>
          <w:color w:val="auto"/>
        </w:rPr>
        <w:t>Executive has seven (7) days after signing this Release to revoke it, and Executive will not receive the severance benefits provided by that certain Employment Agreement between the Parties (the “</w:t>
      </w:r>
      <w:r>
        <w:rPr>
          <w:rFonts w:ascii="Arial" w:cs="Arial" w:eastAsia="Arial" w:hAnsi="Arial"/>
          <w:sz w:val="19"/>
          <w:szCs w:val="19"/>
          <w:b w:val="1"/>
          <w:bCs w:val="1"/>
          <w:i w:val="1"/>
          <w:iCs w:val="1"/>
          <w:color w:val="auto"/>
        </w:rPr>
        <w:t>Employment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unless and until such seven (7) day period has expired. If Executive wishes to revoke this Release,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must deliver notice of Executive’s revocation in writing, no later than 11:59 p.m. Pacific Time on the 7th day following Executive’s execution of this Release to [_________].</w:t>
      </w:r>
    </w:p>
    <w:p>
      <w:pPr>
        <w:spacing w:after="0" w:line="8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000"/>
          </w:cols>
          <w:pgMar w:left="1440" w:top="266" w:right="459" w:bottom="1440" w:gutter="0" w:footer="0" w:header="0"/>
        </w:sectPr>
      </w:pPr>
    </w:p>
    <w:bookmarkStart w:id="421" w:name="page422"/>
    <w:bookmarkEnd w:id="421"/>
    <w:p>
      <w:pPr>
        <w:ind w:left="540" w:right="260" w:firstLine="530"/>
        <w:spacing w:after="0" w:line="328" w:lineRule="auto"/>
        <w:tabs>
          <w:tab w:leader="none" w:pos="1369" w:val="left"/>
        </w:tabs>
        <w:numPr>
          <w:ilvl w:val="0"/>
          <w:numId w:val="43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ACKNOWLEDGES THAT EXECUTIVE HAS BEEN ADVISED OF AND IS FAMILIAR WITH THE PROVISIONS OF CALIFORNIA CIVIL CODE SECTION 1542, WHICH PROVIDES AS FOLLOWS:</w:t>
      </w:r>
    </w:p>
    <w:p>
      <w:pPr>
        <w:spacing w:after="0" w:line="207" w:lineRule="exact"/>
        <w:rPr>
          <w:sz w:val="20"/>
          <w:szCs w:val="20"/>
          <w:color w:val="auto"/>
        </w:rPr>
      </w:pPr>
    </w:p>
    <w:p>
      <w:pPr>
        <w:ind w:left="540" w:right="300"/>
        <w:spacing w:after="0" w:line="239" w:lineRule="auto"/>
        <w:rPr>
          <w:sz w:val="20"/>
          <w:szCs w:val="20"/>
          <w:color w:val="auto"/>
        </w:rPr>
      </w:pPr>
      <w:r>
        <w:rPr>
          <w:rFonts w:ascii="Arial" w:cs="Arial" w:eastAsia="Arial" w:hAnsi="Arial"/>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8" w:lineRule="exact"/>
        <w:rPr>
          <w:sz w:val="20"/>
          <w:szCs w:val="20"/>
          <w:color w:val="auto"/>
        </w:rPr>
      </w:pPr>
    </w:p>
    <w:p>
      <w:pPr>
        <w:ind w:left="540" w:right="100"/>
        <w:spacing w:after="0"/>
        <w:rPr>
          <w:sz w:val="20"/>
          <w:szCs w:val="20"/>
          <w:color w:val="auto"/>
        </w:rPr>
      </w:pPr>
      <w:r>
        <w:rPr>
          <w:rFonts w:ascii="Arial" w:cs="Arial" w:eastAsia="Arial" w:hAnsi="Arial"/>
          <w:sz w:val="22"/>
          <w:szCs w:val="22"/>
          <w:color w:val="auto"/>
        </w:rPr>
        <w:t>BEING AWARE OF SAID CODE SECTION, EXECUTIVE HEREBY EXPRESSLY WAIVES ANY RIGHTS EXECUTIVE MAY HAVE THEREUNDER, AS WELL AS UNDER ANY OTHER STATUTES OR COMMON LAW PRINCIPLES OF SIMILAR EFFECT.</w:t>
      </w:r>
    </w:p>
    <w:p>
      <w:pPr>
        <w:spacing w:after="0" w:line="78" w:lineRule="exact"/>
        <w:rPr>
          <w:sz w:val="20"/>
          <w:szCs w:val="20"/>
          <w:color w:val="auto"/>
        </w:rPr>
      </w:pPr>
    </w:p>
    <w:p>
      <w:pPr>
        <w:ind w:left="1420" w:hanging="212"/>
        <w:spacing w:after="0"/>
        <w:tabs>
          <w:tab w:leader="none" w:pos="1420" w:val="left"/>
        </w:tabs>
        <w:numPr>
          <w:ilvl w:val="0"/>
          <w:numId w:val="439"/>
        </w:numPr>
        <w:rPr>
          <w:rFonts w:ascii="Arial" w:cs="Arial" w:eastAsia="Arial" w:hAnsi="Arial"/>
          <w:sz w:val="22"/>
          <w:szCs w:val="22"/>
          <w:color w:val="auto"/>
        </w:rPr>
      </w:pPr>
      <w:r>
        <w:rPr>
          <w:rFonts w:ascii="Arial" w:cs="Arial" w:eastAsia="Arial" w:hAnsi="Arial"/>
          <w:sz w:val="22"/>
          <w:szCs w:val="22"/>
          <w:u w:val="single" w:color="auto"/>
          <w:color w:val="auto"/>
        </w:rPr>
        <w:t>Executive Representations</w:t>
      </w:r>
      <w:r>
        <w:rPr>
          <w:rFonts w:ascii="Arial" w:cs="Arial" w:eastAsia="Arial" w:hAnsi="Arial"/>
          <w:sz w:val="22"/>
          <w:szCs w:val="22"/>
          <w:color w:val="auto"/>
        </w:rPr>
        <w:t>. Executive represents and warrants that:</w:t>
      </w:r>
    </w:p>
    <w:p>
      <w:pPr>
        <w:spacing w:after="0" w:line="102" w:lineRule="exact"/>
        <w:rPr>
          <w:rFonts w:ascii="Arial" w:cs="Arial" w:eastAsia="Arial" w:hAnsi="Arial"/>
          <w:sz w:val="22"/>
          <w:szCs w:val="22"/>
          <w:color w:val="auto"/>
        </w:rPr>
      </w:pPr>
    </w:p>
    <w:p>
      <w:pPr>
        <w:ind w:left="1860" w:hanging="267"/>
        <w:spacing w:after="0"/>
        <w:tabs>
          <w:tab w:leader="none" w:pos="1860" w:val="left"/>
        </w:tabs>
        <w:numPr>
          <w:ilvl w:val="1"/>
          <w:numId w:val="439"/>
        </w:numPr>
        <w:rPr>
          <w:rFonts w:ascii="Arial" w:cs="Arial" w:eastAsia="Arial" w:hAnsi="Arial"/>
          <w:sz w:val="20"/>
          <w:szCs w:val="20"/>
          <w:color w:val="auto"/>
        </w:rPr>
      </w:pPr>
      <w:r>
        <w:rPr>
          <w:rFonts w:ascii="Arial" w:cs="Arial" w:eastAsia="Arial" w:hAnsi="Arial"/>
          <w:sz w:val="20"/>
          <w:szCs w:val="20"/>
          <w:color w:val="auto"/>
        </w:rPr>
        <w:t>Executive has returned to the Company all Company property in Executive’s possession;</w:t>
      </w:r>
    </w:p>
    <w:p>
      <w:pPr>
        <w:spacing w:after="0" w:line="107" w:lineRule="exact"/>
        <w:rPr>
          <w:rFonts w:ascii="Arial" w:cs="Arial" w:eastAsia="Arial" w:hAnsi="Arial"/>
          <w:sz w:val="20"/>
          <w:szCs w:val="20"/>
          <w:color w:val="auto"/>
        </w:rPr>
      </w:pPr>
    </w:p>
    <w:p>
      <w:pPr>
        <w:jc w:val="both"/>
        <w:ind w:left="540" w:right="360" w:firstLine="1053"/>
        <w:spacing w:after="0" w:line="342" w:lineRule="auto"/>
        <w:tabs>
          <w:tab w:leader="none" w:pos="1867" w:val="left"/>
        </w:tabs>
        <w:numPr>
          <w:ilvl w:val="1"/>
          <w:numId w:val="439"/>
        </w:numPr>
        <w:rPr>
          <w:rFonts w:ascii="Arial" w:cs="Arial" w:eastAsia="Arial" w:hAnsi="Arial"/>
          <w:sz w:val="16"/>
          <w:szCs w:val="16"/>
          <w:color w:val="auto"/>
        </w:rPr>
      </w:pPr>
      <w:r>
        <w:rPr>
          <w:rFonts w:ascii="Arial" w:cs="Arial" w:eastAsia="Arial" w:hAnsi="Arial"/>
          <w:sz w:val="16"/>
          <w:szCs w:val="16"/>
          <w:color w:val="auto"/>
        </w:rPr>
        <w:t>Executive is not owed wages, commissions, bonuses or other compensation from the Company (other than any other benefits recognized under law), other than wages through the date of the termination of Executive’s employment and any accrued, unused vacation earned through such date, and any payments that become due under the Employment Agreement;</w:t>
      </w:r>
    </w:p>
    <w:p>
      <w:pPr>
        <w:spacing w:after="0" w:line="9" w:lineRule="exact"/>
        <w:rPr>
          <w:rFonts w:ascii="Arial" w:cs="Arial" w:eastAsia="Arial" w:hAnsi="Arial"/>
          <w:sz w:val="16"/>
          <w:szCs w:val="16"/>
          <w:color w:val="auto"/>
        </w:rPr>
      </w:pPr>
    </w:p>
    <w:p>
      <w:pPr>
        <w:ind w:left="540" w:right="80" w:firstLine="1053"/>
        <w:spacing w:after="0" w:line="291" w:lineRule="auto"/>
        <w:tabs>
          <w:tab w:leader="none" w:pos="1855" w:val="left"/>
        </w:tabs>
        <w:numPr>
          <w:ilvl w:val="1"/>
          <w:numId w:val="439"/>
        </w:numPr>
        <w:rPr>
          <w:rFonts w:ascii="Arial" w:cs="Arial" w:eastAsia="Arial" w:hAnsi="Arial"/>
          <w:sz w:val="18"/>
          <w:szCs w:val="18"/>
          <w:color w:val="auto"/>
        </w:rPr>
      </w:pPr>
      <w:r>
        <w:rPr>
          <w:rFonts w:ascii="Arial" w:cs="Arial" w:eastAsia="Arial" w:hAnsi="Arial"/>
          <w:sz w:val="18"/>
          <w:szCs w:val="18"/>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43" w:lineRule="exact"/>
        <w:rPr>
          <w:rFonts w:ascii="Arial" w:cs="Arial" w:eastAsia="Arial" w:hAnsi="Arial"/>
          <w:sz w:val="18"/>
          <w:szCs w:val="18"/>
          <w:color w:val="auto"/>
        </w:rPr>
      </w:pPr>
    </w:p>
    <w:p>
      <w:pPr>
        <w:ind w:left="540" w:right="480" w:firstLine="1053"/>
        <w:spacing w:after="0" w:line="316" w:lineRule="auto"/>
        <w:tabs>
          <w:tab w:leader="none" w:pos="1867" w:val="left"/>
        </w:tabs>
        <w:numPr>
          <w:ilvl w:val="1"/>
          <w:numId w:val="439"/>
        </w:numPr>
        <w:rPr>
          <w:rFonts w:ascii="Arial" w:cs="Arial" w:eastAsia="Arial" w:hAnsi="Arial"/>
          <w:sz w:val="18"/>
          <w:szCs w:val="18"/>
          <w:color w:val="auto"/>
        </w:rPr>
      </w:pPr>
      <w:r>
        <w:rPr>
          <w:rFonts w:ascii="Arial" w:cs="Arial" w:eastAsia="Arial" w:hAnsi="Arial"/>
          <w:sz w:val="18"/>
          <w:szCs w:val="18"/>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17" w:lineRule="exact"/>
        <w:rPr>
          <w:rFonts w:ascii="Arial" w:cs="Arial" w:eastAsia="Arial" w:hAnsi="Arial"/>
          <w:sz w:val="18"/>
          <w:szCs w:val="18"/>
          <w:color w:val="auto"/>
        </w:rPr>
      </w:pPr>
    </w:p>
    <w:p>
      <w:pPr>
        <w:ind w:right="1140" w:firstLine="1208"/>
        <w:spacing w:after="0" w:line="250" w:lineRule="auto"/>
        <w:tabs>
          <w:tab w:leader="none" w:pos="1428" w:val="left"/>
        </w:tabs>
        <w:numPr>
          <w:ilvl w:val="0"/>
          <w:numId w:val="43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Release are severable. If any provision is held to be invalid or unenforceable, it shall not affect the validity or enforceability of any other provision.</w:t>
      </w:r>
    </w:p>
    <w:p>
      <w:pPr>
        <w:spacing w:after="0" w:line="66" w:lineRule="exact"/>
        <w:rPr>
          <w:rFonts w:ascii="Arial" w:cs="Arial" w:eastAsia="Arial" w:hAnsi="Arial"/>
          <w:sz w:val="22"/>
          <w:szCs w:val="22"/>
          <w:color w:val="auto"/>
        </w:rPr>
      </w:pPr>
    </w:p>
    <w:p>
      <w:pPr>
        <w:ind w:firstLine="1208"/>
        <w:spacing w:after="0"/>
        <w:tabs>
          <w:tab w:leader="none" w:pos="1428" w:val="left"/>
        </w:tabs>
        <w:numPr>
          <w:ilvl w:val="0"/>
          <w:numId w:val="439"/>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Release shall in all respects be governed and construed in accordance with the laws of the State of New Jersey, including all matters of construction, validity and performance, without regard to conflicts of law principles.</w:t>
      </w:r>
    </w:p>
    <w:p>
      <w:pPr>
        <w:spacing w:after="0" w:line="78" w:lineRule="exact"/>
        <w:rPr>
          <w:rFonts w:ascii="Arial" w:cs="Arial" w:eastAsia="Arial" w:hAnsi="Arial"/>
          <w:sz w:val="22"/>
          <w:szCs w:val="22"/>
          <w:color w:val="auto"/>
        </w:rPr>
      </w:pPr>
    </w:p>
    <w:p>
      <w:pPr>
        <w:ind w:right="160" w:firstLine="1208"/>
        <w:spacing w:after="0" w:line="287" w:lineRule="auto"/>
        <w:tabs>
          <w:tab w:leader="none" w:pos="1428" w:val="left"/>
        </w:tabs>
        <w:numPr>
          <w:ilvl w:val="0"/>
          <w:numId w:val="439"/>
        </w:numPr>
        <w:rPr>
          <w:rFonts w:ascii="Arial" w:cs="Arial" w:eastAsia="Arial" w:hAnsi="Arial"/>
          <w:sz w:val="19"/>
          <w:szCs w:val="19"/>
          <w:color w:val="auto"/>
        </w:rPr>
      </w:pPr>
      <w:r>
        <w:rPr>
          <w:rFonts w:ascii="Arial" w:cs="Arial" w:eastAsia="Arial" w:hAnsi="Arial"/>
          <w:sz w:val="19"/>
          <w:szCs w:val="19"/>
          <w:u w:val="single" w:color="auto"/>
          <w:color w:val="auto"/>
        </w:rPr>
        <w:t>Integration Clause</w:t>
      </w:r>
      <w:r>
        <w:rPr>
          <w:rFonts w:ascii="Arial" w:cs="Arial" w:eastAsia="Arial" w:hAnsi="Arial"/>
          <w:sz w:val="19"/>
          <w:szCs w:val="19"/>
          <w:color w:val="auto"/>
        </w:rPr>
        <w:t>. This Release and the Employment Agreement contain the Parties’ entire agreement with regard to the separation of Executive’s employment, and supersede and replace any prior agreements as to those matters, whether oral or written. This Release may not be changed or modified, in whole or in part, except by an instrument in writing signed by Executive and a duly authorized officer or director of the Company.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00"/>
          </w:cols>
          <w:pgMar w:left="440" w:top="266" w:right="459" w:bottom="1440" w:gutter="0" w:footer="0" w:header="0"/>
        </w:sectPr>
      </w:pPr>
    </w:p>
    <w:bookmarkStart w:id="422" w:name="page423"/>
    <w:bookmarkEnd w:id="422"/>
    <w:p>
      <w:pPr>
        <w:ind w:right="440" w:firstLine="1208"/>
        <w:spacing w:after="0"/>
        <w:tabs>
          <w:tab w:leader="none" w:pos="1428" w:val="left"/>
        </w:tabs>
        <w:numPr>
          <w:ilvl w:val="0"/>
          <w:numId w:val="440"/>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in Counterparts</w:t>
      </w:r>
      <w:r>
        <w:rPr>
          <w:rFonts w:ascii="Arial" w:cs="Arial" w:eastAsia="Arial" w:hAnsi="Arial"/>
          <w:sz w:val="22"/>
          <w:szCs w:val="22"/>
          <w:color w:val="auto"/>
        </w:rPr>
        <w:t>. This Release may be executed in counterparts with the same force and effectiveness as though executed in a single document. Facsimile signatures shall have the same force and effectiveness as original signatures.</w:t>
      </w:r>
    </w:p>
    <w:p>
      <w:pPr>
        <w:spacing w:after="0" w:line="78" w:lineRule="exact"/>
        <w:rPr>
          <w:rFonts w:ascii="Arial" w:cs="Arial" w:eastAsia="Arial" w:hAnsi="Arial"/>
          <w:sz w:val="22"/>
          <w:szCs w:val="22"/>
          <w:color w:val="auto"/>
        </w:rPr>
      </w:pPr>
    </w:p>
    <w:p>
      <w:pPr>
        <w:ind w:firstLine="1208"/>
        <w:spacing w:after="0" w:line="250" w:lineRule="auto"/>
        <w:tabs>
          <w:tab w:leader="none" w:pos="1428" w:val="left"/>
        </w:tabs>
        <w:numPr>
          <w:ilvl w:val="0"/>
          <w:numId w:val="440"/>
        </w:numPr>
        <w:rPr>
          <w:rFonts w:ascii="Arial" w:cs="Arial" w:eastAsia="Arial" w:hAnsi="Arial"/>
          <w:sz w:val="22"/>
          <w:szCs w:val="22"/>
          <w:color w:val="auto"/>
        </w:rPr>
      </w:pPr>
      <w:r>
        <w:rPr>
          <w:rFonts w:ascii="Arial" w:cs="Arial" w:eastAsia="Arial" w:hAnsi="Arial"/>
          <w:sz w:val="22"/>
          <w:szCs w:val="22"/>
          <w:u w:val="single" w:color="auto"/>
          <w:color w:val="auto"/>
        </w:rPr>
        <w:t>Intent to be Bound</w:t>
      </w:r>
      <w:r>
        <w:rPr>
          <w:rFonts w:ascii="Arial" w:cs="Arial" w:eastAsia="Arial" w:hAnsi="Arial"/>
          <w:sz w:val="22"/>
          <w:szCs w:val="22"/>
          <w:color w:val="auto"/>
        </w:rPr>
        <w:t>. The Parties have carefully read this Release in its entirety; fully understand and agree to its terms and provisions; and intend and agree that it is final and binding on all Parties.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00"/>
          </w:cols>
          <w:pgMar w:left="440" w:top="266" w:right="459" w:bottom="1440" w:gutter="0" w:footer="0" w:header="0"/>
        </w:sectPr>
      </w:pPr>
    </w:p>
    <w:bookmarkStart w:id="423" w:name="page424"/>
    <w:bookmarkEnd w:id="423"/>
    <w:p>
      <w:pPr>
        <w:ind w:firstLine="551"/>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and intending to be legally bound, the Parties have executed the foregoing on the dates shown below.</w:t>
      </w:r>
    </w:p>
    <w:p>
      <w:pPr>
        <w:spacing w:after="0" w:line="202" w:lineRule="exact"/>
        <w:rPr>
          <w:sz w:val="20"/>
          <w:szCs w:val="20"/>
          <w:color w:val="auto"/>
        </w:rPr>
      </w:pPr>
    </w:p>
    <w:p>
      <w:pPr>
        <w:spacing w:after="0"/>
        <w:tabs>
          <w:tab w:leader="none" w:pos="6140" w:val="left"/>
        </w:tabs>
        <w:rPr>
          <w:sz w:val="20"/>
          <w:szCs w:val="20"/>
          <w:color w:val="auto"/>
        </w:rPr>
      </w:pPr>
      <w:r>
        <w:rPr>
          <w:rFonts w:ascii="Arial" w:cs="Arial" w:eastAsia="Arial" w:hAnsi="Arial"/>
          <w:sz w:val="22"/>
          <w:szCs w:val="22"/>
          <w:color w:val="auto"/>
        </w:rPr>
        <w:t>EXECUTIVE</w:t>
      </w:r>
      <w:r>
        <w:rPr>
          <w:sz w:val="20"/>
          <w:szCs w:val="20"/>
          <w:color w:val="auto"/>
        </w:rPr>
        <w:tab/>
      </w:r>
      <w:r>
        <w:rPr>
          <w:rFonts w:ascii="Arial" w:cs="Arial" w:eastAsia="Arial" w:hAnsi="Arial"/>
          <w:sz w:val="22"/>
          <w:szCs w:val="22"/>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69951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tabs>
          <w:tab w:leader="none" w:pos="6140" w:val="left"/>
        </w:tabs>
        <w:rPr>
          <w:sz w:val="20"/>
          <w:szCs w:val="20"/>
          <w:color w:val="auto"/>
        </w:rPr>
      </w:pPr>
      <w:r>
        <w:rPr>
          <w:rFonts w:ascii="Arial" w:cs="Arial" w:eastAsia="Arial" w:hAnsi="Arial"/>
          <w:sz w:val="22"/>
          <w:szCs w:val="22"/>
          <w:color w:val="auto"/>
        </w:rPr>
        <w:t>Date: ______________________</w:t>
      </w:r>
      <w:r>
        <w:rPr>
          <w:sz w:val="20"/>
          <w:szCs w:val="20"/>
          <w:color w:val="auto"/>
        </w:rPr>
        <w:tab/>
      </w:r>
      <w:r>
        <w:rPr>
          <w:rFonts w:ascii="Arial" w:cs="Arial" w:eastAsia="Arial" w:hAnsi="Arial"/>
          <w:sz w:val="19"/>
          <w:szCs w:val="19"/>
          <w:color w:val="auto"/>
        </w:rPr>
        <w:t>Date: _____________________</w:t>
      </w:r>
    </w:p>
    <w:p>
      <w:pPr>
        <w:spacing w:after="0" w:line="139"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440"/>
          </w:cols>
          <w:pgMar w:left="440" w:top="266" w:right="1019" w:bottom="1440" w:gutter="0" w:footer="0" w:header="0"/>
        </w:sectPr>
      </w:pPr>
    </w:p>
    <w:bookmarkStart w:id="424" w:name="page425"/>
    <w:bookmarkEnd w:id="424"/>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AGREEMENT</w:t>
      </w:r>
    </w:p>
    <w:p>
      <w:pPr>
        <w:sectPr>
          <w:pgSz w:w="11900" w:h="16838" w:orient="portrait"/>
          <w:cols w:equalWidth="0" w:num="1">
            <w:col w:w="9019"/>
          </w:cols>
          <w:pgMar w:left="1440" w:top="260" w:right="1440" w:bottom="1440" w:gutter="0" w:footer="0" w:header="0"/>
        </w:sectPr>
      </w:pPr>
    </w:p>
    <w:bookmarkStart w:id="425" w:name="page426"/>
    <w:bookmarkEnd w:id="425"/>
    <w:p>
      <w:pPr>
        <w:jc w:val="right"/>
        <w:spacing w:after="0"/>
        <w:rPr>
          <w:sz w:val="20"/>
          <w:szCs w:val="20"/>
          <w:color w:val="auto"/>
        </w:rPr>
      </w:pPr>
      <w:r>
        <w:rPr>
          <w:rFonts w:ascii="Arial" w:cs="Arial" w:eastAsia="Arial" w:hAnsi="Arial"/>
          <w:sz w:val="22"/>
          <w:szCs w:val="22"/>
          <w:b w:val="1"/>
          <w:bCs w:val="1"/>
          <w:color w:val="auto"/>
        </w:rPr>
        <w:t>Exhibit 4.39</w:t>
      </w:r>
    </w:p>
    <w:p>
      <w:pPr>
        <w:spacing w:after="0" w:line="217" w:lineRule="exact"/>
        <w:rPr>
          <w:sz w:val="20"/>
          <w:szCs w:val="20"/>
          <w:color w:val="auto"/>
        </w:rPr>
      </w:pPr>
    </w:p>
    <w:p>
      <w:pPr>
        <w:ind w:left="4"/>
        <w:spacing w:after="0"/>
        <w:rPr>
          <w:sz w:val="20"/>
          <w:szCs w:val="20"/>
          <w:color w:val="auto"/>
        </w:rPr>
      </w:pPr>
      <w:r>
        <w:rPr>
          <w:rFonts w:ascii="Arial" w:cs="Arial" w:eastAsia="Arial" w:hAnsi="Arial"/>
          <w:sz w:val="20"/>
          <w:szCs w:val="20"/>
          <w:color w:val="auto"/>
        </w:rPr>
        <w:t>THIS AMENDED AND RESTATED CONTRACT OF EMPLOYMENT dated August 2021 is made</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BETWEEN:</w:t>
      </w:r>
    </w:p>
    <w:p>
      <w:pPr>
        <w:spacing w:after="0" w:line="121" w:lineRule="exact"/>
        <w:rPr>
          <w:sz w:val="20"/>
          <w:szCs w:val="20"/>
          <w:color w:val="auto"/>
        </w:rPr>
      </w:pPr>
    </w:p>
    <w:p>
      <w:pPr>
        <w:ind w:left="644" w:right="160" w:hanging="644"/>
        <w:spacing w:after="0" w:line="267" w:lineRule="auto"/>
        <w:tabs>
          <w:tab w:leader="none" w:pos="644" w:val="left"/>
        </w:tabs>
        <w:numPr>
          <w:ilvl w:val="0"/>
          <w:numId w:val="441"/>
        </w:numPr>
        <w:rPr>
          <w:rFonts w:ascii="Arial" w:cs="Arial" w:eastAsia="Arial" w:hAnsi="Arial"/>
          <w:sz w:val="20"/>
          <w:szCs w:val="20"/>
          <w:color w:val="auto"/>
        </w:rPr>
      </w:pPr>
      <w:r>
        <w:rPr>
          <w:rFonts w:ascii="Arial" w:cs="Arial" w:eastAsia="Arial" w:hAnsi="Arial"/>
          <w:sz w:val="20"/>
          <w:szCs w:val="20"/>
          <w:b w:val="1"/>
          <w:bCs w:val="1"/>
          <w:color w:val="auto"/>
        </w:rPr>
        <w:t>MEREO BIOPHARMA GROUP PLC</w:t>
      </w:r>
      <w:r>
        <w:rPr>
          <w:rFonts w:ascii="Arial" w:cs="Arial" w:eastAsia="Arial" w:hAnsi="Arial"/>
          <w:sz w:val="20"/>
          <w:szCs w:val="20"/>
          <w:color w:val="auto"/>
        </w:rPr>
        <w:t>, (a company incorporated in England and Wales and registered under number 9481161,</w:t>
      </w:r>
      <w:r>
        <w:rPr>
          <w:rFonts w:ascii="Arial" w:cs="Arial" w:eastAsia="Arial" w:hAnsi="Arial"/>
          <w:sz w:val="20"/>
          <w:szCs w:val="20"/>
          <w:b w:val="1"/>
          <w:bCs w:val="1"/>
          <w:color w:val="auto"/>
        </w:rPr>
        <w:t xml:space="preserve"> </w:t>
      </w:r>
      <w:r>
        <w:rPr>
          <w:rFonts w:ascii="Arial" w:cs="Arial" w:eastAsia="Arial" w:hAnsi="Arial"/>
          <w:sz w:val="20"/>
          <w:szCs w:val="20"/>
          <w:color w:val="auto"/>
        </w:rPr>
        <w:t>whose registered office is at 1 Cavendish Place, London W1G 0QF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68" w:lineRule="exact"/>
        <w:rPr>
          <w:rFonts w:ascii="Arial" w:cs="Arial" w:eastAsia="Arial" w:hAnsi="Arial"/>
          <w:sz w:val="20"/>
          <w:szCs w:val="20"/>
          <w:color w:val="auto"/>
        </w:rPr>
      </w:pPr>
    </w:p>
    <w:p>
      <w:pPr>
        <w:ind w:left="644" w:hanging="644"/>
        <w:spacing w:after="0"/>
        <w:tabs>
          <w:tab w:leader="none" w:pos="644" w:val="left"/>
        </w:tabs>
        <w:numPr>
          <w:ilvl w:val="0"/>
          <w:numId w:val="441"/>
        </w:numPr>
        <w:rPr>
          <w:rFonts w:ascii="Arial" w:cs="Arial" w:eastAsia="Arial" w:hAnsi="Arial"/>
          <w:sz w:val="20"/>
          <w:szCs w:val="20"/>
          <w:color w:val="auto"/>
        </w:rPr>
      </w:pPr>
      <w:r>
        <w:rPr>
          <w:rFonts w:ascii="Arial" w:cs="Arial" w:eastAsia="Arial" w:hAnsi="Arial"/>
          <w:sz w:val="20"/>
          <w:szCs w:val="20"/>
          <w:b w:val="1"/>
          <w:bCs w:val="1"/>
          <w:color w:val="auto"/>
        </w:rPr>
        <w:t xml:space="preserve">JACKIE PARKIN </w:t>
      </w:r>
      <w:r>
        <w:rPr>
          <w:rFonts w:ascii="Arial" w:cs="Arial" w:eastAsia="Arial" w:hAnsi="Arial"/>
          <w:sz w:val="20"/>
          <w:szCs w:val="20"/>
          <w:color w:val="auto"/>
        </w:rPr>
        <w:t>of</w:t>
      </w:r>
      <w:r>
        <w:rPr>
          <w:rFonts w:ascii="Arial" w:cs="Arial" w:eastAsia="Arial" w:hAnsi="Arial"/>
          <w:sz w:val="20"/>
          <w:szCs w:val="20"/>
          <w:b w:val="1"/>
          <w:bCs w:val="1"/>
          <w:color w:val="auto"/>
        </w:rPr>
        <w:t xml:space="preserve"> </w:t>
      </w:r>
      <w:r>
        <w:rPr>
          <w:rFonts w:ascii="Arial" w:cs="Arial" w:eastAsia="Arial" w:hAnsi="Arial"/>
          <w:sz w:val="20"/>
          <w:szCs w:val="20"/>
          <w:color w:val="auto"/>
          <w:highlight w:val="black"/>
        </w:rPr>
        <w:t>8 Northbourne Road, Clapham, London SW4 7DJ</w:t>
      </w:r>
    </w:p>
    <w:p>
      <w:pPr>
        <w:spacing w:after="0" w:line="222" w:lineRule="exact"/>
        <w:rPr>
          <w:sz w:val="20"/>
          <w:szCs w:val="20"/>
          <w:color w:val="auto"/>
        </w:rPr>
      </w:pPr>
    </w:p>
    <w:p>
      <w:pPr>
        <w:ind w:left="4" w:right="240"/>
        <w:spacing w:after="0" w:line="316" w:lineRule="auto"/>
        <w:rPr>
          <w:sz w:val="20"/>
          <w:szCs w:val="20"/>
          <w:color w:val="auto"/>
        </w:rPr>
      </w:pPr>
      <w:r>
        <w:rPr>
          <w:rFonts w:ascii="Arial" w:cs="Arial" w:eastAsia="Arial" w:hAnsi="Arial"/>
          <w:sz w:val="18"/>
          <w:szCs w:val="18"/>
          <w:color w:val="auto"/>
        </w:rPr>
        <w:t>This Contract sets out the terms and conditions of your employment with the Company at the date of this Contract and supersedes all previous arrangements or agreements whether oral or in writing between you and the Company in relation to the matters dealt with in it.</w:t>
      </w:r>
    </w:p>
    <w:p>
      <w:pPr>
        <w:spacing w:after="0" w:line="272" w:lineRule="exact"/>
        <w:rPr>
          <w:sz w:val="20"/>
          <w:szCs w:val="20"/>
          <w:color w:val="auto"/>
        </w:rPr>
      </w:pPr>
    </w:p>
    <w:p>
      <w:pPr>
        <w:ind w:left="644" w:hanging="644"/>
        <w:spacing w:after="0"/>
        <w:tabs>
          <w:tab w:leader="none" w:pos="644" w:val="left"/>
        </w:tabs>
        <w:numPr>
          <w:ilvl w:val="0"/>
          <w:numId w:val="442"/>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127"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The definitions and rules of interpretation in this clause 1 apply in this Contract.</w:t>
      </w:r>
    </w:p>
    <w:p>
      <w:pPr>
        <w:spacing w:after="0" w:line="115"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b w:val="1"/>
          <w:bCs w:val="1"/>
          <w:color w:val="auto"/>
        </w:rPr>
        <w:t>Appointment</w:t>
      </w:r>
      <w:r>
        <w:rPr>
          <w:rFonts w:ascii="Arial" w:cs="Arial" w:eastAsia="Arial" w:hAnsi="Arial"/>
          <w:sz w:val="18"/>
          <w:szCs w:val="18"/>
          <w:color w:val="auto"/>
        </w:rPr>
        <w:t>: the employment of the Employee by the Company on the terms of this Contract.</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Associated Employer</w:t>
      </w:r>
      <w:r>
        <w:rPr>
          <w:rFonts w:ascii="Arial" w:cs="Arial" w:eastAsia="Arial" w:hAnsi="Arial"/>
          <w:sz w:val="16"/>
          <w:szCs w:val="16"/>
          <w:color w:val="auto"/>
        </w:rPr>
        <w:t>: has the meaning given to it in the Employment Rights Act 1996.</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b w:val="1"/>
          <w:bCs w:val="1"/>
          <w:color w:val="auto"/>
        </w:rPr>
        <w:t>Board</w:t>
      </w:r>
      <w:r>
        <w:rPr>
          <w:rFonts w:ascii="Arial" w:cs="Arial" w:eastAsia="Arial" w:hAnsi="Arial"/>
          <w:sz w:val="18"/>
          <w:szCs w:val="18"/>
          <w:color w:val="auto"/>
        </w:rPr>
        <w:t>: the board of directors of the Company (including any committee of the board duly appointed by it).</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b w:val="1"/>
          <w:bCs w:val="1"/>
          <w:color w:val="auto"/>
        </w:rPr>
        <w:t xml:space="preserve">Commencement Date </w:t>
      </w:r>
      <w:r>
        <w:rPr>
          <w:rFonts w:ascii="Arial" w:cs="Arial" w:eastAsia="Arial" w:hAnsi="Arial"/>
          <w:sz w:val="16"/>
          <w:szCs w:val="16"/>
          <w:color w:val="auto"/>
        </w:rPr>
        <w:t>26 October 2015</w:t>
      </w:r>
    </w:p>
    <w:p>
      <w:pPr>
        <w:spacing w:after="0" w:line="121" w:lineRule="exact"/>
        <w:rPr>
          <w:sz w:val="20"/>
          <w:szCs w:val="20"/>
          <w:color w:val="auto"/>
        </w:rPr>
      </w:pPr>
    </w:p>
    <w:p>
      <w:pPr>
        <w:ind w:left="1304"/>
        <w:spacing w:after="0"/>
        <w:tabs>
          <w:tab w:leader="none" w:pos="1944"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b w:val="1"/>
          <w:bCs w:val="1"/>
          <w:color w:val="auto"/>
        </w:rPr>
        <w:t>Confidential Information</w:t>
      </w:r>
      <w:r>
        <w:rPr>
          <w:rFonts w:ascii="Arial" w:cs="Arial" w:eastAsia="Arial" w:hAnsi="Arial"/>
          <w:sz w:val="18"/>
          <w:szCs w:val="18"/>
          <w:color w:val="auto"/>
        </w:rPr>
        <w:t>: all of</w:t>
      </w:r>
    </w:p>
    <w:p>
      <w:pPr>
        <w:spacing w:after="0" w:line="127" w:lineRule="exact"/>
        <w:rPr>
          <w:sz w:val="20"/>
          <w:szCs w:val="20"/>
          <w:color w:val="auto"/>
        </w:rPr>
      </w:pPr>
    </w:p>
    <w:p>
      <w:pPr>
        <w:ind w:left="2624" w:right="80" w:hanging="653"/>
        <w:spacing w:after="0" w:line="282" w:lineRule="auto"/>
        <w:tabs>
          <w:tab w:leader="none" w:pos="262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financial information relating to the Company and any Group Company including (but not limited to) management accounts, sales forecasts, dividend forecasts, profit and loss accounts and balance sheets, draft accounts, results, order schedules, profit margins, pricing strategies and other information regarding the performance or future performance of the Company or any Group Company;</w:t>
      </w:r>
    </w:p>
    <w:p>
      <w:pPr>
        <w:spacing w:after="0" w:line="66" w:lineRule="exact"/>
        <w:rPr>
          <w:rFonts w:ascii="Arial" w:cs="Arial" w:eastAsia="Arial" w:hAnsi="Arial"/>
          <w:sz w:val="18"/>
          <w:szCs w:val="18"/>
          <w:color w:val="auto"/>
        </w:rPr>
      </w:pPr>
    </w:p>
    <w:p>
      <w:pPr>
        <w:jc w:val="both"/>
        <w:ind w:left="2624" w:right="220" w:hanging="653"/>
        <w:spacing w:after="0" w:line="250" w:lineRule="auto"/>
        <w:tabs>
          <w:tab w:leader="none" w:pos="2624" w:val="left"/>
        </w:tabs>
        <w:numPr>
          <w:ilvl w:val="0"/>
          <w:numId w:val="443"/>
        </w:numPr>
        <w:rPr>
          <w:rFonts w:ascii="Arial" w:cs="Arial" w:eastAsia="Arial" w:hAnsi="Arial"/>
          <w:sz w:val="20"/>
          <w:szCs w:val="20"/>
          <w:color w:val="auto"/>
        </w:rPr>
      </w:pPr>
      <w:r>
        <w:rPr>
          <w:rFonts w:ascii="Arial" w:cs="Arial" w:eastAsia="Arial" w:hAnsi="Arial"/>
          <w:sz w:val="20"/>
          <w:szCs w:val="20"/>
          <w:color w:val="auto"/>
        </w:rPr>
        <w:t>client or customer lists and contact lists, details of the terms of business with, the fees and commissions charged to or by and the requirements of customers or clients, prospective customers or clients, buyers, and suppliers of the Company or any Group Company;</w:t>
      </w:r>
    </w:p>
    <w:p>
      <w:pPr>
        <w:spacing w:after="0" w:line="91" w:lineRule="exact"/>
        <w:rPr>
          <w:rFonts w:ascii="Arial" w:cs="Arial" w:eastAsia="Arial" w:hAnsi="Arial"/>
          <w:sz w:val="20"/>
          <w:szCs w:val="20"/>
          <w:color w:val="auto"/>
        </w:rPr>
      </w:pPr>
    </w:p>
    <w:p>
      <w:pPr>
        <w:ind w:left="2624" w:right="60" w:hanging="653"/>
        <w:spacing w:after="0" w:line="250" w:lineRule="auto"/>
        <w:tabs>
          <w:tab w:leader="none" w:pos="2624" w:val="left"/>
        </w:tabs>
        <w:numPr>
          <w:ilvl w:val="0"/>
          <w:numId w:val="443"/>
        </w:numPr>
        <w:rPr>
          <w:rFonts w:ascii="Arial" w:cs="Arial" w:eastAsia="Arial" w:hAnsi="Arial"/>
          <w:sz w:val="20"/>
          <w:szCs w:val="20"/>
          <w:color w:val="auto"/>
        </w:rPr>
      </w:pPr>
      <w:r>
        <w:rPr>
          <w:rFonts w:ascii="Arial" w:cs="Arial" w:eastAsia="Arial" w:hAnsi="Arial"/>
          <w:sz w:val="20"/>
          <w:szCs w:val="20"/>
          <w:color w:val="auto"/>
        </w:rPr>
        <w:t>any information relating to expansion plans, business strategy, marketing plans, and presentations, tenders, projects, joint ventures or acquisitions and developments contemplated, offered or undertaken by the Company or any Group Company;</w:t>
      </w:r>
    </w:p>
    <w:p>
      <w:pPr>
        <w:spacing w:after="0" w:line="113" w:lineRule="exact"/>
        <w:rPr>
          <w:rFonts w:ascii="Arial" w:cs="Arial" w:eastAsia="Arial" w:hAnsi="Arial"/>
          <w:sz w:val="20"/>
          <w:szCs w:val="20"/>
          <w:color w:val="auto"/>
        </w:rPr>
      </w:pPr>
    </w:p>
    <w:p>
      <w:pPr>
        <w:ind w:left="5464" w:hanging="136"/>
        <w:spacing w:after="0"/>
        <w:tabs>
          <w:tab w:leader="none" w:pos="5464" w:val="left"/>
        </w:tabs>
        <w:numPr>
          <w:ilvl w:val="1"/>
          <w:numId w:val="443"/>
        </w:numPr>
        <w:rPr>
          <w:rFonts w:ascii="Arial" w:cs="Arial" w:eastAsia="Arial" w:hAnsi="Arial"/>
          <w:sz w:val="22"/>
          <w:szCs w:val="22"/>
          <w:color w:val="auto"/>
        </w:rPr>
      </w:pPr>
      <w:r>
        <w:rPr>
          <w:rFonts w:ascii="Arial" w:cs="Arial" w:eastAsia="Arial" w:hAnsi="Arial"/>
          <w:sz w:val="22"/>
          <w:szCs w:val="22"/>
          <w:color w:val="auto"/>
        </w:rPr>
        <w:t>1 -</w:t>
      </w:r>
    </w:p>
    <w:p>
      <w:pPr>
        <w:sectPr>
          <w:pgSz w:w="11900" w:h="16838" w:orient="portrait"/>
          <w:cols w:equalWidth="0" w:num="1">
            <w:col w:w="11024"/>
          </w:cols>
          <w:pgMar w:left="436" w:top="111" w:right="439" w:bottom="1440" w:gutter="0" w:footer="0" w:header="0"/>
        </w:sectPr>
      </w:pPr>
    </w:p>
    <w:bookmarkStart w:id="426" w:name="page427"/>
    <w:bookmarkEnd w:id="426"/>
    <w:p>
      <w:pPr>
        <w:ind w:left="1840" w:right="280" w:hanging="644"/>
        <w:spacing w:after="0"/>
        <w:tabs>
          <w:tab w:leader="none" w:pos="1840" w:val="left"/>
        </w:tabs>
        <w:numPr>
          <w:ilvl w:val="0"/>
          <w:numId w:val="44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details of the employees, officers and workers of and consultants to the Company or any Group Company their job skills and capabilities and of the remuneration and other benefits paid to them;</w:t>
      </w:r>
    </w:p>
    <w:p>
      <w:pPr>
        <w:spacing w:after="0" w:line="91" w:lineRule="exact"/>
        <w:rPr>
          <w:rFonts w:ascii="Arial" w:cs="Arial" w:eastAsia="Arial" w:hAnsi="Arial"/>
          <w:sz w:val="22"/>
          <w:szCs w:val="22"/>
          <w:color w:val="auto"/>
        </w:rPr>
      </w:pPr>
    </w:p>
    <w:p>
      <w:pPr>
        <w:ind w:left="1840" w:right="160" w:hanging="644"/>
        <w:spacing w:after="0" w:line="236" w:lineRule="auto"/>
        <w:tabs>
          <w:tab w:leader="none" w:pos="184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copies or details of and information relating to Know-how, research activities, inventions, creative briefs, ideas, computer programs (whether in source code or object code) secret processes, designs and formulae or other intellectual property acquired, developed, licensed, undertaken, commissioned or produced by or on behalf of the Company or any Group Company;</w:t>
      </w:r>
    </w:p>
    <w:p>
      <w:pPr>
        <w:spacing w:after="0" w:line="92" w:lineRule="exact"/>
        <w:rPr>
          <w:rFonts w:ascii="Arial" w:cs="Arial" w:eastAsia="Arial" w:hAnsi="Arial"/>
          <w:sz w:val="22"/>
          <w:szCs w:val="22"/>
          <w:color w:val="auto"/>
        </w:rPr>
      </w:pPr>
    </w:p>
    <w:p>
      <w:pPr>
        <w:jc w:val="both"/>
        <w:ind w:left="1840" w:right="180" w:hanging="644"/>
        <w:spacing w:after="0"/>
        <w:tabs>
          <w:tab w:leader="none" w:pos="184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confidential reports or research commissioned by or provided to the Company or any Group Company and any trade secrets and confidential transactions of the Company or any Group Company;</w:t>
      </w:r>
    </w:p>
    <w:p>
      <w:pPr>
        <w:spacing w:after="0" w:line="91" w:lineRule="exact"/>
        <w:rPr>
          <w:rFonts w:ascii="Arial" w:cs="Arial" w:eastAsia="Arial" w:hAnsi="Arial"/>
          <w:sz w:val="22"/>
          <w:szCs w:val="22"/>
          <w:color w:val="auto"/>
        </w:rPr>
      </w:pPr>
    </w:p>
    <w:p>
      <w:pPr>
        <w:ind w:left="1840" w:right="120" w:hanging="644"/>
        <w:spacing w:after="0"/>
        <w:tabs>
          <w:tab w:leader="none" w:pos="184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key metric information such as details of website page hits, visitors, visits, orders per day, total order volumes, average order size, volumes of goods shipped or held in stock, customer acquisition costs, repeat rates and word of mouth rates;</w:t>
      </w:r>
    </w:p>
    <w:p>
      <w:pPr>
        <w:spacing w:after="0" w:line="91" w:lineRule="exact"/>
        <w:rPr>
          <w:rFonts w:ascii="Arial" w:cs="Arial" w:eastAsia="Arial" w:hAnsi="Arial"/>
          <w:sz w:val="22"/>
          <w:szCs w:val="22"/>
          <w:color w:val="auto"/>
        </w:rPr>
      </w:pPr>
    </w:p>
    <w:p>
      <w:pPr>
        <w:ind w:left="1840" w:hanging="644"/>
        <w:spacing w:after="0" w:line="282" w:lineRule="auto"/>
        <w:tabs>
          <w:tab w:leader="none" w:pos="1840" w:val="left"/>
        </w:tabs>
        <w:numPr>
          <w:ilvl w:val="0"/>
          <w:numId w:val="444"/>
        </w:numPr>
        <w:rPr>
          <w:rFonts w:ascii="Arial" w:cs="Arial" w:eastAsia="Arial" w:hAnsi="Arial"/>
          <w:sz w:val="19"/>
          <w:szCs w:val="19"/>
          <w:color w:val="auto"/>
        </w:rPr>
      </w:pPr>
      <w:r>
        <w:rPr>
          <w:rFonts w:ascii="Arial" w:cs="Arial" w:eastAsia="Arial" w:hAnsi="Arial"/>
          <w:sz w:val="19"/>
          <w:szCs w:val="19"/>
          <w:color w:val="auto"/>
        </w:rPr>
        <w:t>details of any marketing, development, pre-selling or other exploitation of any intellectual property or other rights of the Company or any Group Company, any proposed options or agreements to purchase, licence or otherwise exploit any intellectual property of the Company or any Group Company and any intellectual property which is under consideration for development by the Company or any Group Company,</w:t>
      </w:r>
    </w:p>
    <w:p>
      <w:pPr>
        <w:spacing w:after="0" w:line="52" w:lineRule="exact"/>
        <w:rPr>
          <w:rFonts w:ascii="Arial" w:cs="Arial" w:eastAsia="Arial" w:hAnsi="Arial"/>
          <w:sz w:val="19"/>
          <w:szCs w:val="19"/>
          <w:color w:val="auto"/>
        </w:rPr>
      </w:pPr>
    </w:p>
    <w:p>
      <w:pPr>
        <w:ind w:left="1840" w:right="340" w:hanging="644"/>
        <w:spacing w:after="0" w:line="250" w:lineRule="auto"/>
        <w:tabs>
          <w:tab w:leader="none" w:pos="184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details of any advertising, marketing or promotional campaign which the Company or any Group Company is to conduct; and</w:t>
      </w:r>
    </w:p>
    <w:p>
      <w:pPr>
        <w:spacing w:after="0" w:line="80" w:lineRule="exact"/>
        <w:rPr>
          <w:rFonts w:ascii="Arial" w:cs="Arial" w:eastAsia="Arial" w:hAnsi="Arial"/>
          <w:sz w:val="22"/>
          <w:szCs w:val="22"/>
          <w:color w:val="auto"/>
        </w:rPr>
      </w:pPr>
    </w:p>
    <w:p>
      <w:pPr>
        <w:ind w:left="1840" w:right="400" w:hanging="644"/>
        <w:spacing w:after="0" w:line="297" w:lineRule="auto"/>
        <w:tabs>
          <w:tab w:leader="none" w:pos="1840" w:val="left"/>
        </w:tabs>
        <w:numPr>
          <w:ilvl w:val="0"/>
          <w:numId w:val="444"/>
        </w:numPr>
        <w:rPr>
          <w:rFonts w:ascii="Arial" w:cs="Arial" w:eastAsia="Arial" w:hAnsi="Arial"/>
          <w:sz w:val="19"/>
          <w:szCs w:val="19"/>
          <w:color w:val="auto"/>
        </w:rPr>
      </w:pPr>
      <w:r>
        <w:rPr>
          <w:rFonts w:ascii="Arial" w:cs="Arial" w:eastAsia="Arial" w:hAnsi="Arial"/>
          <w:sz w:val="19"/>
          <w:szCs w:val="19"/>
          <w:color w:val="auto"/>
        </w:rPr>
        <w:t>any information which you ought reasonably to know is confidential and any information which has been given to the Company or any Group Company in confidence by agents, buyers, clients, consultants, customers, suppliers or other persons.</w:t>
      </w:r>
    </w:p>
    <w:p>
      <w:pPr>
        <w:spacing w:after="0" w:line="33" w:lineRule="exact"/>
        <w:rPr>
          <w:sz w:val="20"/>
          <w:szCs w:val="20"/>
          <w:color w:val="auto"/>
        </w:rPr>
      </w:pPr>
    </w:p>
    <w:p>
      <w:pPr>
        <w:ind w:left="1200" w:right="40" w:hanging="768"/>
        <w:spacing w:after="0" w:line="243" w:lineRule="auto"/>
        <w:tabs>
          <w:tab w:leader="none" w:pos="11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b w:val="1"/>
          <w:bCs w:val="1"/>
          <w:color w:val="auto"/>
        </w:rPr>
        <w:t xml:space="preserve">Documents: </w:t>
      </w:r>
      <w:r>
        <w:rPr>
          <w:rFonts w:ascii="Arial" w:cs="Arial" w:eastAsia="Arial" w:hAnsi="Arial"/>
          <w:sz w:val="22"/>
          <w:szCs w:val="22"/>
          <w:color w:val="auto"/>
        </w:rPr>
        <w:t>documents, manuals, disks, memory, notebooks, tapes (including copies)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medium, whether or not eye-readable, on which information (whether confidential or otherwise) may from time to time be referred to, written or recorded.</w:t>
      </w:r>
    </w:p>
    <w:p>
      <w:pPr>
        <w:spacing w:after="0" w:line="82" w:lineRule="exact"/>
        <w:rPr>
          <w:sz w:val="20"/>
          <w:szCs w:val="20"/>
          <w:color w:val="auto"/>
        </w:rPr>
      </w:pPr>
    </w:p>
    <w:p>
      <w:pPr>
        <w:ind w:left="1200" w:right="220" w:hanging="768"/>
        <w:spacing w:after="0" w:line="256" w:lineRule="auto"/>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2"/>
          <w:szCs w:val="22"/>
          <w:b w:val="1"/>
          <w:bCs w:val="1"/>
          <w:color w:val="auto"/>
        </w:rPr>
        <w:t xml:space="preserve">Group Company </w:t>
      </w:r>
      <w:r>
        <w:rPr>
          <w:rFonts w:ascii="Arial" w:cs="Arial" w:eastAsia="Arial" w:hAnsi="Arial"/>
          <w:sz w:val="22"/>
          <w:szCs w:val="22"/>
          <w:color w:val="auto"/>
        </w:rPr>
        <w:t>: the Company, its Subsidiaries or Holding Companies from time to time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of any Holding Company from time to time.</w:t>
      </w:r>
    </w:p>
    <w:p>
      <w:pPr>
        <w:spacing w:after="0" w:line="10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980"/>
          </w:cols>
          <w:pgMar w:left="1440" w:top="266" w:right="479" w:bottom="1440" w:gutter="0" w:footer="0" w:header="0"/>
        </w:sectPr>
      </w:pPr>
    </w:p>
    <w:bookmarkStart w:id="427" w:name="page428"/>
    <w:bookmarkEnd w:id="427"/>
    <w:p>
      <w:pPr>
        <w:ind w:left="1200" w:right="60" w:hanging="768"/>
        <w:spacing w:after="0" w:line="256" w:lineRule="auto"/>
        <w:tabs>
          <w:tab w:leader="none" w:pos="11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w:t>
      </w:r>
      <w:r>
        <w:rPr>
          <w:sz w:val="20"/>
          <w:szCs w:val="20"/>
          <w:color w:val="auto"/>
        </w:rPr>
        <w:tab/>
      </w:r>
      <w:r>
        <w:rPr>
          <w:rFonts w:ascii="Arial" w:cs="Arial" w:eastAsia="Arial" w:hAnsi="Arial"/>
          <w:sz w:val="22"/>
          <w:szCs w:val="22"/>
          <w:b w:val="1"/>
          <w:bCs w:val="1"/>
          <w:color w:val="auto"/>
        </w:rPr>
        <w:t>Incapacity</w:t>
      </w:r>
      <w:r>
        <w:rPr>
          <w:rFonts w:ascii="Arial" w:cs="Arial" w:eastAsia="Arial" w:hAnsi="Arial"/>
          <w:sz w:val="22"/>
          <w:szCs w:val="22"/>
          <w:color w:val="auto"/>
        </w:rPr>
        <w:t>: any sickness, injury or other medical disorder or condition which prevents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from carrying out his duties.</w:t>
      </w:r>
    </w:p>
    <w:p>
      <w:pPr>
        <w:spacing w:after="0" w:line="68" w:lineRule="exact"/>
        <w:rPr>
          <w:sz w:val="20"/>
          <w:szCs w:val="20"/>
          <w:color w:val="auto"/>
        </w:rPr>
      </w:pPr>
    </w:p>
    <w:p>
      <w:pPr>
        <w:ind w:left="1200" w:right="280" w:hanging="768"/>
        <w:spacing w:after="0" w:line="256" w:lineRule="auto"/>
        <w:tabs>
          <w:tab w:leader="none" w:pos="11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any employee or contractor who is or was (in the Period) employed or engaged to</w:t>
      </w:r>
      <w:r>
        <w:rPr>
          <w:rFonts w:ascii="Arial" w:cs="Arial" w:eastAsia="Arial" w:hAnsi="Arial"/>
          <w:sz w:val="22"/>
          <w:szCs w:val="22"/>
          <w:b w:val="1"/>
          <w:bCs w:val="1"/>
          <w:color w:val="auto"/>
        </w:rPr>
        <w:t xml:space="preserve"> </w:t>
      </w:r>
      <w:r>
        <w:rPr>
          <w:rFonts w:ascii="Arial" w:cs="Arial" w:eastAsia="Arial" w:hAnsi="Arial"/>
          <w:sz w:val="22"/>
          <w:szCs w:val="22"/>
          <w:color w:val="auto"/>
        </w:rPr>
        <w:t>your knowledge:</w:t>
      </w:r>
    </w:p>
    <w:p>
      <w:pPr>
        <w:spacing w:after="0" w:line="74" w:lineRule="exact"/>
        <w:rPr>
          <w:sz w:val="20"/>
          <w:szCs w:val="20"/>
          <w:color w:val="auto"/>
        </w:rPr>
      </w:pPr>
    </w:p>
    <w:p>
      <w:pPr>
        <w:ind w:left="1840" w:hanging="644"/>
        <w:spacing w:after="0"/>
        <w:tabs>
          <w:tab w:leader="none" w:pos="1840" w:val="left"/>
        </w:tabs>
        <w:numPr>
          <w:ilvl w:val="0"/>
          <w:numId w:val="445"/>
        </w:numPr>
        <w:rPr>
          <w:rFonts w:ascii="Arial" w:cs="Arial" w:eastAsia="Arial" w:hAnsi="Arial"/>
          <w:sz w:val="22"/>
          <w:szCs w:val="22"/>
          <w:color w:val="auto"/>
        </w:rPr>
      </w:pPr>
      <w:r>
        <w:rPr>
          <w:rFonts w:ascii="Arial" w:cs="Arial" w:eastAsia="Arial" w:hAnsi="Arial"/>
          <w:sz w:val="22"/>
          <w:szCs w:val="22"/>
          <w:color w:val="auto"/>
        </w:rPr>
        <w:t>at management grade; or</w:t>
      </w:r>
    </w:p>
    <w:p>
      <w:pPr>
        <w:spacing w:after="0" w:line="111" w:lineRule="exact"/>
        <w:rPr>
          <w:rFonts w:ascii="Arial" w:cs="Arial" w:eastAsia="Arial" w:hAnsi="Arial"/>
          <w:sz w:val="22"/>
          <w:szCs w:val="22"/>
          <w:color w:val="auto"/>
        </w:rPr>
      </w:pPr>
    </w:p>
    <w:p>
      <w:pPr>
        <w:ind w:left="1840" w:hanging="644"/>
        <w:spacing w:after="0"/>
        <w:tabs>
          <w:tab w:leader="none" w:pos="1840" w:val="left"/>
        </w:tabs>
        <w:numPr>
          <w:ilvl w:val="0"/>
          <w:numId w:val="445"/>
        </w:numPr>
        <w:rPr>
          <w:rFonts w:ascii="Arial" w:cs="Arial" w:eastAsia="Arial" w:hAnsi="Arial"/>
          <w:sz w:val="22"/>
          <w:szCs w:val="22"/>
          <w:color w:val="auto"/>
        </w:rPr>
      </w:pPr>
      <w:r>
        <w:rPr>
          <w:rFonts w:ascii="Arial" w:cs="Arial" w:eastAsia="Arial" w:hAnsi="Arial"/>
          <w:sz w:val="22"/>
          <w:szCs w:val="22"/>
          <w:color w:val="auto"/>
        </w:rPr>
        <w:t>in a senior capacity; or</w:t>
      </w:r>
    </w:p>
    <w:p>
      <w:pPr>
        <w:spacing w:after="0" w:line="111" w:lineRule="exact"/>
        <w:rPr>
          <w:rFonts w:ascii="Arial" w:cs="Arial" w:eastAsia="Arial" w:hAnsi="Arial"/>
          <w:sz w:val="22"/>
          <w:szCs w:val="22"/>
          <w:color w:val="auto"/>
        </w:rPr>
      </w:pPr>
    </w:p>
    <w:p>
      <w:pPr>
        <w:ind w:left="1840" w:right="100" w:hanging="644"/>
        <w:spacing w:after="0" w:line="250" w:lineRule="auto"/>
        <w:tabs>
          <w:tab w:leader="none" w:pos="1840" w:val="left"/>
        </w:tabs>
        <w:numPr>
          <w:ilvl w:val="0"/>
          <w:numId w:val="445"/>
        </w:numPr>
        <w:rPr>
          <w:rFonts w:ascii="Arial" w:cs="Arial" w:eastAsia="Arial" w:hAnsi="Arial"/>
          <w:sz w:val="22"/>
          <w:szCs w:val="22"/>
          <w:color w:val="auto"/>
        </w:rPr>
      </w:pPr>
      <w:r>
        <w:rPr>
          <w:rFonts w:ascii="Arial" w:cs="Arial" w:eastAsia="Arial" w:hAnsi="Arial"/>
          <w:sz w:val="22"/>
          <w:szCs w:val="22"/>
          <w:color w:val="auto"/>
        </w:rPr>
        <w:t>in a capacity in which he has access to or obtained Confidential Information and in respect of whom you exercised control or had managerial responsibility.</w:t>
      </w:r>
    </w:p>
    <w:p>
      <w:pPr>
        <w:spacing w:after="0" w:line="74" w:lineRule="exact"/>
        <w:rPr>
          <w:sz w:val="20"/>
          <w:szCs w:val="20"/>
          <w:color w:val="auto"/>
        </w:rPr>
      </w:pPr>
    </w:p>
    <w:p>
      <w:pPr>
        <w:ind w:left="1200" w:right="320" w:hanging="768"/>
        <w:spacing w:after="0" w:line="283" w:lineRule="auto"/>
        <w:tabs>
          <w:tab w:leader="none" w:pos="118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b w:val="1"/>
          <w:bCs w:val="1"/>
          <w:color w:val="auto"/>
        </w:rPr>
        <w:t xml:space="preserve">Know-how: </w:t>
      </w:r>
      <w:r>
        <w:rPr>
          <w:rFonts w:ascii="Arial" w:cs="Arial" w:eastAsia="Arial" w:hAnsi="Arial"/>
          <w:sz w:val="19"/>
          <w:szCs w:val="19"/>
          <w:color w:val="auto"/>
        </w:rPr>
        <w:t>information (including without limitation that comprised in formulae, specifications,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designs, drawings, component lists, databases, software (or pre-cursor documents), databases, manuals, instructions and catalogues) held in whatever form relating to the creation, production or supply of any products or services by the Company or any Group Company, or by or to any of the suppliers, customers, partners or joint ventures of such company.</w:t>
      </w:r>
    </w:p>
    <w:p>
      <w:pPr>
        <w:spacing w:after="0" w:line="48"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b w:val="1"/>
          <w:bCs w:val="1"/>
          <w:color w:val="auto"/>
        </w:rPr>
        <w:t>Manager</w:t>
      </w:r>
      <w:r>
        <w:rPr>
          <w:rFonts w:ascii="Arial" w:cs="Arial" w:eastAsia="Arial" w:hAnsi="Arial"/>
          <w:sz w:val="19"/>
          <w:szCs w:val="19"/>
          <w:color w:val="auto"/>
        </w:rPr>
        <w:t>: Denise Scots-Knight</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b w:val="1"/>
          <w:bCs w:val="1"/>
          <w:color w:val="auto"/>
        </w:rPr>
        <w:t xml:space="preserve">Period: </w:t>
      </w:r>
      <w:r>
        <w:rPr>
          <w:rFonts w:ascii="Arial" w:cs="Arial" w:eastAsia="Arial" w:hAnsi="Arial"/>
          <w:sz w:val="19"/>
          <w:szCs w:val="19"/>
          <w:color w:val="auto"/>
        </w:rPr>
        <w:t>the period of 6 months immediately prior to the Termination Date.</w:t>
      </w:r>
    </w:p>
    <w:p>
      <w:pPr>
        <w:spacing w:after="0" w:line="112" w:lineRule="exact"/>
        <w:rPr>
          <w:sz w:val="20"/>
          <w:szCs w:val="20"/>
          <w:color w:val="auto"/>
        </w:rPr>
      </w:pPr>
    </w:p>
    <w:p>
      <w:pPr>
        <w:ind w:left="1200" w:right="260" w:hanging="768"/>
        <w:spacing w:after="0" w:line="300" w:lineRule="auto"/>
        <w:tabs>
          <w:tab w:leader="none" w:pos="118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b w:val="1"/>
          <w:bCs w:val="1"/>
          <w:color w:val="auto"/>
        </w:rPr>
        <w:t xml:space="preserve">Permitted Interest: </w:t>
      </w:r>
      <w:r>
        <w:rPr>
          <w:rFonts w:ascii="Arial" w:cs="Arial" w:eastAsia="Arial" w:hAnsi="Arial"/>
          <w:sz w:val="19"/>
          <w:szCs w:val="19"/>
          <w:color w:val="auto"/>
        </w:rPr>
        <w:t>an interest in any class of shares or other securities of any company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traded on a recognised investment exchange which amount to not more than 3% of such class of issued shares or securities and an interest in any units of any authorised unit trust.</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b w:val="1"/>
          <w:bCs w:val="1"/>
          <w:color w:val="auto"/>
        </w:rPr>
        <w:t xml:space="preserve">Restricted Area: </w:t>
      </w:r>
      <w:r>
        <w:rPr>
          <w:rFonts w:ascii="Arial" w:cs="Arial" w:eastAsia="Arial" w:hAnsi="Arial"/>
          <w:sz w:val="19"/>
          <w:szCs w:val="19"/>
          <w:color w:val="auto"/>
        </w:rPr>
        <w:t>England, Scotland, Wales or Northern Ireland.</w:t>
      </w:r>
    </w:p>
    <w:p>
      <w:pPr>
        <w:spacing w:after="0" w:line="112" w:lineRule="exact"/>
        <w:rPr>
          <w:sz w:val="20"/>
          <w:szCs w:val="20"/>
          <w:color w:val="auto"/>
        </w:rPr>
      </w:pPr>
    </w:p>
    <w:p>
      <w:pPr>
        <w:ind w:left="1200" w:hanging="768"/>
        <w:spacing w:after="0" w:line="300" w:lineRule="auto"/>
        <w:tabs>
          <w:tab w:leader="none" w:pos="118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b w:val="1"/>
          <w:bCs w:val="1"/>
          <w:color w:val="auto"/>
        </w:rPr>
        <w:t xml:space="preserve">Restricted Business: </w:t>
      </w:r>
      <w:r>
        <w:rPr>
          <w:rFonts w:ascii="Arial" w:cs="Arial" w:eastAsia="Arial" w:hAnsi="Arial"/>
          <w:sz w:val="19"/>
          <w:szCs w:val="19"/>
          <w:color w:val="auto"/>
        </w:rPr>
        <w:t>the research, acquisition, development and / or commercialisation of innovative</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by the Company or any Group Company as at the Termination Date and with which the Employee was involved to a material extent on the Termination Date or at any time during the Period.</w:t>
      </w:r>
    </w:p>
    <w:p>
      <w:pPr>
        <w:spacing w:after="0" w:line="3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b w:val="1"/>
          <w:bCs w:val="1"/>
          <w:color w:val="auto"/>
        </w:rPr>
        <w:t>SSP</w:t>
      </w:r>
      <w:r>
        <w:rPr>
          <w:rFonts w:ascii="Arial" w:cs="Arial" w:eastAsia="Arial" w:hAnsi="Arial"/>
          <w:sz w:val="19"/>
          <w:szCs w:val="19"/>
          <w:color w:val="auto"/>
        </w:rPr>
        <w:t>: statutory sick pay.</w:t>
      </w:r>
    </w:p>
    <w:p>
      <w:pPr>
        <w:spacing w:after="0" w:line="11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b w:val="1"/>
          <w:bCs w:val="1"/>
          <w:color w:val="auto"/>
        </w:rPr>
        <w:t>Staff Handbook</w:t>
      </w:r>
      <w:r>
        <w:rPr>
          <w:rFonts w:ascii="Arial" w:cs="Arial" w:eastAsia="Arial" w:hAnsi="Arial"/>
          <w:sz w:val="19"/>
          <w:szCs w:val="19"/>
          <w:color w:val="auto"/>
        </w:rPr>
        <w:t>: the Company’s staff handbook as amended from time to time.</w:t>
      </w:r>
    </w:p>
    <w:p>
      <w:pPr>
        <w:spacing w:after="0" w:line="112" w:lineRule="exact"/>
        <w:rPr>
          <w:sz w:val="20"/>
          <w:szCs w:val="20"/>
          <w:color w:val="auto"/>
        </w:rPr>
      </w:pPr>
    </w:p>
    <w:p>
      <w:pPr>
        <w:ind w:left="1200" w:right="100" w:hanging="768"/>
        <w:spacing w:after="0" w:line="239" w:lineRule="auto"/>
        <w:tabs>
          <w:tab w:leader="none" w:pos="118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22"/>
          <w:szCs w:val="22"/>
          <w:b w:val="1"/>
          <w:bCs w:val="1"/>
          <w:color w:val="auto"/>
        </w:rPr>
        <w:t>Subsidiary and Holding Company</w:t>
      </w:r>
      <w:r>
        <w:rPr>
          <w:rFonts w:ascii="Arial" w:cs="Arial" w:eastAsia="Arial" w:hAnsi="Arial"/>
          <w:sz w:val="22"/>
          <w:szCs w:val="22"/>
          <w:color w:val="auto"/>
        </w:rPr>
        <w:t>: in relation to a company mean “subsidiary” and “holding</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as defined in section 1159 of the Companies Act 2006 and a company shall be treated, for the purposes only of the membership requirement contained in subsections 1159(1)(b) and (c), as a member of another company</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0000"/>
          </w:cols>
          <w:pgMar w:left="1440" w:top="260" w:right="459" w:bottom="1440" w:gutter="0" w:footer="0" w:header="0"/>
        </w:sectPr>
      </w:pPr>
    </w:p>
    <w:bookmarkStart w:id="428" w:name="page429"/>
    <w:bookmarkEnd w:id="428"/>
    <w:p>
      <w:pPr>
        <w:ind w:left="2204" w:right="16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 if its shares in that other company are registered in the name of (a) another person (or its nominee), whether by way of security or in connection with the taking of security, or (b) a nominee.</w:t>
      </w:r>
    </w:p>
    <w:p>
      <w:pPr>
        <w:spacing w:after="0" w:line="4"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the date of termination or expiration of this Contract.</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The headings in this Contract are inserted for convenience only and shall not affect its construction.</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A reference to a particular law is a reference to it as it is in force for the time being taking account of any amendment,</w:t>
      </w:r>
    </w:p>
    <w:p>
      <w:pPr>
        <w:spacing w:after="0" w:line="8" w:lineRule="exact"/>
        <w:rPr>
          <w:sz w:val="20"/>
          <w:szCs w:val="20"/>
          <w:color w:val="auto"/>
        </w:rPr>
      </w:pPr>
    </w:p>
    <w:p>
      <w:pPr>
        <w:jc w:val="center"/>
        <w:ind w:right="36"/>
        <w:spacing w:after="0"/>
        <w:rPr>
          <w:sz w:val="20"/>
          <w:szCs w:val="20"/>
          <w:color w:val="auto"/>
        </w:rPr>
      </w:pPr>
      <w:r>
        <w:rPr>
          <w:rFonts w:ascii="Arial" w:cs="Arial" w:eastAsia="Arial" w:hAnsi="Arial"/>
          <w:sz w:val="22"/>
          <w:szCs w:val="22"/>
          <w:color w:val="auto"/>
        </w:rPr>
        <w:t>extension, or re-enactment and includes any subordinate legislation for the time being in force made under it.</w:t>
      </w:r>
    </w:p>
    <w:p>
      <w:pPr>
        <w:spacing w:after="0" w:line="9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the context otherwise requires, a reference to one gender shall include a reference to the other genders.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Unless the context otherwise requires, words in the singular include the plural and in the plural include the singular.</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The schedules to this Contract form part of (and are incorporated into) this Contract.</w:t>
      </w:r>
    </w:p>
    <w:p>
      <w:pPr>
        <w:spacing w:after="0" w:line="349" w:lineRule="exact"/>
        <w:rPr>
          <w:sz w:val="20"/>
          <w:szCs w:val="20"/>
          <w:color w:val="auto"/>
        </w:rPr>
      </w:pPr>
    </w:p>
    <w:p>
      <w:pPr>
        <w:ind w:left="764" w:hanging="764"/>
        <w:spacing w:after="0"/>
        <w:tabs>
          <w:tab w:leader="none" w:pos="764" w:val="left"/>
        </w:tabs>
        <w:numPr>
          <w:ilvl w:val="0"/>
          <w:numId w:val="446"/>
        </w:numPr>
        <w:rPr>
          <w:rFonts w:ascii="Arial" w:cs="Arial" w:eastAsia="Arial" w:hAnsi="Arial"/>
          <w:sz w:val="22"/>
          <w:szCs w:val="22"/>
          <w:b w:val="1"/>
          <w:bCs w:val="1"/>
          <w:color w:val="auto"/>
        </w:rPr>
      </w:pPr>
      <w:r>
        <w:rPr>
          <w:rFonts w:ascii="Arial" w:cs="Arial" w:eastAsia="Arial" w:hAnsi="Arial"/>
          <w:sz w:val="22"/>
          <w:szCs w:val="22"/>
          <w:b w:val="1"/>
          <w:bCs w:val="1"/>
          <w:color w:val="auto"/>
        </w:rPr>
        <w:t>Term of Appointment</w:t>
      </w:r>
    </w:p>
    <w:p>
      <w:pPr>
        <w:spacing w:after="0" w:line="118"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The Appointment shall commence on the Commencement Date and shall continue, subject to the remaining terms of this Contract, until terminated by either party giving the other not less than 6 months’ prior notice (or the statutory minimum notice, whichever is the greater) in writing.</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[This clause is intentionally blank].</w:t>
      </w:r>
    </w:p>
    <w:p>
      <w:pPr>
        <w:spacing w:after="0" w:line="112" w:lineRule="exact"/>
        <w:rPr>
          <w:sz w:val="20"/>
          <w:szCs w:val="20"/>
          <w:color w:val="auto"/>
        </w:rPr>
      </w:pPr>
    </w:p>
    <w:p>
      <w:pPr>
        <w:ind w:left="764" w:right="100" w:hanging="768"/>
        <w:spacing w:after="0" w:line="250" w:lineRule="auto"/>
        <w:tabs>
          <w:tab w:leader="none" w:pos="744"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No employment with a previous employer counts towards the Employee’s period of continuous employment with the Company.</w:t>
      </w:r>
    </w:p>
    <w:p>
      <w:pPr>
        <w:spacing w:after="0" w:line="80" w:lineRule="exact"/>
        <w:rPr>
          <w:sz w:val="20"/>
          <w:szCs w:val="20"/>
          <w:color w:val="auto"/>
        </w:rPr>
      </w:pPr>
    </w:p>
    <w:p>
      <w:pPr>
        <w:ind w:left="764" w:hanging="768"/>
        <w:spacing w:after="0" w:line="250" w:lineRule="auto"/>
        <w:tabs>
          <w:tab w:leader="none" w:pos="744"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The Employee consents to the transfer of his or her employment under this Contract to an Associated Employer at any time during the Appointment.</w:t>
      </w:r>
    </w:p>
    <w:p>
      <w:pPr>
        <w:spacing w:after="0" w:line="317" w:lineRule="exact"/>
        <w:rPr>
          <w:sz w:val="20"/>
          <w:szCs w:val="20"/>
          <w:color w:val="auto"/>
        </w:rPr>
      </w:pPr>
    </w:p>
    <w:p>
      <w:pPr>
        <w:ind w:left="764" w:hanging="764"/>
        <w:spacing w:after="0"/>
        <w:tabs>
          <w:tab w:leader="none" w:pos="764" w:val="left"/>
        </w:tabs>
        <w:numPr>
          <w:ilvl w:val="0"/>
          <w:numId w:val="447"/>
        </w:numPr>
        <w:rPr>
          <w:rFonts w:ascii="Arial" w:cs="Arial" w:eastAsia="Arial" w:hAnsi="Arial"/>
          <w:sz w:val="22"/>
          <w:szCs w:val="22"/>
          <w:b w:val="1"/>
          <w:bCs w:val="1"/>
          <w:color w:val="auto"/>
        </w:rPr>
      </w:pPr>
      <w:r>
        <w:rPr>
          <w:rFonts w:ascii="Arial" w:cs="Arial" w:eastAsia="Arial" w:hAnsi="Arial"/>
          <w:sz w:val="22"/>
          <w:szCs w:val="22"/>
          <w:b w:val="1"/>
          <w:bCs w:val="1"/>
          <w:color w:val="auto"/>
        </w:rPr>
        <w:t>Employee Warranties</w:t>
      </w:r>
    </w:p>
    <w:p>
      <w:pPr>
        <w:spacing w:after="0" w:line="118" w:lineRule="exact"/>
        <w:rPr>
          <w:sz w:val="20"/>
          <w:szCs w:val="20"/>
          <w:color w:val="auto"/>
        </w:rPr>
      </w:pPr>
    </w:p>
    <w:p>
      <w:pPr>
        <w:ind w:left="764" w:right="180" w:hanging="768"/>
        <w:spacing w:after="0"/>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You represent and warrant to the Company that, by entering into this Contract or performing any of your obligations under it, you will not be in breach of any court order or any express or implied terms of any contract or other obligation binding on you.</w:t>
      </w:r>
    </w:p>
    <w:p>
      <w:pPr>
        <w:spacing w:after="0" w:line="92" w:lineRule="exact"/>
        <w:rPr>
          <w:sz w:val="20"/>
          <w:szCs w:val="20"/>
          <w:color w:val="auto"/>
        </w:rPr>
      </w:pPr>
    </w:p>
    <w:p>
      <w:pPr>
        <w:ind w:left="764" w:right="80" w:hanging="768"/>
        <w:spacing w:after="0"/>
        <w:tabs>
          <w:tab w:leader="none" w:pos="744"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You represent and warrant to the Company that you are not bound by or subject to any agreement, arrangement, court order, obligation or undertaking which in any way restricts or prohibits you from entering into this Contract or from performing your duties for the Company as set out in this Contract.</w:t>
      </w:r>
    </w:p>
    <w:p>
      <w:pPr>
        <w:spacing w:after="0" w:line="92" w:lineRule="exact"/>
        <w:rPr>
          <w:sz w:val="20"/>
          <w:szCs w:val="20"/>
          <w:color w:val="auto"/>
        </w:rPr>
      </w:pPr>
    </w:p>
    <w:p>
      <w:pPr>
        <w:ind w:left="764" w:right="340" w:hanging="768"/>
        <w:spacing w:after="0" w:line="250" w:lineRule="auto"/>
        <w:tabs>
          <w:tab w:leader="none" w:pos="744"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You warrant that you are entitled to work in the UK without any additional approvals and will notify the Company immediately if you cease to be so entitled at any time during the Appointment.</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004"/>
          </w:cols>
          <w:pgMar w:left="436" w:top="266" w:right="459" w:bottom="1440" w:gutter="0" w:footer="0" w:header="0"/>
        </w:sectPr>
      </w:pPr>
    </w:p>
    <w:bookmarkStart w:id="429" w:name="page430"/>
    <w:bookmarkEnd w:id="429"/>
    <w:p>
      <w:pPr>
        <w:ind w:left="764" w:hanging="764"/>
        <w:spacing w:after="0"/>
        <w:tabs>
          <w:tab w:leader="none" w:pos="764" w:val="left"/>
        </w:tabs>
        <w:numPr>
          <w:ilvl w:val="0"/>
          <w:numId w:val="448"/>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Job Title and Reporting</w:t>
      </w:r>
    </w:p>
    <w:p>
      <w:pPr>
        <w:spacing w:after="0" w:line="104" w:lineRule="exact"/>
        <w:rPr>
          <w:rFonts w:ascii="Arial" w:cs="Arial" w:eastAsia="Arial" w:hAnsi="Arial"/>
          <w:sz w:val="22"/>
          <w:szCs w:val="22"/>
          <w:b w:val="1"/>
          <w:bCs w:val="1"/>
          <w:color w:val="auto"/>
        </w:rPr>
      </w:pPr>
    </w:p>
    <w:p>
      <w:pPr>
        <w:ind w:left="764" w:right="64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Your job title is ‘Senior Vice President and Therapeutic Head’ and you will report to the Manager or such other person as may be authorised by the Company and notified to you.</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448"/>
        </w:numPr>
        <w:rPr>
          <w:rFonts w:ascii="Arial" w:cs="Arial" w:eastAsia="Arial" w:hAnsi="Arial"/>
          <w:sz w:val="22"/>
          <w:szCs w:val="22"/>
          <w:b w:val="1"/>
          <w:bCs w:val="1"/>
          <w:color w:val="auto"/>
        </w:rPr>
      </w:pPr>
      <w:r>
        <w:rPr>
          <w:rFonts w:ascii="Arial" w:cs="Arial" w:eastAsia="Arial" w:hAnsi="Arial"/>
          <w:sz w:val="22"/>
          <w:szCs w:val="22"/>
          <w:b w:val="1"/>
          <w:bCs w:val="1"/>
          <w:color w:val="auto"/>
        </w:rPr>
        <w:t>Job Description and Duties</w:t>
      </w:r>
    </w:p>
    <w:p>
      <w:pPr>
        <w:spacing w:after="0" w:line="118" w:lineRule="exact"/>
        <w:rPr>
          <w:sz w:val="20"/>
          <w:szCs w:val="20"/>
          <w:color w:val="auto"/>
        </w:rPr>
      </w:pPr>
    </w:p>
    <w:p>
      <w:pPr>
        <w:ind w:left="764" w:right="40" w:hanging="768"/>
        <w:spacing w:after="0" w:line="238" w:lineRule="auto"/>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Your main tasks and responsibilities are set out in the written job description at Schedule I. The Company reserves the right to require you to change your job title and/or job description and/or reporting structure or to require you to perform a different job or different or additional duties consistent with your status and any such change will not constitute a change of the terms and conditions of your employment.</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You must perform your job to the best of your ability and to comply with any duties implied by law.</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During the Appointment you shall:</w:t>
      </w:r>
    </w:p>
    <w:p>
      <w:pPr>
        <w:spacing w:after="0" w:line="112" w:lineRule="exact"/>
        <w:rPr>
          <w:sz w:val="20"/>
          <w:szCs w:val="20"/>
          <w:color w:val="auto"/>
        </w:rPr>
      </w:pPr>
    </w:p>
    <w:p>
      <w:pPr>
        <w:ind w:left="2204" w:right="120" w:hanging="768"/>
        <w:spacing w:after="0" w:line="328" w:lineRule="auto"/>
        <w:tabs>
          <w:tab w:leader="none" w:pos="2184" w:val="left"/>
        </w:tabs>
        <w:rPr>
          <w:sz w:val="20"/>
          <w:szCs w:val="20"/>
          <w:color w:val="auto"/>
        </w:rPr>
      </w:pPr>
      <w:r>
        <w:rPr>
          <w:rFonts w:ascii="Arial" w:cs="Arial" w:eastAsia="Arial" w:hAnsi="Arial"/>
          <w:sz w:val="22"/>
          <w:szCs w:val="22"/>
          <w:color w:val="auto"/>
        </w:rPr>
        <w:t>5.3.1</w:t>
      </w:r>
      <w:r>
        <w:rPr>
          <w:sz w:val="20"/>
          <w:szCs w:val="20"/>
          <w:color w:val="auto"/>
        </w:rPr>
        <w:tab/>
      </w:r>
      <w:r>
        <w:rPr>
          <w:rFonts w:ascii="Arial" w:cs="Arial" w:eastAsia="Arial" w:hAnsi="Arial"/>
          <w:sz w:val="19"/>
          <w:szCs w:val="19"/>
          <w:color w:val="auto"/>
        </w:rPr>
        <w:t>unless prevented by Incapacity, devote substantially the whole of your time, attention and abilities to the business of the Company and any Group Company of which you are an officer or consultant;</w:t>
      </w:r>
    </w:p>
    <w:p>
      <w:pPr>
        <w:spacing w:after="0" w:line="10" w:lineRule="exact"/>
        <w:rPr>
          <w:sz w:val="20"/>
          <w:szCs w:val="20"/>
          <w:color w:val="auto"/>
        </w:rPr>
      </w:pPr>
    </w:p>
    <w:p>
      <w:pPr>
        <w:jc w:val="both"/>
        <w:ind w:left="2204" w:hanging="768"/>
        <w:spacing w:after="0"/>
        <w:tabs>
          <w:tab w:leader="none" w:pos="2184" w:val="left"/>
        </w:tabs>
        <w:rPr>
          <w:sz w:val="20"/>
          <w:szCs w:val="20"/>
          <w:color w:val="auto"/>
        </w:rPr>
      </w:pPr>
      <w:r>
        <w:rPr>
          <w:rFonts w:ascii="Arial" w:cs="Arial" w:eastAsia="Arial" w:hAnsi="Arial"/>
          <w:sz w:val="22"/>
          <w:szCs w:val="22"/>
          <w:color w:val="auto"/>
        </w:rPr>
        <w:t>5.3.2</w:t>
      </w:r>
      <w:r>
        <w:rPr>
          <w:sz w:val="20"/>
          <w:szCs w:val="20"/>
          <w:color w:val="auto"/>
        </w:rPr>
        <w:tab/>
      </w:r>
      <w:r>
        <w:rPr>
          <w:rFonts w:ascii="Arial" w:cs="Arial" w:eastAsia="Arial" w:hAnsi="Arial"/>
          <w:sz w:val="22"/>
          <w:szCs w:val="22"/>
          <w:color w:val="auto"/>
        </w:rPr>
        <w:t>diligently exercise such powers and perform such duties as may from time to time be assigned to you by the Company together with such person or persons as the Company may appoint to act jointly with you;</w:t>
      </w:r>
    </w:p>
    <w:p>
      <w:pPr>
        <w:spacing w:after="0" w:line="92"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5.3.3</w:t>
      </w:r>
      <w:r>
        <w:rPr>
          <w:sz w:val="20"/>
          <w:szCs w:val="20"/>
          <w:color w:val="auto"/>
        </w:rPr>
        <w:tab/>
      </w:r>
      <w:r>
        <w:rPr>
          <w:rFonts w:ascii="Arial" w:cs="Arial" w:eastAsia="Arial" w:hAnsi="Arial"/>
          <w:sz w:val="19"/>
          <w:szCs w:val="19"/>
          <w:color w:val="auto"/>
        </w:rPr>
        <w:t>comply with all reasonable and lawful directions given to you by the Company;</w:t>
      </w:r>
    </w:p>
    <w:p>
      <w:pPr>
        <w:spacing w:after="0" w:line="112" w:lineRule="exact"/>
        <w:rPr>
          <w:sz w:val="20"/>
          <w:szCs w:val="20"/>
          <w:color w:val="auto"/>
        </w:rPr>
      </w:pPr>
    </w:p>
    <w:p>
      <w:pPr>
        <w:ind w:left="2204" w:right="240" w:hanging="768"/>
        <w:spacing w:after="0" w:line="250" w:lineRule="auto"/>
        <w:tabs>
          <w:tab w:leader="none" w:pos="2184" w:val="left"/>
        </w:tabs>
        <w:rPr>
          <w:sz w:val="20"/>
          <w:szCs w:val="20"/>
          <w:color w:val="auto"/>
        </w:rPr>
      </w:pPr>
      <w:r>
        <w:rPr>
          <w:rFonts w:ascii="Arial" w:cs="Arial" w:eastAsia="Arial" w:hAnsi="Arial"/>
          <w:sz w:val="22"/>
          <w:szCs w:val="22"/>
          <w:color w:val="auto"/>
        </w:rPr>
        <w:t>5.3.4</w:t>
      </w:r>
      <w:r>
        <w:rPr>
          <w:sz w:val="20"/>
          <w:szCs w:val="20"/>
          <w:color w:val="auto"/>
        </w:rPr>
        <w:tab/>
      </w:r>
      <w:r>
        <w:rPr>
          <w:rFonts w:ascii="Arial" w:cs="Arial" w:eastAsia="Arial" w:hAnsi="Arial"/>
          <w:sz w:val="22"/>
          <w:szCs w:val="22"/>
          <w:color w:val="auto"/>
        </w:rPr>
        <w:t>promptly make such reports to your Manager in connection with the affairs of any Group Company on such matters and at such times as are reasonably required;</w:t>
      </w:r>
    </w:p>
    <w:p>
      <w:pPr>
        <w:spacing w:after="0" w:line="80" w:lineRule="exact"/>
        <w:rPr>
          <w:sz w:val="20"/>
          <w:szCs w:val="20"/>
          <w:color w:val="auto"/>
        </w:rPr>
      </w:pPr>
    </w:p>
    <w:p>
      <w:pPr>
        <w:ind w:left="2204" w:right="100" w:hanging="768"/>
        <w:spacing w:after="0" w:line="328" w:lineRule="auto"/>
        <w:tabs>
          <w:tab w:leader="none" w:pos="2184" w:val="left"/>
        </w:tabs>
        <w:rPr>
          <w:sz w:val="20"/>
          <w:szCs w:val="20"/>
          <w:color w:val="auto"/>
        </w:rPr>
      </w:pPr>
      <w:r>
        <w:rPr>
          <w:rFonts w:ascii="Arial" w:cs="Arial" w:eastAsia="Arial" w:hAnsi="Arial"/>
          <w:sz w:val="22"/>
          <w:szCs w:val="22"/>
          <w:color w:val="auto"/>
        </w:rPr>
        <w:t>5.3.5</w:t>
      </w:r>
      <w:r>
        <w:rPr>
          <w:sz w:val="20"/>
          <w:szCs w:val="20"/>
          <w:color w:val="auto"/>
        </w:rPr>
        <w:tab/>
      </w:r>
      <w:r>
        <w:rPr>
          <w:rFonts w:ascii="Arial" w:cs="Arial" w:eastAsia="Arial" w:hAnsi="Arial"/>
          <w:sz w:val="19"/>
          <w:szCs w:val="19"/>
          <w:color w:val="auto"/>
        </w:rPr>
        <w:t>report your own wrongdoing and any wrongdoing or proposed wrongdoing of any other employee or director of any Group Company to your Manager immediately on becoming aware of it;</w:t>
      </w:r>
    </w:p>
    <w:p>
      <w:pPr>
        <w:spacing w:after="0" w:line="10" w:lineRule="exact"/>
        <w:rPr>
          <w:sz w:val="20"/>
          <w:szCs w:val="20"/>
          <w:color w:val="auto"/>
        </w:rPr>
      </w:pPr>
    </w:p>
    <w:p>
      <w:pPr>
        <w:ind w:left="2204" w:right="840" w:hanging="768"/>
        <w:spacing w:after="0" w:line="250" w:lineRule="auto"/>
        <w:tabs>
          <w:tab w:leader="none" w:pos="2184" w:val="left"/>
        </w:tabs>
        <w:rPr>
          <w:sz w:val="20"/>
          <w:szCs w:val="20"/>
          <w:color w:val="auto"/>
        </w:rPr>
      </w:pPr>
      <w:r>
        <w:rPr>
          <w:rFonts w:ascii="Arial" w:cs="Arial" w:eastAsia="Arial" w:hAnsi="Arial"/>
          <w:sz w:val="22"/>
          <w:szCs w:val="22"/>
          <w:color w:val="auto"/>
        </w:rPr>
        <w:t>5.3.6</w:t>
      </w:r>
      <w:r>
        <w:rPr>
          <w:sz w:val="20"/>
          <w:szCs w:val="20"/>
          <w:color w:val="auto"/>
        </w:rPr>
        <w:tab/>
      </w:r>
      <w:r>
        <w:rPr>
          <w:rFonts w:ascii="Arial" w:cs="Arial" w:eastAsia="Arial" w:hAnsi="Arial"/>
          <w:sz w:val="22"/>
          <w:szCs w:val="22"/>
          <w:color w:val="auto"/>
        </w:rPr>
        <w:t>use your best endeavours to promote, protect, develop and extend the business of any Group Company; and</w:t>
      </w:r>
    </w:p>
    <w:p>
      <w:pPr>
        <w:spacing w:after="0" w:line="80" w:lineRule="exact"/>
        <w:rPr>
          <w:sz w:val="20"/>
          <w:szCs w:val="20"/>
          <w:color w:val="auto"/>
        </w:rPr>
      </w:pPr>
    </w:p>
    <w:p>
      <w:pPr>
        <w:ind w:left="2204" w:right="300" w:hanging="768"/>
        <w:spacing w:after="0"/>
        <w:tabs>
          <w:tab w:leader="none" w:pos="2184" w:val="left"/>
        </w:tabs>
        <w:rPr>
          <w:sz w:val="20"/>
          <w:szCs w:val="20"/>
          <w:color w:val="auto"/>
        </w:rPr>
      </w:pPr>
      <w:r>
        <w:rPr>
          <w:rFonts w:ascii="Arial" w:cs="Arial" w:eastAsia="Arial" w:hAnsi="Arial"/>
          <w:sz w:val="22"/>
          <w:szCs w:val="22"/>
          <w:color w:val="auto"/>
        </w:rPr>
        <w:t>5.3.7</w:t>
      </w:r>
      <w:r>
        <w:rPr>
          <w:sz w:val="20"/>
          <w:szCs w:val="20"/>
          <w:color w:val="auto"/>
        </w:rPr>
        <w:tab/>
      </w:r>
      <w:r>
        <w:rPr>
          <w:rFonts w:ascii="Arial" w:cs="Arial" w:eastAsia="Arial" w:hAnsi="Arial"/>
          <w:sz w:val="22"/>
          <w:szCs w:val="22"/>
          <w:color w:val="auto"/>
        </w:rPr>
        <w:t>consent to the Company monitoring and recording any use that you make of the Company’s electronic communications systems for the purpose of ensuring that the Company’s rules are being complied with and for legitimate business purposes.</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You shall comply with the Company’s anti-corruption and bribery policy and related procedures at all times.</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024"/>
          </w:cols>
          <w:pgMar w:left="436" w:top="260" w:right="439" w:bottom="1440" w:gutter="0" w:footer="0" w:header="0"/>
        </w:sectPr>
      </w:pPr>
    </w:p>
    <w:bookmarkStart w:id="430" w:name="page431"/>
    <w:bookmarkEnd w:id="430"/>
    <w:p>
      <w:pPr>
        <w:jc w:val="both"/>
        <w:ind w:left="764" w:right="60" w:hanging="768"/>
        <w:spacing w:after="0" w:line="257"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w:t>
      </w:r>
      <w:r>
        <w:rPr>
          <w:sz w:val="20"/>
          <w:szCs w:val="20"/>
          <w:color w:val="auto"/>
        </w:rPr>
        <w:tab/>
      </w:r>
      <w:r>
        <w:rPr>
          <w:rFonts w:ascii="Arial" w:cs="Arial" w:eastAsia="Arial" w:hAnsi="Arial"/>
          <w:sz w:val="21"/>
          <w:szCs w:val="21"/>
          <w:color w:val="auto"/>
        </w:rPr>
        <w:t>You shall comply with any rules, policies and procedures set out in the Staff Handbook. The Staff Handbook does not form part of this Contract and the Company may amend it at any time. To the extent that there is any conflict between the terms of this Contract and the Staff Handbook, this Contract shall prevail.</w:t>
      </w:r>
    </w:p>
    <w:p>
      <w:pPr>
        <w:spacing w:after="0" w:line="75"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color w:val="auto"/>
        </w:rPr>
        <w:t>All documents, manuals, hardware and software provided for your use by the Company, and any data or documents (including copies) produced, maintained or stored on the Company’s computer systems or other electronic equipment (including mobile phones), remain the property of the Company.</w:t>
      </w:r>
    </w:p>
    <w:p>
      <w:pPr>
        <w:spacing w:after="0" w:line="329" w:lineRule="exact"/>
        <w:rPr>
          <w:sz w:val="20"/>
          <w:szCs w:val="20"/>
          <w:color w:val="auto"/>
        </w:rPr>
      </w:pPr>
    </w:p>
    <w:p>
      <w:pPr>
        <w:ind w:left="764" w:hanging="764"/>
        <w:spacing w:after="0"/>
        <w:tabs>
          <w:tab w:leader="none" w:pos="764" w:val="left"/>
        </w:tabs>
        <w:numPr>
          <w:ilvl w:val="0"/>
          <w:numId w:val="449"/>
        </w:numPr>
        <w:rPr>
          <w:rFonts w:ascii="Arial" w:cs="Arial" w:eastAsia="Arial" w:hAnsi="Arial"/>
          <w:sz w:val="22"/>
          <w:szCs w:val="22"/>
          <w:b w:val="1"/>
          <w:bCs w:val="1"/>
          <w:color w:val="auto"/>
        </w:rPr>
      </w:pPr>
      <w:r>
        <w:rPr>
          <w:rFonts w:ascii="Arial" w:cs="Arial" w:eastAsia="Arial" w:hAnsi="Arial"/>
          <w:sz w:val="22"/>
          <w:szCs w:val="22"/>
          <w:b w:val="1"/>
          <w:bCs w:val="1"/>
          <w:color w:val="auto"/>
        </w:rPr>
        <w:t>Location</w:t>
      </w:r>
    </w:p>
    <w:p>
      <w:pPr>
        <w:spacing w:after="0" w:line="118" w:lineRule="exact"/>
        <w:rPr>
          <w:sz w:val="20"/>
          <w:szCs w:val="20"/>
          <w:color w:val="auto"/>
        </w:rPr>
      </w:pPr>
    </w:p>
    <w:p>
      <w:pPr>
        <w:ind w:left="764" w:right="180" w:hanging="768"/>
        <w:spacing w:after="0" w:line="274"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Your normal place of work is the Company’s offices at 1 Cavendish Place, London W1G 0QF or such other place as the Company may reasonably determine for the proper performance and exercise of your duties.</w:t>
      </w:r>
    </w:p>
    <w:p>
      <w:pPr>
        <w:spacing w:after="0" w:line="56" w:lineRule="exact"/>
        <w:rPr>
          <w:sz w:val="20"/>
          <w:szCs w:val="20"/>
          <w:color w:val="auto"/>
        </w:rPr>
      </w:pPr>
    </w:p>
    <w:p>
      <w:pPr>
        <w:ind w:left="764" w:right="60" w:hanging="768"/>
        <w:spacing w:after="0" w:line="297" w:lineRule="auto"/>
        <w:tabs>
          <w:tab w:leader="none" w:pos="744"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Company may require you to perform services for any Group Company wherever situated and without further fees or remuneration and to enter into any separate agreement(s) with such Group Company for such purpose and any duties that you may have under this Contract will be deemed to extend to such Group Company.</w:t>
      </w:r>
    </w:p>
    <w:p>
      <w:pPr>
        <w:spacing w:after="0" w:line="39" w:lineRule="exact"/>
        <w:rPr>
          <w:sz w:val="20"/>
          <w:szCs w:val="20"/>
          <w:color w:val="auto"/>
        </w:rPr>
      </w:pPr>
    </w:p>
    <w:p>
      <w:pPr>
        <w:ind w:left="764" w:right="580" w:hanging="768"/>
        <w:spacing w:after="0" w:line="250" w:lineRule="auto"/>
        <w:tabs>
          <w:tab w:leader="none" w:pos="744"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You agree to travel on any Group Company’s business (both within the United Kingdom and abroad) as may be required for the proper performance of your duties under the Appointment.</w:t>
      </w:r>
    </w:p>
    <w:p>
      <w:pPr>
        <w:spacing w:after="0" w:line="317" w:lineRule="exact"/>
        <w:rPr>
          <w:sz w:val="20"/>
          <w:szCs w:val="20"/>
          <w:color w:val="auto"/>
        </w:rPr>
      </w:pPr>
    </w:p>
    <w:p>
      <w:pPr>
        <w:ind w:left="764" w:hanging="764"/>
        <w:spacing w:after="0"/>
        <w:tabs>
          <w:tab w:leader="none" w:pos="764" w:val="left"/>
        </w:tabs>
        <w:numPr>
          <w:ilvl w:val="0"/>
          <w:numId w:val="450"/>
        </w:numPr>
        <w:rPr>
          <w:rFonts w:ascii="Arial" w:cs="Arial" w:eastAsia="Arial" w:hAnsi="Arial"/>
          <w:sz w:val="22"/>
          <w:szCs w:val="22"/>
          <w:b w:val="1"/>
          <w:bCs w:val="1"/>
          <w:color w:val="auto"/>
        </w:rPr>
      </w:pPr>
      <w:r>
        <w:rPr>
          <w:rFonts w:ascii="Arial" w:cs="Arial" w:eastAsia="Arial" w:hAnsi="Arial"/>
          <w:sz w:val="22"/>
          <w:szCs w:val="22"/>
          <w:b w:val="1"/>
          <w:bCs w:val="1"/>
          <w:color w:val="auto"/>
        </w:rPr>
        <w:t>Hours of Work</w:t>
      </w:r>
    </w:p>
    <w:p>
      <w:pPr>
        <w:spacing w:after="0" w:line="118" w:lineRule="exact"/>
        <w:rPr>
          <w:sz w:val="20"/>
          <w:szCs w:val="20"/>
          <w:color w:val="auto"/>
        </w:rPr>
      </w:pPr>
    </w:p>
    <w:p>
      <w:pPr>
        <w:jc w:val="both"/>
        <w:ind w:left="764" w:right="740" w:hanging="768"/>
        <w:spacing w:after="0" w:line="297"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Your normal working hours are from 09:00 to 17:00 on each week day, excluding public and bank holidays of England and Wales, together with such additional hours, on week days (including public and bank holidays of England and Wales) or weekends, as may be necessary for the proper performance of your duties.</w:t>
      </w:r>
    </w:p>
    <w:p>
      <w:pPr>
        <w:spacing w:after="0" w:line="33" w:lineRule="exact"/>
        <w:rPr>
          <w:sz w:val="20"/>
          <w:szCs w:val="20"/>
          <w:color w:val="auto"/>
        </w:rPr>
      </w:pPr>
    </w:p>
    <w:p>
      <w:pPr>
        <w:ind w:left="764" w:right="80" w:hanging="768"/>
        <w:spacing w:after="0" w:line="260" w:lineRule="auto"/>
        <w:tabs>
          <w:tab w:leader="none" w:pos="744"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Regulation 4(1) of the Working Time Regulations 1998 (the “</w:t>
      </w:r>
      <w:r>
        <w:rPr>
          <w:rFonts w:ascii="Arial" w:cs="Arial" w:eastAsia="Arial" w:hAnsi="Arial"/>
          <w:sz w:val="21"/>
          <w:szCs w:val="21"/>
          <w:b w:val="1"/>
          <w:bCs w:val="1"/>
          <w:color w:val="auto"/>
        </w:rPr>
        <w:t>WTR</w:t>
      </w:r>
      <w:r>
        <w:rPr>
          <w:rFonts w:ascii="Arial" w:cs="Arial" w:eastAsia="Arial" w:hAnsi="Arial"/>
          <w:sz w:val="21"/>
          <w:szCs w:val="21"/>
          <w:color w:val="auto"/>
        </w:rPr>
        <w:t>”) provides that a worker’s average working time, including overtime, must not exceed 48 hours for each seven-day period (to be averaged over a period of 17 weeks) unless the worker agrees that this regulation will not apply to his or her employment.</w:t>
      </w:r>
    </w:p>
    <w:p>
      <w:pPr>
        <w:spacing w:after="0" w:line="166" w:lineRule="exact"/>
        <w:rPr>
          <w:sz w:val="20"/>
          <w:szCs w:val="20"/>
          <w:color w:val="auto"/>
        </w:rPr>
      </w:pPr>
    </w:p>
    <w:p>
      <w:pPr>
        <w:ind w:left="764"/>
        <w:spacing w:after="0" w:line="236" w:lineRule="auto"/>
        <w:rPr>
          <w:sz w:val="20"/>
          <w:szCs w:val="20"/>
          <w:color w:val="auto"/>
        </w:rPr>
      </w:pPr>
      <w:r>
        <w:rPr>
          <w:rFonts w:ascii="Arial" w:cs="Arial" w:eastAsia="Arial" w:hAnsi="Arial"/>
          <w:sz w:val="22"/>
          <w:szCs w:val="22"/>
          <w:color w:val="auto"/>
        </w:rPr>
        <w:t>You acknowledge that you hold an executive position with certain autonomous decision taking powers and that the duration of your working time is not measured or predetermined. You agree that you are therefore not subject to regulation 4(1) of the Working Time Regulations 1998 but without prejudice to that you accept that by signing this Contract you have agreed that, insofar as it would apply to your employment with the Company, regulation 4(1) of the Working Time Regulations 1998 shall not apply.</w:t>
      </w:r>
    </w:p>
    <w:p>
      <w:pPr>
        <w:spacing w:after="0" w:line="93" w:lineRule="exact"/>
        <w:rPr>
          <w:sz w:val="20"/>
          <w:szCs w:val="20"/>
          <w:color w:val="auto"/>
        </w:rPr>
      </w:pPr>
    </w:p>
    <w:p>
      <w:pPr>
        <w:ind w:left="764" w:right="20" w:hanging="768"/>
        <w:spacing w:after="0" w:line="328" w:lineRule="auto"/>
        <w:tabs>
          <w:tab w:leader="none" w:pos="744"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At any time during the Appointment, you or the Company may give three months’ prior written notice that the opt-out of clause 7.2 should no longer apply and it will cease to apply with effect from the expiry of the said notice.</w:t>
      </w:r>
    </w:p>
    <w:p>
      <w:pPr>
        <w:spacing w:after="0" w:line="10"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You will comply with any requests made or measures imposed to enable the Company and/or you to monitor and record your working time.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004"/>
          </w:cols>
          <w:pgMar w:left="436" w:top="266" w:right="459" w:bottom="1440" w:gutter="0" w:footer="0" w:header="0"/>
        </w:sectPr>
      </w:pPr>
    </w:p>
    <w:bookmarkStart w:id="431" w:name="page432"/>
    <w:bookmarkEnd w:id="431"/>
    <w:p>
      <w:pPr>
        <w:ind w:left="764" w:hanging="764"/>
        <w:spacing w:after="0"/>
        <w:tabs>
          <w:tab w:leader="none" w:pos="764" w:val="left"/>
        </w:tabs>
        <w:numPr>
          <w:ilvl w:val="0"/>
          <w:numId w:val="451"/>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Salary</w:t>
      </w:r>
    </w:p>
    <w:p>
      <w:pPr>
        <w:spacing w:after="0" w:line="112" w:lineRule="exact"/>
        <w:rPr>
          <w:sz w:val="20"/>
          <w:szCs w:val="20"/>
          <w:color w:val="auto"/>
        </w:rPr>
      </w:pPr>
    </w:p>
    <w:p>
      <w:pPr>
        <w:ind w:left="764" w:hanging="768"/>
        <w:spacing w:after="0" w:line="243"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 xml:space="preserve">Your salary is £ 220,000.00 per annum (the </w:t>
      </w:r>
      <w:r>
        <w:rPr>
          <w:rFonts w:ascii="Arial" w:cs="Arial" w:eastAsia="Arial" w:hAnsi="Arial"/>
          <w:sz w:val="22"/>
          <w:szCs w:val="22"/>
          <w:b w:val="1"/>
          <w:bCs w:val="1"/>
          <w:color w:val="auto"/>
        </w:rPr>
        <w:t>“Salary”</w:t>
      </w:r>
      <w:r>
        <w:rPr>
          <w:rFonts w:ascii="Arial" w:cs="Arial" w:eastAsia="Arial" w:hAnsi="Arial"/>
          <w:sz w:val="22"/>
          <w:szCs w:val="22"/>
          <w:color w:val="auto"/>
        </w:rPr>
        <w:t>), less statutory and voluntary deduction. The Salary shall accrue from day to day and be payable by equal monthly instalments in arrears on the last business day of each calendar month directly into your UK bank or building society account.</w:t>
      </w:r>
    </w:p>
    <w:p>
      <w:pPr>
        <w:spacing w:after="0" w:line="88"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You will receive no additional payment for any overtime worked. Your Salary will include any director’s, company secretary’s and other fees and emoluments due to you as an officer of the Company or of any Group Company.</w:t>
      </w:r>
    </w:p>
    <w:p>
      <w:pPr>
        <w:spacing w:after="0" w:line="10" w:lineRule="exact"/>
        <w:rPr>
          <w:sz w:val="20"/>
          <w:szCs w:val="20"/>
          <w:color w:val="auto"/>
        </w:rPr>
      </w:pPr>
    </w:p>
    <w:p>
      <w:pPr>
        <w:jc w:val="both"/>
        <w:ind w:left="764" w:right="300" w:hanging="768"/>
        <w:spacing w:after="0" w:line="297" w:lineRule="auto"/>
        <w:tabs>
          <w:tab w:leader="none" w:pos="744"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Your Salary will be reviewed by your Manager annually and may be increased from time to time at the Company’s discretion without affecting the other terms of the Appointment. There is no obligation to award an increase. There will be no review of the Salary after notice has been given by either party to terminate the Appointment.</w:t>
      </w:r>
    </w:p>
    <w:p>
      <w:pPr>
        <w:spacing w:after="0" w:line="39" w:lineRule="exact"/>
        <w:rPr>
          <w:sz w:val="20"/>
          <w:szCs w:val="20"/>
          <w:color w:val="auto"/>
        </w:rPr>
      </w:pPr>
    </w:p>
    <w:p>
      <w:pPr>
        <w:ind w:left="764" w:right="160" w:hanging="768"/>
        <w:spacing w:after="0" w:line="234" w:lineRule="auto"/>
        <w:tabs>
          <w:tab w:leader="none" w:pos="744"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If you are invited to participate in any employees’ share scheme (as defined in section 1166 of the Companies Act 2006) and accept, your membership shall be governed exclusively by the rules of the relevant scheme from time to time. Your rights and obligations under this Contract shall not be affected by your participation in the scheme or any right which you may have to participate in it and you shall have no claim for compensation or damages under or in connection with this Contract in consequence of the termination of the Appointment for any reason whatsoever insofar as the termination of the Appointment may end your participation or reduce the value of awards you may receive under it.</w:t>
      </w:r>
    </w:p>
    <w:p>
      <w:pPr>
        <w:spacing w:after="0" w:line="96" w:lineRule="exact"/>
        <w:rPr>
          <w:sz w:val="20"/>
          <w:szCs w:val="20"/>
          <w:color w:val="auto"/>
        </w:rPr>
      </w:pPr>
    </w:p>
    <w:p>
      <w:pPr>
        <w:ind w:left="764" w:right="140" w:hanging="768"/>
        <w:spacing w:after="0" w:line="257" w:lineRule="auto"/>
        <w:tabs>
          <w:tab w:leader="none" w:pos="744"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color w:val="auto"/>
        </w:rPr>
        <w:t>You authorise the Company to deduct from your Salary any sums which you may owe the Company including without limitation any overpayment of salary or expenses, any debt or loans or any other sum or sums which may be required to be authorised pursuant to Section 13 of the Employment Rights Act 1996.</w:t>
      </w:r>
    </w:p>
    <w:p>
      <w:pPr>
        <w:spacing w:after="0" w:line="312" w:lineRule="exact"/>
        <w:rPr>
          <w:sz w:val="20"/>
          <w:szCs w:val="20"/>
          <w:color w:val="auto"/>
        </w:rPr>
      </w:pPr>
    </w:p>
    <w:p>
      <w:pPr>
        <w:ind w:left="764" w:hanging="764"/>
        <w:spacing w:after="0"/>
        <w:tabs>
          <w:tab w:leader="none" w:pos="764" w:val="left"/>
        </w:tabs>
        <w:numPr>
          <w:ilvl w:val="0"/>
          <w:numId w:val="452"/>
        </w:numPr>
        <w:rPr>
          <w:rFonts w:ascii="Arial" w:cs="Arial" w:eastAsia="Arial" w:hAnsi="Arial"/>
          <w:sz w:val="22"/>
          <w:szCs w:val="22"/>
          <w:b w:val="1"/>
          <w:bCs w:val="1"/>
          <w:color w:val="auto"/>
        </w:rPr>
      </w:pPr>
      <w:r>
        <w:rPr>
          <w:rFonts w:ascii="Arial" w:cs="Arial" w:eastAsia="Arial" w:hAnsi="Arial"/>
          <w:sz w:val="22"/>
          <w:szCs w:val="22"/>
          <w:b w:val="1"/>
          <w:bCs w:val="1"/>
          <w:color w:val="auto"/>
        </w:rPr>
        <w:t>Discretionary Bonus</w:t>
      </w:r>
    </w:p>
    <w:p>
      <w:pPr>
        <w:spacing w:after="0" w:line="118" w:lineRule="exact"/>
        <w:rPr>
          <w:sz w:val="20"/>
          <w:szCs w:val="20"/>
          <w:color w:val="auto"/>
        </w:rPr>
      </w:pPr>
    </w:p>
    <w:p>
      <w:pPr>
        <w:ind w:left="764" w:right="160" w:hanging="768"/>
        <w:spacing w:after="0" w:line="297" w:lineRule="auto"/>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You may be considered for a discretionary bonus in relation to each calendar year. The payment of any discretionary bonus is not guaranteed under this Contract and your eligibility for a discretionary bonus shall be assessed in accordance with and subject to the terms of the Company’s performance related discretionary bonus scheme.</w:t>
      </w:r>
    </w:p>
    <w:p>
      <w:pPr>
        <w:spacing w:after="0" w:line="39" w:lineRule="exact"/>
        <w:rPr>
          <w:sz w:val="20"/>
          <w:szCs w:val="20"/>
          <w:color w:val="auto"/>
        </w:rPr>
      </w:pPr>
    </w:p>
    <w:p>
      <w:pPr>
        <w:ind w:left="764" w:right="660" w:hanging="768"/>
        <w:spacing w:after="0" w:line="328"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The terms of the discretionary bonus scheme are determined by the Company in its absolute discretion and the Company is entitled in its absolute discretion to change the terms of this scheme from year to year.</w:t>
      </w:r>
    </w:p>
    <w:p>
      <w:pPr>
        <w:spacing w:after="0" w:line="10" w:lineRule="exact"/>
        <w:rPr>
          <w:sz w:val="20"/>
          <w:szCs w:val="20"/>
          <w:color w:val="auto"/>
        </w:rPr>
      </w:pPr>
    </w:p>
    <w:p>
      <w:pPr>
        <w:ind w:left="764" w:right="100" w:hanging="768"/>
        <w:spacing w:after="0"/>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The amount of the discretionary bonus, if any, in any particular calendar year shall be determined by the Company in its sole discretion. Payment of a bonus in one calendar year does not entitle you to receive a bonus in respect of any other calendar year.</w:t>
      </w:r>
    </w:p>
    <w:p>
      <w:pPr>
        <w:spacing w:after="0" w:line="92" w:lineRule="exact"/>
        <w:rPr>
          <w:sz w:val="20"/>
          <w:szCs w:val="20"/>
          <w:color w:val="auto"/>
        </w:rPr>
      </w:pPr>
    </w:p>
    <w:p>
      <w:pPr>
        <w:ind w:left="764" w:right="200" w:hanging="768"/>
        <w:spacing w:after="0" w:line="250"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color w:val="auto"/>
        </w:rPr>
        <w:t>If you commence employment part way through the calendar year any sum calculated in accordance with clause 9.2 shall be pro-rated, as appropriate.</w:t>
      </w:r>
    </w:p>
    <w:p>
      <w:pPr>
        <w:spacing w:after="0" w:line="107"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0984"/>
          </w:cols>
          <w:pgMar w:left="436" w:top="260" w:right="479" w:bottom="1440" w:gutter="0" w:footer="0" w:header="0"/>
        </w:sectPr>
      </w:pPr>
    </w:p>
    <w:bookmarkStart w:id="432" w:name="page433"/>
    <w:bookmarkEnd w:id="432"/>
    <w:p>
      <w:pPr>
        <w:jc w:val="both"/>
        <w:ind w:left="764" w:right="20" w:hanging="768"/>
        <w:spacing w:after="0"/>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9.5</w:t>
      </w:r>
      <w:r>
        <w:rPr>
          <w:sz w:val="20"/>
          <w:szCs w:val="20"/>
          <w:color w:val="auto"/>
        </w:rPr>
        <w:tab/>
      </w:r>
      <w:r>
        <w:rPr>
          <w:rFonts w:ascii="Arial" w:cs="Arial" w:eastAsia="Arial" w:hAnsi="Arial"/>
          <w:sz w:val="22"/>
          <w:szCs w:val="22"/>
          <w:color w:val="auto"/>
        </w:rPr>
        <w:t>Save as provided in Schedule II, if you are working your period of notice (given by either you or the Company) at the date any bonus is payable to you, or the Appointment is terminated prior to that date, no bonus or pro-rata bonus shall be payable.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color w:val="auto"/>
        </w:rPr>
        <w:t>Any discretionary bonus payable in accordance with this clause 9 shall not be pensionable.</w:t>
      </w:r>
    </w:p>
    <w:p>
      <w:pPr>
        <w:spacing w:after="0" w:line="349" w:lineRule="exact"/>
        <w:rPr>
          <w:sz w:val="20"/>
          <w:szCs w:val="20"/>
          <w:color w:val="auto"/>
        </w:rPr>
      </w:pPr>
    </w:p>
    <w:p>
      <w:pPr>
        <w:ind w:left="764" w:hanging="764"/>
        <w:spacing w:after="0"/>
        <w:tabs>
          <w:tab w:leader="none" w:pos="764" w:val="left"/>
        </w:tabs>
        <w:numPr>
          <w:ilvl w:val="0"/>
          <w:numId w:val="453"/>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118" w:lineRule="exact"/>
        <w:rPr>
          <w:sz w:val="20"/>
          <w:szCs w:val="20"/>
          <w:color w:val="auto"/>
        </w:rPr>
      </w:pPr>
    </w:p>
    <w:p>
      <w:pPr>
        <w:ind w:left="764" w:right="360" w:hanging="768"/>
        <w:spacing w:after="0" w:line="238" w:lineRule="auto"/>
        <w:tabs>
          <w:tab w:leader="none" w:pos="744"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The Company will reimburse (or procure the reimbursement of) all expenses properly, necessarily and reasonably incurred by you in the proper performance of your duties, provided that on request you will provide the Company with such VAT receipts, invoices or other evidence of actual payment of such expenses as the Company may reasonably require.</w:t>
      </w:r>
    </w:p>
    <w:p>
      <w:pPr>
        <w:spacing w:after="0" w:line="9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You shall comply with the Company’s expenses policy as set out in the Staff Handbook from time to time.</w:t>
      </w:r>
    </w:p>
    <w:p>
      <w:pPr>
        <w:spacing w:after="0" w:line="112" w:lineRule="exact"/>
        <w:rPr>
          <w:sz w:val="20"/>
          <w:szCs w:val="20"/>
          <w:color w:val="auto"/>
        </w:rPr>
      </w:pPr>
    </w:p>
    <w:p>
      <w:pPr>
        <w:jc w:val="both"/>
        <w:ind w:left="764" w:right="220" w:hanging="768"/>
        <w:spacing w:after="0"/>
        <w:tabs>
          <w:tab w:leader="none" w:pos="744"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Any expenses charged to a Company credit card must be documented in accordance with Company procedures and approved by the Chief Financial Officer within one month of the date that the credit card statement is received. No personal expenditure may be charged to Company credit cards.</w:t>
      </w:r>
    </w:p>
    <w:p>
      <w:pPr>
        <w:spacing w:after="0" w:line="329" w:lineRule="exact"/>
        <w:rPr>
          <w:sz w:val="20"/>
          <w:szCs w:val="20"/>
          <w:color w:val="auto"/>
        </w:rPr>
      </w:pPr>
    </w:p>
    <w:p>
      <w:pPr>
        <w:ind w:left="764" w:hanging="764"/>
        <w:spacing w:after="0"/>
        <w:tabs>
          <w:tab w:leader="none" w:pos="764" w:val="left"/>
        </w:tabs>
        <w:numPr>
          <w:ilvl w:val="0"/>
          <w:numId w:val="454"/>
        </w:numPr>
        <w:rPr>
          <w:rFonts w:ascii="Arial" w:cs="Arial" w:eastAsia="Arial" w:hAnsi="Arial"/>
          <w:sz w:val="22"/>
          <w:szCs w:val="22"/>
          <w:b w:val="1"/>
          <w:bCs w:val="1"/>
          <w:color w:val="auto"/>
        </w:rPr>
      </w:pPr>
      <w:r>
        <w:rPr>
          <w:rFonts w:ascii="Arial" w:cs="Arial" w:eastAsia="Arial" w:hAnsi="Arial"/>
          <w:sz w:val="22"/>
          <w:szCs w:val="22"/>
          <w:b w:val="1"/>
          <w:bCs w:val="1"/>
          <w:color w:val="auto"/>
        </w:rPr>
        <w:t>Other Employment</w:t>
      </w:r>
    </w:p>
    <w:p>
      <w:pPr>
        <w:spacing w:after="0" w:line="118" w:lineRule="exact"/>
        <w:rPr>
          <w:sz w:val="20"/>
          <w:szCs w:val="20"/>
          <w:color w:val="auto"/>
        </w:rPr>
      </w:pPr>
    </w:p>
    <w:p>
      <w:pPr>
        <w:ind w:left="764" w:right="380" w:hanging="768"/>
        <w:spacing w:after="0" w:line="250" w:lineRule="auto"/>
        <w:tabs>
          <w:tab w:leader="none" w:pos="744"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You must devote substantially the whole of your time, attention and abilities during your normal hours of work to your duties for the Company.</w:t>
      </w:r>
    </w:p>
    <w:p>
      <w:pPr>
        <w:spacing w:after="0" w:line="80"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Without the prior written approval of the Board, you may not, whether directly or indirectly, undertake any other job (including voluntary work) or carry on a business, of whatever kind, during your hours of work for the Company. Without the prior written approval of the Board, you may not, whether directly or indirectly, undertake any other job (including voluntary work) or carry on a business, of whatever kind, outside Company hours if in the reasonable opinion of the Company this is likely to affect your work performance for the Company and you will promptly disclose to the Company sufficient details of any such job or business in order for the Company to consider whether it is likely to affect your work performance.</w:t>
      </w:r>
    </w:p>
    <w:p>
      <w:pPr>
        <w:spacing w:after="0" w:line="90" w:lineRule="exact"/>
        <w:rPr>
          <w:sz w:val="20"/>
          <w:szCs w:val="20"/>
          <w:color w:val="auto"/>
        </w:rPr>
      </w:pPr>
    </w:p>
    <w:p>
      <w:pPr>
        <w:jc w:val="both"/>
        <w:ind w:left="764" w:right="60" w:hanging="768"/>
        <w:spacing w:after="0"/>
        <w:tabs>
          <w:tab w:leader="none" w:pos="744"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color w:val="auto"/>
        </w:rPr>
        <w:t>You may not at any time during the period of your employment by the Company without the prior written consent of the Chief Executive Officer engage, whether directly or indirectly, in any business or employment which is similar to or in any way connected with the business of the Company.</w:t>
      </w:r>
    </w:p>
    <w:p>
      <w:pPr>
        <w:spacing w:after="0" w:line="329" w:lineRule="exact"/>
        <w:rPr>
          <w:sz w:val="20"/>
          <w:szCs w:val="20"/>
          <w:color w:val="auto"/>
        </w:rPr>
      </w:pPr>
    </w:p>
    <w:p>
      <w:pPr>
        <w:ind w:left="764" w:hanging="764"/>
        <w:spacing w:after="0"/>
        <w:tabs>
          <w:tab w:leader="none" w:pos="764" w:val="left"/>
        </w:tabs>
        <w:numPr>
          <w:ilvl w:val="0"/>
          <w:numId w:val="455"/>
        </w:numPr>
        <w:rPr>
          <w:rFonts w:ascii="Arial" w:cs="Arial" w:eastAsia="Arial" w:hAnsi="Arial"/>
          <w:sz w:val="22"/>
          <w:szCs w:val="22"/>
          <w:b w:val="1"/>
          <w:bCs w:val="1"/>
          <w:color w:val="auto"/>
        </w:rPr>
      </w:pPr>
      <w:r>
        <w:rPr>
          <w:rFonts w:ascii="Arial" w:cs="Arial" w:eastAsia="Arial" w:hAnsi="Arial"/>
          <w:sz w:val="22"/>
          <w:szCs w:val="22"/>
          <w:b w:val="1"/>
          <w:bCs w:val="1"/>
          <w:color w:val="auto"/>
        </w:rPr>
        <w:t>Holidays</w:t>
      </w:r>
    </w:p>
    <w:p>
      <w:pPr>
        <w:spacing w:after="0" w:line="118" w:lineRule="exact"/>
        <w:rPr>
          <w:sz w:val="20"/>
          <w:szCs w:val="20"/>
          <w:color w:val="auto"/>
        </w:rPr>
      </w:pPr>
    </w:p>
    <w:p>
      <w:pPr>
        <w:ind w:left="764" w:right="60" w:hanging="768"/>
        <w:spacing w:after="0"/>
        <w:tabs>
          <w:tab w:leader="none" w:pos="744"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In addition to the usual public and bank holidays of England and Wales, you shall be entitled to 25 days’ paid holiday in each complete holiday year worked (and pro rata for any holiday year worked in part) to be taken at such time or times as shall be agreed by your Manager.</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The holiday year runs from 1 January each year to the following 31 December.</w:t>
      </w:r>
    </w:p>
    <w:p>
      <w:pPr>
        <w:spacing w:after="0" w:line="139" w:lineRule="exact"/>
        <w:rPr>
          <w:sz w:val="20"/>
          <w:szCs w:val="20"/>
          <w:color w:val="auto"/>
        </w:rPr>
      </w:pPr>
    </w:p>
    <w:p>
      <w:pPr>
        <w:ind w:left="5324"/>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0964"/>
          </w:cols>
          <w:pgMar w:left="436" w:top="266" w:right="499" w:bottom="1440" w:gutter="0" w:footer="0" w:header="0"/>
        </w:sectPr>
      </w:pPr>
    </w:p>
    <w:bookmarkStart w:id="433" w:name="page434"/>
    <w:bookmarkEnd w:id="433"/>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12.3</w:t>
      </w:r>
      <w:r>
        <w:rPr>
          <w:sz w:val="20"/>
          <w:szCs w:val="20"/>
          <w:color w:val="auto"/>
        </w:rPr>
        <w:tab/>
      </w:r>
      <w:r>
        <w:rPr>
          <w:rFonts w:ascii="Arial" w:cs="Arial" w:eastAsia="Arial" w:hAnsi="Arial"/>
          <w:sz w:val="22"/>
          <w:szCs w:val="22"/>
          <w:color w:val="auto"/>
        </w:rPr>
        <w:t>Although the Company will agree to your proposed holiday dates wherever possible, it reserves the right to withhold approval where necessary to protect the interests of the business.</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color w:val="auto"/>
        </w:rPr>
        <w:t>The Company reserves the right to require you to take holiday on certain days to be determined by the Company of up to five days in each holiday year. The Company will notify you of any such requirement prior to the commencement of each holiday year.</w:t>
      </w:r>
    </w:p>
    <w:p>
      <w:pPr>
        <w:spacing w:after="0" w:line="92" w:lineRule="exact"/>
        <w:rPr>
          <w:sz w:val="20"/>
          <w:szCs w:val="20"/>
          <w:color w:val="auto"/>
        </w:rPr>
      </w:pPr>
    </w:p>
    <w:p>
      <w:pPr>
        <w:jc w:val="both"/>
        <w:ind w:left="764" w:right="280" w:hanging="768"/>
        <w:spacing w:after="0"/>
        <w:tabs>
          <w:tab w:leader="none" w:pos="744"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2"/>
          <w:szCs w:val="22"/>
          <w:color w:val="auto"/>
        </w:rPr>
        <w:t>A maximum of five days untaken holiday entitlement may be carried forward from one holiday year subject to the prior written agreement of your Manager to the next and no money will be paid in lieu of any such untaken holiday entitlement.</w:t>
      </w:r>
    </w:p>
    <w:p>
      <w:pPr>
        <w:spacing w:after="0" w:line="92" w:lineRule="exact"/>
        <w:rPr>
          <w:sz w:val="20"/>
          <w:szCs w:val="20"/>
          <w:color w:val="auto"/>
        </w:rPr>
      </w:pPr>
    </w:p>
    <w:p>
      <w:pPr>
        <w:ind w:left="764" w:right="200" w:hanging="768"/>
        <w:spacing w:after="0" w:line="252" w:lineRule="auto"/>
        <w:tabs>
          <w:tab w:leader="none" w:pos="744"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color w:val="auto"/>
        </w:rPr>
        <w:t>On termination of the Appointment you shall be entitled to be paid in lieu of holiday accrued but untaken in the holiday year in which termination takes place. Your entitlement to holiday will be calculated on the basis that each day of paid holiday is equal to 1/260 of your salary. Alternatively, you will be required to repay to the Company pay for any holiday taken in excess of your entitlement at the same rate.</w:t>
      </w:r>
    </w:p>
    <w:p>
      <w:pPr>
        <w:spacing w:after="0" w:line="79" w:lineRule="exact"/>
        <w:rPr>
          <w:sz w:val="20"/>
          <w:szCs w:val="20"/>
          <w:color w:val="auto"/>
        </w:rPr>
      </w:pPr>
    </w:p>
    <w:p>
      <w:pPr>
        <w:jc w:val="both"/>
        <w:ind w:left="764" w:right="340" w:hanging="768"/>
        <w:spacing w:after="0"/>
        <w:tabs>
          <w:tab w:leader="none" w:pos="744"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22"/>
          <w:szCs w:val="22"/>
          <w:color w:val="auto"/>
        </w:rPr>
        <w:t>If in any year you are not employed for the complete holiday year (for example, in the years in which you join and leave the Company), your holiday entitlement will be calculated pro rata based on the number of complete months worked during the relevant holiday year.</w:t>
      </w:r>
    </w:p>
    <w:p>
      <w:pPr>
        <w:spacing w:after="0" w:line="92" w:lineRule="exact"/>
        <w:rPr>
          <w:sz w:val="20"/>
          <w:szCs w:val="20"/>
          <w:color w:val="auto"/>
        </w:rPr>
      </w:pPr>
    </w:p>
    <w:p>
      <w:pPr>
        <w:ind w:left="764" w:right="260" w:hanging="768"/>
        <w:spacing w:after="0" w:line="250" w:lineRule="auto"/>
        <w:tabs>
          <w:tab w:leader="none" w:pos="744"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2"/>
          <w:szCs w:val="22"/>
          <w:color w:val="auto"/>
        </w:rPr>
        <w:t>The Company may require you to take any outstanding holiday entitlement during your notice period or during any period of garden leave as referred to in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The holiday year is also the leave year for parental leave purposes.</w:t>
      </w:r>
    </w:p>
    <w:p>
      <w:pPr>
        <w:spacing w:after="0" w:line="349" w:lineRule="exact"/>
        <w:rPr>
          <w:sz w:val="20"/>
          <w:szCs w:val="20"/>
          <w:color w:val="auto"/>
        </w:rPr>
      </w:pPr>
    </w:p>
    <w:p>
      <w:pPr>
        <w:ind w:left="764" w:hanging="764"/>
        <w:spacing w:after="0"/>
        <w:tabs>
          <w:tab w:leader="none" w:pos="764" w:val="left"/>
        </w:tabs>
        <w:numPr>
          <w:ilvl w:val="0"/>
          <w:numId w:val="456"/>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Sickness or Other Absence</w:t>
      </w:r>
    </w:p>
    <w:p>
      <w:pPr>
        <w:spacing w:after="0" w:line="118" w:lineRule="exact"/>
        <w:rPr>
          <w:sz w:val="20"/>
          <w:szCs w:val="20"/>
          <w:color w:val="auto"/>
        </w:rPr>
      </w:pPr>
    </w:p>
    <w:p>
      <w:pPr>
        <w:ind w:left="764" w:right="380" w:hanging="768"/>
        <w:spacing w:after="0" w:line="328" w:lineRule="auto"/>
        <w:tabs>
          <w:tab w:leader="none" w:pos="744"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If you are absent from work for any reason and your absence has not previously been authorised by your Manager you, or someone on your behalf, must inform your Manager by 10.00 am on each day of absence.</w:t>
      </w:r>
    </w:p>
    <w:p>
      <w:pPr>
        <w:spacing w:after="0" w:line="10" w:lineRule="exact"/>
        <w:rPr>
          <w:sz w:val="20"/>
          <w:szCs w:val="20"/>
          <w:color w:val="auto"/>
        </w:rPr>
      </w:pPr>
    </w:p>
    <w:p>
      <w:pPr>
        <w:ind w:left="764" w:right="260" w:hanging="768"/>
        <w:spacing w:after="0" w:line="328" w:lineRule="auto"/>
        <w:tabs>
          <w:tab w:leader="none" w:pos="744"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Any unauthorised absence must be properly explained and in the case of an absence of uncertain duration you must keep the Company informed on a daily basis until you have provided the Company with a medical certificate.</w:t>
      </w:r>
    </w:p>
    <w:p>
      <w:pPr>
        <w:spacing w:after="0" w:line="10" w:lineRule="exact"/>
        <w:rPr>
          <w:sz w:val="20"/>
          <w:szCs w:val="20"/>
          <w:color w:val="auto"/>
        </w:rPr>
      </w:pPr>
    </w:p>
    <w:p>
      <w:pPr>
        <w:jc w:val="both"/>
        <w:ind w:left="764" w:right="40" w:hanging="768"/>
        <w:spacing w:after="0" w:line="257" w:lineRule="auto"/>
        <w:tabs>
          <w:tab w:leader="none" w:pos="744"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If you are absent from work due to sickness or injury which continues for more than seven days (including weekends) you must provide the Company with a medical certificate on or before the eighth day of sickness or injury. Thereafter medical certificates must be provided to the Company to cover any continued absence.</w:t>
      </w:r>
    </w:p>
    <w:p>
      <w:pPr>
        <w:spacing w:after="0" w:line="75" w:lineRule="exact"/>
        <w:rPr>
          <w:sz w:val="20"/>
          <w:szCs w:val="20"/>
          <w:color w:val="auto"/>
        </w:rPr>
      </w:pPr>
    </w:p>
    <w:p>
      <w:pPr>
        <w:ind w:left="764" w:right="220" w:hanging="768"/>
        <w:spacing w:after="0" w:line="287" w:lineRule="auto"/>
        <w:tabs>
          <w:tab w:leader="none" w:pos="744"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Immediately following your return to work after any period of absence which has not previously been authorised by your Manager you are required to complete a Self-Certification form stating the date of and the reason for your absence, including details of sickness on non-working days as this information is required by the Company for calculating Statutory Sick Pay entitlement. Self-Certification forms will be retained in the Company’s records.</w:t>
      </w:r>
    </w:p>
    <w:p>
      <w:pPr>
        <w:spacing w:after="0" w:line="75"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004"/>
          </w:cols>
          <w:pgMar w:left="436" w:top="266" w:right="459" w:bottom="1440" w:gutter="0" w:footer="0" w:header="0"/>
        </w:sectPr>
      </w:pPr>
    </w:p>
    <w:bookmarkStart w:id="434" w:name="page435"/>
    <w:bookmarkEnd w:id="434"/>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w:t>
      </w:r>
      <w:r>
        <w:rPr>
          <w:sz w:val="20"/>
          <w:szCs w:val="20"/>
          <w:color w:val="auto"/>
        </w:rPr>
        <w:tab/>
      </w:r>
      <w:r>
        <w:rPr>
          <w:rFonts w:ascii="Arial" w:cs="Arial" w:eastAsia="Arial" w:hAnsi="Arial"/>
          <w:sz w:val="22"/>
          <w:szCs w:val="22"/>
          <w:color w:val="auto"/>
        </w:rPr>
        <w:t>Failure to comply with the above procedures may result in disciplinary action and/or the loss of Company sick pay (referred to below) and may also disqualify you from receiving Statutory Sick Pay.</w:t>
      </w:r>
    </w:p>
    <w:p>
      <w:pPr>
        <w:spacing w:after="0" w:line="80" w:lineRule="exact"/>
        <w:rPr>
          <w:sz w:val="20"/>
          <w:szCs w:val="20"/>
          <w:color w:val="auto"/>
        </w:rPr>
      </w:pPr>
    </w:p>
    <w:p>
      <w:pPr>
        <w:ind w:left="764" w:right="220" w:hanging="768"/>
        <w:spacing w:after="0" w:line="250" w:lineRule="auto"/>
        <w:tabs>
          <w:tab w:leader="none" w:pos="744"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2"/>
          <w:szCs w:val="22"/>
          <w:color w:val="auto"/>
        </w:rPr>
        <w:t>Your “qualifying days” for Statutory Sick Pay purposes are those days of the week on which you are due to work in accordance with this contract of employment.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You shall:</w:t>
      </w:r>
    </w:p>
    <w:p>
      <w:pPr>
        <w:spacing w:after="0" w:line="112" w:lineRule="exact"/>
        <w:rPr>
          <w:sz w:val="20"/>
          <w:szCs w:val="20"/>
          <w:color w:val="auto"/>
        </w:rPr>
      </w:pPr>
    </w:p>
    <w:p>
      <w:pPr>
        <w:ind w:left="1424" w:hanging="647"/>
        <w:spacing w:after="0" w:line="274" w:lineRule="auto"/>
        <w:rPr>
          <w:sz w:val="20"/>
          <w:szCs w:val="20"/>
          <w:color w:val="auto"/>
        </w:rPr>
      </w:pPr>
      <w:r>
        <w:rPr>
          <w:rFonts w:ascii="Arial" w:cs="Arial" w:eastAsia="Arial" w:hAnsi="Arial"/>
          <w:sz w:val="21"/>
          <w:szCs w:val="21"/>
          <w:color w:val="auto"/>
        </w:rPr>
        <w:t>13.7.1 agree to consent to a medical examination (at the Company’s expense) by a doctor nominated by the Company or your GP or any relevant consultant at any time should the Company so require; and</w:t>
      </w:r>
    </w:p>
    <w:p>
      <w:pPr>
        <w:spacing w:after="0" w:line="56" w:lineRule="exact"/>
        <w:rPr>
          <w:sz w:val="20"/>
          <w:szCs w:val="20"/>
          <w:color w:val="auto"/>
        </w:rPr>
      </w:pPr>
    </w:p>
    <w:p>
      <w:pPr>
        <w:ind w:left="1424" w:right="360" w:hanging="647"/>
        <w:spacing w:after="0" w:line="250" w:lineRule="auto"/>
        <w:rPr>
          <w:sz w:val="20"/>
          <w:szCs w:val="20"/>
          <w:color w:val="auto"/>
        </w:rPr>
      </w:pPr>
      <w:r>
        <w:rPr>
          <w:rFonts w:ascii="Arial" w:cs="Arial" w:eastAsia="Arial" w:hAnsi="Arial"/>
          <w:sz w:val="22"/>
          <w:szCs w:val="22"/>
          <w:color w:val="auto"/>
        </w:rPr>
        <w:t>13.7.2 authorise such medical practitioner to disclose to or discuss with the Company (or its medical adviser) any matters arising from such examination.</w:t>
      </w:r>
    </w:p>
    <w:p>
      <w:pPr>
        <w:spacing w:after="0" w:line="80" w:lineRule="exact"/>
        <w:rPr>
          <w:sz w:val="20"/>
          <w:szCs w:val="20"/>
          <w:color w:val="auto"/>
        </w:rPr>
      </w:pPr>
    </w:p>
    <w:p>
      <w:pPr>
        <w:ind w:left="764" w:right="220" w:hanging="768"/>
        <w:spacing w:after="0"/>
        <w:tabs>
          <w:tab w:leader="none" w:pos="744"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2"/>
          <w:szCs w:val="22"/>
          <w:color w:val="auto"/>
        </w:rPr>
        <w:t>The rights of the Company to terminate the Appointment under the terms of this Contract apply even when such termination would or might cause you to forfeit any entitlement to sick pay, payments under the medical scheme, or other benefits.</w:t>
      </w:r>
    </w:p>
    <w:p>
      <w:pPr>
        <w:spacing w:after="0" w:line="329" w:lineRule="exact"/>
        <w:rPr>
          <w:sz w:val="20"/>
          <w:szCs w:val="20"/>
          <w:color w:val="auto"/>
        </w:rPr>
      </w:pPr>
    </w:p>
    <w:p>
      <w:pPr>
        <w:ind w:left="764" w:hanging="764"/>
        <w:spacing w:after="0"/>
        <w:tabs>
          <w:tab w:leader="none" w:pos="764" w:val="left"/>
        </w:tabs>
        <w:numPr>
          <w:ilvl w:val="0"/>
          <w:numId w:val="457"/>
        </w:numPr>
        <w:rPr>
          <w:rFonts w:ascii="Arial" w:cs="Arial" w:eastAsia="Arial" w:hAnsi="Arial"/>
          <w:sz w:val="22"/>
          <w:szCs w:val="22"/>
          <w:b w:val="1"/>
          <w:bCs w:val="1"/>
          <w:color w:val="auto"/>
        </w:rPr>
      </w:pPr>
      <w:r>
        <w:rPr>
          <w:rFonts w:ascii="Arial" w:cs="Arial" w:eastAsia="Arial" w:hAnsi="Arial"/>
          <w:sz w:val="22"/>
          <w:szCs w:val="22"/>
          <w:b w:val="1"/>
          <w:bCs w:val="1"/>
          <w:color w:val="auto"/>
        </w:rPr>
        <w:t>Sick Pay</w:t>
      </w:r>
    </w:p>
    <w:p>
      <w:pPr>
        <w:spacing w:after="0" w:line="118" w:lineRule="exact"/>
        <w:rPr>
          <w:sz w:val="20"/>
          <w:szCs w:val="20"/>
          <w:color w:val="auto"/>
        </w:rPr>
      </w:pPr>
    </w:p>
    <w:p>
      <w:pPr>
        <w:ind w:left="764" w:right="100" w:hanging="768"/>
        <w:spacing w:after="0" w:line="248" w:lineRule="auto"/>
        <w:tabs>
          <w:tab w:leader="none" w:pos="744"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Provided that you have complied with the Company’s notification and certification procedures and general terms relating to sickness absence referred to in clause 13 above and that you have completed three months of continuous service prior to the start of the period of sickness, you will be entitled to be paid your normal basic pay for periods of sickness absence up to a maximum of 10 working days in aggregate in any calendar year. Any payments made thereafter will be at the sole discretion of the Company. Payments of sick pay include Statutory Sick Pay and will be reduced by any state sickness benefit you may be entitled to receive.</w:t>
      </w:r>
    </w:p>
    <w:p>
      <w:pPr>
        <w:spacing w:after="0" w:line="82" w:lineRule="exact"/>
        <w:rPr>
          <w:sz w:val="20"/>
          <w:szCs w:val="20"/>
          <w:color w:val="auto"/>
        </w:rPr>
      </w:pPr>
    </w:p>
    <w:p>
      <w:pPr>
        <w:ind w:left="764" w:right="20" w:hanging="768"/>
        <w:spacing w:after="0" w:line="248" w:lineRule="auto"/>
        <w:tabs>
          <w:tab w:leader="none" w:pos="744"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If you are absent from work due to the actionable negligence, nuisance or breach of any statutory duty on the part of a third party in respect of which damages are or may be recoverable, you shall immediately notify your Manager of that fact and of any claim, compromise, settlement or judgment made or awarded in connection with it and all relevant particulars that the Company may reasonably require. In such circumstances any Company sick pay will be paid as a loan which, if required by the Company, you must repay to the Company if you recover damages in respect of your absence from work.</w:t>
      </w:r>
    </w:p>
    <w:p>
      <w:pPr>
        <w:spacing w:after="0" w:line="82" w:lineRule="exact"/>
        <w:rPr>
          <w:sz w:val="20"/>
          <w:szCs w:val="20"/>
          <w:color w:val="auto"/>
        </w:rPr>
      </w:pPr>
    </w:p>
    <w:p>
      <w:pPr>
        <w:ind w:left="764" w:right="160" w:hanging="768"/>
        <w:spacing w:after="0" w:line="250" w:lineRule="auto"/>
        <w:tabs>
          <w:tab w:leader="none" w:pos="744"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2"/>
          <w:szCs w:val="22"/>
          <w:color w:val="auto"/>
        </w:rPr>
        <w:t>The Company reserves the right to withhold payment of Company sick pay if you fail to comply with the provisions of clause 13 or if you are subject to disciplinary proceedings.</w:t>
      </w:r>
    </w:p>
    <w:p>
      <w:pPr>
        <w:spacing w:after="0" w:line="317" w:lineRule="exact"/>
        <w:rPr>
          <w:sz w:val="20"/>
          <w:szCs w:val="20"/>
          <w:color w:val="auto"/>
        </w:rPr>
      </w:pPr>
    </w:p>
    <w:p>
      <w:pPr>
        <w:ind w:left="764" w:hanging="764"/>
        <w:spacing w:after="0"/>
        <w:tabs>
          <w:tab w:leader="none" w:pos="764" w:val="left"/>
        </w:tabs>
        <w:numPr>
          <w:ilvl w:val="0"/>
          <w:numId w:val="458"/>
        </w:numPr>
        <w:rPr>
          <w:rFonts w:ascii="Arial" w:cs="Arial" w:eastAsia="Arial" w:hAnsi="Arial"/>
          <w:sz w:val="22"/>
          <w:szCs w:val="22"/>
          <w:b w:val="1"/>
          <w:bCs w:val="1"/>
          <w:color w:val="auto"/>
        </w:rPr>
      </w:pPr>
      <w:r>
        <w:rPr>
          <w:rFonts w:ascii="Arial" w:cs="Arial" w:eastAsia="Arial" w:hAnsi="Arial"/>
          <w:sz w:val="22"/>
          <w:szCs w:val="22"/>
          <w:b w:val="1"/>
          <w:bCs w:val="1"/>
          <w:color w:val="auto"/>
        </w:rPr>
        <w:t>Other Benefits</w:t>
      </w:r>
    </w:p>
    <w:p>
      <w:pPr>
        <w:spacing w:after="0" w:line="112" w:lineRule="exact"/>
        <w:rPr>
          <w:sz w:val="20"/>
          <w:szCs w:val="20"/>
          <w:color w:val="auto"/>
        </w:rPr>
      </w:pPr>
    </w:p>
    <w:p>
      <w:pPr>
        <w:ind w:left="764" w:right="200" w:hanging="768"/>
        <w:spacing w:after="0" w:line="254" w:lineRule="auto"/>
        <w:tabs>
          <w:tab w:leader="none" w:pos="744"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1"/>
          <w:szCs w:val="21"/>
          <w:b w:val="1"/>
          <w:bCs w:val="1"/>
          <w:color w:val="auto"/>
        </w:rPr>
        <w:t xml:space="preserve">Pension. </w:t>
      </w:r>
      <w:r>
        <w:rPr>
          <w:rFonts w:ascii="Arial" w:cs="Arial" w:eastAsia="Arial" w:hAnsi="Arial"/>
          <w:sz w:val="21"/>
          <w:szCs w:val="21"/>
          <w:color w:val="auto"/>
        </w:rPr>
        <w:t>You are eligible to join the Company’s group personal pension scheme. Membership of and benefits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scheme are strictly subject to the rules of the scheme as amended from time to time. The Company expressly reserves the right in its discretion to amend or terminate the pension scheme. The Company shall contribute to the Company’s pension scheme an amount equal to 10% of your</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0984"/>
          </w:cols>
          <w:pgMar w:left="436" w:top="266" w:right="479" w:bottom="1440" w:gutter="0" w:footer="0" w:header="0"/>
        </w:sectPr>
      </w:pPr>
    </w:p>
    <w:bookmarkStart w:id="435" w:name="page436"/>
    <w:bookmarkEnd w:id="435"/>
    <w:p>
      <w:pPr>
        <w:ind w:left="76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Salary provided that you contribute 4% or more to that scheme, subject to the annual allowance set by HM Revenue &amp; Customs from time to time not being exceeded. In the event that you exceed the annual allowance set by HM Revenue &amp; Customs in any fiscal year or maximum lifetime allowance, the Company may, at your request, pay a pro-rata amount equal to 10% of your basic salary in lieu of a pension contribution to you as an allowance, subject to deduction of income tax and national insurance contributions, you certifying and, at the request of the Company, providing evidence satisfactory to the Company that you have exceeded such annual allowance for the applicable fiscal year or the maximum lifetime allowance and, if necessary, you opting out of auto enrolment. Any pension contribution or allowance shall be paid in equal monthly instalments in arrears.</w:t>
      </w:r>
    </w:p>
    <w:p>
      <w:pPr>
        <w:spacing w:after="0" w:line="63" w:lineRule="exact"/>
        <w:rPr>
          <w:sz w:val="20"/>
          <w:szCs w:val="20"/>
          <w:color w:val="auto"/>
        </w:rPr>
      </w:pPr>
    </w:p>
    <w:p>
      <w:pPr>
        <w:ind w:left="760" w:right="20" w:hanging="768"/>
        <w:spacing w:after="0" w:line="250" w:lineRule="auto"/>
        <w:tabs>
          <w:tab w:leader="none" w:pos="7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2"/>
          <w:szCs w:val="22"/>
          <w:color w:val="auto"/>
        </w:rPr>
        <w:t>The Company will comply with the employer pension duties in respect of your employment in accordance with Part I of the Pensions Act 2008.</w:t>
      </w:r>
    </w:p>
    <w:p>
      <w:pPr>
        <w:spacing w:after="0" w:line="8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A contracting-out certificate under the Pension Schemes Act 1993 is not in force in respect of the Appointment.</w:t>
      </w:r>
    </w:p>
    <w:p>
      <w:pPr>
        <w:spacing w:after="0" w:line="112" w:lineRule="exact"/>
        <w:rPr>
          <w:sz w:val="20"/>
          <w:szCs w:val="20"/>
          <w:color w:val="auto"/>
        </w:rPr>
      </w:pPr>
    </w:p>
    <w:p>
      <w:pPr>
        <w:ind w:left="760" w:right="440" w:hanging="768"/>
        <w:spacing w:after="0" w:line="257" w:lineRule="auto"/>
        <w:tabs>
          <w:tab w:leader="none" w:pos="7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color w:val="auto"/>
        </w:rPr>
        <w:t>Subject to the rules and eligibility requirements of each scheme from time to time in force and to your health not being such as to prevent the Company (or the relevant Group Company) from being able to obtain cover on reasonable terms, you will be entitled to participate in the following schemes:</w:t>
      </w:r>
    </w:p>
    <w:p>
      <w:pPr>
        <w:spacing w:after="0" w:line="69" w:lineRule="exact"/>
        <w:rPr>
          <w:sz w:val="20"/>
          <w:szCs w:val="20"/>
          <w:color w:val="auto"/>
        </w:rPr>
      </w:pPr>
    </w:p>
    <w:p>
      <w:pPr>
        <w:ind w:left="1420" w:right="400" w:hanging="647"/>
        <w:spacing w:after="0" w:line="280" w:lineRule="auto"/>
        <w:rPr>
          <w:sz w:val="20"/>
          <w:szCs w:val="20"/>
          <w:color w:val="auto"/>
        </w:rPr>
      </w:pPr>
      <w:r>
        <w:rPr>
          <w:rFonts w:ascii="Arial" w:cs="Arial" w:eastAsia="Arial" w:hAnsi="Arial"/>
          <w:sz w:val="21"/>
          <w:szCs w:val="21"/>
          <w:color w:val="auto"/>
        </w:rPr>
        <w:t xml:space="preserve">15.4.1 </w:t>
      </w:r>
      <w:r>
        <w:rPr>
          <w:rFonts w:ascii="Arial" w:cs="Arial" w:eastAsia="Arial" w:hAnsi="Arial"/>
          <w:sz w:val="21"/>
          <w:szCs w:val="21"/>
          <w:b w:val="1"/>
          <w:bCs w:val="1"/>
          <w:color w:val="auto"/>
        </w:rPr>
        <w:t>Medical Scheme.</w:t>
      </w:r>
      <w:r>
        <w:rPr>
          <w:rFonts w:ascii="Arial" w:cs="Arial" w:eastAsia="Arial" w:hAnsi="Arial"/>
          <w:sz w:val="21"/>
          <w:szCs w:val="21"/>
          <w:color w:val="auto"/>
        </w:rPr>
        <w:t xml:space="preserve"> You and your immediate family shall be entitled to participate in the medical insurance scheme maintained from time to time by the Company for the benefit of employees.</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15.4.2 </w:t>
      </w:r>
      <w:r>
        <w:rPr>
          <w:rFonts w:ascii="Arial" w:cs="Arial" w:eastAsia="Arial" w:hAnsi="Arial"/>
          <w:sz w:val="19"/>
          <w:szCs w:val="19"/>
          <w:b w:val="1"/>
          <w:bCs w:val="1"/>
          <w:color w:val="auto"/>
        </w:rPr>
        <w:t>Life Assurance Scheme.</w:t>
      </w:r>
      <w:r>
        <w:rPr>
          <w:rFonts w:ascii="Arial" w:cs="Arial" w:eastAsia="Arial" w:hAnsi="Arial"/>
          <w:sz w:val="19"/>
          <w:szCs w:val="19"/>
          <w:color w:val="auto"/>
        </w:rPr>
        <w:t xml:space="preserve"> The Company shall maintain for you life assurance of four times your Salary.</w:t>
      </w:r>
    </w:p>
    <w:p>
      <w:pPr>
        <w:spacing w:after="0" w:line="146" w:lineRule="exact"/>
        <w:rPr>
          <w:sz w:val="20"/>
          <w:szCs w:val="20"/>
          <w:color w:val="auto"/>
        </w:rPr>
      </w:pPr>
    </w:p>
    <w:p>
      <w:pPr>
        <w:ind w:left="1420" w:right="320" w:hanging="647"/>
        <w:spacing w:after="0" w:line="256" w:lineRule="auto"/>
        <w:rPr>
          <w:sz w:val="20"/>
          <w:szCs w:val="20"/>
          <w:color w:val="auto"/>
        </w:rPr>
      </w:pPr>
      <w:r>
        <w:rPr>
          <w:rFonts w:ascii="Arial" w:cs="Arial" w:eastAsia="Arial" w:hAnsi="Arial"/>
          <w:sz w:val="22"/>
          <w:szCs w:val="22"/>
          <w:color w:val="auto"/>
        </w:rPr>
        <w:t xml:space="preserve">15.4.3 </w:t>
      </w:r>
      <w:r>
        <w:rPr>
          <w:rFonts w:ascii="Arial" w:cs="Arial" w:eastAsia="Arial" w:hAnsi="Arial"/>
          <w:sz w:val="22"/>
          <w:szCs w:val="22"/>
          <w:b w:val="1"/>
          <w:bCs w:val="1"/>
          <w:color w:val="auto"/>
        </w:rPr>
        <w:t>Income protection.</w:t>
      </w:r>
      <w:r>
        <w:rPr>
          <w:rFonts w:ascii="Arial" w:cs="Arial" w:eastAsia="Arial" w:hAnsi="Arial"/>
          <w:sz w:val="22"/>
          <w:szCs w:val="22"/>
          <w:color w:val="auto"/>
        </w:rPr>
        <w:t xml:space="preserve"> You will be eligible to participate in such income protection schemes as the Company may from time to time operate for employees of your level.</w:t>
      </w:r>
    </w:p>
    <w:p>
      <w:pPr>
        <w:spacing w:after="0" w:line="74" w:lineRule="exact"/>
        <w:rPr>
          <w:sz w:val="20"/>
          <w:szCs w:val="20"/>
          <w:color w:val="auto"/>
        </w:rPr>
      </w:pPr>
    </w:p>
    <w:p>
      <w:pPr>
        <w:ind w:left="760" w:right="80" w:hanging="768"/>
        <w:spacing w:after="0"/>
        <w:tabs>
          <w:tab w:leader="none" w:pos="7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2"/>
          <w:szCs w:val="22"/>
          <w:color w:val="auto"/>
        </w:rPr>
        <w:t>Any benefits that may from time to time be provided by the Company to you or your family that are not expressly referred to in this Contract shall be provided at the entire discretion of the Company and, unless so agreed in writing, shall not form part of your terms and conditions of employment.</w:t>
      </w:r>
    </w:p>
    <w:p>
      <w:pPr>
        <w:spacing w:after="0" w:line="9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Participation in any insurance or assurance scheme provided for you under this Contract:</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15.6.1</w:t>
      </w:r>
      <w:r>
        <w:rPr>
          <w:sz w:val="20"/>
          <w:szCs w:val="20"/>
          <w:color w:val="auto"/>
        </w:rPr>
        <w:tab/>
      </w:r>
      <w:r>
        <w:rPr>
          <w:rFonts w:ascii="Arial" w:cs="Arial" w:eastAsia="Arial" w:hAnsi="Arial"/>
          <w:sz w:val="19"/>
          <w:szCs w:val="19"/>
          <w:color w:val="auto"/>
        </w:rPr>
        <w:t>is absolutely subject to its terms and conditions from time to time in force;</w:t>
      </w:r>
    </w:p>
    <w:p>
      <w:pPr>
        <w:spacing w:after="0" w:line="112" w:lineRule="exact"/>
        <w:rPr>
          <w:sz w:val="20"/>
          <w:szCs w:val="20"/>
          <w:color w:val="auto"/>
        </w:rPr>
      </w:pPr>
    </w:p>
    <w:p>
      <w:pPr>
        <w:ind w:left="1420"/>
        <w:spacing w:after="0"/>
        <w:tabs>
          <w:tab w:leader="none" w:pos="2180" w:val="left"/>
        </w:tabs>
        <w:rPr>
          <w:sz w:val="20"/>
          <w:szCs w:val="20"/>
          <w:color w:val="auto"/>
        </w:rPr>
      </w:pPr>
      <w:r>
        <w:rPr>
          <w:rFonts w:ascii="Arial" w:cs="Arial" w:eastAsia="Arial" w:hAnsi="Arial"/>
          <w:sz w:val="22"/>
          <w:szCs w:val="22"/>
          <w:color w:val="auto"/>
        </w:rPr>
        <w:t>15.6.2</w:t>
      </w:r>
      <w:r>
        <w:rPr>
          <w:sz w:val="20"/>
          <w:szCs w:val="20"/>
          <w:color w:val="auto"/>
        </w:rPr>
        <w:tab/>
      </w:r>
      <w:r>
        <w:rPr>
          <w:rFonts w:ascii="Arial" w:cs="Arial" w:eastAsia="Arial" w:hAnsi="Arial"/>
          <w:sz w:val="19"/>
          <w:szCs w:val="19"/>
          <w:color w:val="auto"/>
        </w:rPr>
        <w:t>is conditional on you satisfying any applicable requirements of the insurers;</w:t>
      </w:r>
    </w:p>
    <w:p>
      <w:pPr>
        <w:spacing w:after="0" w:line="112" w:lineRule="exact"/>
        <w:rPr>
          <w:sz w:val="20"/>
          <w:szCs w:val="20"/>
          <w:color w:val="auto"/>
        </w:rPr>
      </w:pPr>
    </w:p>
    <w:p>
      <w:pPr>
        <w:jc w:val="both"/>
        <w:ind w:left="2200" w:right="100" w:hanging="768"/>
        <w:spacing w:after="0"/>
        <w:tabs>
          <w:tab w:leader="none" w:pos="2180" w:val="left"/>
        </w:tabs>
        <w:rPr>
          <w:sz w:val="20"/>
          <w:szCs w:val="20"/>
          <w:color w:val="auto"/>
        </w:rPr>
      </w:pPr>
      <w:r>
        <w:rPr>
          <w:rFonts w:ascii="Arial" w:cs="Arial" w:eastAsia="Arial" w:hAnsi="Arial"/>
          <w:sz w:val="22"/>
          <w:szCs w:val="22"/>
          <w:color w:val="auto"/>
        </w:rPr>
        <w:t>15.6.3</w:t>
        <w:tab/>
        <w:t>is subject to you and any insured dependants satisfying the normal underwriting requirements of the relevant insurance provider and the relevant premium being at a rate which the Company considers reasonable;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0940"/>
          </w:cols>
          <w:pgMar w:left="440" w:top="266" w:right="519" w:bottom="1440" w:gutter="0" w:footer="0" w:header="0"/>
        </w:sectPr>
      </w:pPr>
    </w:p>
    <w:bookmarkStart w:id="436" w:name="page437"/>
    <w:bookmarkEnd w:id="436"/>
    <w:p>
      <w:pPr>
        <w:ind w:left="1424"/>
        <w:spacing w:after="0"/>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15.6.4</w:t>
      </w:r>
      <w:r>
        <w:rPr>
          <w:sz w:val="20"/>
          <w:szCs w:val="20"/>
          <w:color w:val="auto"/>
        </w:rPr>
        <w:tab/>
      </w:r>
      <w:r>
        <w:rPr>
          <w:rFonts w:ascii="Arial" w:cs="Arial" w:eastAsia="Arial" w:hAnsi="Arial"/>
          <w:sz w:val="19"/>
          <w:szCs w:val="19"/>
          <w:color w:val="auto"/>
        </w:rPr>
        <w:t>will end when you attain whichever is the greater of the age of 65 and the state pensionable age.</w:t>
      </w:r>
    </w:p>
    <w:p>
      <w:pPr>
        <w:spacing w:after="0" w:line="112" w:lineRule="exact"/>
        <w:rPr>
          <w:sz w:val="20"/>
          <w:szCs w:val="20"/>
          <w:color w:val="auto"/>
        </w:rPr>
      </w:pPr>
    </w:p>
    <w:p>
      <w:pPr>
        <w:ind w:left="764" w:right="300" w:hanging="768"/>
        <w:spacing w:after="0" w:line="236" w:lineRule="auto"/>
        <w:tabs>
          <w:tab w:leader="none" w:pos="744"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22"/>
          <w:szCs w:val="22"/>
          <w:color w:val="auto"/>
        </w:rPr>
        <w:t>The Company reserves the right at any time, on three months’ written notice, to withdraw any insurance or other benefits set out in this clause 15 or to amend the terms on which they are provided. If an insurance provider refuses for any reason to provide insurance benefit to you under any insurance scheme the Company shall not be liable to provide you with any replacement benefit of the same or similar kind or to pay any compensation in lieu of such benefit.</w:t>
      </w:r>
    </w:p>
    <w:p>
      <w:pPr>
        <w:spacing w:after="0" w:line="93" w:lineRule="exact"/>
        <w:rPr>
          <w:sz w:val="20"/>
          <w:szCs w:val="20"/>
          <w:color w:val="auto"/>
        </w:rPr>
      </w:pPr>
    </w:p>
    <w:p>
      <w:pPr>
        <w:ind w:left="764" w:right="120" w:hanging="768"/>
        <w:spacing w:after="0" w:line="279" w:lineRule="auto"/>
        <w:tabs>
          <w:tab w:leader="none" w:pos="744"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You may be required, at the request and expense of the Company, to submit to a medical examination by a medical practitioner nominated by the Company to support applications for insurance set out in this clause 15 or any other insurance schemes required by the Company, and you hereby authorise such medical practitioner to disclose to or discuss with the Company’s medical adviser and/or the relevant insurer’s medical adviser any matters arising from such examination and the Company’s medical adviser may notify the Board of any serious matter if, in his opinion, it might materially adversely affect your health or the proper discharge of your duties.</w:t>
      </w:r>
    </w:p>
    <w:p>
      <w:pPr>
        <w:spacing w:after="0" w:line="293" w:lineRule="exact"/>
        <w:rPr>
          <w:sz w:val="20"/>
          <w:szCs w:val="20"/>
          <w:color w:val="auto"/>
        </w:rPr>
      </w:pPr>
    </w:p>
    <w:p>
      <w:pPr>
        <w:ind w:left="764" w:hanging="764"/>
        <w:spacing w:after="0"/>
        <w:tabs>
          <w:tab w:leader="none" w:pos="764" w:val="left"/>
        </w:tabs>
        <w:numPr>
          <w:ilvl w:val="0"/>
          <w:numId w:val="459"/>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118" w:lineRule="exact"/>
        <w:rPr>
          <w:sz w:val="20"/>
          <w:szCs w:val="20"/>
          <w:color w:val="auto"/>
        </w:rPr>
      </w:pPr>
    </w:p>
    <w:p>
      <w:pPr>
        <w:ind w:left="764" w:right="440" w:hanging="768"/>
        <w:spacing w:after="0" w:line="328" w:lineRule="auto"/>
        <w:tabs>
          <w:tab w:leader="none" w:pos="744"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You agree and acknowledge that during the course of your employment and in pursuance of the discharge of your duties you will make, create, produce and generate intellectual property rights, including Inventions.</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Inventions</w:t>
      </w:r>
    </w:p>
    <w:p>
      <w:pPr>
        <w:spacing w:after="0" w:line="112" w:lineRule="exact"/>
        <w:rPr>
          <w:sz w:val="20"/>
          <w:szCs w:val="20"/>
          <w:color w:val="auto"/>
        </w:rPr>
      </w:pPr>
    </w:p>
    <w:p>
      <w:pPr>
        <w:ind w:left="1424" w:right="80" w:hanging="647"/>
        <w:spacing w:after="0" w:line="238" w:lineRule="auto"/>
        <w:rPr>
          <w:sz w:val="20"/>
          <w:szCs w:val="20"/>
          <w:color w:val="auto"/>
        </w:rPr>
      </w:pPr>
      <w:r>
        <w:rPr>
          <w:rFonts w:ascii="Arial" w:cs="Arial" w:eastAsia="Arial" w:hAnsi="Arial"/>
          <w:sz w:val="22"/>
          <w:szCs w:val="22"/>
          <w:color w:val="auto"/>
        </w:rPr>
        <w:t>16.2.1 If while employed by the Company you (whether alone or with any other person) make, produce or are responsible for any invention, discovery, process, business idea, or method of any description that relates to or could be used in any business of the Company (“</w:t>
      </w:r>
      <w:r>
        <w:rPr>
          <w:rFonts w:ascii="Arial" w:cs="Arial" w:eastAsia="Arial" w:hAnsi="Arial"/>
          <w:sz w:val="22"/>
          <w:szCs w:val="22"/>
          <w:b w:val="1"/>
          <w:bCs w:val="1"/>
          <w:color w:val="auto"/>
        </w:rPr>
        <w:t>an Invention</w:t>
      </w:r>
      <w:r>
        <w:rPr>
          <w:rFonts w:ascii="Arial" w:cs="Arial" w:eastAsia="Arial" w:hAnsi="Arial"/>
          <w:sz w:val="22"/>
          <w:szCs w:val="22"/>
          <w:color w:val="auto"/>
        </w:rPr>
        <w:t>”), you shall promptly give to a Director of the Company full written details thereof.</w:t>
      </w:r>
    </w:p>
    <w:p>
      <w:pPr>
        <w:spacing w:after="0" w:line="90" w:lineRule="exact"/>
        <w:rPr>
          <w:sz w:val="20"/>
          <w:szCs w:val="20"/>
          <w:color w:val="auto"/>
        </w:rPr>
      </w:pPr>
    </w:p>
    <w:p>
      <w:pPr>
        <w:ind w:left="1424" w:right="120" w:hanging="647"/>
        <w:spacing w:after="0" w:line="249" w:lineRule="auto"/>
        <w:rPr>
          <w:sz w:val="20"/>
          <w:szCs w:val="20"/>
          <w:color w:val="auto"/>
        </w:rPr>
      </w:pPr>
      <w:r>
        <w:rPr>
          <w:rFonts w:ascii="Arial" w:cs="Arial" w:eastAsia="Arial" w:hAnsi="Arial"/>
          <w:sz w:val="21"/>
          <w:szCs w:val="21"/>
          <w:color w:val="auto"/>
        </w:rPr>
        <w:t>16.2.2 If the Invention is a patentable invention within the meaning of Section 1 of the Patents Act 1977 and, according to the provisions of Section 39 of that Act it belongs to you (“</w:t>
      </w:r>
      <w:r>
        <w:rPr>
          <w:rFonts w:ascii="Arial" w:cs="Arial" w:eastAsia="Arial" w:hAnsi="Arial"/>
          <w:sz w:val="21"/>
          <w:szCs w:val="21"/>
          <w:b w:val="1"/>
          <w:bCs w:val="1"/>
          <w:color w:val="auto"/>
        </w:rPr>
        <w:t>Personal Invention</w:t>
      </w:r>
      <w:r>
        <w:rPr>
          <w:rFonts w:ascii="Arial" w:cs="Arial" w:eastAsia="Arial" w:hAnsi="Arial"/>
          <w:sz w:val="21"/>
          <w:szCs w:val="21"/>
          <w:color w:val="auto"/>
        </w:rPr>
        <w:t>”), you shall if so requested by the Company no later than six months from disclosure to the Company pursuant to sub-clause 16.2.1 above, negotiate with the Company in good faith for the assignment or licence of your rights in that Invention to the Company for further consideration.</w:t>
      </w:r>
    </w:p>
    <w:p>
      <w:pPr>
        <w:spacing w:after="0" w:line="84" w:lineRule="exact"/>
        <w:rPr>
          <w:sz w:val="20"/>
          <w:szCs w:val="20"/>
          <w:color w:val="auto"/>
        </w:rPr>
      </w:pPr>
    </w:p>
    <w:p>
      <w:pPr>
        <w:ind w:left="1424" w:hanging="647"/>
        <w:spacing w:after="0" w:line="277" w:lineRule="auto"/>
        <w:rPr>
          <w:sz w:val="20"/>
          <w:szCs w:val="20"/>
          <w:color w:val="auto"/>
        </w:rPr>
      </w:pPr>
      <w:r>
        <w:rPr>
          <w:rFonts w:ascii="Arial" w:cs="Arial" w:eastAsia="Arial" w:hAnsi="Arial"/>
          <w:sz w:val="19"/>
          <w:szCs w:val="19"/>
          <w:color w:val="auto"/>
        </w:rPr>
        <w:t>16.2.3 Subject to clause 16.2.4, any Invention created in the course of your employment by the Company shall belong to the Company (“</w:t>
      </w:r>
      <w:r>
        <w:rPr>
          <w:rFonts w:ascii="Arial" w:cs="Arial" w:eastAsia="Arial" w:hAnsi="Arial"/>
          <w:sz w:val="19"/>
          <w:szCs w:val="19"/>
          <w:b w:val="1"/>
          <w:bCs w:val="1"/>
          <w:color w:val="auto"/>
        </w:rPr>
        <w:t>Company Inventions</w:t>
      </w:r>
      <w:r>
        <w:rPr>
          <w:rFonts w:ascii="Arial" w:cs="Arial" w:eastAsia="Arial" w:hAnsi="Arial"/>
          <w:sz w:val="19"/>
          <w:szCs w:val="19"/>
          <w:color w:val="auto"/>
        </w:rPr>
        <w:t>”). Any and all intellectual property rights in or relating to any and all such Company Inventions shall be owned by the Company. You hereby irrevocably assign to the Company (by way of present assignment of present and future rights) with full title guarantee absolutely and free from all encumbrances all right, title and interest in and to all intellectual property rights in or relating to Company Inventions and all materials embodying such rights to the fullest extent permitted by law together with all accrued rights of action in respect of any infringement of such rights.</w:t>
      </w:r>
    </w:p>
    <w:p>
      <w:pPr>
        <w:spacing w:after="0" w:line="84"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024"/>
          </w:cols>
          <w:pgMar w:left="436" w:top="266" w:right="439" w:bottom="1440" w:gutter="0" w:footer="0" w:header="0"/>
        </w:sectPr>
      </w:pPr>
    </w:p>
    <w:bookmarkStart w:id="437" w:name="page438"/>
    <w:bookmarkEnd w:id="437"/>
    <w:p>
      <w:pPr>
        <w:ind w:left="1420" w:right="20"/>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they do not so vest automatically by operation of law or under this Contract, you shall hold all such rights and inventions on trust for the exclusive benefit of the Company, and shall not transfer them to a third party or encumber them and shall on demand assign them to the Company without payment or other condition. You shall execute (both during and after the termination of your employment) all documents and do all things necessary to substantiate the Company’s rights in Company Inventions and to obtain registration or protection thereof in the Company’s name in any country.</w:t>
      </w:r>
    </w:p>
    <w:p>
      <w:pPr>
        <w:spacing w:after="0" w:line="56" w:lineRule="exact"/>
        <w:rPr>
          <w:sz w:val="20"/>
          <w:szCs w:val="20"/>
          <w:color w:val="auto"/>
        </w:rPr>
      </w:pPr>
    </w:p>
    <w:p>
      <w:pPr>
        <w:ind w:left="1420" w:right="20" w:hanging="647"/>
        <w:spacing w:after="0" w:line="245" w:lineRule="auto"/>
        <w:rPr>
          <w:sz w:val="20"/>
          <w:szCs w:val="20"/>
          <w:color w:val="auto"/>
        </w:rPr>
      </w:pPr>
      <w:r>
        <w:rPr>
          <w:rFonts w:ascii="Arial" w:cs="Arial" w:eastAsia="Arial" w:hAnsi="Arial"/>
          <w:sz w:val="21"/>
          <w:szCs w:val="21"/>
          <w:color w:val="auto"/>
        </w:rPr>
        <w:t>16.2.4 Where the Company Invention relates to a chemical compound, being the chemical compound itself of assets associated therewith (“</w:t>
      </w:r>
      <w:r>
        <w:rPr>
          <w:rFonts w:ascii="Arial" w:cs="Arial" w:eastAsia="Arial" w:hAnsi="Arial"/>
          <w:sz w:val="21"/>
          <w:szCs w:val="21"/>
          <w:b w:val="1"/>
          <w:bCs w:val="1"/>
          <w:color w:val="auto"/>
        </w:rPr>
        <w:t>Compounds</w:t>
      </w:r>
      <w:r>
        <w:rPr>
          <w:rFonts w:ascii="Arial" w:cs="Arial" w:eastAsia="Arial" w:hAnsi="Arial"/>
          <w:sz w:val="21"/>
          <w:szCs w:val="21"/>
          <w:color w:val="auto"/>
        </w:rPr>
        <w:t>”), any and all intellectual property rights in or relating to that Company Invention shall, with effect from their creation, automatically belong to and vest in the Subsidiary formed to undertake the research, development or commercialisation of that Compound. Insofar as they do not so vest automatically by operation of law or under this Contract, you shall hold all such rights and inventions on trust for the exclusive benefit of the Subsidiary, and shall not transfer them to a third party or encumber them and shall on demand assign them to the Subsidiary without payment or other condition. You shall execute (both during and after the termination of your employment) all documents and do all things necessary to substantiate the Subsidiary’s rights in the Compounds and to obtain registration or protection thereof in the Subsidiary’s name in any country.</w:t>
      </w:r>
    </w:p>
    <w:p>
      <w:pPr>
        <w:spacing w:after="0" w:line="86" w:lineRule="exact"/>
        <w:rPr>
          <w:sz w:val="20"/>
          <w:szCs w:val="20"/>
          <w:color w:val="auto"/>
        </w:rPr>
      </w:pPr>
    </w:p>
    <w:p>
      <w:pPr>
        <w:ind w:left="1420" w:right="100" w:hanging="647"/>
        <w:spacing w:after="0" w:line="277" w:lineRule="auto"/>
        <w:rPr>
          <w:sz w:val="20"/>
          <w:szCs w:val="20"/>
          <w:color w:val="auto"/>
        </w:rPr>
      </w:pPr>
      <w:r>
        <w:rPr>
          <w:rFonts w:ascii="Arial" w:cs="Arial" w:eastAsia="Arial" w:hAnsi="Arial"/>
          <w:sz w:val="19"/>
          <w:szCs w:val="19"/>
          <w:color w:val="auto"/>
        </w:rPr>
        <w:t>16.2.5 Save for the disclosure to the Company as provided above or, in the case of a Personal Invention only, as required for the purpose of obtaining patent protection for the Personal Invention, you shall keep all details of any Invention confidential to yourself and any solicitor, counsel or patent agent instructed by you and you shall not use any Company Invention for any purpose. You shall not without the Company’s prior written consent apply for a patent in any country in relation to any Company Invention and shall promptly inform the Company if you apply for a patent in any country for a Personal Invention. Notwithstanding the foregoing, you shall not include any Confidential Information in any application for a patent for a Personal Invention.</w:t>
      </w:r>
    </w:p>
    <w:p>
      <w:pPr>
        <w:spacing w:after="0" w:line="5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Copyright and other rights</w:t>
      </w:r>
    </w:p>
    <w:p>
      <w:pPr>
        <w:spacing w:after="0" w:line="112" w:lineRule="exact"/>
        <w:rPr>
          <w:sz w:val="20"/>
          <w:szCs w:val="20"/>
          <w:color w:val="auto"/>
        </w:rPr>
      </w:pPr>
    </w:p>
    <w:p>
      <w:pPr>
        <w:ind w:left="1420" w:hanging="647"/>
        <w:spacing w:after="0" w:line="273" w:lineRule="auto"/>
        <w:rPr>
          <w:sz w:val="20"/>
          <w:szCs w:val="20"/>
          <w:color w:val="auto"/>
        </w:rPr>
      </w:pPr>
      <w:r>
        <w:rPr>
          <w:rFonts w:ascii="Arial" w:cs="Arial" w:eastAsia="Arial" w:hAnsi="Arial"/>
          <w:sz w:val="19"/>
          <w:szCs w:val="19"/>
          <w:color w:val="auto"/>
        </w:rPr>
        <w:t>16.3.1 If while employed by the Company you, whether on your own or with any other person, create any copyright work or design (including without limitation any literary, dramatic, musical or artistic work, and any film, sound recording, cable programme, broadcast, typographical arrangement of a published edition, computer program, adaptation or design document) or any database or any other work or matter of any description (other than an Invention) capable of protection under copyright, design right, trademarks, database rights or other intellectual or industrial and commercial property laws of any country, that relates to or could be used in the business of the Company, (a “</w:t>
      </w:r>
      <w:r>
        <w:rPr>
          <w:rFonts w:ascii="Arial" w:cs="Arial" w:eastAsia="Arial" w:hAnsi="Arial"/>
          <w:sz w:val="19"/>
          <w:szCs w:val="19"/>
          <w:b w:val="1"/>
          <w:bCs w:val="1"/>
          <w:color w:val="auto"/>
        </w:rPr>
        <w:t>Protected Work</w:t>
      </w:r>
      <w:r>
        <w:rPr>
          <w:rFonts w:ascii="Arial" w:cs="Arial" w:eastAsia="Arial" w:hAnsi="Arial"/>
          <w:sz w:val="19"/>
          <w:szCs w:val="19"/>
          <w:color w:val="auto"/>
        </w:rPr>
        <w:t>”), you shall promptly disclose to the Chief Financial Officer or General Counsel full details thereof in writing and shall if requested by the Company deliver to it all copies or representations of the Protected Work in any material form but shall otherwise keep the Protected Work confidential and not use it for any purpose other than for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000"/>
          </w:cols>
          <w:pgMar w:left="440" w:top="266" w:right="459" w:bottom="1440" w:gutter="0" w:footer="0" w:header="0"/>
        </w:sectPr>
      </w:pPr>
    </w:p>
    <w:bookmarkStart w:id="438" w:name="page439"/>
    <w:bookmarkEnd w:id="438"/>
    <w:p>
      <w:pPr>
        <w:ind w:left="1400" w:right="40" w:hanging="647"/>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16.3.2 All proprietary rights in any Protected Work created by you in the course of your employment by the Company shall automatically vest in the Company, save that where a Protected Work relates to a Compound, all proprietary rights in that Protected Work shall, with effect from their creation, automatically belong to and vest in the Subsidiary formed to undertake the research, development or commercialisation of that Compound.</w:t>
      </w:r>
    </w:p>
    <w:p>
      <w:pPr>
        <w:spacing w:after="0" w:line="48" w:lineRule="exact"/>
        <w:rPr>
          <w:sz w:val="20"/>
          <w:szCs w:val="20"/>
          <w:color w:val="auto"/>
        </w:rPr>
      </w:pPr>
    </w:p>
    <w:p>
      <w:pPr>
        <w:ind w:left="1400" w:hanging="647"/>
        <w:spacing w:after="0" w:line="245" w:lineRule="auto"/>
        <w:rPr>
          <w:sz w:val="20"/>
          <w:szCs w:val="20"/>
          <w:color w:val="auto"/>
        </w:rPr>
      </w:pPr>
      <w:r>
        <w:rPr>
          <w:rFonts w:ascii="Arial" w:cs="Arial" w:eastAsia="Arial" w:hAnsi="Arial"/>
          <w:sz w:val="21"/>
          <w:szCs w:val="21"/>
          <w:color w:val="auto"/>
        </w:rPr>
        <w:t>16.3.3 To the extent that the Company, or, in the case of a Compound, the Subsidiary is not already the owner of the copyright, design rights, trade marks, database rights and other intellectual or industrial and commercial property rights (“</w:t>
      </w:r>
      <w:r>
        <w:rPr>
          <w:rFonts w:ascii="Arial" w:cs="Arial" w:eastAsia="Arial" w:hAnsi="Arial"/>
          <w:sz w:val="21"/>
          <w:szCs w:val="21"/>
          <w:b w:val="1"/>
          <w:bCs w:val="1"/>
          <w:color w:val="auto"/>
        </w:rPr>
        <w:t>the Rights</w:t>
      </w:r>
      <w:r>
        <w:rPr>
          <w:rFonts w:ascii="Arial" w:cs="Arial" w:eastAsia="Arial" w:hAnsi="Arial"/>
          <w:sz w:val="21"/>
          <w:szCs w:val="21"/>
          <w:color w:val="auto"/>
        </w:rPr>
        <w:t>”) in a Protected Work pursuant to clause 16.3.2 you shall hold the Protected Work and the Rights on trust for the Company or Subsidiary (as appropriate) and shall assign without payment or any other condition (and, in the case of the UK copyright, design rights, trade marks and database rights hereby assign by way of future assignment of copyright, design right, trademarks and database rights respectively), the Protected Work and all Rights therein in all countries of the world to the Company or Subsidiary (as appropriate) absolutely together with all accrued rights of action in respect of any infringement of the same.</w:t>
      </w:r>
    </w:p>
    <w:p>
      <w:pPr>
        <w:spacing w:after="0" w:line="90" w:lineRule="exact"/>
        <w:rPr>
          <w:sz w:val="20"/>
          <w:szCs w:val="20"/>
          <w:color w:val="auto"/>
        </w:rPr>
      </w:pPr>
    </w:p>
    <w:p>
      <w:pPr>
        <w:ind w:left="740" w:hanging="768"/>
        <w:spacing w:after="0" w:line="248" w:lineRule="auto"/>
        <w:tabs>
          <w:tab w:leader="none" w:pos="72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You shall, without charge to but at the cost of the Company, execute all documents and do all acts, things and matters beneficial to, required or necessary (both during and after the termination of your employment) to vest rights in the Company (or its Subsidiary, or its successors, as appropriate), or substantiate the Company’s (or its Subsidiary’s, or its successor’s, as appropriate) rights, in any Company Inventions, the Rights and Protected Works and to obtain protection for the Company Inventions, Rights and Protected Works in the Company’s (or its Subsidiary’s or its successor’s, as appropriate) name in any country.</w:t>
      </w:r>
    </w:p>
    <w:p>
      <w:pPr>
        <w:spacing w:after="0" w:line="82" w:lineRule="exact"/>
        <w:rPr>
          <w:sz w:val="20"/>
          <w:szCs w:val="20"/>
          <w:color w:val="auto"/>
        </w:rPr>
      </w:pPr>
    </w:p>
    <w:p>
      <w:pPr>
        <w:ind w:left="740" w:right="360" w:hanging="768"/>
        <w:spacing w:after="0" w:line="287" w:lineRule="auto"/>
        <w:tabs>
          <w:tab w:leader="none" w:pos="72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Should you create a Company Invention or any Rights in a Protected Work in relation to a Compound for which a Subsidiary has not yet been formed at the time of such creation, you agree to hold such Company Invention and Rights on trust pending the formation of such Subsidiary and shall be deemed automatically to have assigned such Company Invention and Rights to that Subsidiary from the moment it becomes a Group Company.</w:t>
      </w:r>
    </w:p>
    <w:p>
      <w:pPr>
        <w:spacing w:after="0" w:line="48" w:lineRule="exact"/>
        <w:rPr>
          <w:sz w:val="20"/>
          <w:szCs w:val="20"/>
          <w:color w:val="auto"/>
        </w:rPr>
      </w:pPr>
    </w:p>
    <w:p>
      <w:pPr>
        <w:ind w:left="740" w:right="60" w:hanging="768"/>
        <w:spacing w:after="0" w:line="238" w:lineRule="auto"/>
        <w:tabs>
          <w:tab w:leader="none" w:pos="72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22"/>
          <w:szCs w:val="22"/>
          <w:color w:val="auto"/>
        </w:rPr>
        <w:t>To the extent permitted by law, you hereby irrevocably and unconditionally waive any and all moral rights conferred by Chapter IV of the Copyright Designs and Patents Act 1988 or any rights of a similar nature under laws now or in the future in force in any other jurisdiction in and to any and all Protected Work, such waiver being given in favour of the Company, its successors in title and assigns.</w:t>
      </w:r>
    </w:p>
    <w:p>
      <w:pPr>
        <w:spacing w:after="0" w:line="90" w:lineRule="exact"/>
        <w:rPr>
          <w:sz w:val="20"/>
          <w:szCs w:val="20"/>
          <w:color w:val="auto"/>
        </w:rPr>
      </w:pPr>
    </w:p>
    <w:p>
      <w:pPr>
        <w:ind w:left="740" w:right="120" w:hanging="768"/>
        <w:spacing w:after="0" w:line="236" w:lineRule="auto"/>
        <w:tabs>
          <w:tab w:leader="none" w:pos="72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22"/>
          <w:szCs w:val="22"/>
          <w:color w:val="auto"/>
        </w:rPr>
        <w:t>You hereby irrevocably appoint the Company to be your attorney to execute and do any such instrument or thing and generally to use your name for the purpose of giving the Company or its nominee the benefit of this clause 16 and acknowledge in favour of a third party that a certificate in writing signed by any Director or the Company Secretary that any instrument or act falls within the authority conferred by this clause 16 shall be conclusive evidence that such is the case.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ectPr>
          <w:pgSz w:w="11900" w:h="16838" w:orient="portrait"/>
          <w:cols w:equalWidth="0" w:num="1">
            <w:col w:w="10980"/>
          </w:cols>
          <w:pgMar w:left="460" w:top="266" w:right="459" w:bottom="1440" w:gutter="0" w:footer="0" w:header="0"/>
        </w:sectPr>
      </w:pPr>
    </w:p>
    <w:bookmarkStart w:id="439" w:name="page440"/>
    <w:bookmarkEnd w:id="439"/>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16.8</w:t>
      </w:r>
      <w:r>
        <w:rPr>
          <w:sz w:val="20"/>
          <w:szCs w:val="20"/>
          <w:color w:val="auto"/>
        </w:rPr>
        <w:tab/>
      </w:r>
      <w:r>
        <w:rPr>
          <w:rFonts w:ascii="Arial" w:cs="Arial" w:eastAsia="Arial" w:hAnsi="Arial"/>
          <w:sz w:val="22"/>
          <w:szCs w:val="22"/>
          <w:color w:val="auto"/>
        </w:rPr>
        <w:t>The provisions of this clause 16 will not be affected by the termination of this Contract for whatever reason and will continue after it ends.</w:t>
      </w:r>
    </w:p>
    <w:p>
      <w:pPr>
        <w:spacing w:after="0" w:line="317" w:lineRule="exact"/>
        <w:rPr>
          <w:sz w:val="20"/>
          <w:szCs w:val="20"/>
          <w:color w:val="auto"/>
        </w:rPr>
      </w:pPr>
    </w:p>
    <w:p>
      <w:pPr>
        <w:ind w:left="764" w:hanging="764"/>
        <w:spacing w:after="0"/>
        <w:tabs>
          <w:tab w:leader="none" w:pos="764" w:val="left"/>
        </w:tabs>
        <w:numPr>
          <w:ilvl w:val="0"/>
          <w:numId w:val="460"/>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18" w:lineRule="exact"/>
        <w:rPr>
          <w:sz w:val="20"/>
          <w:szCs w:val="20"/>
          <w:color w:val="auto"/>
        </w:rPr>
      </w:pPr>
    </w:p>
    <w:p>
      <w:pPr>
        <w:ind w:left="764" w:right="660" w:hanging="768"/>
        <w:spacing w:after="0" w:line="250" w:lineRule="auto"/>
        <w:tabs>
          <w:tab w:leader="none" w:pos="744"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2"/>
          <w:szCs w:val="22"/>
          <w:color w:val="auto"/>
        </w:rPr>
        <w:t>You acknowledge that in the course of the Appointment you will have access to Confidential Information. You therefore agree to accept the restrictions in this clause 17.</w:t>
      </w:r>
    </w:p>
    <w:p>
      <w:pPr>
        <w:spacing w:after="0" w:line="80"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color w:val="auto"/>
        </w:rPr>
        <w:t>You shall not (except in the proper course of your duties), either during the Appointment or at any time after its termination (however arising), use or disclose to any person, company or other organisation whatsoever (and shall use your best endeavours to prevent the publication or disclosure of) any Confidential Information. This shall not apply to:</w:t>
      </w:r>
    </w:p>
    <w:p>
      <w:pPr>
        <w:spacing w:after="0" w:line="9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17.2.1</w:t>
      </w:r>
      <w:r>
        <w:rPr>
          <w:sz w:val="20"/>
          <w:szCs w:val="20"/>
          <w:color w:val="auto"/>
        </w:rPr>
        <w:tab/>
      </w:r>
      <w:r>
        <w:rPr>
          <w:rFonts w:ascii="Arial" w:cs="Arial" w:eastAsia="Arial" w:hAnsi="Arial"/>
          <w:sz w:val="19"/>
          <w:szCs w:val="19"/>
          <w:color w:val="auto"/>
        </w:rPr>
        <w:t>any use or disclosure authorised by the Board in writing or required by law;</w:t>
      </w:r>
    </w:p>
    <w:p>
      <w:pPr>
        <w:spacing w:after="0" w:line="112" w:lineRule="exact"/>
        <w:rPr>
          <w:sz w:val="20"/>
          <w:szCs w:val="20"/>
          <w:color w:val="auto"/>
        </w:rPr>
      </w:pPr>
    </w:p>
    <w:p>
      <w:pPr>
        <w:ind w:left="2204" w:right="660" w:hanging="768"/>
        <w:spacing w:after="0" w:line="250" w:lineRule="auto"/>
        <w:tabs>
          <w:tab w:leader="none" w:pos="2184" w:val="left"/>
        </w:tabs>
        <w:rPr>
          <w:sz w:val="20"/>
          <w:szCs w:val="20"/>
          <w:color w:val="auto"/>
        </w:rPr>
      </w:pPr>
      <w:r>
        <w:rPr>
          <w:rFonts w:ascii="Arial" w:cs="Arial" w:eastAsia="Arial" w:hAnsi="Arial"/>
          <w:sz w:val="22"/>
          <w:szCs w:val="22"/>
          <w:color w:val="auto"/>
        </w:rPr>
        <w:t>17.2.2</w:t>
        <w:tab/>
        <w:t>any information which is already in, or comes into, the public domain other than through your unauthorised disclosure; or</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17.2.3</w:t>
      </w:r>
      <w:r>
        <w:rPr>
          <w:sz w:val="20"/>
          <w:szCs w:val="20"/>
          <w:color w:val="auto"/>
        </w:rPr>
        <w:tab/>
      </w:r>
      <w:r>
        <w:rPr>
          <w:rFonts w:ascii="Arial" w:cs="Arial" w:eastAsia="Arial" w:hAnsi="Arial"/>
          <w:sz w:val="19"/>
          <w:szCs w:val="19"/>
          <w:color w:val="auto"/>
        </w:rPr>
        <w:t>any protected disclosure within the meaning of section 43A of the Employment Rights Act 1996.</w:t>
      </w:r>
    </w:p>
    <w:p>
      <w:pPr>
        <w:spacing w:after="0" w:line="112" w:lineRule="exact"/>
        <w:rPr>
          <w:sz w:val="20"/>
          <w:szCs w:val="20"/>
          <w:color w:val="auto"/>
        </w:rPr>
      </w:pPr>
    </w:p>
    <w:p>
      <w:pPr>
        <w:ind w:left="764" w:right="120" w:hanging="768"/>
        <w:spacing w:after="0"/>
        <w:tabs>
          <w:tab w:leader="none" w:pos="744"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2"/>
          <w:szCs w:val="22"/>
          <w:color w:val="auto"/>
        </w:rPr>
        <w:t>You agree that the restrictions set out in this clause 17 are without prejudice to any other duties of confidentiality owed to the Company or any Group Company whether express or implied and that they shall survive the termination of this Contract for whatever reason and will continue after it ends.</w:t>
      </w:r>
    </w:p>
    <w:p>
      <w:pPr>
        <w:spacing w:after="0" w:line="329" w:lineRule="exact"/>
        <w:rPr>
          <w:sz w:val="20"/>
          <w:szCs w:val="20"/>
          <w:color w:val="auto"/>
        </w:rPr>
      </w:pPr>
    </w:p>
    <w:p>
      <w:pPr>
        <w:ind w:left="764" w:hanging="764"/>
        <w:spacing w:after="0"/>
        <w:tabs>
          <w:tab w:leader="none" w:pos="764" w:val="left"/>
        </w:tabs>
        <w:numPr>
          <w:ilvl w:val="0"/>
          <w:numId w:val="46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118" w:lineRule="exact"/>
        <w:rPr>
          <w:sz w:val="20"/>
          <w:szCs w:val="20"/>
          <w:color w:val="auto"/>
        </w:rPr>
      </w:pPr>
    </w:p>
    <w:p>
      <w:pPr>
        <w:ind w:left="764" w:right="120" w:hanging="768"/>
        <w:spacing w:after="0" w:line="250" w:lineRule="auto"/>
        <w:tabs>
          <w:tab w:leader="none" w:pos="744"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22"/>
          <w:szCs w:val="22"/>
          <w:color w:val="auto"/>
        </w:rPr>
        <w:t>You or the Company may terminate the Appointment on written notice of 6 months or the statutory minimum notice, whichever is the greater.</w:t>
      </w:r>
    </w:p>
    <w:p>
      <w:pPr>
        <w:spacing w:after="0" w:line="80" w:lineRule="exact"/>
        <w:rPr>
          <w:sz w:val="20"/>
          <w:szCs w:val="20"/>
          <w:color w:val="auto"/>
        </w:rPr>
      </w:pPr>
    </w:p>
    <w:p>
      <w:pPr>
        <w:ind w:left="764" w:right="20" w:hanging="768"/>
        <w:spacing w:after="0" w:line="246" w:lineRule="auto"/>
        <w:tabs>
          <w:tab w:leader="none" w:pos="744"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21"/>
          <w:szCs w:val="21"/>
          <w:color w:val="auto"/>
        </w:rPr>
        <w:t>The Company shall be entitled at its sole and absolute discretion lawfully to terminate your employment at any time and with immediate effect by written notification to you and to pay within one month following the date of such termination a payment in lieu of notice (PILON) to you. For the avoidance of doubt, the termination of your employment shall be effective on such written notification and shall not be deferred until the PILON is paid. The total PILON will be equal to the basic salary due under clause 8.1 and a payment in lieu of any contractual benefits under clause 15 (excluding bonus) which you would have been entitled to receive under this Contract during the notice period referred to at clause 2.2 or 18.1 (or, if notice has already been given, during the remainder of such notice period) (subject to statutory deductions)</w:t>
      </w:r>
    </w:p>
    <w:p>
      <w:pPr>
        <w:spacing w:after="0" w:line="85" w:lineRule="exact"/>
        <w:rPr>
          <w:sz w:val="20"/>
          <w:szCs w:val="20"/>
          <w:color w:val="auto"/>
        </w:rPr>
      </w:pPr>
    </w:p>
    <w:p>
      <w:pPr>
        <w:jc w:val="both"/>
        <w:ind w:left="764" w:right="40" w:hanging="768"/>
        <w:spacing w:after="0"/>
        <w:tabs>
          <w:tab w:leader="none" w:pos="744"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22"/>
          <w:szCs w:val="22"/>
          <w:color w:val="auto"/>
        </w:rPr>
        <w:t>On termination of the Appointment, for whatever reason, you shall not be entitled to any compensation for the loss of any rights or benefits under any share option, bonus, long-term incentive plan or other profit sharing scheme operated by the Company or any Group Company in which you may participate.</w:t>
      </w:r>
    </w:p>
    <w:p>
      <w:pPr>
        <w:spacing w:after="0" w:line="92"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22"/>
          <w:szCs w:val="22"/>
          <w:color w:val="auto"/>
        </w:rPr>
        <w:t>Upon the termination of your employment with the Company for whatever reason or after notice having been served at the request of the Company or if you shall</w:t>
      </w:r>
    </w:p>
    <w:p>
      <w:pPr>
        <w:spacing w:after="0" w:line="107"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- 15 -</w:t>
      </w:r>
    </w:p>
    <w:p>
      <w:pPr>
        <w:sectPr>
          <w:pgSz w:w="11900" w:h="16838" w:orient="portrait"/>
          <w:cols w:equalWidth="0" w:num="1">
            <w:col w:w="10984"/>
          </w:cols>
          <w:pgMar w:left="436" w:top="266" w:right="479" w:bottom="1440" w:gutter="0" w:footer="0" w:header="0"/>
        </w:sectPr>
      </w:pPr>
    </w:p>
    <w:bookmarkStart w:id="440" w:name="page441"/>
    <w:bookmarkEnd w:id="440"/>
    <w:p>
      <w:pPr>
        <w:ind w:left="764" w:right="2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cease for any reason to be a director or officer of the Company, you shall forthwith, if so required by the Company resign without any claim for compensation or damages from any office or appointment held by you in the Company or in any Group Company, and of all other companies of which he shall have been appointed a director or officer by the Company or Group Company by virtue of any right of nomination vested in such member. You hereby irrevocably authorise the Company to appoint such person in your place and on your behalf to do all such things and execute all such documents which you are obliged to execute and do under this Contract (including without limitation those documents which may be necessary for, or incidental to, your resignation from office).</w:t>
      </w:r>
    </w:p>
    <w:p>
      <w:pPr>
        <w:spacing w:after="0" w:line="57" w:lineRule="exact"/>
        <w:rPr>
          <w:sz w:val="20"/>
          <w:szCs w:val="20"/>
          <w:color w:val="auto"/>
        </w:rPr>
      </w:pPr>
    </w:p>
    <w:p>
      <w:pPr>
        <w:ind w:left="764" w:right="140" w:hanging="768"/>
        <w:spacing w:after="0"/>
        <w:tabs>
          <w:tab w:leader="none" w:pos="744"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2"/>
          <w:szCs w:val="22"/>
          <w:color w:val="auto"/>
        </w:rPr>
        <w:t>You agree that during any period of notice given by either party, you will give to the Company or such person nominated by it all such assistance and co-operation in effecting a smooth and orderly handover of your duties as the Company may reasonably require.</w:t>
      </w:r>
    </w:p>
    <w:p>
      <w:pPr>
        <w:spacing w:after="0" w:line="9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The Company may at its absolute discretion during any period of notice given by either party:</w:t>
      </w:r>
    </w:p>
    <w:p>
      <w:pPr>
        <w:spacing w:after="0" w:line="112"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18.6.1 appoint a person to perform your duties jointly with you or, during any period of garden leave pursuant to clause 20 and/or during any period of suspension pursuant to clause 24.2, to perform all or some of your duties in your place; and/or</w:t>
      </w:r>
    </w:p>
    <w:p>
      <w:pPr>
        <w:spacing w:after="0" w:line="92" w:lineRule="exact"/>
        <w:rPr>
          <w:sz w:val="20"/>
          <w:szCs w:val="20"/>
          <w:color w:val="auto"/>
        </w:rPr>
      </w:pPr>
    </w:p>
    <w:p>
      <w:pPr>
        <w:ind w:left="1424" w:right="640" w:hanging="647"/>
        <w:spacing w:after="0" w:line="250" w:lineRule="auto"/>
        <w:rPr>
          <w:sz w:val="20"/>
          <w:szCs w:val="20"/>
          <w:color w:val="auto"/>
        </w:rPr>
      </w:pPr>
      <w:r>
        <w:rPr>
          <w:rFonts w:ascii="Arial" w:cs="Arial" w:eastAsia="Arial" w:hAnsi="Arial"/>
          <w:sz w:val="22"/>
          <w:szCs w:val="22"/>
          <w:color w:val="auto"/>
        </w:rPr>
        <w:t>18.6.2 suspend or cancel your access to the Company’s IT and telephone systems including, but not limited to, voicemail, email, internet and the Company’s intranet.</w:t>
      </w:r>
    </w:p>
    <w:p>
      <w:pPr>
        <w:spacing w:after="0" w:line="80" w:lineRule="exact"/>
        <w:rPr>
          <w:sz w:val="20"/>
          <w:szCs w:val="20"/>
          <w:color w:val="auto"/>
        </w:rPr>
      </w:pPr>
    </w:p>
    <w:p>
      <w:pPr>
        <w:ind w:left="764" w:right="240" w:hanging="768"/>
        <w:spacing w:after="0" w:line="274" w:lineRule="auto"/>
        <w:tabs>
          <w:tab w:leader="none" w:pos="744"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21"/>
          <w:szCs w:val="21"/>
          <w:color w:val="auto"/>
        </w:rPr>
        <w:t>This clause 18 is subject to the provisions of Schedule II appended to this Contract. In the event of conflict between this clause 18 and the provisions of Schedule II, the provisions of Schedule II shall prevail.</w:t>
      </w:r>
    </w:p>
    <w:p>
      <w:pPr>
        <w:spacing w:after="0" w:line="293" w:lineRule="exact"/>
        <w:rPr>
          <w:sz w:val="20"/>
          <w:szCs w:val="20"/>
          <w:color w:val="auto"/>
        </w:rPr>
      </w:pPr>
    </w:p>
    <w:p>
      <w:pPr>
        <w:ind w:left="764" w:hanging="764"/>
        <w:spacing w:after="0"/>
        <w:tabs>
          <w:tab w:leader="none" w:pos="764" w:val="left"/>
        </w:tabs>
        <w:numPr>
          <w:ilvl w:val="0"/>
          <w:numId w:val="462"/>
        </w:numPr>
        <w:rPr>
          <w:rFonts w:ascii="Arial" w:cs="Arial" w:eastAsia="Arial" w:hAnsi="Arial"/>
          <w:sz w:val="22"/>
          <w:szCs w:val="22"/>
          <w:b w:val="1"/>
          <w:bCs w:val="1"/>
          <w:color w:val="auto"/>
        </w:rPr>
      </w:pPr>
      <w:r>
        <w:rPr>
          <w:rFonts w:ascii="Arial" w:cs="Arial" w:eastAsia="Arial" w:hAnsi="Arial"/>
          <w:sz w:val="22"/>
          <w:szCs w:val="22"/>
          <w:b w:val="1"/>
          <w:bCs w:val="1"/>
          <w:color w:val="auto"/>
        </w:rPr>
        <w:t>Summary Termination</w:t>
      </w:r>
    </w:p>
    <w:p>
      <w:pPr>
        <w:spacing w:after="0" w:line="118" w:lineRule="exact"/>
        <w:rPr>
          <w:sz w:val="20"/>
          <w:szCs w:val="20"/>
          <w:color w:val="auto"/>
        </w:rPr>
      </w:pPr>
    </w:p>
    <w:p>
      <w:pPr>
        <w:ind w:left="764" w:right="180" w:hanging="768"/>
        <w:spacing w:after="0" w:line="250" w:lineRule="auto"/>
        <w:tabs>
          <w:tab w:leader="none" w:pos="744"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2"/>
          <w:szCs w:val="22"/>
          <w:color w:val="auto"/>
        </w:rPr>
        <w:t>The Company is entitled to terminate the Appointment by summary notice in writing and without payment in lieu of notice for Cause, meaning if you:</w:t>
      </w:r>
    </w:p>
    <w:p>
      <w:pPr>
        <w:spacing w:after="0" w:line="80"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 are guilty of any gross misconduct affecting the business of any Group Company;</w:t>
      </w:r>
    </w:p>
    <w:p>
      <w:pPr>
        <w:spacing w:after="0" w:line="112" w:lineRule="exact"/>
        <w:rPr>
          <w:sz w:val="20"/>
          <w:szCs w:val="20"/>
          <w:color w:val="auto"/>
        </w:rPr>
      </w:pPr>
    </w:p>
    <w:p>
      <w:pPr>
        <w:ind w:left="1424" w:right="300" w:hanging="647"/>
        <w:spacing w:after="0" w:line="250" w:lineRule="auto"/>
        <w:rPr>
          <w:sz w:val="20"/>
          <w:szCs w:val="20"/>
          <w:color w:val="auto"/>
        </w:rPr>
      </w:pPr>
      <w:r>
        <w:rPr>
          <w:rFonts w:ascii="Arial" w:cs="Arial" w:eastAsia="Arial" w:hAnsi="Arial"/>
          <w:sz w:val="22"/>
          <w:szCs w:val="22"/>
          <w:color w:val="auto"/>
        </w:rPr>
        <w:t>19.1.2 commit any serious breach or repeated or continued (after warning) any material breach of your obligations under this Contract;</w:t>
      </w:r>
    </w:p>
    <w:p>
      <w:pPr>
        <w:spacing w:after="0" w:line="80" w:lineRule="exact"/>
        <w:rPr>
          <w:sz w:val="20"/>
          <w:szCs w:val="20"/>
          <w:color w:val="auto"/>
        </w:rPr>
      </w:pPr>
    </w:p>
    <w:p>
      <w:pPr>
        <w:ind w:left="1424" w:right="100" w:hanging="647"/>
        <w:spacing w:after="0" w:line="250" w:lineRule="auto"/>
        <w:rPr>
          <w:sz w:val="20"/>
          <w:szCs w:val="20"/>
          <w:color w:val="auto"/>
        </w:rPr>
      </w:pPr>
      <w:r>
        <w:rPr>
          <w:rFonts w:ascii="Arial" w:cs="Arial" w:eastAsia="Arial" w:hAnsi="Arial"/>
          <w:sz w:val="22"/>
          <w:szCs w:val="22"/>
          <w:color w:val="auto"/>
        </w:rPr>
        <w:t>19.1.3 commit (by commission or omission) any act which brings or would tend to bring the Company or any Group Company into disrepute;</w:t>
      </w:r>
    </w:p>
    <w:p>
      <w:pPr>
        <w:spacing w:after="0" w:line="80" w:lineRule="exact"/>
        <w:rPr>
          <w:sz w:val="20"/>
          <w:szCs w:val="20"/>
          <w:color w:val="auto"/>
        </w:rPr>
      </w:pPr>
    </w:p>
    <w:p>
      <w:pPr>
        <w:ind w:left="1424" w:right="860" w:hanging="647"/>
        <w:spacing w:after="0" w:line="250" w:lineRule="auto"/>
        <w:rPr>
          <w:sz w:val="20"/>
          <w:szCs w:val="20"/>
          <w:color w:val="auto"/>
        </w:rPr>
      </w:pPr>
      <w:r>
        <w:rPr>
          <w:rFonts w:ascii="Arial" w:cs="Arial" w:eastAsia="Arial" w:hAnsi="Arial"/>
          <w:sz w:val="22"/>
          <w:szCs w:val="22"/>
          <w:color w:val="auto"/>
        </w:rPr>
        <w:t>19.1.4 fail to perform your duties to a satisfactory standard after having received a written warning from the Company relating to the same;</w:t>
      </w:r>
    </w:p>
    <w:p>
      <w:pPr>
        <w:spacing w:after="0" w:line="80"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19.1.5 are guilty of any dishonesty, gross misconduct or wilful neglect of duty;</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19.1.6 damage Company property maliciously;</w:t>
      </w:r>
    </w:p>
    <w:p>
      <w:pPr>
        <w:spacing w:after="0" w:line="13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004"/>
          </w:cols>
          <w:pgMar w:left="436" w:top="266" w:right="459" w:bottom="1440" w:gutter="0" w:footer="0" w:header="0"/>
        </w:sectPr>
      </w:pPr>
    </w:p>
    <w:bookmarkStart w:id="441" w:name="page442"/>
    <w:bookmarkEnd w:id="441"/>
    <w:p>
      <w:pPr>
        <w:ind w:left="764"/>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19.1.7 falsify attendance or sickness or other records;</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19.1.8 falsify any data during the course of your employment;</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19"/>
          <w:szCs w:val="19"/>
          <w:color w:val="auto"/>
        </w:rPr>
        <w:t>19.1.9 conduct yourself in a manner materially adverse to the interests of the Company or any Group Company;</w:t>
      </w:r>
    </w:p>
    <w:p>
      <w:pPr>
        <w:spacing w:after="0" w:line="146" w:lineRule="exact"/>
        <w:rPr>
          <w:sz w:val="20"/>
          <w:szCs w:val="20"/>
          <w:color w:val="auto"/>
        </w:rPr>
      </w:pPr>
    </w:p>
    <w:p>
      <w:pPr>
        <w:ind w:left="764"/>
        <w:spacing w:after="0"/>
        <w:rPr>
          <w:sz w:val="20"/>
          <w:szCs w:val="20"/>
          <w:color w:val="auto"/>
        </w:rPr>
      </w:pPr>
      <w:r>
        <w:rPr>
          <w:rFonts w:ascii="Arial" w:cs="Arial" w:eastAsia="Arial" w:hAnsi="Arial"/>
          <w:sz w:val="19"/>
          <w:szCs w:val="19"/>
          <w:color w:val="auto"/>
        </w:rPr>
        <w:t>19.1.10are, in the reasonable opinion of the Board, negligent and incompetent in the performance of your duties;</w:t>
      </w:r>
    </w:p>
    <w:p>
      <w:pPr>
        <w:spacing w:after="0" w:line="146" w:lineRule="exact"/>
        <w:rPr>
          <w:sz w:val="20"/>
          <w:szCs w:val="20"/>
          <w:color w:val="auto"/>
        </w:rPr>
      </w:pPr>
    </w:p>
    <w:p>
      <w:pPr>
        <w:ind w:left="764"/>
        <w:spacing w:after="0"/>
        <w:rPr>
          <w:sz w:val="20"/>
          <w:szCs w:val="20"/>
          <w:color w:val="auto"/>
        </w:rPr>
      </w:pPr>
      <w:r>
        <w:rPr>
          <w:rFonts w:ascii="Arial" w:cs="Arial" w:eastAsia="Arial" w:hAnsi="Arial"/>
          <w:sz w:val="19"/>
          <w:szCs w:val="19"/>
          <w:color w:val="auto"/>
        </w:rPr>
        <w:t>19.1.11have a bankruptcy order made against you or enter into a voluntary arrangement within the meaning of section</w:t>
      </w:r>
    </w:p>
    <w:p>
      <w:pPr>
        <w:spacing w:after="0" w:line="43" w:lineRule="exact"/>
        <w:rPr>
          <w:sz w:val="20"/>
          <w:szCs w:val="20"/>
          <w:color w:val="auto"/>
        </w:rPr>
      </w:pPr>
    </w:p>
    <w:p>
      <w:pPr>
        <w:ind w:left="1424"/>
        <w:spacing w:after="0"/>
        <w:rPr>
          <w:sz w:val="20"/>
          <w:szCs w:val="20"/>
          <w:color w:val="auto"/>
        </w:rPr>
      </w:pPr>
      <w:r>
        <w:rPr>
          <w:rFonts w:ascii="Arial" w:cs="Arial" w:eastAsia="Arial" w:hAnsi="Arial"/>
          <w:sz w:val="22"/>
          <w:szCs w:val="22"/>
          <w:color w:val="auto"/>
        </w:rPr>
        <w:t>253 Insolvency Act 1986;</w:t>
      </w:r>
    </w:p>
    <w:p>
      <w:pPr>
        <w:spacing w:after="0" w:line="94"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19.1.12consume or distribute narcotics on Company premises;</w:t>
      </w:r>
    </w:p>
    <w:p>
      <w:pPr>
        <w:spacing w:after="0" w:line="112" w:lineRule="exact"/>
        <w:rPr>
          <w:sz w:val="20"/>
          <w:szCs w:val="20"/>
          <w:color w:val="auto"/>
        </w:rPr>
      </w:pPr>
    </w:p>
    <w:p>
      <w:pPr>
        <w:jc w:val="both"/>
        <w:ind w:left="1424" w:right="280" w:hanging="647"/>
        <w:spacing w:after="0"/>
        <w:rPr>
          <w:sz w:val="20"/>
          <w:szCs w:val="20"/>
          <w:color w:val="auto"/>
        </w:rPr>
      </w:pPr>
      <w:r>
        <w:rPr>
          <w:rFonts w:ascii="Arial" w:cs="Arial" w:eastAsia="Arial" w:hAnsi="Arial"/>
          <w:sz w:val="22"/>
          <w:szCs w:val="22"/>
          <w:color w:val="auto"/>
        </w:rPr>
        <w:t>19.1.13are convicted of any criminal offence (other than an offence under any road traffic legislation in the United Kingdom or elsewhere for which a fine or non-custodial penalty is imposed) whether or not in the course of your employment;</w:t>
      </w:r>
    </w:p>
    <w:p>
      <w:pPr>
        <w:spacing w:after="0" w:line="92"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19.1.14are, in the opinion of a medical practitioner who is treating you, physically or mentally incapable of performing your duties and may remain so for more than three months and the medical practitioner has given a medical opinion to the Board to that effect;</w:t>
      </w:r>
    </w:p>
    <w:p>
      <w:pPr>
        <w:spacing w:after="0" w:line="92"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19.1.15cease to be eligible to work in the United Kingdom;</w:t>
      </w:r>
    </w:p>
    <w:p>
      <w:pPr>
        <w:spacing w:after="0" w:line="112" w:lineRule="exact"/>
        <w:rPr>
          <w:sz w:val="20"/>
          <w:szCs w:val="20"/>
          <w:color w:val="auto"/>
        </w:rPr>
      </w:pPr>
    </w:p>
    <w:p>
      <w:pPr>
        <w:ind w:left="1424" w:right="340" w:hanging="647"/>
        <w:spacing w:after="0" w:line="250" w:lineRule="auto"/>
        <w:rPr>
          <w:sz w:val="20"/>
          <w:szCs w:val="20"/>
          <w:color w:val="auto"/>
        </w:rPr>
      </w:pPr>
      <w:r>
        <w:rPr>
          <w:rFonts w:ascii="Arial" w:cs="Arial" w:eastAsia="Arial" w:hAnsi="Arial"/>
          <w:sz w:val="22"/>
          <w:szCs w:val="22"/>
          <w:color w:val="auto"/>
        </w:rPr>
        <w:t>19.1.16knowingly commit any deliberate act which amounts to discrimination, victimisation or harassment on any unlawful ground;</w:t>
      </w:r>
    </w:p>
    <w:p>
      <w:pPr>
        <w:spacing w:after="0" w:line="80" w:lineRule="exact"/>
        <w:rPr>
          <w:sz w:val="20"/>
          <w:szCs w:val="20"/>
          <w:color w:val="auto"/>
        </w:rPr>
      </w:pPr>
    </w:p>
    <w:p>
      <w:pPr>
        <w:ind w:left="764"/>
        <w:spacing w:after="0"/>
        <w:rPr>
          <w:sz w:val="20"/>
          <w:szCs w:val="20"/>
          <w:color w:val="auto"/>
        </w:rPr>
      </w:pPr>
      <w:r>
        <w:rPr>
          <w:rFonts w:ascii="Arial" w:cs="Arial" w:eastAsia="Arial" w:hAnsi="Arial"/>
          <w:sz w:val="22"/>
          <w:szCs w:val="22"/>
          <w:color w:val="auto"/>
        </w:rPr>
        <w:t>19.1.17are in breach of the Company’s anti-corruption and bribery policy and related procedures;</w:t>
      </w:r>
    </w:p>
    <w:p>
      <w:pPr>
        <w:spacing w:after="0" w:line="112" w:lineRule="exact"/>
        <w:rPr>
          <w:sz w:val="20"/>
          <w:szCs w:val="20"/>
          <w:color w:val="auto"/>
        </w:rPr>
      </w:pPr>
    </w:p>
    <w:p>
      <w:pPr>
        <w:ind w:left="1424" w:right="320" w:hanging="647"/>
        <w:spacing w:after="0" w:line="250" w:lineRule="auto"/>
        <w:rPr>
          <w:sz w:val="20"/>
          <w:szCs w:val="20"/>
          <w:color w:val="auto"/>
        </w:rPr>
      </w:pPr>
      <w:r>
        <w:rPr>
          <w:rFonts w:ascii="Arial" w:cs="Arial" w:eastAsia="Arial" w:hAnsi="Arial"/>
          <w:sz w:val="22"/>
          <w:szCs w:val="22"/>
          <w:color w:val="auto"/>
        </w:rPr>
        <w:t>19.1.18are guilty of a serious breach of any rules issued by the Company from time to time regarding its electronic communications systems;</w:t>
      </w:r>
    </w:p>
    <w:p>
      <w:pPr>
        <w:spacing w:after="0" w:line="80" w:lineRule="exact"/>
        <w:rPr>
          <w:sz w:val="20"/>
          <w:szCs w:val="20"/>
          <w:color w:val="auto"/>
        </w:rPr>
      </w:pPr>
    </w:p>
    <w:p>
      <w:pPr>
        <w:ind w:left="1424" w:right="500" w:hanging="647"/>
        <w:spacing w:after="0" w:line="250" w:lineRule="auto"/>
        <w:rPr>
          <w:sz w:val="20"/>
          <w:szCs w:val="20"/>
          <w:color w:val="auto"/>
        </w:rPr>
      </w:pPr>
      <w:r>
        <w:rPr>
          <w:rFonts w:ascii="Arial" w:cs="Arial" w:eastAsia="Arial" w:hAnsi="Arial"/>
          <w:sz w:val="22"/>
          <w:szCs w:val="22"/>
          <w:color w:val="auto"/>
        </w:rPr>
        <w:t>19.1.19are unable by reason of Incapacity to perform his duties under this Contract for an aggregate period of 26 weeks in any 52-week period; or</w:t>
      </w:r>
    </w:p>
    <w:p>
      <w:pPr>
        <w:spacing w:after="0" w:line="80" w:lineRule="exact"/>
        <w:rPr>
          <w:sz w:val="20"/>
          <w:szCs w:val="20"/>
          <w:color w:val="auto"/>
        </w:rPr>
      </w:pPr>
    </w:p>
    <w:p>
      <w:pPr>
        <w:ind w:left="1424" w:right="700" w:hanging="647"/>
        <w:spacing w:after="0" w:line="250" w:lineRule="auto"/>
        <w:rPr>
          <w:sz w:val="20"/>
          <w:szCs w:val="20"/>
          <w:color w:val="auto"/>
        </w:rPr>
      </w:pPr>
      <w:r>
        <w:rPr>
          <w:rFonts w:ascii="Arial" w:cs="Arial" w:eastAsia="Arial" w:hAnsi="Arial"/>
          <w:sz w:val="22"/>
          <w:szCs w:val="22"/>
          <w:color w:val="auto"/>
        </w:rPr>
        <w:t>19.1.20commit any other offence of a similar gravity to the examples under this clause 19.1, which are neither exclusive nor exhaustive.</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Any delay by the Company in exercising such right of termination shall not constitute a waiver of that right.</w:t>
      </w:r>
    </w:p>
    <w:p>
      <w:pPr>
        <w:spacing w:after="0" w:line="112" w:lineRule="exact"/>
        <w:rPr>
          <w:sz w:val="20"/>
          <w:szCs w:val="20"/>
          <w:color w:val="auto"/>
        </w:rPr>
      </w:pPr>
    </w:p>
    <w:p>
      <w:pPr>
        <w:ind w:left="764" w:right="20" w:hanging="768"/>
        <w:spacing w:after="0"/>
        <w:tabs>
          <w:tab w:leader="none" w:pos="744"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22"/>
          <w:szCs w:val="22"/>
          <w:color w:val="auto"/>
        </w:rPr>
        <w:t>The termination by the Company of the Appointment pursuant to this clause 19 will be without prejudice to any claim that the Company may have for damages arising from any breach of this Contract by you that gives rise to such termination.</w:t>
      </w:r>
    </w:p>
    <w:p>
      <w:pPr>
        <w:spacing w:after="0" w:line="329" w:lineRule="exact"/>
        <w:rPr>
          <w:sz w:val="20"/>
          <w:szCs w:val="20"/>
          <w:color w:val="auto"/>
        </w:rPr>
      </w:pPr>
    </w:p>
    <w:p>
      <w:pPr>
        <w:ind w:left="764" w:hanging="764"/>
        <w:spacing w:after="0"/>
        <w:tabs>
          <w:tab w:leader="none" w:pos="764" w:val="left"/>
        </w:tabs>
        <w:numPr>
          <w:ilvl w:val="0"/>
          <w:numId w:val="463"/>
        </w:numPr>
        <w:rPr>
          <w:rFonts w:ascii="Arial" w:cs="Arial" w:eastAsia="Arial" w:hAnsi="Arial"/>
          <w:sz w:val="22"/>
          <w:szCs w:val="22"/>
          <w:b w:val="1"/>
          <w:bCs w:val="1"/>
          <w:color w:val="auto"/>
        </w:rPr>
      </w:pPr>
      <w:r>
        <w:rPr>
          <w:rFonts w:ascii="Arial" w:cs="Arial" w:eastAsia="Arial" w:hAnsi="Arial"/>
          <w:sz w:val="22"/>
          <w:szCs w:val="22"/>
          <w:b w:val="1"/>
          <w:bCs w:val="1"/>
          <w:color w:val="auto"/>
        </w:rPr>
        <w:t>Garden Leave</w:t>
      </w:r>
    </w:p>
    <w:p>
      <w:pPr>
        <w:spacing w:after="0" w:line="118" w:lineRule="exact"/>
        <w:rPr>
          <w:sz w:val="20"/>
          <w:szCs w:val="20"/>
          <w:color w:val="auto"/>
        </w:rPr>
      </w:pPr>
    </w:p>
    <w:p>
      <w:pPr>
        <w:ind w:left="764" w:right="80" w:hanging="768"/>
        <w:spacing w:after="0" w:line="250" w:lineRule="auto"/>
        <w:tabs>
          <w:tab w:leader="none" w:pos="744"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2"/>
          <w:szCs w:val="22"/>
          <w:color w:val="auto"/>
        </w:rPr>
        <w:t>After notice of termination has been given by either party pursuant to clause 18 provided that the Company continues to provide you with your normal Salary and</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004"/>
          </w:cols>
          <w:pgMar w:left="436" w:top="266" w:right="459" w:bottom="1440" w:gutter="0" w:footer="0" w:header="0"/>
        </w:sectPr>
      </w:pPr>
    </w:p>
    <w:bookmarkStart w:id="442" w:name="page443"/>
    <w:bookmarkEnd w:id="442"/>
    <w:p>
      <w:pPr>
        <w:ind w:left="764"/>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benefits under this Contract until the Appointment terminates, the Company may at its absolute discretion without breaking the terms of this contract or giving rise to any claim against the Company for all or part of your notice period place you on garden leave and:-</w:t>
      </w:r>
    </w:p>
    <w:p>
      <w:pPr>
        <w:spacing w:after="0" w:line="92"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20.1.1 exclude you from the premises of the Company and any Group Company; and/or</w:t>
      </w:r>
    </w:p>
    <w:p>
      <w:pPr>
        <w:spacing w:after="0" w:line="112" w:lineRule="exact"/>
        <w:rPr>
          <w:sz w:val="20"/>
          <w:szCs w:val="20"/>
          <w:color w:val="auto"/>
        </w:rPr>
      </w:pPr>
    </w:p>
    <w:p>
      <w:pPr>
        <w:ind w:left="764"/>
        <w:spacing w:after="0"/>
        <w:rPr>
          <w:sz w:val="20"/>
          <w:szCs w:val="20"/>
          <w:color w:val="auto"/>
        </w:rPr>
      </w:pPr>
      <w:r>
        <w:rPr>
          <w:rFonts w:ascii="Arial" w:cs="Arial" w:eastAsia="Arial" w:hAnsi="Arial"/>
          <w:sz w:val="21"/>
          <w:szCs w:val="21"/>
          <w:color w:val="auto"/>
        </w:rPr>
        <w:t>20.1.2 require you to carry out specified duties other than your normal duties or to carry out no duties; and/or</w:t>
      </w:r>
    </w:p>
    <w:p>
      <w:pPr>
        <w:spacing w:after="0" w:line="123" w:lineRule="exact"/>
        <w:rPr>
          <w:sz w:val="20"/>
          <w:szCs w:val="20"/>
          <w:color w:val="auto"/>
        </w:rPr>
      </w:pPr>
    </w:p>
    <w:p>
      <w:pPr>
        <w:ind w:left="764"/>
        <w:spacing w:after="0"/>
        <w:rPr>
          <w:sz w:val="20"/>
          <w:szCs w:val="20"/>
          <w:color w:val="auto"/>
        </w:rPr>
      </w:pPr>
      <w:r>
        <w:rPr>
          <w:rFonts w:ascii="Arial" w:cs="Arial" w:eastAsia="Arial" w:hAnsi="Arial"/>
          <w:sz w:val="22"/>
          <w:szCs w:val="22"/>
          <w:color w:val="auto"/>
        </w:rPr>
        <w:t>20.1.3 withdraw any powers vested in you; and/or</w:t>
      </w:r>
    </w:p>
    <w:p>
      <w:pPr>
        <w:spacing w:after="0" w:line="112" w:lineRule="exact"/>
        <w:rPr>
          <w:sz w:val="20"/>
          <w:szCs w:val="20"/>
          <w:color w:val="auto"/>
        </w:rPr>
      </w:pPr>
    </w:p>
    <w:p>
      <w:pPr>
        <w:ind w:left="1424" w:right="920" w:hanging="647"/>
        <w:spacing w:after="0" w:line="328" w:lineRule="auto"/>
        <w:rPr>
          <w:sz w:val="20"/>
          <w:szCs w:val="20"/>
          <w:color w:val="auto"/>
        </w:rPr>
      </w:pPr>
      <w:r>
        <w:rPr>
          <w:rFonts w:ascii="Arial" w:cs="Arial" w:eastAsia="Arial" w:hAnsi="Arial"/>
          <w:sz w:val="19"/>
          <w:szCs w:val="19"/>
          <w:color w:val="auto"/>
        </w:rPr>
        <w:t>20.1.4 instruct you not to communicate orally or in writing with suppliers, customers, employees, agents/or representatives of the Company or any Group Company until the Appointment has terminated.</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During any period of garden leave you shall:</w:t>
      </w:r>
    </w:p>
    <w:p>
      <w:pPr>
        <w:spacing w:after="0" w:line="112" w:lineRule="exact"/>
        <w:rPr>
          <w:sz w:val="20"/>
          <w:szCs w:val="20"/>
          <w:color w:val="auto"/>
        </w:rPr>
      </w:pPr>
    </w:p>
    <w:p>
      <w:pPr>
        <w:ind w:left="1424" w:right="340" w:hanging="647"/>
        <w:spacing w:after="0" w:line="250" w:lineRule="auto"/>
        <w:rPr>
          <w:sz w:val="20"/>
          <w:szCs w:val="20"/>
          <w:color w:val="auto"/>
        </w:rPr>
      </w:pPr>
      <w:r>
        <w:rPr>
          <w:rFonts w:ascii="Arial" w:cs="Arial" w:eastAsia="Arial" w:hAnsi="Arial"/>
          <w:sz w:val="22"/>
          <w:szCs w:val="22"/>
          <w:color w:val="auto"/>
        </w:rPr>
        <w:t>20.2.1 continue to receive your Salary and all contractual benefits in the usual way and subject to the terms of any benefit arrangement;</w:t>
      </w:r>
    </w:p>
    <w:p>
      <w:pPr>
        <w:spacing w:after="0" w:line="80" w:lineRule="exact"/>
        <w:rPr>
          <w:sz w:val="20"/>
          <w:szCs w:val="20"/>
          <w:color w:val="auto"/>
        </w:rPr>
      </w:pPr>
    </w:p>
    <w:p>
      <w:pPr>
        <w:ind w:left="1424" w:right="740" w:hanging="647"/>
        <w:spacing w:after="0" w:line="250" w:lineRule="auto"/>
        <w:rPr>
          <w:sz w:val="20"/>
          <w:szCs w:val="20"/>
          <w:color w:val="auto"/>
        </w:rPr>
      </w:pPr>
      <w:r>
        <w:rPr>
          <w:rFonts w:ascii="Arial" w:cs="Arial" w:eastAsia="Arial" w:hAnsi="Arial"/>
          <w:sz w:val="22"/>
          <w:szCs w:val="22"/>
          <w:color w:val="auto"/>
        </w:rPr>
        <w:t>20.2.2 remain an employee of the Company and bound by the terms of your contract of employment with the Company;</w:t>
      </w:r>
    </w:p>
    <w:p>
      <w:pPr>
        <w:spacing w:after="0" w:line="80" w:lineRule="exact"/>
        <w:rPr>
          <w:sz w:val="20"/>
          <w:szCs w:val="20"/>
          <w:color w:val="auto"/>
        </w:rPr>
      </w:pPr>
    </w:p>
    <w:p>
      <w:pPr>
        <w:ind w:left="1424" w:right="80" w:hanging="647"/>
        <w:spacing w:after="0" w:line="250" w:lineRule="auto"/>
        <w:rPr>
          <w:sz w:val="20"/>
          <w:szCs w:val="20"/>
          <w:color w:val="auto"/>
        </w:rPr>
      </w:pPr>
      <w:r>
        <w:rPr>
          <w:rFonts w:ascii="Arial" w:cs="Arial" w:eastAsia="Arial" w:hAnsi="Arial"/>
          <w:sz w:val="22"/>
          <w:szCs w:val="22"/>
          <w:color w:val="auto"/>
        </w:rPr>
        <w:t>20.2.3 not, without the prior written consent of your Manager, attend your place of work or any other premises of the Company or any Group Company;</w:t>
      </w:r>
    </w:p>
    <w:p>
      <w:pPr>
        <w:spacing w:after="0" w:line="80" w:lineRule="exact"/>
        <w:rPr>
          <w:sz w:val="20"/>
          <w:szCs w:val="20"/>
          <w:color w:val="auto"/>
        </w:rPr>
      </w:pPr>
    </w:p>
    <w:p>
      <w:pPr>
        <w:ind w:left="1424" w:hanging="647"/>
        <w:spacing w:after="0"/>
        <w:rPr>
          <w:sz w:val="20"/>
          <w:szCs w:val="20"/>
          <w:color w:val="auto"/>
        </w:rPr>
      </w:pPr>
      <w:r>
        <w:rPr>
          <w:rFonts w:ascii="Arial" w:cs="Arial" w:eastAsia="Arial" w:hAnsi="Arial"/>
          <w:sz w:val="22"/>
          <w:szCs w:val="22"/>
          <w:color w:val="auto"/>
        </w:rPr>
        <w:t>20.2.4 not, without the prior written consent of your Manager, contact or deal with (or attempt to contact or deal with) any officer, employee, consultant, client, customer, supplier, agent, distributor, shareholder, adviser or other business contact of the Company or any Group Company;</w:t>
      </w:r>
    </w:p>
    <w:p>
      <w:pPr>
        <w:spacing w:after="0" w:line="92" w:lineRule="exact"/>
        <w:rPr>
          <w:sz w:val="20"/>
          <w:szCs w:val="20"/>
          <w:color w:val="auto"/>
        </w:rPr>
      </w:pPr>
    </w:p>
    <w:p>
      <w:pPr>
        <w:ind w:left="1424" w:right="40" w:hanging="647"/>
        <w:spacing w:after="0"/>
        <w:rPr>
          <w:sz w:val="20"/>
          <w:szCs w:val="20"/>
          <w:color w:val="auto"/>
        </w:rPr>
      </w:pPr>
      <w:r>
        <w:rPr>
          <w:rFonts w:ascii="Arial" w:cs="Arial" w:eastAsia="Arial" w:hAnsi="Arial"/>
          <w:sz w:val="22"/>
          <w:szCs w:val="22"/>
          <w:color w:val="auto"/>
        </w:rPr>
        <w:t>20.2.5 (except during any periods taken as holiday in the usual way) ensure that your Manager knows where you will be and how you can be contacted during each working day and shall comply with any written requests to contact a specified employee of the Company at specified intervals.</w:t>
      </w:r>
    </w:p>
    <w:p>
      <w:pPr>
        <w:spacing w:after="0" w:line="329" w:lineRule="exact"/>
        <w:rPr>
          <w:sz w:val="20"/>
          <w:szCs w:val="20"/>
          <w:color w:val="auto"/>
        </w:rPr>
      </w:pPr>
    </w:p>
    <w:p>
      <w:pPr>
        <w:ind w:left="764" w:hanging="764"/>
        <w:spacing w:after="0"/>
        <w:tabs>
          <w:tab w:leader="none" w:pos="764" w:val="left"/>
        </w:tabs>
        <w:numPr>
          <w:ilvl w:val="0"/>
          <w:numId w:val="464"/>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after Employment</w:t>
      </w:r>
    </w:p>
    <w:p>
      <w:pPr>
        <w:spacing w:after="0" w:line="118" w:lineRule="exact"/>
        <w:rPr>
          <w:sz w:val="20"/>
          <w:szCs w:val="20"/>
          <w:color w:val="auto"/>
        </w:rPr>
      </w:pPr>
    </w:p>
    <w:p>
      <w:pPr>
        <w:jc w:val="both"/>
        <w:ind w:left="764" w:right="20" w:hanging="768"/>
        <w:spacing w:after="0" w:line="287" w:lineRule="auto"/>
        <w:tabs>
          <w:tab w:leader="none" w:pos="74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You shall not, save in respect of a Permitted Interest or with the prior written consent of the Company, for a period of 6 months from the Termination Date carry on or be concerned or engaged or interested directly or indirectly (whether as principal, shareholder, partner, employee, officer, agent or otherwise) in any part of any trade or business carried on within the Restricted Area wholly or partly in competition with the Restricted Business.</w:t>
      </w:r>
    </w:p>
    <w:p>
      <w:pPr>
        <w:spacing w:after="0" w:line="48" w:lineRule="exact"/>
        <w:rPr>
          <w:sz w:val="20"/>
          <w:szCs w:val="20"/>
          <w:color w:val="auto"/>
        </w:rPr>
      </w:pPr>
    </w:p>
    <w:p>
      <w:pPr>
        <w:jc w:val="right"/>
        <w:ind w:left="4" w:right="200"/>
        <w:spacing w:after="0" w:line="328" w:lineRule="auto"/>
        <w:rPr>
          <w:sz w:val="20"/>
          <w:szCs w:val="20"/>
          <w:color w:val="auto"/>
        </w:rPr>
      </w:pPr>
      <w:r>
        <w:rPr>
          <w:rFonts w:ascii="Arial" w:cs="Arial" w:eastAsia="Arial" w:hAnsi="Arial"/>
          <w:sz w:val="19"/>
          <w:szCs w:val="19"/>
          <w:color w:val="auto"/>
        </w:rPr>
        <w:t>21.2    You shall not for a period of 6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4" w:right="220" w:hanging="647"/>
        <w:spacing w:after="0" w:line="250" w:lineRule="auto"/>
        <w:rPr>
          <w:sz w:val="20"/>
          <w:szCs w:val="20"/>
          <w:color w:val="auto"/>
        </w:rPr>
      </w:pPr>
      <w:r>
        <w:rPr>
          <w:rFonts w:ascii="Arial" w:cs="Arial" w:eastAsia="Arial" w:hAnsi="Arial"/>
          <w:sz w:val="22"/>
          <w:szCs w:val="22"/>
          <w:color w:val="auto"/>
        </w:rPr>
        <w:t>21.2.1 deal with or accept custom from any person, firm or company who was a client or customer of the Company or any Group Company during the</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004"/>
          </w:cols>
          <w:pgMar w:left="436" w:top="266" w:right="459" w:bottom="1440" w:gutter="0" w:footer="0" w:header="0"/>
        </w:sectPr>
      </w:pPr>
    </w:p>
    <w:bookmarkStart w:id="443" w:name="page444"/>
    <w:bookmarkEnd w:id="443"/>
    <w:p>
      <w:pPr>
        <w:ind w:left="1420" w:right="260"/>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with whom you have been actively engaged or involved or of whom you have acquired Confidential Information or trade secrets by virtue of your duties hereunder during the Period; or</w:t>
      </w:r>
    </w:p>
    <w:p>
      <w:pPr>
        <w:spacing w:after="0" w:line="56" w:lineRule="exact"/>
        <w:rPr>
          <w:sz w:val="20"/>
          <w:szCs w:val="20"/>
          <w:color w:val="auto"/>
        </w:rPr>
      </w:pPr>
    </w:p>
    <w:p>
      <w:pPr>
        <w:ind w:left="1420" w:right="20" w:hanging="647"/>
        <w:spacing w:after="0" w:line="238" w:lineRule="auto"/>
        <w:rPr>
          <w:sz w:val="20"/>
          <w:szCs w:val="20"/>
          <w:color w:val="auto"/>
        </w:rPr>
      </w:pPr>
      <w:r>
        <w:rPr>
          <w:rFonts w:ascii="Arial" w:cs="Arial" w:eastAsia="Arial" w:hAnsi="Arial"/>
          <w:sz w:val="22"/>
          <w:szCs w:val="22"/>
          <w:color w:val="auto"/>
        </w:rPr>
        <w:t>21.2.2 deal with or interfere with any person, firm or company who was a supplier, agent or distributor of the Company or any Group Company during the Period and in each case with whom you have been actively engaged or involved or of whom you have acquired Confidential Information or trade secrets by virtue of your duties hereunder during the Period; or</w:t>
      </w:r>
    </w:p>
    <w:p>
      <w:pPr>
        <w:spacing w:after="0" w:line="90" w:lineRule="exact"/>
        <w:rPr>
          <w:sz w:val="20"/>
          <w:szCs w:val="20"/>
          <w:color w:val="auto"/>
        </w:rPr>
      </w:pPr>
    </w:p>
    <w:p>
      <w:pPr>
        <w:ind w:left="1420" w:right="380" w:hanging="647"/>
        <w:spacing w:after="0" w:line="250" w:lineRule="auto"/>
        <w:rPr>
          <w:sz w:val="20"/>
          <w:szCs w:val="20"/>
          <w:color w:val="auto"/>
        </w:rPr>
      </w:pPr>
      <w:r>
        <w:rPr>
          <w:rFonts w:ascii="Arial" w:cs="Arial" w:eastAsia="Arial" w:hAnsi="Arial"/>
          <w:sz w:val="22"/>
          <w:szCs w:val="22"/>
          <w:color w:val="auto"/>
        </w:rPr>
        <w:t>21.2.3 deal with or interfere with any company from whom the Company or any Group Company has licensed or acquired intellectual property.</w:t>
      </w:r>
    </w:p>
    <w:p>
      <w:pPr>
        <w:spacing w:after="0" w:line="80" w:lineRule="exact"/>
        <w:rPr>
          <w:sz w:val="20"/>
          <w:szCs w:val="20"/>
          <w:color w:val="auto"/>
        </w:rPr>
      </w:pPr>
    </w:p>
    <w:p>
      <w:pPr>
        <w:jc w:val="right"/>
        <w:ind w:right="180"/>
        <w:spacing w:after="0" w:line="328" w:lineRule="auto"/>
        <w:rPr>
          <w:sz w:val="20"/>
          <w:szCs w:val="20"/>
          <w:color w:val="auto"/>
        </w:rPr>
      </w:pPr>
      <w:r>
        <w:rPr>
          <w:rFonts w:ascii="Arial" w:cs="Arial" w:eastAsia="Arial" w:hAnsi="Arial"/>
          <w:sz w:val="19"/>
          <w:szCs w:val="19"/>
          <w:color w:val="auto"/>
        </w:rPr>
        <w:t>21.3    You shall not for a period of 9 months from the Termination Date, in competition with the Company, either on your own behalf or on behalf of any person, firm or company in relation to the Restricted Business, directly or indirectly:</w:t>
      </w:r>
    </w:p>
    <w:p>
      <w:pPr>
        <w:spacing w:after="0" w:line="10" w:lineRule="exact"/>
        <w:rPr>
          <w:sz w:val="20"/>
          <w:szCs w:val="20"/>
          <w:color w:val="auto"/>
        </w:rPr>
      </w:pPr>
    </w:p>
    <w:p>
      <w:pPr>
        <w:ind w:left="1420" w:right="200" w:hanging="647"/>
        <w:spacing w:after="0" w:line="287" w:lineRule="auto"/>
        <w:rPr>
          <w:sz w:val="20"/>
          <w:szCs w:val="20"/>
          <w:color w:val="auto"/>
        </w:rPr>
      </w:pPr>
      <w:r>
        <w:rPr>
          <w:rFonts w:ascii="Arial" w:cs="Arial" w:eastAsia="Arial" w:hAnsi="Arial"/>
          <w:sz w:val="19"/>
          <w:szCs w:val="19"/>
          <w:color w:val="auto"/>
        </w:rPr>
        <w:t>21.3.1 solicit, approach or offer goods or services to or entice away from the Company or any Group Company any person, firm or company who was a client or customer of the Company or any Group Company during the Period with whom you have been actively engaged or involved or of whom you have acquired Confidential Information or trade secrets by virtue of your duties hereunder during the Period;</w:t>
      </w:r>
    </w:p>
    <w:p>
      <w:pPr>
        <w:spacing w:after="0" w:line="48" w:lineRule="exact"/>
        <w:rPr>
          <w:sz w:val="20"/>
          <w:szCs w:val="20"/>
          <w:color w:val="auto"/>
        </w:rPr>
      </w:pPr>
    </w:p>
    <w:p>
      <w:pPr>
        <w:ind w:left="1420" w:right="20" w:hanging="647"/>
        <w:spacing w:after="0" w:line="287" w:lineRule="auto"/>
        <w:rPr>
          <w:sz w:val="20"/>
          <w:szCs w:val="20"/>
          <w:color w:val="auto"/>
        </w:rPr>
      </w:pPr>
      <w:r>
        <w:rPr>
          <w:rFonts w:ascii="Arial" w:cs="Arial" w:eastAsia="Arial" w:hAnsi="Arial"/>
          <w:sz w:val="19"/>
          <w:szCs w:val="19"/>
          <w:color w:val="auto"/>
        </w:rPr>
        <w:t>21.3.2 solicit or approach or offer goods or services to or entice away from the Company or any Group Company any person, firm or company who was a supplier, agent or distributor of the Company or any Group Company during the Period with whom you has been actively engaged or involved or of whom you have acquired Confidential Information or trade secrets by virtue of your duties hereunder during the Period; or</w:t>
      </w:r>
    </w:p>
    <w:p>
      <w:pPr>
        <w:spacing w:after="0" w:line="48" w:lineRule="exact"/>
        <w:rPr>
          <w:sz w:val="20"/>
          <w:szCs w:val="20"/>
          <w:color w:val="auto"/>
        </w:rPr>
      </w:pPr>
    </w:p>
    <w:p>
      <w:pPr>
        <w:ind w:left="1420" w:hanging="647"/>
        <w:spacing w:after="0" w:line="250" w:lineRule="auto"/>
        <w:rPr>
          <w:sz w:val="20"/>
          <w:szCs w:val="20"/>
          <w:color w:val="auto"/>
        </w:rPr>
      </w:pPr>
      <w:r>
        <w:rPr>
          <w:rFonts w:ascii="Arial" w:cs="Arial" w:eastAsia="Arial" w:hAnsi="Arial"/>
          <w:sz w:val="22"/>
          <w:szCs w:val="22"/>
          <w:color w:val="auto"/>
        </w:rPr>
        <w:t>21.3.3 interfere or seek to interfere with the continuance, or any of the terms, of the supply of goods or services to the Company or any Group Company;</w:t>
      </w:r>
    </w:p>
    <w:p>
      <w:pPr>
        <w:spacing w:after="0" w:line="67" w:lineRule="exact"/>
        <w:rPr>
          <w:sz w:val="20"/>
          <w:szCs w:val="20"/>
          <w:color w:val="auto"/>
        </w:rPr>
      </w:pPr>
    </w:p>
    <w:p>
      <w:pPr>
        <w:ind w:left="760" w:right="220"/>
        <w:spacing w:after="0"/>
        <w:rPr>
          <w:sz w:val="20"/>
          <w:szCs w:val="20"/>
          <w:color w:val="auto"/>
        </w:rPr>
      </w:pPr>
      <w:r>
        <w:rPr>
          <w:rFonts w:ascii="Arial" w:cs="Arial" w:eastAsia="Arial" w:hAnsi="Arial"/>
          <w:sz w:val="22"/>
          <w:szCs w:val="22"/>
          <w:color w:val="auto"/>
        </w:rPr>
        <w:t>PROVIDED THAT nothing contained in clauses 21.1 to 21.3 inclusive shall prohibit you from carrying out any activities that are not in competition with any part of the business of the Company with which you were involved in the Period.</w:t>
      </w:r>
    </w:p>
    <w:p>
      <w:pPr>
        <w:spacing w:after="0" w:line="92" w:lineRule="exact"/>
        <w:rPr>
          <w:sz w:val="20"/>
          <w:szCs w:val="20"/>
          <w:color w:val="auto"/>
        </w:rPr>
      </w:pPr>
    </w:p>
    <w:p>
      <w:pPr>
        <w:ind w:left="760" w:right="40" w:hanging="768"/>
        <w:spacing w:after="0" w:line="236" w:lineRule="auto"/>
        <w:tabs>
          <w:tab w:leader="none" w:pos="7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2"/>
          <w:szCs w:val="22"/>
          <w:color w:val="auto"/>
        </w:rPr>
        <w:t>You shall not for a period of 6 months from the Termination Date either on your own behalf or on behalf of any person, firm or company directly or indirectly, approach, solicit, endeavour to entice away, employ, offer employment to or procure the employment of any person who is or was a Key Employee with whom you have had dealings during the Period whether or not such person would commit any breach of his contract of employment by reason of so leaving the service of the Company or otherwise.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0980"/>
          </w:cols>
          <w:pgMar w:left="440" w:top="266" w:right="479" w:bottom="1440" w:gutter="0" w:footer="0" w:header="0"/>
        </w:sectPr>
      </w:pPr>
    </w:p>
    <w:bookmarkStart w:id="444" w:name="page445"/>
    <w:bookmarkEnd w:id="444"/>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w:t>
      </w:r>
      <w:r>
        <w:rPr>
          <w:sz w:val="20"/>
          <w:szCs w:val="20"/>
          <w:color w:val="auto"/>
        </w:rPr>
        <w:tab/>
      </w:r>
      <w:r>
        <w:rPr>
          <w:rFonts w:ascii="Arial" w:cs="Arial" w:eastAsia="Arial" w:hAnsi="Arial"/>
          <w:sz w:val="22"/>
          <w:szCs w:val="22"/>
          <w:color w:val="auto"/>
        </w:rPr>
        <w:t>You shall not, at any time after the Termination Date, either on your own behalf or on behalf of any other person, firm or company directly or indirectly:</w:t>
      </w:r>
    </w:p>
    <w:p>
      <w:pPr>
        <w:spacing w:after="0" w:line="80" w:lineRule="exact"/>
        <w:rPr>
          <w:sz w:val="20"/>
          <w:szCs w:val="20"/>
          <w:color w:val="auto"/>
        </w:rPr>
      </w:pPr>
    </w:p>
    <w:p>
      <w:pPr>
        <w:ind w:left="1424" w:right="220" w:hanging="647"/>
        <w:spacing w:after="0" w:line="249" w:lineRule="auto"/>
        <w:rPr>
          <w:sz w:val="20"/>
          <w:szCs w:val="20"/>
          <w:color w:val="auto"/>
        </w:rPr>
      </w:pPr>
      <w:r>
        <w:rPr>
          <w:rFonts w:ascii="Arial" w:cs="Arial" w:eastAsia="Arial" w:hAnsi="Arial"/>
          <w:sz w:val="21"/>
          <w:szCs w:val="21"/>
          <w:color w:val="auto"/>
        </w:rPr>
        <w:t>21.5.1 represent yourself as being in any way connected with or interested in the business of the Company or any Group Company (other than as a consultant or a member if such be the case)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84" w:lineRule="exact"/>
        <w:rPr>
          <w:sz w:val="20"/>
          <w:szCs w:val="20"/>
          <w:color w:val="auto"/>
        </w:rPr>
      </w:pPr>
    </w:p>
    <w:p>
      <w:pPr>
        <w:ind w:left="1424" w:right="20" w:hanging="647"/>
        <w:spacing w:after="0" w:line="282" w:lineRule="auto"/>
        <w:rPr>
          <w:sz w:val="20"/>
          <w:szCs w:val="20"/>
          <w:color w:val="auto"/>
        </w:rPr>
      </w:pPr>
      <w:r>
        <w:rPr>
          <w:rFonts w:ascii="Arial" w:cs="Arial" w:eastAsia="Arial" w:hAnsi="Arial"/>
          <w:sz w:val="19"/>
          <w:szCs w:val="19"/>
          <w:color w:val="auto"/>
        </w:rPr>
        <w:t>21.5.2 directly or indirectly make, publish or otherwise communicate any statement whatsoever whether in writing or otherwise which may have the effect of damaging or lowering the business interests and/or the reputation of the Company or any Group Company or any of its or their former or existing agents, clients, consultants, directors, employees, officers, share-holders, suppliers or workers (“</w:t>
      </w:r>
      <w:r>
        <w:rPr>
          <w:rFonts w:ascii="Arial" w:cs="Arial" w:eastAsia="Arial" w:hAnsi="Arial"/>
          <w:sz w:val="19"/>
          <w:szCs w:val="19"/>
          <w:b w:val="1"/>
          <w:bCs w:val="1"/>
          <w:color w:val="auto"/>
        </w:rPr>
        <w:t>Relevant Personnel</w:t>
      </w:r>
      <w:r>
        <w:rPr>
          <w:rFonts w:ascii="Arial" w:cs="Arial" w:eastAsia="Arial" w:hAnsi="Arial"/>
          <w:sz w:val="19"/>
          <w:szCs w:val="19"/>
          <w:color w:val="auto"/>
        </w:rPr>
        <w:t>”) and/or which may be disparaging or derogatory to any of the Company or any Group Company or any Relevant Personnel.</w:t>
      </w:r>
    </w:p>
    <w:p>
      <w:pPr>
        <w:spacing w:after="0" w:line="53" w:lineRule="exact"/>
        <w:rPr>
          <w:sz w:val="20"/>
          <w:szCs w:val="20"/>
          <w:color w:val="auto"/>
        </w:rPr>
      </w:pPr>
    </w:p>
    <w:p>
      <w:pPr>
        <w:ind w:left="764" w:right="460" w:hanging="768"/>
        <w:spacing w:after="0" w:line="250" w:lineRule="auto"/>
        <w:tabs>
          <w:tab w:leader="none" w:pos="744"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color w:val="auto"/>
        </w:rPr>
        <w:t>The period of the restrictions in clauses 21.1 to 21.4 inclusive shall be reduced by the period, if any, spent by you during which you are placed on garden leave in accordance with clause 20.</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You agree to notify your new employer of the restrictions contained within clauses 21.1 to 21.4 inclusive.</w:t>
      </w:r>
    </w:p>
    <w:p>
      <w:pPr>
        <w:spacing w:after="0" w:line="112"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1"/>
          <w:szCs w:val="21"/>
          <w:color w:val="auto"/>
        </w:rPr>
        <w:t>You acknowledge that, in the course of your employment, you are likely to have dealings with the clients, customers, suppliers and other contacts of the Company. You agree that each of the restrictions in clauses 21.1 to 21.4 inclusive is separate and distinct, is to be construed separately from the other restrictions, and is reasonable as regards its duration, extent and application for the protection of the legitimate business interests of the Company. However, in the event that any such restriction shall be found to be void or unenforceable but would be valid or enforceable if some part or parts of it were deleted, you agree that such restriction shall apply with such deletions as may be necessary to make it valid and effective.</w:t>
      </w:r>
    </w:p>
    <w:p>
      <w:pPr>
        <w:spacing w:after="0" w:line="327" w:lineRule="exact"/>
        <w:rPr>
          <w:sz w:val="20"/>
          <w:szCs w:val="20"/>
          <w:color w:val="auto"/>
        </w:rPr>
      </w:pPr>
    </w:p>
    <w:p>
      <w:pPr>
        <w:ind w:left="764" w:hanging="764"/>
        <w:spacing w:after="0"/>
        <w:tabs>
          <w:tab w:leader="none" w:pos="764" w:val="left"/>
        </w:tabs>
        <w:numPr>
          <w:ilvl w:val="0"/>
          <w:numId w:val="465"/>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118" w:lineRule="exact"/>
        <w:rPr>
          <w:sz w:val="20"/>
          <w:szCs w:val="20"/>
          <w:color w:val="auto"/>
        </w:rPr>
      </w:pPr>
    </w:p>
    <w:p>
      <w:pPr>
        <w:ind w:left="764" w:right="360" w:hanging="768"/>
        <w:spacing w:after="0" w:line="328" w:lineRule="auto"/>
        <w:tabs>
          <w:tab w:leader="none" w:pos="744"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All Documents and other property (including mobile telephones, laptop computers and other technical equipment) provided for your use by the Company, remain the property of the Company or any Group Company.</w:t>
      </w:r>
    </w:p>
    <w:p>
      <w:pPr>
        <w:spacing w:after="0" w:line="10" w:lineRule="exact"/>
        <w:rPr>
          <w:sz w:val="20"/>
          <w:szCs w:val="20"/>
          <w:color w:val="auto"/>
        </w:rPr>
      </w:pPr>
    </w:p>
    <w:p>
      <w:pPr>
        <w:ind w:left="764" w:right="180" w:hanging="768"/>
        <w:spacing w:after="0" w:line="328" w:lineRule="auto"/>
        <w:tabs>
          <w:tab w:leader="none" w:pos="744"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Any Documents or other property in your possession and or obtained by you in the course of your employment shall be returned to your Manager at any time on request and in any event prior to the Termination Date.</w:t>
      </w:r>
    </w:p>
    <w:p>
      <w:pPr>
        <w:spacing w:after="0" w:line="10"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color w:val="auto"/>
        </w:rPr>
        <w:t>At any time upon request and in any event prior to the Termination Date you must irretrievably delete any information relating to the business of the Company or any Group Company stored on any magnetic or optical disk or memory and all matter derived from such sources which is in your possession or under your control outside the Company’s premises.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11004"/>
          </w:cols>
          <w:pgMar w:left="436" w:top="266" w:right="459" w:bottom="1440" w:gutter="0" w:footer="0" w:header="0"/>
        </w:sectPr>
      </w:pPr>
    </w:p>
    <w:bookmarkStart w:id="445" w:name="page446"/>
    <w:bookmarkEnd w:id="445"/>
    <w:p>
      <w:pPr>
        <w:ind w:left="764" w:hanging="764"/>
        <w:spacing w:after="0"/>
        <w:tabs>
          <w:tab w:leader="none" w:pos="764" w:val="left"/>
        </w:tabs>
        <w:numPr>
          <w:ilvl w:val="0"/>
          <w:numId w:val="466"/>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Grievance Procedure</w:t>
      </w:r>
    </w:p>
    <w:p>
      <w:pPr>
        <w:spacing w:after="0" w:line="104" w:lineRule="exact"/>
        <w:rPr>
          <w:rFonts w:ascii="Arial" w:cs="Arial" w:eastAsia="Arial" w:hAnsi="Arial"/>
          <w:sz w:val="22"/>
          <w:szCs w:val="22"/>
          <w:b w:val="1"/>
          <w:bCs w:val="1"/>
          <w:color w:val="auto"/>
        </w:rPr>
      </w:pPr>
    </w:p>
    <w:p>
      <w:pPr>
        <w:ind w:left="764" w:right="80"/>
        <w:spacing w:after="0" w:line="279" w:lineRule="auto"/>
        <w:rPr>
          <w:rFonts w:ascii="Arial" w:cs="Arial" w:eastAsia="Arial" w:hAnsi="Arial"/>
          <w:sz w:val="22"/>
          <w:szCs w:val="22"/>
          <w:b w:val="1"/>
          <w:bCs w:val="1"/>
          <w:color w:val="auto"/>
        </w:rPr>
      </w:pPr>
      <w:r>
        <w:rPr>
          <w:rFonts w:ascii="Arial" w:cs="Arial" w:eastAsia="Arial" w:hAnsi="Arial"/>
          <w:sz w:val="19"/>
          <w:szCs w:val="19"/>
          <w:color w:val="auto"/>
        </w:rPr>
        <w:t>The purpose of the grievance procedure is to ensure that any problem, concern or grievance you have about your work, working environment or working relationships is properly dealt with. The Company’s current grievance procedure, which does not form part of your terms and conditions of employment, is set out in the Company’s Employee Handbook. Should you have any grievance in relation to the Appointment which you are unable to resolve on an informal basis, you should raise it in the first instance with your Manager. In the event that such grievance is against your Manager, you should raise it in the first instance with the Chief Financial Officer or General Counsel.</w:t>
      </w:r>
    </w:p>
    <w:p>
      <w:pPr>
        <w:spacing w:after="0" w:line="292" w:lineRule="exact"/>
        <w:rPr>
          <w:rFonts w:ascii="Arial" w:cs="Arial" w:eastAsia="Arial" w:hAnsi="Arial"/>
          <w:sz w:val="22"/>
          <w:szCs w:val="22"/>
          <w:b w:val="1"/>
          <w:bCs w:val="1"/>
          <w:color w:val="auto"/>
        </w:rPr>
      </w:pPr>
    </w:p>
    <w:p>
      <w:pPr>
        <w:ind w:left="764" w:hanging="764"/>
        <w:spacing w:after="0"/>
        <w:tabs>
          <w:tab w:leader="none" w:pos="764" w:val="left"/>
        </w:tabs>
        <w:numPr>
          <w:ilvl w:val="0"/>
          <w:numId w:val="466"/>
        </w:numPr>
        <w:rPr>
          <w:rFonts w:ascii="Arial" w:cs="Arial" w:eastAsia="Arial" w:hAnsi="Arial"/>
          <w:sz w:val="22"/>
          <w:szCs w:val="22"/>
          <w:b w:val="1"/>
          <w:bCs w:val="1"/>
          <w:color w:val="auto"/>
        </w:rPr>
      </w:pPr>
      <w:r>
        <w:rPr>
          <w:rFonts w:ascii="Arial" w:cs="Arial" w:eastAsia="Arial" w:hAnsi="Arial"/>
          <w:sz w:val="22"/>
          <w:szCs w:val="22"/>
          <w:b w:val="1"/>
          <w:bCs w:val="1"/>
          <w:color w:val="auto"/>
        </w:rPr>
        <w:t>Disciplinary Procedure</w:t>
      </w:r>
    </w:p>
    <w:p>
      <w:pPr>
        <w:spacing w:after="0" w:line="118" w:lineRule="exact"/>
        <w:rPr>
          <w:sz w:val="20"/>
          <w:szCs w:val="20"/>
          <w:color w:val="auto"/>
        </w:rPr>
      </w:pPr>
    </w:p>
    <w:p>
      <w:pPr>
        <w:ind w:left="764" w:right="300" w:hanging="768"/>
        <w:spacing w:after="0" w:line="249" w:lineRule="auto"/>
        <w:tabs>
          <w:tab w:leader="none" w:pos="744"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1"/>
          <w:szCs w:val="21"/>
          <w:color w:val="auto"/>
        </w:rPr>
        <w:t>The purpose of the disciplinary procedure is to ensure that the standards established by the Company’s rules are maintained and that any alleged failure to observe the Company’s rules is fairly dealt with. The Company’s current disciplinary procedure, which does not form part of your terms and conditions of employment, is set out in the Company’s Employee Handbook. If you wish to appeal against a disciplinary decision you must do in accordance with the disciplinary procedure to a Director of the Company.</w:t>
      </w:r>
    </w:p>
    <w:p>
      <w:pPr>
        <w:spacing w:after="0" w:line="84" w:lineRule="exact"/>
        <w:rPr>
          <w:sz w:val="20"/>
          <w:szCs w:val="20"/>
          <w:color w:val="auto"/>
        </w:rPr>
      </w:pPr>
    </w:p>
    <w:p>
      <w:pPr>
        <w:jc w:val="both"/>
        <w:ind w:left="764" w:right="300" w:hanging="768"/>
        <w:spacing w:after="0" w:line="257" w:lineRule="auto"/>
        <w:tabs>
          <w:tab w:leader="none" w:pos="744"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1"/>
          <w:szCs w:val="21"/>
          <w:color w:val="auto"/>
        </w:rPr>
        <w:t>The Company may at any time and from time to time in its discretion suspend you from your duties on payment of full Salary and/or exclude you from any premises of the Company and/or any Group Company whilst it carries out any investigation or disciplinary process. During any period of suspension:</w:t>
      </w:r>
    </w:p>
    <w:p>
      <w:pPr>
        <w:spacing w:after="0" w:line="75" w:lineRule="exact"/>
        <w:rPr>
          <w:sz w:val="20"/>
          <w:szCs w:val="20"/>
          <w:color w:val="auto"/>
        </w:rPr>
      </w:pPr>
    </w:p>
    <w:p>
      <w:pPr>
        <w:ind w:left="2204" w:right="560" w:hanging="768"/>
        <w:spacing w:after="0" w:line="250" w:lineRule="auto"/>
        <w:tabs>
          <w:tab w:leader="none" w:pos="2184" w:val="left"/>
        </w:tabs>
        <w:rPr>
          <w:sz w:val="20"/>
          <w:szCs w:val="20"/>
          <w:color w:val="auto"/>
        </w:rPr>
      </w:pPr>
      <w:r>
        <w:rPr>
          <w:rFonts w:ascii="Arial" w:cs="Arial" w:eastAsia="Arial" w:hAnsi="Arial"/>
          <w:sz w:val="22"/>
          <w:szCs w:val="22"/>
          <w:color w:val="auto"/>
        </w:rPr>
        <w:t>24.2.1</w:t>
        <w:tab/>
        <w:t>you shall continue to receive your basic salary and all contractual benefits in the usual way and subject to the terms of any benefit arrangement;</w:t>
      </w:r>
    </w:p>
    <w:p>
      <w:pPr>
        <w:spacing w:after="0" w:line="80" w:lineRule="exact"/>
        <w:rPr>
          <w:sz w:val="20"/>
          <w:szCs w:val="20"/>
          <w:color w:val="auto"/>
        </w:rPr>
      </w:pPr>
    </w:p>
    <w:p>
      <w:pPr>
        <w:ind w:left="1424"/>
        <w:spacing w:after="0"/>
        <w:tabs>
          <w:tab w:leader="none" w:pos="2184" w:val="left"/>
        </w:tabs>
        <w:rPr>
          <w:sz w:val="20"/>
          <w:szCs w:val="20"/>
          <w:color w:val="auto"/>
        </w:rPr>
      </w:pPr>
      <w:r>
        <w:rPr>
          <w:rFonts w:ascii="Arial" w:cs="Arial" w:eastAsia="Arial" w:hAnsi="Arial"/>
          <w:sz w:val="22"/>
          <w:szCs w:val="22"/>
          <w:color w:val="auto"/>
        </w:rPr>
        <w:t>24.2.2</w:t>
      </w:r>
      <w:r>
        <w:rPr>
          <w:sz w:val="20"/>
          <w:szCs w:val="20"/>
          <w:color w:val="auto"/>
        </w:rPr>
        <w:tab/>
      </w:r>
      <w:r>
        <w:rPr>
          <w:rFonts w:ascii="Arial" w:cs="Arial" w:eastAsia="Arial" w:hAnsi="Arial"/>
          <w:sz w:val="19"/>
          <w:szCs w:val="19"/>
          <w:color w:val="auto"/>
        </w:rPr>
        <w:t>you shall remain an employee of the Company and bound by the terms of this Contract;</w:t>
      </w:r>
    </w:p>
    <w:p>
      <w:pPr>
        <w:spacing w:after="0" w:line="112" w:lineRule="exact"/>
        <w:rPr>
          <w:sz w:val="20"/>
          <w:szCs w:val="20"/>
          <w:color w:val="auto"/>
        </w:rPr>
      </w:pPr>
    </w:p>
    <w:p>
      <w:pPr>
        <w:ind w:left="764" w:right="60" w:hanging="768"/>
        <w:spacing w:after="0" w:line="250" w:lineRule="auto"/>
        <w:tabs>
          <w:tab w:leader="none" w:pos="744"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22"/>
          <w:szCs w:val="22"/>
          <w:color w:val="auto"/>
        </w:rPr>
        <w:t>you shall ensure that your Manager knows where you will be and how you can be contacted during each working day (except during any periods taken as holiday in the usual way);</w:t>
      </w:r>
    </w:p>
    <w:p>
      <w:pPr>
        <w:spacing w:after="0" w:line="80" w:lineRule="exact"/>
        <w:rPr>
          <w:sz w:val="20"/>
          <w:szCs w:val="20"/>
          <w:color w:val="auto"/>
        </w:rPr>
      </w:pPr>
    </w:p>
    <w:p>
      <w:pPr>
        <w:ind w:left="764" w:right="800" w:hanging="768"/>
        <w:spacing w:after="0" w:line="250" w:lineRule="auto"/>
        <w:tabs>
          <w:tab w:leader="none" w:pos="744"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2"/>
          <w:szCs w:val="22"/>
          <w:color w:val="auto"/>
        </w:rPr>
        <w:t>the Company may exclude you from your place of work or any other premises of the Company or any Group Company; and</w:t>
      </w:r>
    </w:p>
    <w:p>
      <w:pPr>
        <w:spacing w:after="0" w:line="80"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2"/>
          <w:szCs w:val="22"/>
          <w:color w:val="auto"/>
        </w:rPr>
        <w:t>the Company may require you not to contact or deal with (or attempt to contact or deal with) any officer, employee, consultant, client, customer, supplier, agent, distributor, shareholder, adviser or other business contact of the Company or any Group Company.</w:t>
      </w:r>
    </w:p>
    <w:p>
      <w:pPr>
        <w:spacing w:after="0" w:line="329" w:lineRule="exact"/>
        <w:rPr>
          <w:sz w:val="20"/>
          <w:szCs w:val="20"/>
          <w:color w:val="auto"/>
        </w:rPr>
      </w:pPr>
    </w:p>
    <w:p>
      <w:pPr>
        <w:ind w:left="764" w:hanging="764"/>
        <w:spacing w:after="0"/>
        <w:tabs>
          <w:tab w:leader="none" w:pos="764" w:val="left"/>
        </w:tabs>
        <w:numPr>
          <w:ilvl w:val="0"/>
          <w:numId w:val="467"/>
        </w:numPr>
        <w:rPr>
          <w:rFonts w:ascii="Arial" w:cs="Arial" w:eastAsia="Arial" w:hAnsi="Arial"/>
          <w:sz w:val="22"/>
          <w:szCs w:val="22"/>
          <w:b w:val="1"/>
          <w:bCs w:val="1"/>
          <w:color w:val="auto"/>
        </w:rPr>
      </w:pPr>
      <w:r>
        <w:rPr>
          <w:rFonts w:ascii="Arial" w:cs="Arial" w:eastAsia="Arial" w:hAnsi="Arial"/>
          <w:sz w:val="22"/>
          <w:szCs w:val="22"/>
          <w:b w:val="1"/>
          <w:bCs w:val="1"/>
          <w:color w:val="auto"/>
        </w:rPr>
        <w:t>Collective Agreements</w:t>
      </w:r>
    </w:p>
    <w:p>
      <w:pPr>
        <w:spacing w:after="0" w:line="104" w:lineRule="exact"/>
        <w:rPr>
          <w:rFonts w:ascii="Arial" w:cs="Arial" w:eastAsia="Arial" w:hAnsi="Arial"/>
          <w:sz w:val="22"/>
          <w:szCs w:val="22"/>
          <w:b w:val="1"/>
          <w:bCs w:val="1"/>
          <w:color w:val="auto"/>
        </w:rPr>
      </w:pPr>
    </w:p>
    <w:p>
      <w:pPr>
        <w:ind w:left="764"/>
        <w:spacing w:after="0"/>
        <w:rPr>
          <w:rFonts w:ascii="Arial" w:cs="Arial" w:eastAsia="Arial" w:hAnsi="Arial"/>
          <w:sz w:val="22"/>
          <w:szCs w:val="22"/>
          <w:b w:val="1"/>
          <w:bCs w:val="1"/>
          <w:color w:val="auto"/>
        </w:rPr>
      </w:pPr>
      <w:r>
        <w:rPr>
          <w:rFonts w:ascii="Arial" w:cs="Arial" w:eastAsia="Arial" w:hAnsi="Arial"/>
          <w:sz w:val="22"/>
          <w:szCs w:val="22"/>
          <w:color w:val="auto"/>
        </w:rPr>
        <w:t>There are no collective agreements affecting your terms and conditions of employment.</w:t>
      </w:r>
    </w:p>
    <w:p>
      <w:pPr>
        <w:spacing w:after="0" w:line="138" w:lineRule="exact"/>
        <w:rPr>
          <w:rFonts w:ascii="Arial" w:cs="Arial" w:eastAsia="Arial" w:hAnsi="Arial"/>
          <w:sz w:val="22"/>
          <w:szCs w:val="22"/>
          <w:b w:val="1"/>
          <w:bCs w:val="1"/>
          <w:color w:val="auto"/>
        </w:rPr>
      </w:pPr>
    </w:p>
    <w:p>
      <w:pPr>
        <w:ind w:left="5404" w:hanging="130"/>
        <w:spacing w:after="0"/>
        <w:tabs>
          <w:tab w:leader="none" w:pos="5404" w:val="left"/>
        </w:tabs>
        <w:numPr>
          <w:ilvl w:val="1"/>
          <w:numId w:val="467"/>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0984"/>
          </w:cols>
          <w:pgMar w:left="436" w:top="260" w:right="479" w:bottom="1440" w:gutter="0" w:footer="0" w:header="0"/>
        </w:sectPr>
      </w:pPr>
    </w:p>
    <w:bookmarkStart w:id="446" w:name="page447"/>
    <w:bookmarkEnd w:id="446"/>
    <w:p>
      <w:pPr>
        <w:ind w:left="764" w:hanging="764"/>
        <w:spacing w:after="0"/>
        <w:tabs>
          <w:tab w:leader="none" w:pos="764" w:val="left"/>
        </w:tabs>
        <w:numPr>
          <w:ilvl w:val="0"/>
          <w:numId w:val="468"/>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Work outside the United Kingdom</w:t>
      </w:r>
    </w:p>
    <w:p>
      <w:pPr>
        <w:spacing w:after="0" w:line="118" w:lineRule="exact"/>
        <w:rPr>
          <w:sz w:val="20"/>
          <w:szCs w:val="20"/>
          <w:color w:val="auto"/>
        </w:rPr>
      </w:pPr>
    </w:p>
    <w:p>
      <w:pPr>
        <w:ind w:left="764" w:right="80" w:hanging="768"/>
        <w:spacing w:after="0" w:line="250" w:lineRule="auto"/>
        <w:tabs>
          <w:tab w:leader="none" w:pos="744"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22"/>
          <w:szCs w:val="22"/>
          <w:color w:val="auto"/>
        </w:rPr>
        <w:t>It is not envisaged by the Company that you will be required to travel for work purposes outside the United Kingdom for any periods longer than one month.</w:t>
      </w:r>
    </w:p>
    <w:p>
      <w:pPr>
        <w:spacing w:after="0" w:line="80" w:lineRule="exact"/>
        <w:rPr>
          <w:sz w:val="20"/>
          <w:szCs w:val="20"/>
          <w:color w:val="auto"/>
        </w:rPr>
      </w:pPr>
    </w:p>
    <w:p>
      <w:pPr>
        <w:ind w:left="764" w:right="40" w:hanging="768"/>
        <w:spacing w:after="0" w:line="250" w:lineRule="auto"/>
        <w:tabs>
          <w:tab w:leader="none" w:pos="744"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22"/>
          <w:szCs w:val="22"/>
          <w:color w:val="auto"/>
        </w:rPr>
        <w:t>In the event you are required to work outside the United Kingdom for a period of more than one month, the Company will consult with you and will provide the prescribed information to you.</w:t>
      </w:r>
    </w:p>
    <w:p>
      <w:pPr>
        <w:spacing w:after="0" w:line="317" w:lineRule="exact"/>
        <w:rPr>
          <w:sz w:val="20"/>
          <w:szCs w:val="20"/>
          <w:color w:val="auto"/>
        </w:rPr>
      </w:pPr>
    </w:p>
    <w:p>
      <w:pPr>
        <w:ind w:left="764" w:hanging="764"/>
        <w:spacing w:after="0"/>
        <w:tabs>
          <w:tab w:leader="none" w:pos="764" w:val="left"/>
        </w:tabs>
        <w:numPr>
          <w:ilvl w:val="0"/>
          <w:numId w:val="469"/>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104" w:lineRule="exact"/>
        <w:rPr>
          <w:rFonts w:ascii="Arial" w:cs="Arial" w:eastAsia="Arial" w:hAnsi="Arial"/>
          <w:sz w:val="22"/>
          <w:szCs w:val="22"/>
          <w:b w:val="1"/>
          <w:bCs w:val="1"/>
          <w:color w:val="auto"/>
        </w:rPr>
      </w:pPr>
    </w:p>
    <w:p>
      <w:pPr>
        <w:ind w:left="764" w:right="28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For the purposes of the General Data Protection Regulation (EU) 2016/679 and the Data Protection Act 2018, the Company will hold, collect and otherwise process certain personal data as set out in the Company’s privacy notice, which is on the intranet. All personal data will be treated in accordance with applicable data protection laws and regulations.</w:t>
      </w:r>
    </w:p>
    <w:p>
      <w:pPr>
        <w:spacing w:after="0" w:line="327" w:lineRule="exact"/>
        <w:rPr>
          <w:rFonts w:ascii="Arial" w:cs="Arial" w:eastAsia="Arial" w:hAnsi="Arial"/>
          <w:sz w:val="22"/>
          <w:szCs w:val="22"/>
          <w:b w:val="1"/>
          <w:bCs w:val="1"/>
          <w:color w:val="auto"/>
        </w:rPr>
      </w:pPr>
    </w:p>
    <w:p>
      <w:pPr>
        <w:ind w:left="764" w:hanging="764"/>
        <w:spacing w:after="0"/>
        <w:tabs>
          <w:tab w:leader="none" w:pos="764" w:val="left"/>
        </w:tabs>
        <w:numPr>
          <w:ilvl w:val="0"/>
          <w:numId w:val="469"/>
        </w:numPr>
        <w:rPr>
          <w:rFonts w:ascii="Arial" w:cs="Arial" w:eastAsia="Arial" w:hAnsi="Arial"/>
          <w:sz w:val="22"/>
          <w:szCs w:val="22"/>
          <w:b w:val="1"/>
          <w:bCs w:val="1"/>
          <w:color w:val="auto"/>
        </w:rPr>
      </w:pPr>
      <w:r>
        <w:rPr>
          <w:rFonts w:ascii="Arial" w:cs="Arial" w:eastAsia="Arial" w:hAnsi="Arial"/>
          <w:sz w:val="22"/>
          <w:szCs w:val="22"/>
          <w:b w:val="1"/>
          <w:bCs w:val="1"/>
          <w:color w:val="auto"/>
        </w:rPr>
        <w:t>Monitoring</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color w:val="auto"/>
        </w:rPr>
        <w:t>You shall comply with any electronic communication systems policies that the Company may issue from time to time.</w:t>
      </w:r>
    </w:p>
    <w:p>
      <w:pPr>
        <w:spacing w:after="0" w:line="112" w:lineRule="exact"/>
        <w:rPr>
          <w:sz w:val="20"/>
          <w:szCs w:val="20"/>
          <w:color w:val="auto"/>
        </w:rPr>
      </w:pPr>
    </w:p>
    <w:p>
      <w:pPr>
        <w:ind w:left="764" w:right="20" w:hanging="768"/>
        <w:spacing w:after="0" w:line="279" w:lineRule="auto"/>
        <w:tabs>
          <w:tab w:leader="none" w:pos="744"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color w:val="auto"/>
        </w:rPr>
        <w:t>To ensure regulatory compliance and for the protection of its workers, clients/customers and business, the Company reserves the right to monitor, intercept, review and access any communication facilities provided by the Company or any Group Company that you may use during the Appointment. The Company will use this right of access reasonably but it is important that you are aware that communications and activities on the equipment or premises of the Company and any Group Company cannot be presumed to be private. You consent to the Company and/or any Group Company and its or their duly authorised agents and employees using surveillance equipment.</w:t>
      </w:r>
    </w:p>
    <w:p>
      <w:pPr>
        <w:spacing w:after="0" w:line="293" w:lineRule="exact"/>
        <w:rPr>
          <w:sz w:val="20"/>
          <w:szCs w:val="20"/>
          <w:color w:val="auto"/>
        </w:rPr>
      </w:pPr>
    </w:p>
    <w:p>
      <w:pPr>
        <w:ind w:left="764" w:hanging="764"/>
        <w:spacing w:after="0"/>
        <w:tabs>
          <w:tab w:leader="none" w:pos="764" w:val="left"/>
        </w:tabs>
        <w:numPr>
          <w:ilvl w:val="0"/>
          <w:numId w:val="470"/>
        </w:numPr>
        <w:rPr>
          <w:rFonts w:ascii="Arial" w:cs="Arial" w:eastAsia="Arial" w:hAnsi="Arial"/>
          <w:sz w:val="22"/>
          <w:szCs w:val="22"/>
          <w:b w:val="1"/>
          <w:bCs w:val="1"/>
          <w:color w:val="auto"/>
        </w:rPr>
      </w:pPr>
      <w:r>
        <w:rPr>
          <w:rFonts w:ascii="Arial" w:cs="Arial" w:eastAsia="Arial" w:hAnsi="Arial"/>
          <w:sz w:val="22"/>
          <w:szCs w:val="22"/>
          <w:b w:val="1"/>
          <w:bCs w:val="1"/>
          <w:color w:val="auto"/>
        </w:rPr>
        <w:t>Rules, Policies and Procedures</w:t>
      </w:r>
    </w:p>
    <w:p>
      <w:pPr>
        <w:spacing w:after="0" w:line="104" w:lineRule="exact"/>
        <w:rPr>
          <w:rFonts w:ascii="Arial" w:cs="Arial" w:eastAsia="Arial" w:hAnsi="Arial"/>
          <w:sz w:val="22"/>
          <w:szCs w:val="22"/>
          <w:b w:val="1"/>
          <w:bCs w:val="1"/>
          <w:color w:val="auto"/>
        </w:rPr>
      </w:pPr>
    </w:p>
    <w:p>
      <w:pPr>
        <w:ind w:left="764" w:right="6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You must comply at all times with all the rules, policies and procedures introduced by the Company from time to time, including but not limited to any contained in the Company’s Employee Handbook. For the avoidance of doubt such rules, policies and procedures are not incorporated by reference into this Contract and they can be changed, replaced or withdrawn at any time at the discretion of the Company. Breach of Company rules, policies or procedures may result in disciplinary action.</w:t>
      </w:r>
    </w:p>
    <w:p>
      <w:pPr>
        <w:spacing w:after="0" w:line="329" w:lineRule="exact"/>
        <w:rPr>
          <w:rFonts w:ascii="Arial" w:cs="Arial" w:eastAsia="Arial" w:hAnsi="Arial"/>
          <w:sz w:val="22"/>
          <w:szCs w:val="22"/>
          <w:b w:val="1"/>
          <w:bCs w:val="1"/>
          <w:color w:val="auto"/>
        </w:rPr>
      </w:pPr>
    </w:p>
    <w:p>
      <w:pPr>
        <w:ind w:left="764" w:hanging="764"/>
        <w:spacing w:after="0"/>
        <w:tabs>
          <w:tab w:leader="none" w:pos="764" w:val="left"/>
        </w:tabs>
        <w:numPr>
          <w:ilvl w:val="0"/>
          <w:numId w:val="470"/>
        </w:numPr>
        <w:rPr>
          <w:rFonts w:ascii="Arial" w:cs="Arial" w:eastAsia="Arial" w:hAnsi="Arial"/>
          <w:sz w:val="22"/>
          <w:szCs w:val="22"/>
          <w:b w:val="1"/>
          <w:bCs w:val="1"/>
          <w:color w:val="auto"/>
        </w:rPr>
      </w:pPr>
      <w:r>
        <w:rPr>
          <w:rFonts w:ascii="Arial" w:cs="Arial" w:eastAsia="Arial" w:hAnsi="Arial"/>
          <w:sz w:val="22"/>
          <w:szCs w:val="22"/>
          <w:b w:val="1"/>
          <w:bCs w:val="1"/>
          <w:color w:val="auto"/>
        </w:rPr>
        <w:t>Health and Safety</w:t>
      </w:r>
    </w:p>
    <w:p>
      <w:pPr>
        <w:spacing w:after="0" w:line="104" w:lineRule="exact"/>
        <w:rPr>
          <w:rFonts w:ascii="Arial" w:cs="Arial" w:eastAsia="Arial" w:hAnsi="Arial"/>
          <w:sz w:val="22"/>
          <w:szCs w:val="22"/>
          <w:b w:val="1"/>
          <w:bCs w:val="1"/>
          <w:color w:val="auto"/>
        </w:rPr>
      </w:pPr>
    </w:p>
    <w:p>
      <w:pPr>
        <w:ind w:left="764" w:right="10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All employees and workers have a duty in law to act responsibly and to take reasonable care for the health and safety at work of both themselves and their colleagues. This duty can be carried out by:</w:t>
      </w:r>
    </w:p>
    <w:p>
      <w:pPr>
        <w:spacing w:after="0" w:line="80" w:lineRule="exact"/>
        <w:rPr>
          <w:rFonts w:ascii="Arial" w:cs="Arial" w:eastAsia="Arial" w:hAnsi="Arial"/>
          <w:sz w:val="22"/>
          <w:szCs w:val="22"/>
          <w:b w:val="1"/>
          <w:bCs w:val="1"/>
          <w:color w:val="auto"/>
        </w:rPr>
      </w:pPr>
    </w:p>
    <w:p>
      <w:pPr>
        <w:ind w:left="1424" w:hanging="655"/>
        <w:spacing w:after="0"/>
        <w:tabs>
          <w:tab w:leader="none" w:pos="1424" w:val="left"/>
        </w:tabs>
        <w:numPr>
          <w:ilvl w:val="1"/>
          <w:numId w:val="470"/>
        </w:numPr>
        <w:rPr>
          <w:rFonts w:ascii="Arial" w:cs="Arial" w:eastAsia="Arial" w:hAnsi="Arial"/>
          <w:sz w:val="22"/>
          <w:szCs w:val="22"/>
          <w:color w:val="auto"/>
        </w:rPr>
      </w:pPr>
      <w:r>
        <w:rPr>
          <w:rFonts w:ascii="Arial" w:cs="Arial" w:eastAsia="Arial" w:hAnsi="Arial"/>
          <w:sz w:val="22"/>
          <w:szCs w:val="22"/>
          <w:color w:val="auto"/>
        </w:rPr>
        <w:t>working safely and efficiently;</w:t>
      </w:r>
    </w:p>
    <w:p>
      <w:pPr>
        <w:spacing w:after="0" w:line="111" w:lineRule="exact"/>
        <w:rPr>
          <w:rFonts w:ascii="Arial" w:cs="Arial" w:eastAsia="Arial" w:hAnsi="Arial"/>
          <w:sz w:val="22"/>
          <w:szCs w:val="22"/>
          <w:color w:val="auto"/>
        </w:rPr>
      </w:pPr>
    </w:p>
    <w:p>
      <w:pPr>
        <w:ind w:left="1424" w:hanging="655"/>
        <w:spacing w:after="0"/>
        <w:tabs>
          <w:tab w:leader="none" w:pos="1424" w:val="left"/>
        </w:tabs>
        <w:numPr>
          <w:ilvl w:val="1"/>
          <w:numId w:val="470"/>
        </w:numPr>
        <w:rPr>
          <w:rFonts w:ascii="Arial" w:cs="Arial" w:eastAsia="Arial" w:hAnsi="Arial"/>
          <w:sz w:val="22"/>
          <w:szCs w:val="22"/>
          <w:color w:val="auto"/>
        </w:rPr>
      </w:pPr>
      <w:r>
        <w:rPr>
          <w:rFonts w:ascii="Arial" w:cs="Arial" w:eastAsia="Arial" w:hAnsi="Arial"/>
          <w:sz w:val="22"/>
          <w:szCs w:val="22"/>
          <w:color w:val="auto"/>
        </w:rPr>
        <w:t>using any protective equipment provided and meeting statutory obligations;</w:t>
      </w:r>
    </w:p>
    <w:p>
      <w:pPr>
        <w:spacing w:after="0" w:line="111" w:lineRule="exact"/>
        <w:rPr>
          <w:rFonts w:ascii="Arial" w:cs="Arial" w:eastAsia="Arial" w:hAnsi="Arial"/>
          <w:sz w:val="22"/>
          <w:szCs w:val="22"/>
          <w:color w:val="auto"/>
        </w:rPr>
      </w:pPr>
    </w:p>
    <w:p>
      <w:pPr>
        <w:ind w:left="1424" w:hanging="655"/>
        <w:spacing w:after="0"/>
        <w:tabs>
          <w:tab w:leader="none" w:pos="1424" w:val="left"/>
        </w:tabs>
        <w:numPr>
          <w:ilvl w:val="1"/>
          <w:numId w:val="470"/>
        </w:numPr>
        <w:rPr>
          <w:rFonts w:ascii="Arial" w:cs="Arial" w:eastAsia="Arial" w:hAnsi="Arial"/>
          <w:sz w:val="22"/>
          <w:szCs w:val="22"/>
          <w:color w:val="auto"/>
        </w:rPr>
      </w:pPr>
      <w:r>
        <w:rPr>
          <w:rFonts w:ascii="Arial" w:cs="Arial" w:eastAsia="Arial" w:hAnsi="Arial"/>
          <w:sz w:val="22"/>
          <w:szCs w:val="22"/>
          <w:color w:val="auto"/>
        </w:rPr>
        <w:t>adhering to the Company procedures for securing a safe workplace.</w:t>
      </w:r>
    </w:p>
    <w:p>
      <w:pPr>
        <w:spacing w:after="0" w:line="138" w:lineRule="exact"/>
        <w:rPr>
          <w:rFonts w:ascii="Arial" w:cs="Arial" w:eastAsia="Arial" w:hAnsi="Arial"/>
          <w:sz w:val="22"/>
          <w:szCs w:val="22"/>
          <w:color w:val="auto"/>
        </w:rPr>
      </w:pPr>
    </w:p>
    <w:p>
      <w:pPr>
        <w:ind w:left="5404" w:hanging="130"/>
        <w:spacing w:after="0"/>
        <w:tabs>
          <w:tab w:leader="none" w:pos="5404" w:val="left"/>
        </w:tabs>
        <w:numPr>
          <w:ilvl w:val="2"/>
          <w:numId w:val="470"/>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0984"/>
          </w:cols>
          <w:pgMar w:left="436" w:top="260" w:right="479" w:bottom="1440" w:gutter="0" w:footer="0" w:header="0"/>
        </w:sectPr>
      </w:pPr>
    </w:p>
    <w:bookmarkStart w:id="447" w:name="page448"/>
    <w:bookmarkEnd w:id="447"/>
    <w:p>
      <w:pPr>
        <w:ind w:left="764"/>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provisions relating to health and safety can be found in the Employee Handbook.</w:t>
      </w:r>
    </w:p>
    <w:p>
      <w:pPr>
        <w:spacing w:after="0" w:line="349" w:lineRule="exact"/>
        <w:rPr>
          <w:sz w:val="20"/>
          <w:szCs w:val="20"/>
          <w:color w:val="auto"/>
        </w:rPr>
      </w:pPr>
    </w:p>
    <w:p>
      <w:pPr>
        <w:ind w:left="764" w:hanging="764"/>
        <w:spacing w:after="0"/>
        <w:tabs>
          <w:tab w:leader="none" w:pos="764" w:val="left"/>
        </w:tabs>
        <w:numPr>
          <w:ilvl w:val="0"/>
          <w:numId w:val="471"/>
        </w:numPr>
        <w:rPr>
          <w:rFonts w:ascii="Arial" w:cs="Arial" w:eastAsia="Arial" w:hAnsi="Arial"/>
          <w:sz w:val="22"/>
          <w:szCs w:val="22"/>
          <w:b w:val="1"/>
          <w:bCs w:val="1"/>
          <w:color w:val="auto"/>
        </w:rPr>
      </w:pPr>
      <w:r>
        <w:rPr>
          <w:rFonts w:ascii="Arial" w:cs="Arial" w:eastAsia="Arial" w:hAnsi="Arial"/>
          <w:sz w:val="22"/>
          <w:szCs w:val="22"/>
          <w:b w:val="1"/>
          <w:bCs w:val="1"/>
          <w:color w:val="auto"/>
        </w:rPr>
        <w:t>Contracts (Rights of Third Parties) Act 1999</w:t>
      </w:r>
    </w:p>
    <w:p>
      <w:pPr>
        <w:spacing w:after="0" w:line="104" w:lineRule="exact"/>
        <w:rPr>
          <w:rFonts w:ascii="Arial" w:cs="Arial" w:eastAsia="Arial" w:hAnsi="Arial"/>
          <w:sz w:val="22"/>
          <w:szCs w:val="22"/>
          <w:b w:val="1"/>
          <w:bCs w:val="1"/>
          <w:color w:val="auto"/>
        </w:rPr>
      </w:pPr>
    </w:p>
    <w:p>
      <w:pPr>
        <w:ind w:left="764" w:right="340"/>
        <w:spacing w:after="0"/>
        <w:rPr>
          <w:rFonts w:ascii="Arial" w:cs="Arial" w:eastAsia="Arial" w:hAnsi="Arial"/>
          <w:sz w:val="22"/>
          <w:szCs w:val="22"/>
          <w:b w:val="1"/>
          <w:bCs w:val="1"/>
          <w:color w:val="auto"/>
        </w:rPr>
      </w:pPr>
      <w:r>
        <w:rPr>
          <w:rFonts w:ascii="Arial" w:cs="Arial" w:eastAsia="Arial" w:hAnsi="Arial"/>
          <w:sz w:val="22"/>
          <w:szCs w:val="22"/>
          <w:color w:val="auto"/>
        </w:rPr>
        <w:t>The Company or any Group Company may enforce the terms of this Contract and the Contracts (Rights of Third Parties) Act 1999 shall apply accordingly except that the consent of such Group Companies will not be required to vary or rescind the terms of the Contract.</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471"/>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04" w:lineRule="exact"/>
        <w:rPr>
          <w:rFonts w:ascii="Arial" w:cs="Arial" w:eastAsia="Arial" w:hAnsi="Arial"/>
          <w:sz w:val="22"/>
          <w:szCs w:val="22"/>
          <w:b w:val="1"/>
          <w:bCs w:val="1"/>
          <w:color w:val="auto"/>
        </w:rPr>
      </w:pPr>
    </w:p>
    <w:p>
      <w:pPr>
        <w:ind w:left="764" w:right="32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This Contract shall be interpreted and construed in accordance with the laws of England and shall be subject to the jurisdiction of the English courts.</w:t>
      </w:r>
    </w:p>
    <w:p>
      <w:pPr>
        <w:spacing w:after="0" w:line="317" w:lineRule="exact"/>
        <w:rPr>
          <w:rFonts w:ascii="Arial" w:cs="Arial" w:eastAsia="Arial" w:hAnsi="Arial"/>
          <w:sz w:val="22"/>
          <w:szCs w:val="22"/>
          <w:b w:val="1"/>
          <w:bCs w:val="1"/>
          <w:color w:val="auto"/>
        </w:rPr>
      </w:pPr>
    </w:p>
    <w:p>
      <w:pPr>
        <w:ind w:left="764" w:hanging="764"/>
        <w:spacing w:after="0"/>
        <w:tabs>
          <w:tab w:leader="none" w:pos="764" w:val="left"/>
        </w:tabs>
        <w:numPr>
          <w:ilvl w:val="0"/>
          <w:numId w:val="471"/>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w:t>
      </w:r>
    </w:p>
    <w:p>
      <w:pPr>
        <w:spacing w:after="0" w:line="104" w:lineRule="exact"/>
        <w:rPr>
          <w:rFonts w:ascii="Arial" w:cs="Arial" w:eastAsia="Arial" w:hAnsi="Arial"/>
          <w:sz w:val="22"/>
          <w:szCs w:val="22"/>
          <w:b w:val="1"/>
          <w:bCs w:val="1"/>
          <w:color w:val="auto"/>
        </w:rPr>
      </w:pPr>
    </w:p>
    <w:p>
      <w:pPr>
        <w:ind w:left="764" w:right="500"/>
        <w:spacing w:after="0"/>
        <w:rPr>
          <w:rFonts w:ascii="Arial" w:cs="Arial" w:eastAsia="Arial" w:hAnsi="Arial"/>
          <w:sz w:val="22"/>
          <w:szCs w:val="22"/>
          <w:b w:val="1"/>
          <w:bCs w:val="1"/>
          <w:color w:val="auto"/>
        </w:rPr>
      </w:pPr>
      <w:r>
        <w:rPr>
          <w:rFonts w:ascii="Arial" w:cs="Arial" w:eastAsia="Arial" w:hAnsi="Arial"/>
          <w:sz w:val="22"/>
          <w:szCs w:val="22"/>
          <w:color w:val="auto"/>
        </w:rPr>
        <w:t>Each party irrevocably agrees that the courts of England and Wales shall have exclusive jurisdiction to settle any dispute or claim arising out of or in connection with this Contract or its subject matter or formation (including non-contractual disputes or claims).</w:t>
      </w:r>
    </w:p>
    <w:p>
      <w:pPr>
        <w:spacing w:after="0" w:line="328" w:lineRule="exact"/>
        <w:rPr>
          <w:rFonts w:ascii="Arial" w:cs="Arial" w:eastAsia="Arial" w:hAnsi="Arial"/>
          <w:sz w:val="22"/>
          <w:szCs w:val="22"/>
          <w:b w:val="1"/>
          <w:bCs w:val="1"/>
          <w:color w:val="auto"/>
        </w:rPr>
      </w:pPr>
    </w:p>
    <w:p>
      <w:pPr>
        <w:ind w:left="764" w:hanging="764"/>
        <w:spacing w:after="0"/>
        <w:tabs>
          <w:tab w:leader="none" w:pos="764" w:val="left"/>
        </w:tabs>
        <w:numPr>
          <w:ilvl w:val="0"/>
          <w:numId w:val="471"/>
        </w:numPr>
        <w:rPr>
          <w:rFonts w:ascii="Arial" w:cs="Arial" w:eastAsia="Arial" w:hAnsi="Arial"/>
          <w:sz w:val="22"/>
          <w:szCs w:val="22"/>
          <w:b w:val="1"/>
          <w:bCs w:val="1"/>
          <w:color w:val="auto"/>
        </w:rPr>
      </w:pPr>
      <w:r>
        <w:rPr>
          <w:rFonts w:ascii="Arial" w:cs="Arial" w:eastAsia="Arial" w:hAnsi="Arial"/>
          <w:sz w:val="22"/>
          <w:szCs w:val="22"/>
          <w:b w:val="1"/>
          <w:bCs w:val="1"/>
          <w:color w:val="auto"/>
        </w:rPr>
        <w:t>Changes to your Terms of Employment</w:t>
      </w:r>
    </w:p>
    <w:p>
      <w:pPr>
        <w:spacing w:after="0" w:line="104" w:lineRule="exact"/>
        <w:rPr>
          <w:rFonts w:ascii="Arial" w:cs="Arial" w:eastAsia="Arial" w:hAnsi="Arial"/>
          <w:sz w:val="22"/>
          <w:szCs w:val="22"/>
          <w:b w:val="1"/>
          <w:bCs w:val="1"/>
          <w:color w:val="auto"/>
        </w:rPr>
      </w:pPr>
    </w:p>
    <w:p>
      <w:pPr>
        <w:ind w:left="764" w:right="720"/>
        <w:spacing w:after="0" w:line="328" w:lineRule="auto"/>
        <w:rPr>
          <w:rFonts w:ascii="Arial" w:cs="Arial" w:eastAsia="Arial" w:hAnsi="Arial"/>
          <w:sz w:val="22"/>
          <w:szCs w:val="22"/>
          <w:b w:val="1"/>
          <w:bCs w:val="1"/>
          <w:color w:val="auto"/>
        </w:rPr>
      </w:pPr>
      <w:r>
        <w:rPr>
          <w:rFonts w:ascii="Arial" w:cs="Arial" w:eastAsia="Arial" w:hAnsi="Arial"/>
          <w:sz w:val="19"/>
          <w:szCs w:val="19"/>
          <w:color w:val="auto"/>
        </w:rPr>
        <w:t>The Company reserves the right to make reasonable changes to any of your terms of employment. You will be notified in writing of any change as soon as possible and in any event within one month of the change.</w:t>
      </w:r>
    </w:p>
    <w:p>
      <w:pPr>
        <w:spacing w:after="0" w:line="247" w:lineRule="exact"/>
        <w:rPr>
          <w:rFonts w:ascii="Arial" w:cs="Arial" w:eastAsia="Arial" w:hAnsi="Arial"/>
          <w:sz w:val="22"/>
          <w:szCs w:val="22"/>
          <w:b w:val="1"/>
          <w:bCs w:val="1"/>
          <w:color w:val="auto"/>
        </w:rPr>
      </w:pPr>
    </w:p>
    <w:p>
      <w:pPr>
        <w:ind w:left="764" w:hanging="764"/>
        <w:spacing w:after="0"/>
        <w:tabs>
          <w:tab w:leader="none" w:pos="764" w:val="left"/>
        </w:tabs>
        <w:numPr>
          <w:ilvl w:val="0"/>
          <w:numId w:val="471"/>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hanging="768"/>
        <w:spacing w:after="0" w:line="238" w:lineRule="auto"/>
        <w:tabs>
          <w:tab w:leader="none" w:pos="744" w:val="left"/>
        </w:tabs>
        <w:rPr>
          <w:sz w:val="20"/>
          <w:szCs w:val="20"/>
          <w:color w:val="auto"/>
        </w:rPr>
      </w:pPr>
      <w:r>
        <w:rPr>
          <w:rFonts w:ascii="Arial" w:cs="Arial" w:eastAsia="Arial" w:hAnsi="Arial"/>
          <w:sz w:val="22"/>
          <w:szCs w:val="22"/>
          <w:color w:val="auto"/>
        </w:rPr>
        <w:t>35.1</w:t>
      </w:r>
      <w:r>
        <w:rPr>
          <w:sz w:val="20"/>
          <w:szCs w:val="20"/>
          <w:color w:val="auto"/>
        </w:rPr>
        <w:tab/>
      </w:r>
      <w:r>
        <w:rPr>
          <w:rFonts w:ascii="Arial" w:cs="Arial" w:eastAsia="Arial" w:hAnsi="Arial"/>
          <w:sz w:val="22"/>
          <w:szCs w:val="22"/>
          <w:color w:val="auto"/>
        </w:rPr>
        <w:t>Any notice or other communication given or made under this Contract must be in writing and delivered to the relevant party (including by hand or special delivery) or sent by first class post to the address of that party specified in this Contract or such other address as may be notified by that party from time to time for this purpose, and shall be effective notwithstanding any change of address not so notified.</w:t>
      </w:r>
    </w:p>
    <w:p>
      <w:pPr>
        <w:spacing w:after="0" w:line="90" w:lineRule="exact"/>
        <w:rPr>
          <w:sz w:val="20"/>
          <w:szCs w:val="20"/>
          <w:color w:val="auto"/>
        </w:rPr>
      </w:pPr>
    </w:p>
    <w:p>
      <w:pPr>
        <w:ind w:left="764" w:right="80" w:hanging="768"/>
        <w:spacing w:after="0" w:line="328" w:lineRule="auto"/>
        <w:tabs>
          <w:tab w:leader="none" w:pos="744" w:val="left"/>
        </w:tabs>
        <w:rPr>
          <w:sz w:val="20"/>
          <w:szCs w:val="20"/>
          <w:color w:val="auto"/>
        </w:rPr>
      </w:pPr>
      <w:r>
        <w:rPr>
          <w:rFonts w:ascii="Arial" w:cs="Arial" w:eastAsia="Arial" w:hAnsi="Arial"/>
          <w:sz w:val="22"/>
          <w:szCs w:val="22"/>
          <w:color w:val="auto"/>
        </w:rPr>
        <w:t>35.2</w:t>
      </w:r>
      <w:r>
        <w:rPr>
          <w:sz w:val="20"/>
          <w:szCs w:val="20"/>
          <w:color w:val="auto"/>
        </w:rPr>
        <w:tab/>
      </w:r>
      <w:r>
        <w:rPr>
          <w:rFonts w:ascii="Arial" w:cs="Arial" w:eastAsia="Arial" w:hAnsi="Arial"/>
          <w:sz w:val="19"/>
          <w:szCs w:val="19"/>
          <w:color w:val="auto"/>
        </w:rPr>
        <w:t>Unless the contrary shall be proven, each such notice or communication shall be deemed to have been given or made, if sent by first class post, 48 hours after posting and, if delivered by hand, at the time of such delivery.</w:t>
      </w:r>
    </w:p>
    <w:p>
      <w:pPr>
        <w:spacing w:after="0" w:line="247" w:lineRule="exact"/>
        <w:rPr>
          <w:sz w:val="20"/>
          <w:szCs w:val="20"/>
          <w:color w:val="auto"/>
        </w:rPr>
      </w:pPr>
    </w:p>
    <w:p>
      <w:pPr>
        <w:ind w:left="764" w:hanging="764"/>
        <w:spacing w:after="0"/>
        <w:tabs>
          <w:tab w:leader="none" w:pos="764" w:val="left"/>
        </w:tabs>
        <w:numPr>
          <w:ilvl w:val="0"/>
          <w:numId w:val="472"/>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18" w:lineRule="exact"/>
        <w:rPr>
          <w:sz w:val="20"/>
          <w:szCs w:val="20"/>
          <w:color w:val="auto"/>
        </w:rPr>
      </w:pPr>
    </w:p>
    <w:p>
      <w:pPr>
        <w:ind w:left="764" w:right="220" w:hanging="768"/>
        <w:spacing w:after="0"/>
        <w:tabs>
          <w:tab w:leader="none" w:pos="744"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22"/>
          <w:szCs w:val="22"/>
          <w:color w:val="auto"/>
        </w:rPr>
        <w:t>This Contract constitutes the entire agreement between the parties and supersedes and extinguishes all previous agreements, promises, assurances, warranties, representations and understandings between them, whether written or oral, relating to its subject matter.</w:t>
      </w:r>
    </w:p>
    <w:p>
      <w:pPr>
        <w:spacing w:after="0" w:line="92" w:lineRule="exact"/>
        <w:rPr>
          <w:sz w:val="20"/>
          <w:szCs w:val="20"/>
          <w:color w:val="auto"/>
        </w:rPr>
      </w:pPr>
    </w:p>
    <w:p>
      <w:pPr>
        <w:ind w:left="764" w:right="20" w:hanging="768"/>
        <w:spacing w:after="0"/>
        <w:tabs>
          <w:tab w:leader="none" w:pos="744" w:val="left"/>
        </w:tabs>
        <w:rPr>
          <w:sz w:val="20"/>
          <w:szCs w:val="20"/>
          <w:color w:val="auto"/>
        </w:rPr>
      </w:pPr>
      <w:r>
        <w:rPr>
          <w:rFonts w:ascii="Arial" w:cs="Arial" w:eastAsia="Arial" w:hAnsi="Arial"/>
          <w:sz w:val="22"/>
          <w:szCs w:val="22"/>
          <w:color w:val="auto"/>
        </w:rPr>
        <w:t>36.2</w:t>
      </w:r>
      <w:r>
        <w:rPr>
          <w:sz w:val="20"/>
          <w:szCs w:val="20"/>
          <w:color w:val="auto"/>
        </w:rPr>
        <w:tab/>
      </w:r>
      <w:r>
        <w:rPr>
          <w:rFonts w:ascii="Arial" w:cs="Arial" w:eastAsia="Arial" w:hAnsi="Arial"/>
          <w:sz w:val="22"/>
          <w:szCs w:val="22"/>
          <w:color w:val="auto"/>
        </w:rPr>
        <w:t>Each party acknowledges that in entering into this Contract it does not rely on, and shall have no remedies in respect of, any statement, representation, assurance or warranty (whether made innocently or negligently) that is not set out in this Contract.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- 23 -</w:t>
      </w:r>
    </w:p>
    <w:p>
      <w:pPr>
        <w:sectPr>
          <w:pgSz w:w="11900" w:h="16838" w:orient="portrait"/>
          <w:cols w:equalWidth="0" w:num="1">
            <w:col w:w="11004"/>
          </w:cols>
          <w:pgMar w:left="436" w:top="266" w:right="459" w:bottom="1440" w:gutter="0" w:footer="0" w:header="0"/>
        </w:sectPr>
      </w:pPr>
    </w:p>
    <w:bookmarkStart w:id="448" w:name="page449"/>
    <w:bookmarkEnd w:id="448"/>
    <w:p>
      <w:pPr>
        <w:ind w:left="764" w:right="300" w:hanging="768"/>
        <w:spacing w:after="0" w:line="250"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36.3</w:t>
      </w:r>
      <w:r>
        <w:rPr>
          <w:sz w:val="20"/>
          <w:szCs w:val="20"/>
          <w:color w:val="auto"/>
        </w:rPr>
        <w:tab/>
      </w:r>
      <w:r>
        <w:rPr>
          <w:rFonts w:ascii="Arial" w:cs="Arial" w:eastAsia="Arial" w:hAnsi="Arial"/>
          <w:sz w:val="22"/>
          <w:szCs w:val="22"/>
          <w:color w:val="auto"/>
        </w:rPr>
        <w:t>Each party agrees that it shall have no claim for innocent or negligent misrepresentation or negligent misstatement based on any statement in this Contract.</w:t>
      </w:r>
    </w:p>
    <w:p>
      <w:pPr>
        <w:spacing w:after="0" w:line="8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36.4</w:t>
      </w:r>
      <w:r>
        <w:rPr>
          <w:sz w:val="20"/>
          <w:szCs w:val="20"/>
          <w:color w:val="auto"/>
        </w:rPr>
        <w:tab/>
      </w:r>
      <w:r>
        <w:rPr>
          <w:rFonts w:ascii="Arial" w:cs="Arial" w:eastAsia="Arial" w:hAnsi="Arial"/>
          <w:sz w:val="19"/>
          <w:szCs w:val="19"/>
          <w:color w:val="auto"/>
        </w:rPr>
        <w:t>Nothing in this clause shall limit or exclude any liability for fraud.</w:t>
      </w:r>
    </w:p>
    <w:p>
      <w:pPr>
        <w:spacing w:after="0" w:line="349" w:lineRule="exact"/>
        <w:rPr>
          <w:sz w:val="20"/>
          <w:szCs w:val="20"/>
          <w:color w:val="auto"/>
        </w:rPr>
      </w:pPr>
    </w:p>
    <w:p>
      <w:pPr>
        <w:ind w:left="764" w:hanging="764"/>
        <w:spacing w:after="0"/>
        <w:tabs>
          <w:tab w:leader="none" w:pos="764" w:val="left"/>
        </w:tabs>
        <w:numPr>
          <w:ilvl w:val="0"/>
          <w:numId w:val="473"/>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118" w:lineRule="exact"/>
        <w:rPr>
          <w:sz w:val="20"/>
          <w:szCs w:val="20"/>
          <w:color w:val="auto"/>
        </w:rPr>
      </w:pPr>
    </w:p>
    <w:p>
      <w:pPr>
        <w:ind w:left="764" w:right="500" w:hanging="768"/>
        <w:spacing w:after="0" w:line="328" w:lineRule="auto"/>
        <w:tabs>
          <w:tab w:leader="none" w:pos="744" w:val="left"/>
        </w:tabs>
        <w:rPr>
          <w:sz w:val="20"/>
          <w:szCs w:val="20"/>
          <w:color w:val="auto"/>
        </w:rPr>
      </w:pPr>
      <w:r>
        <w:rPr>
          <w:rFonts w:ascii="Arial" w:cs="Arial" w:eastAsia="Arial" w:hAnsi="Arial"/>
          <w:sz w:val="22"/>
          <w:szCs w:val="22"/>
          <w:color w:val="auto"/>
        </w:rPr>
        <w:t>37.1</w:t>
      </w:r>
      <w:r>
        <w:rPr>
          <w:sz w:val="20"/>
          <w:szCs w:val="20"/>
          <w:color w:val="auto"/>
        </w:rPr>
        <w:tab/>
      </w:r>
      <w:r>
        <w:rPr>
          <w:rFonts w:ascii="Arial" w:cs="Arial" w:eastAsia="Arial" w:hAnsi="Arial"/>
          <w:sz w:val="19"/>
          <w:szCs w:val="19"/>
          <w:color w:val="auto"/>
        </w:rPr>
        <w:t>This Contract may be executed in any number of counterparts, each of which when executed and delivered shall constitute a duplicate original, but all the counterparts shall together constitute the one agreement.</w:t>
      </w:r>
    </w:p>
    <w:p>
      <w:pPr>
        <w:spacing w:after="0" w:line="1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37.2</w:t>
      </w:r>
      <w:r>
        <w:rPr>
          <w:sz w:val="20"/>
          <w:szCs w:val="20"/>
          <w:color w:val="auto"/>
        </w:rPr>
        <w:tab/>
      </w:r>
      <w:r>
        <w:rPr>
          <w:rFonts w:ascii="Arial" w:cs="Arial" w:eastAsia="Arial" w:hAnsi="Arial"/>
          <w:sz w:val="19"/>
          <w:szCs w:val="19"/>
          <w:color w:val="auto"/>
        </w:rPr>
        <w:t>No counterpart shall be effective until each party has executed and delivered at least one counterpart.</w:t>
      </w:r>
    </w:p>
    <w:p>
      <w:pPr>
        <w:spacing w:after="0" w:line="349" w:lineRule="exact"/>
        <w:rPr>
          <w:sz w:val="20"/>
          <w:szCs w:val="20"/>
          <w:color w:val="auto"/>
        </w:rPr>
      </w:pPr>
    </w:p>
    <w:p>
      <w:pPr>
        <w:ind w:left="764" w:hanging="764"/>
        <w:spacing w:after="0"/>
        <w:tabs>
          <w:tab w:leader="none" w:pos="764" w:val="left"/>
        </w:tabs>
        <w:numPr>
          <w:ilvl w:val="0"/>
          <w:numId w:val="474"/>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04" w:lineRule="exact"/>
        <w:rPr>
          <w:rFonts w:ascii="Arial" w:cs="Arial" w:eastAsia="Arial" w:hAnsi="Arial"/>
          <w:sz w:val="22"/>
          <w:szCs w:val="22"/>
          <w:b w:val="1"/>
          <w:bCs w:val="1"/>
          <w:color w:val="auto"/>
        </w:rPr>
      </w:pPr>
    </w:p>
    <w:p>
      <w:pPr>
        <w:ind w:left="764"/>
        <w:spacing w:after="0" w:line="282" w:lineRule="auto"/>
        <w:rPr>
          <w:rFonts w:ascii="Arial" w:cs="Arial" w:eastAsia="Arial" w:hAnsi="Arial"/>
          <w:sz w:val="22"/>
          <w:szCs w:val="22"/>
          <w:b w:val="1"/>
          <w:bCs w:val="1"/>
          <w:color w:val="auto"/>
        </w:rPr>
      </w:pPr>
      <w:r>
        <w:rPr>
          <w:rFonts w:ascii="Arial" w:cs="Arial" w:eastAsia="Arial" w:hAnsi="Arial"/>
          <w:sz w:val="19"/>
          <w:szCs w:val="19"/>
          <w:color w:val="auto"/>
        </w:rPr>
        <w:t>You hereby irrevocably and by way of security appoint each director of the Company from time to time, jointly and severally, to be your attorney in your name and on your behalf and as your act and deed to sign, execute and do all acts, things and documents which you are obliged to execute and do under the provisions of this Contract (including, but not limited to clause 16.4) and you hereby agree immediately on the request of the Company to ratify and confirm all such acts, things and documents signed, executed or done in the pursuance of this power.</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This document has been executed as a deed and is delivered and takes effect on the date stated at the beginning of it.</w:t>
      </w:r>
    </w:p>
    <w:p>
      <w:pPr>
        <w:sectPr>
          <w:pgSz w:w="11900" w:h="16838" w:orient="portrait"/>
          <w:cols w:equalWidth="0" w:num="1">
            <w:col w:w="10964"/>
          </w:cols>
          <w:pgMar w:left="436" w:top="266" w:right="499" w:bottom="1440" w:gutter="0" w:footer="0" w:header="0"/>
        </w:sectPr>
      </w:pPr>
    </w:p>
    <w:p>
      <w:pPr>
        <w:spacing w:after="0" w:line="268" w:lineRule="exact"/>
        <w:rPr>
          <w:sz w:val="20"/>
          <w:szCs w:val="20"/>
          <w:color w:val="auto"/>
        </w:rPr>
      </w:pPr>
    </w:p>
    <w:p>
      <w:pPr>
        <w:ind w:left="4" w:right="540"/>
        <w:spacing w:after="0" w:line="250" w:lineRule="auto"/>
        <w:rPr>
          <w:sz w:val="20"/>
          <w:szCs w:val="20"/>
          <w:color w:val="auto"/>
        </w:rPr>
      </w:pPr>
      <w:r>
        <w:rPr>
          <w:rFonts w:ascii="Arial" w:cs="Arial" w:eastAsia="Arial" w:hAnsi="Arial"/>
          <w:sz w:val="22"/>
          <w:szCs w:val="22"/>
          <w:color w:val="auto"/>
        </w:rPr>
        <w:t>Signed by Mereo BioPharma Group Plc acting by:</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
        <w:spacing w:after="0"/>
        <w:rPr>
          <w:sz w:val="20"/>
          <w:szCs w:val="20"/>
          <w:color w:val="auto"/>
        </w:rPr>
      </w:pPr>
      <w:r>
        <w:rPr>
          <w:rFonts w:ascii="Arial" w:cs="Arial" w:eastAsia="Arial" w:hAnsi="Arial"/>
          <w:sz w:val="22"/>
          <w:szCs w:val="22"/>
          <w:color w:val="auto"/>
        </w:rPr>
        <w:t>Signed as a deed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-630555</wp:posOffset>
            </wp:positionV>
            <wp:extent cx="258000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4">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-158750</wp:posOffset>
            </wp:positionV>
            <wp:extent cx="25800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6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-154940</wp:posOffset>
            </wp:positionV>
            <wp:extent cx="258000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27"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-147955</wp:posOffset>
            </wp:positionV>
            <wp:extent cx="258000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314325</wp:posOffset>
            </wp:positionV>
            <wp:extent cx="258000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- 24 -</w:t>
      </w:r>
    </w:p>
    <w:p>
      <w:pPr>
        <w:sectPr>
          <w:pgSz w:w="11900" w:h="16838" w:orient="portrait"/>
          <w:cols w:equalWidth="0" w:num="2">
            <w:col w:w="4564" w:space="720"/>
            <w:col w:w="5680"/>
          </w:cols>
          <w:pgMar w:left="436" w:top="266" w:right="499" w:bottom="1440" w:gutter="0" w:footer="0" w:header="0"/>
          <w:type w:val="continuous"/>
        </w:sectPr>
      </w:pPr>
    </w:p>
    <w:bookmarkStart w:id="449" w:name="page450"/>
    <w:bookmarkEnd w:id="449"/>
    <w:tbl>
      <w:tblPr>
        <w:tblLayout w:type="fixed"/>
        <w:tblInd w:w="0" w:type="dxa"/>
        <w:tblCellMar>
          <w:top w:w="0" w:type="dxa"/>
          <w:left w:w="0" w:type="dxa"/>
          <w:bottom w:w="0" w:type="dxa"/>
          <w:right w:w="0" w:type="dxa"/>
        </w:tblCellMar>
      </w:tblPr>
      <w:tr>
        <w:trPr>
          <w:trHeight w:val="75"/>
        </w:trPr>
        <w:tc>
          <w:tcPr>
            <w:tcW w:w="3400" w:type="dxa"/>
            <w:vAlign w:val="bottom"/>
            <w:vMerge w:val="restart"/>
          </w:tcPr>
          <w:p>
            <w:pPr>
              <w:spacing w:after="0"/>
              <w:rPr>
                <w:sz w:val="20"/>
                <w:szCs w:val="20"/>
                <w:color w:val="auto"/>
              </w:rPr>
            </w:pPr>
            <w:r>
              <w:rPr>
                <w:rFonts w:ascii="Arial" w:cs="Arial" w:eastAsia="Arial" w:hAnsi="Arial"/>
                <w:sz w:val="22"/>
                <w:szCs w:val="22"/>
                <w:color w:val="auto"/>
              </w:rPr>
              <w:t>in the presence of</w:t>
            </w:r>
          </w:p>
        </w:tc>
        <w:tc>
          <w:tcPr>
            <w:tcW w:w="3540" w:type="dxa"/>
            <w:vAlign w:val="bottom"/>
          </w:tcPr>
          <w:p>
            <w:pPr>
              <w:spacing w:after="0"/>
              <w:rPr>
                <w:sz w:val="6"/>
                <w:szCs w:val="6"/>
                <w:color w:val="auto"/>
              </w:rPr>
            </w:pPr>
          </w:p>
        </w:tc>
        <w:tc>
          <w:tcPr>
            <w:tcW w:w="4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400" w:type="dxa"/>
            <w:vAlign w:val="bottom"/>
            <w:vMerge w:val="continue"/>
          </w:tcPr>
          <w:p>
            <w:pPr>
              <w:spacing w:after="0"/>
              <w:rPr>
                <w:sz w:val="15"/>
                <w:szCs w:val="15"/>
                <w:color w:val="auto"/>
              </w:rPr>
            </w:pPr>
          </w:p>
        </w:tc>
        <w:tc>
          <w:tcPr>
            <w:tcW w:w="3540" w:type="dxa"/>
            <w:vAlign w:val="bottom"/>
          </w:tcPr>
          <w:p>
            <w:pPr>
              <w:spacing w:after="0"/>
              <w:rPr>
                <w:sz w:val="15"/>
                <w:szCs w:val="15"/>
                <w:color w:val="auto"/>
              </w:rPr>
            </w:pPr>
          </w:p>
        </w:tc>
        <w:tc>
          <w:tcPr>
            <w:tcW w:w="4080" w:type="dxa"/>
            <w:vAlign w:val="bottom"/>
            <w:vMerge w:val="restart"/>
          </w:tcPr>
          <w:p>
            <w:pPr>
              <w:spacing w:after="0"/>
              <w:rPr>
                <w:sz w:val="20"/>
                <w:szCs w:val="20"/>
                <w:color w:val="auto"/>
              </w:rPr>
            </w:pPr>
            <w:r>
              <w:rPr>
                <w:rFonts w:ascii="Arial" w:cs="Arial" w:eastAsia="Arial" w:hAnsi="Arial"/>
                <w:sz w:val="22"/>
                <w:szCs w:val="22"/>
                <w:color w:val="auto"/>
              </w:rPr>
              <w:t>Signature of witness</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22"/>
                <w:szCs w:val="22"/>
                <w:color w:val="auto"/>
              </w:rPr>
              <w:t>Name of witness</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22"/>
                <w:szCs w:val="22"/>
                <w:color w:val="auto"/>
              </w:rPr>
              <w:t>Address of witness</w:t>
            </w:r>
          </w:p>
        </w:tc>
        <w:tc>
          <w:tcPr>
            <w:tcW w:w="0" w:type="dxa"/>
            <w:vAlign w:val="bottom"/>
          </w:tcPr>
          <w:p>
            <w:pPr>
              <w:spacing w:after="0"/>
              <w:rPr>
                <w:sz w:val="1"/>
                <w:szCs w:val="1"/>
                <w:color w:val="auto"/>
              </w:rPr>
            </w:pPr>
          </w:p>
        </w:tc>
      </w:tr>
      <w:tr>
        <w:trPr>
          <w:trHeight w:val="384"/>
        </w:trPr>
        <w:tc>
          <w:tcPr>
            <w:tcW w:w="3400" w:type="dxa"/>
            <w:vAlign w:val="bottom"/>
          </w:tcPr>
          <w:p>
            <w:pPr>
              <w:spacing w:after="0"/>
              <w:rPr>
                <w:sz w:val="24"/>
                <w:szCs w:val="24"/>
                <w:color w:val="auto"/>
              </w:rPr>
            </w:pPr>
          </w:p>
        </w:tc>
        <w:tc>
          <w:tcPr>
            <w:tcW w:w="3540" w:type="dxa"/>
            <w:vAlign w:val="bottom"/>
          </w:tcPr>
          <w:p>
            <w:pPr>
              <w:jc w:val="right"/>
              <w:ind w:right="1092"/>
              <w:spacing w:after="0"/>
              <w:rPr>
                <w:sz w:val="20"/>
                <w:szCs w:val="20"/>
                <w:color w:val="auto"/>
              </w:rPr>
            </w:pPr>
            <w:r>
              <w:rPr>
                <w:rFonts w:ascii="Arial" w:cs="Arial" w:eastAsia="Arial" w:hAnsi="Arial"/>
                <w:sz w:val="22"/>
                <w:szCs w:val="22"/>
                <w:color w:val="auto"/>
              </w:rPr>
              <w:t>- 25 -</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50" w:name="page451"/>
    <w:bookmarkEnd w:id="450"/>
    <w:p>
      <w:pPr>
        <w:ind w:left="4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WRITTEN JOB DESCRIPTION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Employee’s duties and responsibilities shall be as follows:-</w:t>
      </w:r>
    </w:p>
    <w:p>
      <w:pPr>
        <w:spacing w:after="0" w:line="112" w:lineRule="exact"/>
        <w:rPr>
          <w:sz w:val="20"/>
          <w:szCs w:val="20"/>
          <w:color w:val="auto"/>
        </w:rPr>
      </w:pPr>
    </w:p>
    <w:p>
      <w:pPr>
        <w:ind w:left="1300" w:right="740" w:hanging="764"/>
        <w:spacing w:after="0" w:line="250" w:lineRule="auto"/>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Lead development and delivery of the clinical development strategy to support regulatory approval of a reimbursable file for clinical products, aligned with Mereo Business strategy.</w:t>
      </w:r>
    </w:p>
    <w:p>
      <w:pPr>
        <w:spacing w:after="0" w:line="80" w:lineRule="exact"/>
        <w:rPr>
          <w:rFonts w:ascii="Arial" w:cs="Arial" w:eastAsia="Arial" w:hAnsi="Arial"/>
          <w:sz w:val="22"/>
          <w:szCs w:val="22"/>
          <w:color w:val="auto"/>
        </w:rPr>
      </w:pPr>
    </w:p>
    <w:p>
      <w:pPr>
        <w:ind w:left="1300" w:hanging="764"/>
        <w:spacing w:after="0"/>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With Head of Regulatory, CMC and Commercial develop and implement integrated strategies.</w:t>
      </w:r>
    </w:p>
    <w:p>
      <w:pPr>
        <w:spacing w:after="0" w:line="111" w:lineRule="exact"/>
        <w:rPr>
          <w:rFonts w:ascii="Arial" w:cs="Arial" w:eastAsia="Arial" w:hAnsi="Arial"/>
          <w:sz w:val="22"/>
          <w:szCs w:val="22"/>
          <w:color w:val="auto"/>
        </w:rPr>
      </w:pPr>
    </w:p>
    <w:p>
      <w:pPr>
        <w:ind w:left="1300" w:right="280" w:hanging="764"/>
        <w:spacing w:after="0" w:line="274" w:lineRule="auto"/>
        <w:tabs>
          <w:tab w:leader="none" w:pos="1300" w:val="left"/>
        </w:tabs>
        <w:numPr>
          <w:ilvl w:val="0"/>
          <w:numId w:val="475"/>
        </w:numPr>
        <w:rPr>
          <w:rFonts w:ascii="Arial" w:cs="Arial" w:eastAsia="Arial" w:hAnsi="Arial"/>
          <w:sz w:val="21"/>
          <w:szCs w:val="21"/>
          <w:color w:val="auto"/>
        </w:rPr>
      </w:pPr>
      <w:r>
        <w:rPr>
          <w:rFonts w:ascii="Arial" w:cs="Arial" w:eastAsia="Arial" w:hAnsi="Arial"/>
          <w:sz w:val="21"/>
          <w:szCs w:val="21"/>
          <w:color w:val="auto"/>
        </w:rPr>
        <w:t>Design clinical trials that maximize the probability of success, incorporating input from internal and external stakeholders, including clinical, scientific and patient experts, and appropriate payers.</w:t>
      </w:r>
    </w:p>
    <w:p>
      <w:pPr>
        <w:spacing w:after="0" w:line="56" w:lineRule="exact"/>
        <w:rPr>
          <w:rFonts w:ascii="Arial" w:cs="Arial" w:eastAsia="Arial" w:hAnsi="Arial"/>
          <w:sz w:val="21"/>
          <w:szCs w:val="21"/>
          <w:color w:val="auto"/>
        </w:rPr>
      </w:pPr>
    </w:p>
    <w:p>
      <w:pPr>
        <w:ind w:left="1300" w:hanging="764"/>
        <w:spacing w:after="0"/>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With the Clinical Operations, oversee the selection of study CRO partners and investigational sites</w:t>
      </w:r>
    </w:p>
    <w:p>
      <w:pPr>
        <w:spacing w:after="0" w:line="111" w:lineRule="exact"/>
        <w:rPr>
          <w:rFonts w:ascii="Arial" w:cs="Arial" w:eastAsia="Arial" w:hAnsi="Arial"/>
          <w:sz w:val="22"/>
          <w:szCs w:val="22"/>
          <w:color w:val="auto"/>
        </w:rPr>
      </w:pPr>
    </w:p>
    <w:p>
      <w:pPr>
        <w:ind w:left="1300" w:right="260" w:hanging="764"/>
        <w:spacing w:after="0" w:line="250" w:lineRule="auto"/>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Monitor key performance metrics and clinical trial and regulatory risks and work alongside CROs to develop appropriate contingency plans.</w:t>
      </w:r>
    </w:p>
    <w:p>
      <w:pPr>
        <w:spacing w:after="0" w:line="80" w:lineRule="exact"/>
        <w:rPr>
          <w:rFonts w:ascii="Arial" w:cs="Arial" w:eastAsia="Arial" w:hAnsi="Arial"/>
          <w:sz w:val="22"/>
          <w:szCs w:val="22"/>
          <w:color w:val="auto"/>
        </w:rPr>
      </w:pPr>
    </w:p>
    <w:p>
      <w:pPr>
        <w:ind w:left="1300" w:right="240" w:hanging="764"/>
        <w:spacing w:after="0" w:line="274" w:lineRule="auto"/>
        <w:tabs>
          <w:tab w:leader="none" w:pos="1300" w:val="left"/>
        </w:tabs>
        <w:numPr>
          <w:ilvl w:val="0"/>
          <w:numId w:val="475"/>
        </w:numPr>
        <w:rPr>
          <w:rFonts w:ascii="Arial" w:cs="Arial" w:eastAsia="Arial" w:hAnsi="Arial"/>
          <w:sz w:val="21"/>
          <w:szCs w:val="21"/>
          <w:color w:val="auto"/>
        </w:rPr>
      </w:pPr>
      <w:r>
        <w:rPr>
          <w:rFonts w:ascii="Arial" w:cs="Arial" w:eastAsia="Arial" w:hAnsi="Arial"/>
          <w:sz w:val="21"/>
          <w:szCs w:val="21"/>
          <w:color w:val="auto"/>
        </w:rPr>
        <w:t>Contribute to investigator meetings; lead or participate in advisory boards; oversee set up of Data Monitoring Committees and Data Adjudication Committee membership and charters as required.</w:t>
      </w:r>
    </w:p>
    <w:p>
      <w:pPr>
        <w:spacing w:after="0" w:line="56" w:lineRule="exact"/>
        <w:rPr>
          <w:rFonts w:ascii="Arial" w:cs="Arial" w:eastAsia="Arial" w:hAnsi="Arial"/>
          <w:sz w:val="21"/>
          <w:szCs w:val="21"/>
          <w:color w:val="auto"/>
        </w:rPr>
      </w:pPr>
    </w:p>
    <w:p>
      <w:pPr>
        <w:ind w:left="1300" w:right="60" w:hanging="764"/>
        <w:spacing w:after="0" w:line="250" w:lineRule="auto"/>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Oversee safety monitoring within Mereo and with CRO partners, including ensuring follow-up and reporting to an appropriate timeline and quality.</w:t>
      </w:r>
    </w:p>
    <w:p>
      <w:pPr>
        <w:spacing w:after="0" w:line="80" w:lineRule="exact"/>
        <w:rPr>
          <w:rFonts w:ascii="Arial" w:cs="Arial" w:eastAsia="Arial" w:hAnsi="Arial"/>
          <w:sz w:val="22"/>
          <w:szCs w:val="22"/>
          <w:color w:val="auto"/>
        </w:rPr>
      </w:pPr>
    </w:p>
    <w:p>
      <w:pPr>
        <w:ind w:left="1300" w:hanging="764"/>
        <w:spacing w:after="0" w:line="328" w:lineRule="auto"/>
        <w:tabs>
          <w:tab w:leader="none" w:pos="13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Ensure that all quality aspects of all programs under leadership are met, including ensuring that all clinical trials are executed in compliance with international GCP guidelines/regulations and relevant SOPs,</w:t>
      </w:r>
    </w:p>
    <w:p>
      <w:pPr>
        <w:spacing w:after="0" w:line="10" w:lineRule="exact"/>
        <w:rPr>
          <w:rFonts w:ascii="Arial" w:cs="Arial" w:eastAsia="Arial" w:hAnsi="Arial"/>
          <w:sz w:val="19"/>
          <w:szCs w:val="19"/>
          <w:color w:val="auto"/>
        </w:rPr>
      </w:pPr>
    </w:p>
    <w:p>
      <w:pPr>
        <w:ind w:left="1300" w:hanging="764"/>
        <w:spacing w:after="0"/>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With Head of Patient Access, develop relationships with KOLs, patient groups, to integrate insights into clinical development, including but not limited to, outcomes and health economic evidence generation to support approval and reimbursement.</w:t>
      </w:r>
    </w:p>
    <w:p>
      <w:pPr>
        <w:spacing w:after="0" w:line="91" w:lineRule="exact"/>
        <w:rPr>
          <w:rFonts w:ascii="Arial" w:cs="Arial" w:eastAsia="Arial" w:hAnsi="Arial"/>
          <w:sz w:val="22"/>
          <w:szCs w:val="22"/>
          <w:color w:val="auto"/>
        </w:rPr>
      </w:pPr>
    </w:p>
    <w:p>
      <w:pPr>
        <w:ind w:left="1300" w:right="40" w:hanging="764"/>
        <w:spacing w:after="0" w:line="328" w:lineRule="auto"/>
        <w:tabs>
          <w:tab w:leader="none" w:pos="13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Define and implement a scientific evidence database, publication and data communication strategy for products under development, to meet scientific and clinical differentiation needs for commercialization success.</w:t>
      </w:r>
    </w:p>
    <w:p>
      <w:pPr>
        <w:spacing w:after="0" w:line="10" w:lineRule="exact"/>
        <w:rPr>
          <w:rFonts w:ascii="Arial" w:cs="Arial" w:eastAsia="Arial" w:hAnsi="Arial"/>
          <w:sz w:val="19"/>
          <w:szCs w:val="19"/>
          <w:color w:val="auto"/>
        </w:rPr>
      </w:pPr>
    </w:p>
    <w:p>
      <w:pPr>
        <w:ind w:left="1300" w:right="480" w:hanging="764"/>
        <w:spacing w:after="0" w:line="250" w:lineRule="auto"/>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Partner with Business Development to Monitor and assess the competitive landscape including monitoring developments with key competing programs.</w:t>
      </w:r>
    </w:p>
    <w:p>
      <w:pPr>
        <w:spacing w:after="0" w:line="80" w:lineRule="exact"/>
        <w:rPr>
          <w:rFonts w:ascii="Arial" w:cs="Arial" w:eastAsia="Arial" w:hAnsi="Arial"/>
          <w:sz w:val="22"/>
          <w:szCs w:val="22"/>
          <w:color w:val="auto"/>
        </w:rPr>
      </w:pPr>
    </w:p>
    <w:p>
      <w:pPr>
        <w:ind w:left="1300" w:right="640" w:hanging="764"/>
        <w:spacing w:after="0" w:line="250" w:lineRule="auto"/>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Provide technical expertise to the business development team for out-licensing and potential in-licensing opportunities.</w:t>
      </w:r>
    </w:p>
    <w:p>
      <w:pPr>
        <w:spacing w:after="0" w:line="107" w:lineRule="exact"/>
        <w:rPr>
          <w:rFonts w:ascii="Arial" w:cs="Arial" w:eastAsia="Arial" w:hAnsi="Arial"/>
          <w:sz w:val="22"/>
          <w:szCs w:val="22"/>
          <w:color w:val="auto"/>
        </w:rPr>
      </w:pPr>
    </w:p>
    <w:p>
      <w:pPr>
        <w:ind w:left="5400" w:hanging="130"/>
        <w:spacing w:after="0"/>
        <w:tabs>
          <w:tab w:leader="none" w:pos="5400" w:val="left"/>
        </w:tabs>
        <w:numPr>
          <w:ilvl w:val="1"/>
          <w:numId w:val="475"/>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0980"/>
          </w:cols>
          <w:pgMar w:left="440" w:top="260" w:right="479" w:bottom="1440" w:gutter="0" w:footer="0" w:header="0"/>
        </w:sectPr>
      </w:pPr>
    </w:p>
    <w:bookmarkStart w:id="451" w:name="page452"/>
    <w:bookmarkEnd w:id="451"/>
    <w:p>
      <w:pPr>
        <w:jc w:val="center"/>
        <w:ind w:right="-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06"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CHANGE IN CONTROL AND SEVERANCE</w:t>
      </w:r>
    </w:p>
    <w:p>
      <w:pPr>
        <w:spacing w:after="0" w:line="233" w:lineRule="exact"/>
        <w:rPr>
          <w:sz w:val="20"/>
          <w:szCs w:val="20"/>
          <w:color w:val="auto"/>
        </w:rPr>
      </w:pPr>
    </w:p>
    <w:p>
      <w:pPr>
        <w:ind w:left="764" w:hanging="764"/>
        <w:spacing w:after="0"/>
        <w:tabs>
          <w:tab w:leader="none" w:pos="764" w:val="left"/>
        </w:tabs>
        <w:numPr>
          <w:ilvl w:val="0"/>
          <w:numId w:val="476"/>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w:t>
      </w:r>
    </w:p>
    <w:p>
      <w:pPr>
        <w:spacing w:after="0" w:line="118" w:lineRule="exact"/>
        <w:rPr>
          <w:sz w:val="20"/>
          <w:szCs w:val="20"/>
          <w:color w:val="auto"/>
        </w:rPr>
      </w:pPr>
    </w:p>
    <w:p>
      <w:pPr>
        <w:ind w:left="764" w:hanging="768"/>
        <w:spacing w:after="0" w:line="236" w:lineRule="auto"/>
        <w:tabs>
          <w:tab w:leader="none" w:pos="744"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The Board recognizes that the possibility of an acquisition of the Company or an involuntary termination can be a distraction to you and can cause you to consider alternative employment opportunities. The Board has determined that it is in the best interests of Mereo BioPharma Group plc (the “</w:t>
      </w:r>
      <w:r>
        <w:rPr>
          <w:rFonts w:ascii="Arial" w:cs="Arial" w:eastAsia="Arial" w:hAnsi="Arial"/>
          <w:sz w:val="22"/>
          <w:szCs w:val="22"/>
          <w:b w:val="1"/>
          <w:bCs w:val="1"/>
          <w:color w:val="auto"/>
        </w:rPr>
        <w:t>Company</w:t>
      </w:r>
      <w:r>
        <w:rPr>
          <w:rFonts w:ascii="Arial" w:cs="Arial" w:eastAsia="Arial" w:hAnsi="Arial"/>
          <w:sz w:val="22"/>
          <w:szCs w:val="22"/>
          <w:color w:val="auto"/>
        </w:rPr>
        <w:t>”) and its shareholders to assure that the Company will have your continued dedication and objectivity, notwithstanding the possibility, threat or occurrence of such an event.</w:t>
      </w:r>
    </w:p>
    <w:p>
      <w:pPr>
        <w:spacing w:after="0" w:line="93" w:lineRule="exact"/>
        <w:rPr>
          <w:sz w:val="20"/>
          <w:szCs w:val="20"/>
          <w:color w:val="auto"/>
        </w:rPr>
      </w:pPr>
    </w:p>
    <w:p>
      <w:pPr>
        <w:ind w:left="764" w:hanging="768"/>
        <w:spacing w:after="0"/>
        <w:tabs>
          <w:tab w:leader="none" w:pos="744"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Board believes that it is in the best interests of the Company to provide you with an incentive to continue your employment and to motivate you to maximize the value of the Company upon a Change in Control (as defined below) for the benefit of the Company’s shareholders.</w:t>
      </w:r>
    </w:p>
    <w:p>
      <w:pPr>
        <w:spacing w:after="0" w:line="92" w:lineRule="exact"/>
        <w:rPr>
          <w:sz w:val="20"/>
          <w:szCs w:val="20"/>
          <w:color w:val="auto"/>
        </w:rPr>
      </w:pPr>
    </w:p>
    <w:p>
      <w:pPr>
        <w:jc w:val="both"/>
        <w:ind w:left="764" w:right="460" w:hanging="768"/>
        <w:spacing w:after="0" w:line="257" w:lineRule="auto"/>
        <w:tabs>
          <w:tab w:leader="none" w:pos="744"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The Board believes that it is imperative to provide you with severance benefits upon certain terminations of your service to the Company that enhance your financial security and provide incentive and encouragement to you to remain with the Company notwithstanding the possibility of such an event.</w:t>
      </w:r>
    </w:p>
    <w:p>
      <w:pPr>
        <w:spacing w:after="0" w:line="7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Unless otherwise defined herein, capitalized terms used in this Agreement are defined in paragraph 5 below.</w:t>
      </w:r>
    </w:p>
    <w:p>
      <w:pPr>
        <w:spacing w:after="0" w:line="112" w:lineRule="exact"/>
        <w:rPr>
          <w:sz w:val="20"/>
          <w:szCs w:val="20"/>
          <w:color w:val="auto"/>
        </w:rPr>
      </w:pPr>
    </w:p>
    <w:p>
      <w:pPr>
        <w:ind w:left="764" w:right="680" w:hanging="768"/>
        <w:spacing w:after="0" w:line="328" w:lineRule="auto"/>
        <w:tabs>
          <w:tab w:leader="none" w:pos="744"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You agree that the Contract is amended to insert the provisions below. In the event of any conflict between the provisions of the Contract and this Schedule II, the provisions of this Schedule II shall prevail.</w:t>
      </w:r>
    </w:p>
    <w:p>
      <w:pPr>
        <w:spacing w:after="0" w:line="247" w:lineRule="exact"/>
        <w:rPr>
          <w:sz w:val="20"/>
          <w:szCs w:val="20"/>
          <w:color w:val="auto"/>
        </w:rPr>
      </w:pPr>
    </w:p>
    <w:p>
      <w:pPr>
        <w:ind w:left="764" w:hanging="764"/>
        <w:spacing w:after="0"/>
        <w:tabs>
          <w:tab w:leader="none" w:pos="764" w:val="left"/>
        </w:tabs>
        <w:numPr>
          <w:ilvl w:val="0"/>
          <w:numId w:val="477"/>
        </w:numPr>
        <w:rPr>
          <w:rFonts w:ascii="Arial" w:cs="Arial" w:eastAsia="Arial" w:hAnsi="Arial"/>
          <w:sz w:val="22"/>
          <w:szCs w:val="22"/>
          <w:b w:val="1"/>
          <w:bCs w:val="1"/>
          <w:color w:val="auto"/>
        </w:rPr>
      </w:pPr>
      <w:r>
        <w:rPr>
          <w:rFonts w:ascii="Arial" w:cs="Arial" w:eastAsia="Arial" w:hAnsi="Arial"/>
          <w:sz w:val="22"/>
          <w:szCs w:val="22"/>
          <w:b w:val="1"/>
          <w:bCs w:val="1"/>
          <w:color w:val="auto"/>
        </w:rPr>
        <w:t>Covered Termination During a Change in Control Period</w:t>
      </w:r>
    </w:p>
    <w:p>
      <w:pPr>
        <w:spacing w:after="0" w:line="118" w:lineRule="exact"/>
        <w:rPr>
          <w:sz w:val="20"/>
          <w:szCs w:val="20"/>
          <w:color w:val="auto"/>
        </w:rPr>
      </w:pPr>
    </w:p>
    <w:p>
      <w:pPr>
        <w:ind w:left="764" w:hanging="768"/>
        <w:spacing w:after="0" w:line="279" w:lineRule="auto"/>
        <w:tabs>
          <w:tab w:leader="none" w:pos="744"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If you experience a Covered Termination during a Change in Control Period, then, subject to (i) you delivering to the Company an executed Settlement Agreement that becomes effective and irrevocable in accordance with paragraph 9.1 below, or such shorter period of time specified by the Company, following such Covered Termination and (ii) your continued compliance with clauses 16, 17 and 21 of the Contract, then in addition to any accrued but unpaid salary, benefits, holiday and expense reimbursements through the Covered Termination Date payable in accordance with applicable law, the Company shall provide you with the following:</w:t>
      </w:r>
    </w:p>
    <w:p>
      <w:pPr>
        <w:spacing w:after="0" w:line="56" w:lineRule="exact"/>
        <w:rPr>
          <w:sz w:val="20"/>
          <w:szCs w:val="20"/>
          <w:color w:val="auto"/>
        </w:rPr>
      </w:pPr>
    </w:p>
    <w:p>
      <w:pPr>
        <w:ind w:left="2204" w:right="40" w:hanging="768"/>
        <w:spacing w:after="0" w:line="234" w:lineRule="auto"/>
        <w:tabs>
          <w:tab w:leader="none" w:pos="2184"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color w:val="auto"/>
        </w:rPr>
        <w:t>The Company shall pay you an amount equal to the sum of (i) your annual base salary at the rate in effect immediately prior to the Covered Termination Date during the period of time commencing on the Covered Termination Date and ending on the twelve (12)-month anniversary thereof and (ii) your target annual bonus assuming achievement of performance goals at one hundred percent (100%) of target, payable in a cash lump sum, less applicable withholdings, on the first payroll date following the date the Settlement Agreement becomes effective and irrevocable in accordance with paragraph 9.1 below.</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- 27 -</w:t>
      </w:r>
    </w:p>
    <w:p>
      <w:pPr>
        <w:sectPr>
          <w:pgSz w:w="11900" w:h="16838" w:orient="portrait"/>
          <w:cols w:equalWidth="0" w:num="1">
            <w:col w:w="10984"/>
          </w:cols>
          <w:pgMar w:left="436" w:top="260" w:right="479" w:bottom="1440" w:gutter="0" w:footer="0" w:header="0"/>
        </w:sectPr>
      </w:pPr>
    </w:p>
    <w:bookmarkStart w:id="452" w:name="page453"/>
    <w:bookmarkEnd w:id="452"/>
    <w:p>
      <w:pPr>
        <w:ind w:left="2204" w:right="100" w:hanging="768"/>
        <w:spacing w:after="0" w:line="282" w:lineRule="auto"/>
        <w:tabs>
          <w:tab w:leader="none" w:pos="218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r>
      <w:r>
        <w:rPr>
          <w:sz w:val="20"/>
          <w:szCs w:val="20"/>
          <w:color w:val="auto"/>
        </w:rPr>
        <w:tab/>
      </w:r>
      <w:r>
        <w:rPr>
          <w:rFonts w:ascii="Arial" w:cs="Arial" w:eastAsia="Arial" w:hAnsi="Arial"/>
          <w:sz w:val="19"/>
          <w:szCs w:val="19"/>
          <w:color w:val="auto"/>
        </w:rPr>
        <w:t>Each outstanding and unvested equity award held in the Company that vests solely based on the passage of time held by you as of the Covered Termination Date shall automatically become vested and, if applicable, exercisable and any forfeiture restrictions or rights of repurchase thereon shall immediately lapse with respect to one percent (100%) of the ordinary shares of the Company subject thereto, as of immediately prior to the Covered Termination Date.</w:t>
      </w:r>
    </w:p>
    <w:p>
      <w:pPr>
        <w:spacing w:after="0" w:line="290" w:lineRule="exact"/>
        <w:rPr>
          <w:sz w:val="20"/>
          <w:szCs w:val="20"/>
          <w:color w:val="auto"/>
        </w:rPr>
      </w:pPr>
    </w:p>
    <w:p>
      <w:pPr>
        <w:ind w:left="764" w:hanging="764"/>
        <w:spacing w:after="0"/>
        <w:tabs>
          <w:tab w:leader="none" w:pos="764" w:val="left"/>
        </w:tabs>
        <w:numPr>
          <w:ilvl w:val="0"/>
          <w:numId w:val="478"/>
        </w:numPr>
        <w:rPr>
          <w:rFonts w:ascii="Arial" w:cs="Arial" w:eastAsia="Arial" w:hAnsi="Arial"/>
          <w:sz w:val="22"/>
          <w:szCs w:val="22"/>
          <w:b w:val="1"/>
          <w:bCs w:val="1"/>
          <w:color w:val="auto"/>
        </w:rPr>
      </w:pPr>
      <w:r>
        <w:rPr>
          <w:rFonts w:ascii="Arial" w:cs="Arial" w:eastAsia="Arial" w:hAnsi="Arial"/>
          <w:sz w:val="22"/>
          <w:szCs w:val="22"/>
          <w:b w:val="1"/>
          <w:bCs w:val="1"/>
          <w:color w:val="auto"/>
        </w:rPr>
        <w:t>Certain Reduction</w:t>
      </w:r>
    </w:p>
    <w:p>
      <w:pPr>
        <w:spacing w:after="0" w:line="118" w:lineRule="exact"/>
        <w:rPr>
          <w:sz w:val="20"/>
          <w:szCs w:val="20"/>
          <w:color w:val="auto"/>
        </w:rPr>
      </w:pPr>
    </w:p>
    <w:p>
      <w:pPr>
        <w:ind w:left="764" w:hanging="768"/>
        <w:spacing w:after="0" w:line="273" w:lineRule="auto"/>
        <w:tabs>
          <w:tab w:leader="none" w:pos="74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Notwithstanding anything herein to the contrary, the Company shall reduce your severance benefits under this Schedule II, in whole or in part, by any other severance benefits, pay in lieu of notice, or other similar benefits payable to you by the Company in connection with your termination, including but not limited to payments or benefits</w:t>
      </w:r>
    </w:p>
    <w:p>
      <w:pPr>
        <w:spacing w:after="0" w:line="1" w:lineRule="exact"/>
        <w:rPr>
          <w:sz w:val="20"/>
          <w:szCs w:val="20"/>
          <w:color w:val="auto"/>
        </w:rPr>
      </w:pPr>
    </w:p>
    <w:p>
      <w:pPr>
        <w:ind w:left="764" w:right="280"/>
        <w:spacing w:after="0" w:line="233" w:lineRule="auto"/>
        <w:rPr>
          <w:sz w:val="20"/>
          <w:szCs w:val="20"/>
          <w:color w:val="auto"/>
        </w:rPr>
      </w:pPr>
      <w:r>
        <w:rPr>
          <w:rFonts w:ascii="Arial" w:cs="Arial" w:eastAsia="Arial" w:hAnsi="Arial"/>
          <w:sz w:val="22"/>
          <w:szCs w:val="22"/>
          <w:color w:val="auto"/>
        </w:rPr>
        <w:t>(a) pursuant to clause 18 of the Contract; (b) required by applicable law or (c) any applicable clawback policy. The benefits provided under this Schedule II are intended to satisfy, to the greatest extent possible, any and all statutory obligations that may arise out of your termination of employment. Such reductions shall be applied on a retroactive basis, with severance benefits paid first in time being recharacterized as payments pursuant to the Company’s statutory obligation.</w:t>
      </w:r>
    </w:p>
    <w:p>
      <w:pPr>
        <w:spacing w:after="0" w:line="327" w:lineRule="exact"/>
        <w:rPr>
          <w:sz w:val="20"/>
          <w:szCs w:val="20"/>
          <w:color w:val="auto"/>
        </w:rPr>
      </w:pPr>
    </w:p>
    <w:p>
      <w:pPr>
        <w:ind w:left="764" w:hanging="764"/>
        <w:spacing w:after="0"/>
        <w:tabs>
          <w:tab w:leader="none" w:pos="764" w:val="left"/>
        </w:tabs>
        <w:numPr>
          <w:ilvl w:val="0"/>
          <w:numId w:val="479"/>
        </w:numPr>
        <w:rPr>
          <w:rFonts w:ascii="Arial" w:cs="Arial" w:eastAsia="Arial" w:hAnsi="Arial"/>
          <w:sz w:val="22"/>
          <w:szCs w:val="22"/>
          <w:b w:val="1"/>
          <w:bCs w:val="1"/>
          <w:color w:val="auto"/>
        </w:rPr>
      </w:pPr>
      <w:r>
        <w:rPr>
          <w:rFonts w:ascii="Arial" w:cs="Arial" w:eastAsia="Arial" w:hAnsi="Arial"/>
          <w:sz w:val="22"/>
          <w:szCs w:val="22"/>
          <w:b w:val="1"/>
          <w:bCs w:val="1"/>
          <w:color w:val="auto"/>
        </w:rPr>
        <w:t>Deemed Resignation</w:t>
      </w:r>
    </w:p>
    <w:p>
      <w:pPr>
        <w:spacing w:after="0" w:line="118" w:lineRule="exact"/>
        <w:rPr>
          <w:sz w:val="20"/>
          <w:szCs w:val="20"/>
          <w:color w:val="auto"/>
        </w:rPr>
      </w:pPr>
    </w:p>
    <w:p>
      <w:pPr>
        <w:ind w:left="764" w:right="700" w:hanging="768"/>
        <w:spacing w:after="0" w:line="250" w:lineRule="auto"/>
        <w:tabs>
          <w:tab w:leader="none" w:pos="744"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The provisions of clause 18.4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48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1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have the meaning set out in clause 19.1 of the Contract.</w:t>
      </w:r>
    </w:p>
    <w:p>
      <w:pPr>
        <w:spacing w:after="0" w:line="112" w:lineRule="exact"/>
        <w:rPr>
          <w:sz w:val="20"/>
          <w:szCs w:val="20"/>
          <w:color w:val="auto"/>
        </w:rPr>
      </w:pPr>
    </w:p>
    <w:p>
      <w:pPr>
        <w:ind w:left="764" w:right="120" w:hanging="768"/>
        <w:spacing w:after="0" w:line="273" w:lineRule="auto"/>
        <w:tabs>
          <w:tab w:leader="none" w:pos="744"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(i) the acquisition by any person or group of affiliated or associated persons of more than fifty percent (50%) of the outstanding capital shares of the Company or voting securities representing more than fifty percent (50%) of the total voting power of outstanding securities of the Company; (ii) the consummation of a sale, exclusive license or other disposition of all or substantially all of the assets of the Company to a third party;</w:t>
      </w:r>
    </w:p>
    <w:p>
      <w:pPr>
        <w:spacing w:after="0" w:line="2" w:lineRule="exact"/>
        <w:rPr>
          <w:sz w:val="20"/>
          <w:szCs w:val="20"/>
          <w:color w:val="auto"/>
        </w:rPr>
      </w:pPr>
    </w:p>
    <w:p>
      <w:pPr>
        <w:ind w:left="764" w:firstLine="5"/>
        <w:spacing w:after="0" w:line="266" w:lineRule="auto"/>
        <w:tabs>
          <w:tab w:leader="none" w:pos="1142" w:val="left"/>
        </w:tabs>
        <w:numPr>
          <w:ilvl w:val="0"/>
          <w:numId w:val="481"/>
        </w:numPr>
        <w:rPr>
          <w:rFonts w:ascii="Arial" w:cs="Arial" w:eastAsia="Arial" w:hAnsi="Arial"/>
          <w:sz w:val="19"/>
          <w:szCs w:val="19"/>
          <w:color w:val="auto"/>
        </w:rPr>
      </w:pPr>
      <w:r>
        <w:rPr>
          <w:rFonts w:ascii="Arial" w:cs="Arial" w:eastAsia="Arial" w:hAnsi="Arial"/>
          <w:sz w:val="19"/>
          <w:szCs w:val="19"/>
          <w:color w:val="auto"/>
        </w:rPr>
        <w:t>the consummation of any merger involving the Company in which, immediately after giving effect to such merger, less than a majority of the total voting power of outstanding stock of the surviving or resulting entity is then “beneficially owned” in the aggregate by the shareholders of the Company, as applicable, immediately prior to such merger. For the avoidance of doubt and notwithstanding anything herein to the contrary, in no event shall a transaction constitute a “Change in Control” if: (A) its sole purpose is to change the jurisdiction of the Company’s incorporation;</w:t>
      </w:r>
    </w:p>
    <w:p>
      <w:pPr>
        <w:spacing w:after="0" w:line="4" w:lineRule="exact"/>
        <w:rPr>
          <w:rFonts w:ascii="Arial" w:cs="Arial" w:eastAsia="Arial" w:hAnsi="Arial"/>
          <w:sz w:val="19"/>
          <w:szCs w:val="19"/>
          <w:color w:val="auto"/>
        </w:rPr>
      </w:pPr>
    </w:p>
    <w:p>
      <w:pPr>
        <w:ind w:left="764" w:right="80"/>
        <w:spacing w:after="0" w:line="232" w:lineRule="auto"/>
        <w:rPr>
          <w:rFonts w:ascii="Arial" w:cs="Arial" w:eastAsia="Arial" w:hAnsi="Arial"/>
          <w:sz w:val="19"/>
          <w:szCs w:val="19"/>
          <w:color w:val="auto"/>
        </w:rPr>
      </w:pPr>
      <w:r>
        <w:rPr>
          <w:rFonts w:ascii="Arial" w:cs="Arial" w:eastAsia="Arial" w:hAnsi="Arial"/>
          <w:sz w:val="22"/>
          <w:szCs w:val="22"/>
          <w:color w:val="auto"/>
        </w:rPr>
        <w:t>(B) its sole purpose is to create a holding company that will be owned in substantially the same proportions by the persons who held the Company’s securities immediately before such transaction; or (C) it is effected primarily for the purpose of financing the Company with cash (as determined by the Board without regard to whether such transaction is effectuated by a merger, equity financing, or otherwise). In the event of any conflict between the provisions of this clause 5.2 of Schedule II and the provisions of the Mereo Equity Incentive Plan, the terms of this Schedule II shall prevail.</w:t>
      </w:r>
    </w:p>
    <w:p>
      <w:pPr>
        <w:spacing w:after="0" w:line="121" w:lineRule="exact"/>
        <w:rPr>
          <w:rFonts w:ascii="Arial" w:cs="Arial" w:eastAsia="Arial" w:hAnsi="Arial"/>
          <w:sz w:val="19"/>
          <w:szCs w:val="19"/>
          <w:color w:val="auto"/>
        </w:rPr>
      </w:pPr>
    </w:p>
    <w:p>
      <w:pPr>
        <w:ind w:left="5404" w:hanging="130"/>
        <w:spacing w:after="0"/>
        <w:tabs>
          <w:tab w:leader="none" w:pos="5404" w:val="left"/>
        </w:tabs>
        <w:numPr>
          <w:ilvl w:val="1"/>
          <w:numId w:val="481"/>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004"/>
          </w:cols>
          <w:pgMar w:left="436" w:top="266" w:right="459" w:bottom="1440" w:gutter="0" w:footer="0" w:header="0"/>
        </w:sectPr>
      </w:pPr>
    </w:p>
    <w:bookmarkStart w:id="453" w:name="page454"/>
    <w:bookmarkEnd w:id="453"/>
    <w:p>
      <w:pPr>
        <w:ind w:left="764" w:right="20" w:hanging="768"/>
        <w:spacing w:after="0" w:line="256" w:lineRule="auto"/>
        <w:tabs>
          <w:tab w:leader="none" w:pos="744"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means the period commencing on a Change in Control and ending 12 months after such Change in Control.</w:t>
      </w:r>
    </w:p>
    <w:p>
      <w:pPr>
        <w:spacing w:after="0" w:line="68" w:lineRule="exact"/>
        <w:rPr>
          <w:sz w:val="20"/>
          <w:szCs w:val="20"/>
          <w:color w:val="auto"/>
        </w:rPr>
      </w:pPr>
    </w:p>
    <w:p>
      <w:pPr>
        <w:ind w:left="764" w:right="100" w:hanging="768"/>
        <w:spacing w:after="0" w:line="256" w:lineRule="auto"/>
        <w:tabs>
          <w:tab w:leader="none" w:pos="744"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Covered Termination</w:t>
      </w:r>
      <w:r>
        <w:rPr>
          <w:rFonts w:ascii="Arial" w:cs="Arial" w:eastAsia="Arial" w:hAnsi="Arial"/>
          <w:sz w:val="22"/>
          <w:szCs w:val="22"/>
          <w:color w:val="auto"/>
        </w:rPr>
        <w:t>” means the termination of your employment by the Company other than for Cause or by you for Good Reason, and shall not include a termination due to your death or disability.</w:t>
      </w:r>
    </w:p>
    <w:p>
      <w:pPr>
        <w:spacing w:after="0" w:line="6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Termination Date</w:t>
      </w:r>
      <w:r>
        <w:rPr>
          <w:rFonts w:ascii="Arial" w:cs="Arial" w:eastAsia="Arial" w:hAnsi="Arial"/>
          <w:sz w:val="19"/>
          <w:szCs w:val="19"/>
          <w:color w:val="auto"/>
        </w:rPr>
        <w:t>” means the date on which you experience a Covered Termination.</w:t>
      </w:r>
    </w:p>
    <w:p>
      <w:pPr>
        <w:spacing w:after="0" w:line="112" w:lineRule="exact"/>
        <w:rPr>
          <w:sz w:val="20"/>
          <w:szCs w:val="20"/>
          <w:color w:val="auto"/>
        </w:rPr>
      </w:pPr>
    </w:p>
    <w:p>
      <w:pPr>
        <w:ind w:left="764" w:right="200" w:hanging="768"/>
        <w:spacing w:after="0" w:line="272" w:lineRule="auto"/>
        <w:tabs>
          <w:tab w:leader="none" w:pos="74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your resignation from employment with the Company after the occurrence, without your written consent, of any of the following: (i) a material reduction in your authorities, duties and responsibilities; (ii) a material reduction by the Company in your base salary from your base salary in effect immediately prior to such reduction, except in connection with a reduction in salary affecting all senior management employees of the Group Company; or (iii) a relocation of your office that increases your one-way commute by more than thirty-five</w:t>
      </w:r>
    </w:p>
    <w:p>
      <w:pPr>
        <w:spacing w:after="0" w:line="1" w:lineRule="exact"/>
        <w:rPr>
          <w:sz w:val="20"/>
          <w:szCs w:val="20"/>
          <w:color w:val="auto"/>
        </w:rPr>
      </w:pPr>
    </w:p>
    <w:p>
      <w:pPr>
        <w:ind w:left="764" w:firstLine="5"/>
        <w:spacing w:after="0" w:line="266" w:lineRule="auto"/>
        <w:tabs>
          <w:tab w:leader="none" w:pos="1178" w:val="left"/>
        </w:tabs>
        <w:numPr>
          <w:ilvl w:val="0"/>
          <w:numId w:val="482"/>
        </w:numPr>
        <w:rPr>
          <w:rFonts w:ascii="Arial" w:cs="Arial" w:eastAsia="Arial" w:hAnsi="Arial"/>
          <w:sz w:val="19"/>
          <w:szCs w:val="19"/>
          <w:color w:val="auto"/>
        </w:rPr>
      </w:pPr>
      <w:r>
        <w:rPr>
          <w:rFonts w:ascii="Arial" w:cs="Arial" w:eastAsia="Arial" w:hAnsi="Arial"/>
          <w:sz w:val="19"/>
          <w:szCs w:val="19"/>
          <w:color w:val="auto"/>
        </w:rPr>
        <w:t>miles, except that required travel on the Company’s business to an extent substantially consistent with your historical business travel obligations shall not be considered a relocation. Notwithstanding the foregoing, a resignation shall not be for “Good Reason” unless the event or condition giving rise to such resignation continues more than thirty</w:t>
      </w:r>
    </w:p>
    <w:p>
      <w:pPr>
        <w:spacing w:after="0" w:line="2" w:lineRule="exact"/>
        <w:rPr>
          <w:rFonts w:ascii="Arial" w:cs="Arial" w:eastAsia="Arial" w:hAnsi="Arial"/>
          <w:sz w:val="19"/>
          <w:szCs w:val="19"/>
          <w:color w:val="auto"/>
        </w:rPr>
      </w:pPr>
    </w:p>
    <w:p>
      <w:pPr>
        <w:ind w:left="764" w:right="120" w:firstLine="5"/>
        <w:spacing w:after="0" w:line="234" w:lineRule="auto"/>
        <w:tabs>
          <w:tab w:leader="none" w:pos="1178" w:val="left"/>
        </w:tabs>
        <w:numPr>
          <w:ilvl w:val="0"/>
          <w:numId w:val="483"/>
        </w:numPr>
        <w:rPr>
          <w:rFonts w:ascii="Arial" w:cs="Arial" w:eastAsia="Arial" w:hAnsi="Arial"/>
          <w:sz w:val="22"/>
          <w:szCs w:val="22"/>
          <w:color w:val="auto"/>
        </w:rPr>
      </w:pPr>
      <w:r>
        <w:rPr>
          <w:rFonts w:ascii="Arial" w:cs="Arial" w:eastAsia="Arial" w:hAnsi="Arial"/>
          <w:sz w:val="22"/>
          <w:szCs w:val="22"/>
          <w:color w:val="auto"/>
        </w:rPr>
        <w:t>days following your written notice of such condition provided to the Company within sixty (60) days of the first occurrence of such event or condition and such resignation is effective within thirty (30) days following the end of such notice period.</w:t>
      </w:r>
    </w:p>
    <w:p>
      <w:pPr>
        <w:spacing w:after="0" w:line="87" w:lineRule="exact"/>
        <w:rPr>
          <w:sz w:val="20"/>
          <w:szCs w:val="20"/>
          <w:color w:val="auto"/>
        </w:rPr>
      </w:pPr>
    </w:p>
    <w:p>
      <w:pPr>
        <w:ind w:left="764" w:right="620" w:hanging="768"/>
        <w:spacing w:after="0" w:line="256" w:lineRule="auto"/>
        <w:tabs>
          <w:tab w:leader="none" w:pos="744"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Settlement Agreement</w:t>
      </w:r>
      <w:r>
        <w:rPr>
          <w:rFonts w:ascii="Arial" w:cs="Arial" w:eastAsia="Arial" w:hAnsi="Arial"/>
          <w:sz w:val="22"/>
          <w:szCs w:val="22"/>
          <w:color w:val="auto"/>
        </w:rPr>
        <w:t>” means an appropriate waiver of all claims against the Company in a form reasonably acceptable to the Company.</w:t>
      </w:r>
    </w:p>
    <w:p>
      <w:pPr>
        <w:spacing w:after="0" w:line="311" w:lineRule="exact"/>
        <w:rPr>
          <w:sz w:val="20"/>
          <w:szCs w:val="20"/>
          <w:color w:val="auto"/>
        </w:rPr>
      </w:pPr>
    </w:p>
    <w:p>
      <w:pPr>
        <w:ind w:left="764" w:hanging="764"/>
        <w:spacing w:after="0"/>
        <w:tabs>
          <w:tab w:leader="none" w:pos="764" w:val="left"/>
        </w:tabs>
        <w:numPr>
          <w:ilvl w:val="0"/>
          <w:numId w:val="484"/>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w:t>
      </w:r>
    </w:p>
    <w:p>
      <w:pPr>
        <w:spacing w:after="0" w:line="118" w:lineRule="exact"/>
        <w:rPr>
          <w:sz w:val="20"/>
          <w:szCs w:val="20"/>
          <w:color w:val="auto"/>
        </w:rPr>
      </w:pPr>
    </w:p>
    <w:p>
      <w:pPr>
        <w:ind w:left="764" w:hanging="768"/>
        <w:spacing w:after="0" w:line="246" w:lineRule="auto"/>
        <w:tabs>
          <w:tab w:leader="none" w:pos="744"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Any successor to the Company (whether direct or indirect and whether by purchase, merger, consolidation, liquidation or otherwise) to all or substantially all of the Company’s business or assets shall assume the obligations under this Schedule II and agree expressly to perform the obligations under this Schedule II in the same manner and to the same extent as the Company would be required to perform such obligations in the absence of a succession. For all purposes under this Schedule II, the term “Company” shall include any successor to the Company’s business or assets which executes and delivers the assumption agreement described in this paragraph 6.1 or which becomes bound by the terms of this Schedule II by operation of law.</w:t>
      </w:r>
    </w:p>
    <w:p>
      <w:pPr>
        <w:spacing w:after="0" w:line="90" w:lineRule="exact"/>
        <w:rPr>
          <w:sz w:val="20"/>
          <w:szCs w:val="20"/>
          <w:color w:val="auto"/>
        </w:rPr>
      </w:pPr>
    </w:p>
    <w:p>
      <w:pPr>
        <w:jc w:val="right"/>
        <w:ind w:left="4" w:right="500"/>
        <w:spacing w:after="0" w:line="328" w:lineRule="auto"/>
        <w:rPr>
          <w:sz w:val="20"/>
          <w:szCs w:val="20"/>
          <w:color w:val="auto"/>
        </w:rPr>
      </w:pPr>
      <w:r>
        <w:rPr>
          <w:rFonts w:ascii="Arial" w:cs="Arial" w:eastAsia="Arial" w:hAnsi="Arial"/>
          <w:sz w:val="19"/>
          <w:szCs w:val="19"/>
          <w:color w:val="auto"/>
        </w:rPr>
        <w:t>6.2     The terms of this Schedule II and your rights hereunder shall inure to the benefit of, and be enforceable by, your personal or legal representatives, executors, administrators, successors, heirs, distributees, devisees and legatees.</w:t>
      </w:r>
    </w:p>
    <w:p>
      <w:pPr>
        <w:spacing w:after="0" w:line="247" w:lineRule="exact"/>
        <w:rPr>
          <w:sz w:val="20"/>
          <w:szCs w:val="20"/>
          <w:color w:val="auto"/>
        </w:rPr>
      </w:pPr>
    </w:p>
    <w:p>
      <w:pPr>
        <w:ind w:left="764" w:hanging="764"/>
        <w:spacing w:after="0"/>
        <w:tabs>
          <w:tab w:leader="none" w:pos="764" w:val="left"/>
        </w:tabs>
        <w:numPr>
          <w:ilvl w:val="0"/>
          <w:numId w:val="485"/>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18" w:lineRule="exact"/>
        <w:rPr>
          <w:sz w:val="20"/>
          <w:szCs w:val="20"/>
          <w:color w:val="auto"/>
        </w:rPr>
      </w:pPr>
    </w:p>
    <w:p>
      <w:pPr>
        <w:ind w:left="764" w:right="860" w:hanging="768"/>
        <w:spacing w:after="0" w:line="250" w:lineRule="auto"/>
        <w:tabs>
          <w:tab w:leader="none" w:pos="744"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provisions of clause 35 of the Contract shall apply to this Schedule II as if references to the Contract are references to this Schedule II.</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- 29 -</w:t>
      </w:r>
    </w:p>
    <w:p>
      <w:pPr>
        <w:sectPr>
          <w:pgSz w:w="11900" w:h="16838" w:orient="portrait"/>
          <w:cols w:equalWidth="0" w:num="1">
            <w:col w:w="11004"/>
          </w:cols>
          <w:pgMar w:left="436" w:top="260" w:right="459" w:bottom="1440" w:gutter="0" w:footer="0" w:header="0"/>
        </w:sectPr>
      </w:pPr>
    </w:p>
    <w:bookmarkStart w:id="454" w:name="page455"/>
    <w:bookmarkEnd w:id="454"/>
    <w:p>
      <w:pPr>
        <w:ind w:left="764" w:hanging="764"/>
        <w:spacing w:after="0"/>
        <w:tabs>
          <w:tab w:leader="none" w:pos="764" w:val="left"/>
        </w:tabs>
        <w:numPr>
          <w:ilvl w:val="0"/>
          <w:numId w:val="486"/>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p>
    <w:p>
      <w:pPr>
        <w:spacing w:after="0" w:line="118"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The provisions of clauses 32 and 33 of the Contract shall apply to this Schedule II as if references to the Contract are references to this Schedule II.</w:t>
      </w:r>
    </w:p>
    <w:p>
      <w:pPr>
        <w:spacing w:after="0" w:line="317" w:lineRule="exact"/>
        <w:rPr>
          <w:sz w:val="20"/>
          <w:szCs w:val="20"/>
          <w:color w:val="auto"/>
        </w:rPr>
      </w:pPr>
    </w:p>
    <w:p>
      <w:pPr>
        <w:ind w:left="764" w:hanging="764"/>
        <w:spacing w:after="0"/>
        <w:tabs>
          <w:tab w:leader="none" w:pos="764" w:val="left"/>
        </w:tabs>
        <w:numPr>
          <w:ilvl w:val="0"/>
          <w:numId w:val="48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p>
    <w:p>
      <w:pPr>
        <w:spacing w:after="0" w:line="11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Notwithstanding anything to the contrary in this Schedule II, to the extent that any payments due under this Schedule</w:t>
      </w:r>
    </w:p>
    <w:p>
      <w:pPr>
        <w:spacing w:after="0" w:line="8" w:lineRule="exact"/>
        <w:rPr>
          <w:sz w:val="20"/>
          <w:szCs w:val="20"/>
          <w:color w:val="auto"/>
        </w:rPr>
      </w:pPr>
    </w:p>
    <w:p>
      <w:pPr>
        <w:ind w:left="764" w:firstLine="5"/>
        <w:spacing w:after="0" w:line="243" w:lineRule="auto"/>
        <w:tabs>
          <w:tab w:leader="none" w:pos="962" w:val="left"/>
        </w:tabs>
        <w:numPr>
          <w:ilvl w:val="0"/>
          <w:numId w:val="488"/>
        </w:numPr>
        <w:rPr>
          <w:rFonts w:ascii="Arial" w:cs="Arial" w:eastAsia="Arial" w:hAnsi="Arial"/>
          <w:sz w:val="21"/>
          <w:szCs w:val="21"/>
          <w:color w:val="auto"/>
        </w:rPr>
      </w:pPr>
      <w:r>
        <w:rPr>
          <w:rFonts w:ascii="Arial" w:cs="Arial" w:eastAsia="Arial" w:hAnsi="Arial"/>
          <w:sz w:val="21"/>
          <w:szCs w:val="21"/>
          <w:color w:val="auto"/>
        </w:rPr>
        <w:t>as a result of your termination of employment are subject to your execution and delivery of a Settlement Agreement, (A) if you fail to execute the Settlement Agreement on or prior to the Settlement Agreement Expiration Date (as defined below) or the Settlement Agreement does not become effective and irrevocable within 60 days following the Covered Termination Date (or such shorter period specified by the Company), you shall not be entitled to any payments or benefits otherwise conditioned on the Settlement Agreement, and (B) in any case where your Covered Termination Date and the last day the Settlement Agreement may be considered or, if applicable, revoked fall in two separate taxable years, any payments required to be made to you that are conditioned on the Settlement Agreement shall commence or be made in the later taxable year. For purposes hereof, “</w:t>
      </w:r>
      <w:r>
        <w:rPr>
          <w:rFonts w:ascii="Arial" w:cs="Arial" w:eastAsia="Arial" w:hAnsi="Arial"/>
          <w:sz w:val="21"/>
          <w:szCs w:val="21"/>
          <w:b w:val="1"/>
          <w:bCs w:val="1"/>
          <w:color w:val="auto"/>
        </w:rPr>
        <w:t>Settlement Expiration Date</w:t>
      </w:r>
      <w:r>
        <w:rPr>
          <w:rFonts w:ascii="Arial" w:cs="Arial" w:eastAsia="Arial" w:hAnsi="Arial"/>
          <w:sz w:val="21"/>
          <w:szCs w:val="21"/>
          <w:color w:val="auto"/>
        </w:rPr>
        <w:t>” shall mean the date that is twenty one (21) days following the date upon which the Company timely delivers the Settlement Agreement to you.</w:t>
      </w:r>
    </w:p>
    <w:p>
      <w:pPr>
        <w:spacing w:after="0" w:line="88" w:lineRule="exact"/>
        <w:rPr>
          <w:sz w:val="20"/>
          <w:szCs w:val="20"/>
          <w:color w:val="auto"/>
        </w:rPr>
      </w:pPr>
    </w:p>
    <w:p>
      <w:pPr>
        <w:ind w:left="764" w:right="680" w:hanging="768"/>
        <w:spacing w:after="0" w:line="250" w:lineRule="auto"/>
        <w:tabs>
          <w:tab w:leader="none" w:pos="744"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The Company shall be entitled to withhold from any amounts payable under this Schedule any local or foreign withholding or other taxes or charges which the Company is required to withhold.</w:t>
      </w:r>
    </w:p>
    <w:p>
      <w:pPr>
        <w:spacing w:after="0" w:line="80" w:lineRule="exact"/>
        <w:rPr>
          <w:sz w:val="20"/>
          <w:szCs w:val="20"/>
          <w:color w:val="auto"/>
        </w:rPr>
      </w:pPr>
    </w:p>
    <w:p>
      <w:pPr>
        <w:jc w:val="both"/>
        <w:ind w:left="764" w:right="40" w:hanging="768"/>
        <w:spacing w:after="0" w:line="287" w:lineRule="auto"/>
        <w:tabs>
          <w:tab w:leader="none" w:pos="744"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No provision of this Schedule II shall be modified, waived or discharged unless the modification, waiver or discharge is agreed to in writing and signed by you and by an authorized officer of the Company (other than you). No waiver by either party of any breach of, or of compliance with, any condition or provision of this Schedule II by the other party shall be considered a waiver of any other condition or provision or of the same condition or provision at another time.</w:t>
      </w:r>
    </w:p>
    <w:p>
      <w:pPr>
        <w:spacing w:after="0" w:line="48" w:lineRule="exact"/>
        <w:rPr>
          <w:sz w:val="20"/>
          <w:szCs w:val="20"/>
          <w:color w:val="auto"/>
        </w:rPr>
      </w:pPr>
    </w:p>
    <w:p>
      <w:pPr>
        <w:ind w:left="764" w:right="160" w:hanging="768"/>
        <w:spacing w:after="0" w:line="249" w:lineRule="auto"/>
        <w:tabs>
          <w:tab w:leader="none" w:pos="744"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Whenever possible, each provision of this Schedule II will be interpreted in such manner as to be effective and valid under applicable law, but if any provision of this Schedule II is held to be invalid or unenforceable in any respect under any applicable law or rule in any jurisdiction, such invalidity or unenforceability will not affect any other provision or any other jurisdiction, but this Schedule II will be reformed, construed and enforced in such jurisdiction as if such invalid or unenforceable provisions had never been contained herein.</w:t>
      </w:r>
    </w:p>
    <w:p>
      <w:pPr>
        <w:spacing w:after="0" w:line="84" w:lineRule="exact"/>
        <w:rPr>
          <w:sz w:val="20"/>
          <w:szCs w:val="20"/>
          <w:color w:val="auto"/>
        </w:rPr>
      </w:pPr>
    </w:p>
    <w:p>
      <w:pPr>
        <w:ind w:left="764" w:right="140" w:hanging="768"/>
        <w:spacing w:after="0" w:line="250" w:lineRule="auto"/>
        <w:tabs>
          <w:tab w:leader="none" w:pos="744"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color w:val="auto"/>
        </w:rPr>
        <w:t>The provisions of clauses 36 and 37 of the Contract shall apply to this Schedule II as if references to the Contract are references to this Schedule II.</w:t>
      </w:r>
    </w:p>
    <w:p>
      <w:pPr>
        <w:spacing w:after="0" w:line="80" w:lineRule="exact"/>
        <w:rPr>
          <w:sz w:val="20"/>
          <w:szCs w:val="20"/>
          <w:color w:val="auto"/>
        </w:rPr>
      </w:pPr>
    </w:p>
    <w:p>
      <w:pPr>
        <w:ind w:left="764" w:right="60" w:hanging="768"/>
        <w:spacing w:after="0" w:line="238" w:lineRule="auto"/>
        <w:tabs>
          <w:tab w:leader="none" w:pos="744"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color w:val="auto"/>
        </w:rPr>
        <w:t>You acknowledge that (i) you have consulted with or have had the opportunity to consult with independent counsel of your own choice concerning this Schedule II, and have been advised to do so by the Company, and (ii) that you have read and understand this Schedule II, are fully aware of its legal effect, and have entered into it freely based on your own judgment.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- 30 -</w:t>
      </w:r>
    </w:p>
    <w:p>
      <w:pPr>
        <w:sectPr>
          <w:pgSz w:w="11900" w:h="16838" w:orient="portrait"/>
          <w:cols w:equalWidth="0" w:num="1">
            <w:col w:w="11004"/>
          </w:cols>
          <w:pgMar w:left="436" w:top="260" w:right="45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b w:val="1"/>
          <w:bCs w:val="1"/>
          <w:color w:val="auto"/>
        </w:rPr>
        <w:t>Exhibit 4.40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5,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29"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This Change in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among [</w:t>
      </w:r>
      <w:r>
        <w:rPr>
          <w:rFonts w:ascii="Arial" w:cs="Arial" w:eastAsia="Arial" w:hAnsi="Arial"/>
          <w:sz w:val="17"/>
          <w:szCs w:val="17"/>
          <w:i w:val="1"/>
          <w:iCs w:val="1"/>
          <w:color w:val="auto"/>
        </w:rPr>
        <w:t>name</w:t>
      </w:r>
      <w:r>
        <w:rPr>
          <w:rFonts w:ascii="Arial" w:cs="Arial" w:eastAsia="Arial" w:hAnsi="Arial"/>
          <w:sz w:val="17"/>
          <w:szCs w:val="17"/>
          <w:color w:val="auto"/>
        </w:rPr>
        <w:t>]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Mereo BioPharma 5,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Mereo BioPharma Group plc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effective as of [</w:t>
      </w:r>
      <w:r>
        <w:rPr>
          <w:rFonts w:ascii="Arial" w:cs="Arial" w:eastAsia="Arial" w:hAnsi="Arial"/>
          <w:sz w:val="17"/>
          <w:szCs w:val="17"/>
          <w:i w:val="1"/>
          <w:iCs w:val="1"/>
          <w:color w:val="auto"/>
        </w:rPr>
        <w:t>date</w:t>
      </w:r>
      <w:r>
        <w:rPr>
          <w:rFonts w:ascii="Arial" w:cs="Arial" w:eastAsia="Arial" w:hAnsi="Arial"/>
          <w:sz w:val="17"/>
          <w:szCs w:val="17"/>
          <w:color w:val="auto"/>
        </w:rPr>
        <w:t>]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 The Board of Directors of Parent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recognizes that the possibility of an acquisition of the Company or an affiliate or an involuntary termination can be a distraction to Executive and can cause Executive to consider alternative employment opportunities. The Board has determined that it is in the best interests of the Company, Parent and its stockholders to assure that the Company will have the continued dedication and objectivity of Executive, notwithstanding the possibility, threat or occurrence of such an event.</w:t>
      </w:r>
    </w:p>
    <w:p>
      <w:pPr>
        <w:spacing w:after="0" w:line="7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B. The Board believes that it is in the best interests of the Company, Parent and its stockholders to provide Executive with an incentive to continue Executive’s employment and to motivate Executive to maximize the value of the Company and Parent upon a Change in Control (as defined below) for the benefit of Parent’s stockholders.</w:t>
      </w:r>
    </w:p>
    <w:p>
      <w:pPr>
        <w:spacing w:after="0" w:line="76"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Unless otherwise defined herein, capitalized terms used in this Agreement are defined in Section 9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hereto agree as follows:</w:t>
      </w:r>
    </w:p>
    <w:p>
      <w:pPr>
        <w:spacing w:after="0" w:line="252" w:lineRule="exact"/>
        <w:rPr>
          <w:sz w:val="20"/>
          <w:szCs w:val="20"/>
          <w:color w:val="auto"/>
        </w:rPr>
      </w:pPr>
    </w:p>
    <w:p>
      <w:pPr>
        <w:ind w:right="440" w:firstLine="436"/>
        <w:spacing w:after="0" w:line="277" w:lineRule="auto"/>
        <w:tabs>
          <w:tab w:leader="none" w:pos="62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become effective as of the Effective Date and terminate upon the date that all obligations of the parties hereto with respect to this Agreement have been satisfied.</w:t>
      </w:r>
    </w:p>
    <w:p>
      <w:pPr>
        <w:spacing w:after="0" w:line="170" w:lineRule="exact"/>
        <w:rPr>
          <w:rFonts w:ascii="Arial" w:cs="Arial" w:eastAsia="Arial" w:hAnsi="Arial"/>
          <w:sz w:val="18"/>
          <w:szCs w:val="18"/>
          <w:color w:val="auto"/>
        </w:rPr>
      </w:pPr>
    </w:p>
    <w:p>
      <w:pPr>
        <w:ind w:right="140" w:firstLine="436"/>
        <w:spacing w:after="0" w:line="259" w:lineRule="auto"/>
        <w:tabs>
          <w:tab w:leader="none" w:pos="62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and Executive acknowledge that Executive’s employment is and shall continue to be “at-will,” as defined under applicable law, although Executive may be entitled to certain payments and benefits as set forth in this Agreement. Except as provided in Section 5 below, if Executive’s employment terminates for any reason, Executive shall not be entitled to any severance payments, benefits or compensation other than as provided in this Agreement.</w:t>
      </w:r>
    </w:p>
    <w:p>
      <w:pPr>
        <w:sectPr>
          <w:pgSz w:w="11900" w:h="16838" w:orient="portrait"/>
          <w:cols w:equalWidth="0" w:num="1">
            <w:col w:w="11020"/>
          </w:cols>
          <w:pgMar w:left="440" w:top="121" w:right="439" w:bottom="1440" w:gutter="0" w:footer="0" w:header="0"/>
        </w:sectPr>
      </w:pPr>
    </w:p>
    <w:bookmarkStart w:id="456" w:name="page457"/>
    <w:bookmarkEnd w:id="456"/>
    <w:p>
      <w:pPr>
        <w:ind w:left="-20" w:firstLine="436"/>
        <w:spacing w:after="0" w:line="273" w:lineRule="auto"/>
        <w:tabs>
          <w:tab w:leader="none" w:pos="600" w:val="left"/>
        </w:tabs>
        <w:numPr>
          <w:ilvl w:val="0"/>
          <w:numId w:val="49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Termination Outside a Change in Control Period</w:t>
      </w:r>
      <w:r>
        <w:rPr>
          <w:rFonts w:ascii="Arial" w:cs="Arial" w:eastAsia="Arial" w:hAnsi="Arial"/>
          <w:sz w:val="17"/>
          <w:szCs w:val="17"/>
          <w:color w:val="auto"/>
        </w:rPr>
        <w:t>. If Executive experiences a Covered Termination outside a Change in Control Period, then, subject to (i) Executive delivering to the Company an executed general release of all claims against the Company and its affiliates in a form approved by the Company (a “</w:t>
      </w:r>
      <w:r>
        <w:rPr>
          <w:rFonts w:ascii="Arial" w:cs="Arial" w:eastAsia="Arial" w:hAnsi="Arial"/>
          <w:sz w:val="17"/>
          <w:szCs w:val="17"/>
          <w:b w:val="1"/>
          <w:bCs w:val="1"/>
          <w:i w:val="1"/>
          <w:iCs w:val="1"/>
          <w:color w:val="auto"/>
        </w:rPr>
        <w:t>Release of Claims</w:t>
      </w:r>
      <w:r>
        <w:rPr>
          <w:rFonts w:ascii="Arial" w:cs="Arial" w:eastAsia="Arial" w:hAnsi="Arial"/>
          <w:sz w:val="17"/>
          <w:szCs w:val="17"/>
          <w:color w:val="auto"/>
        </w:rPr>
        <w:t>”) that becomes 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69" w:lineRule="exact"/>
        <w:rPr>
          <w:rFonts w:ascii="Arial" w:cs="Arial" w:eastAsia="Arial" w:hAnsi="Arial"/>
          <w:sz w:val="17"/>
          <w:szCs w:val="17"/>
          <w:color w:val="auto"/>
        </w:rPr>
      </w:pPr>
    </w:p>
    <w:p>
      <w:pPr>
        <w:ind w:left="-20" w:right="160" w:firstLine="987"/>
        <w:spacing w:after="0" w:line="296" w:lineRule="auto"/>
        <w:tabs>
          <w:tab w:leader="none" w:pos="1216"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The Company shall continue to pay Executive Executive’s annual base salary at the rate in effect immediately prior to the Termination Date during the period of time commencing on the Termination Date and ending on the six (6)-month anniversary thereof, payable in substantially equal installments in accordance with the Company’s standard payroll policies, less applicable withholdings, with such installments to commence on the first payroll date following the date the Release of Claims becomes effective and irrevocable and the first installment to include any amount that would have been paid had the Release of Claims been effective and irrevocable on the Termination Date.</w:t>
      </w:r>
    </w:p>
    <w:p>
      <w:pPr>
        <w:spacing w:after="0" w:line="53" w:lineRule="exact"/>
        <w:rPr>
          <w:rFonts w:ascii="Arial" w:cs="Arial" w:eastAsia="Arial" w:hAnsi="Arial"/>
          <w:sz w:val="16"/>
          <w:szCs w:val="16"/>
          <w:color w:val="auto"/>
        </w:rPr>
      </w:pPr>
    </w:p>
    <w:p>
      <w:pPr>
        <w:ind w:left="-20" w:firstLine="987"/>
        <w:spacing w:after="0" w:line="287" w:lineRule="auto"/>
        <w:tabs>
          <w:tab w:leader="none" w:pos="1226"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t>Continued Healthcare</w:t>
      </w:r>
      <w:r>
        <w:rPr>
          <w:rFonts w:ascii="Arial" w:cs="Arial" w:eastAsia="Arial" w:hAnsi="Arial"/>
          <w:sz w:val="16"/>
          <w:szCs w:val="16"/>
          <w:color w:val="auto"/>
        </w:rPr>
        <w:t>. During the period commencing on the Termination Date and ending on the six (6)-month anniversary thereof or, if earlier, the date on which Executive becomes eligible for comparable replacement coverage under a subsequent employer’s group health plan (in any case, the “</w:t>
      </w:r>
      <w:r>
        <w:rPr>
          <w:rFonts w:ascii="Arial" w:cs="Arial" w:eastAsia="Arial" w:hAnsi="Arial"/>
          <w:sz w:val="16"/>
          <w:szCs w:val="16"/>
          <w:b w:val="1"/>
          <w:bCs w:val="1"/>
          <w:i w:val="1"/>
          <w:iCs w:val="1"/>
          <w:color w:val="auto"/>
        </w:rPr>
        <w:t>Non-CIC COBRA Period</w:t>
      </w:r>
      <w:r>
        <w:rPr>
          <w:rFonts w:ascii="Arial" w:cs="Arial" w:eastAsia="Arial" w:hAnsi="Arial"/>
          <w:sz w:val="16"/>
          <w:szCs w:val="16"/>
          <w:color w:val="auto"/>
        </w:rPr>
        <w:t>”), subject to Executive’s valid election to continue healthcare coverage under Section 4980B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spacing w:after="0" w:line="63" w:lineRule="exact"/>
        <w:rPr>
          <w:rFonts w:ascii="Arial" w:cs="Arial" w:eastAsia="Arial" w:hAnsi="Arial"/>
          <w:sz w:val="16"/>
          <w:szCs w:val="16"/>
          <w:color w:val="auto"/>
        </w:rPr>
      </w:pPr>
    </w:p>
    <w:p>
      <w:pPr>
        <w:ind w:left="-20" w:right="120" w:firstLine="436"/>
        <w:spacing w:after="0" w:line="296" w:lineRule="auto"/>
        <w:tabs>
          <w:tab w:leader="none" w:pos="600" w:val="left"/>
        </w:tabs>
        <w:numPr>
          <w:ilvl w:val="0"/>
          <w:numId w:val="490"/>
        </w:numPr>
        <w:rPr>
          <w:rFonts w:ascii="Arial" w:cs="Arial" w:eastAsia="Arial" w:hAnsi="Arial"/>
          <w:sz w:val="16"/>
          <w:szCs w:val="16"/>
          <w:color w:val="auto"/>
        </w:rPr>
      </w:pPr>
      <w:r>
        <w:rPr>
          <w:rFonts w:ascii="Arial" w:cs="Arial" w:eastAsia="Arial" w:hAnsi="Arial"/>
          <w:sz w:val="16"/>
          <w:szCs w:val="16"/>
          <w:u w:val="single" w:color="auto"/>
          <w:color w:val="auto"/>
        </w:rPr>
        <w:t>Covered Termination During a Change in Control Period</w:t>
      </w:r>
      <w:r>
        <w:rPr>
          <w:rFonts w:ascii="Arial" w:cs="Arial" w:eastAsia="Arial" w:hAnsi="Arial"/>
          <w:sz w:val="16"/>
          <w:szCs w:val="16"/>
          <w:color w:val="auto"/>
        </w:rPr>
        <w:t>. If Executive experiences a Covered Termination during a Change in Control Period, then, subject to (i) Executive delivering to the Company an executed Release of Claims that becomes 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457" w:name="page458"/>
    <w:bookmarkEnd w:id="457"/>
    <w:p>
      <w:pPr>
        <w:ind w:right="100" w:firstLine="987"/>
        <w:spacing w:after="0" w:line="259" w:lineRule="auto"/>
        <w:tabs>
          <w:tab w:leader="none" w:pos="1236" w:val="left"/>
        </w:tabs>
        <w:numPr>
          <w:ilvl w:val="1"/>
          <w:numId w:val="4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w:t>
      </w:r>
      <w:r>
        <w:rPr>
          <w:rFonts w:ascii="Arial" w:cs="Arial" w:eastAsia="Arial" w:hAnsi="Arial"/>
          <w:sz w:val="18"/>
          <w:szCs w:val="18"/>
          <w:color w:val="auto"/>
        </w:rPr>
        <w:t>. The Company shall pay to Executive an amount equal to the sum of (i) Executive’s annual base salary at the rate in effect immediately prior to the Termination Date and (ii) Executive’s target annual bonus assuming achievement of performance goals at one hundred percent (100%) of target, payable in a cash lump sum, less applicable withholdings, on the first payroll date following the date the Release of Claims becomes effective and irrevocable in accordance with Section 14(a)(v) below.</w:t>
      </w:r>
    </w:p>
    <w:p>
      <w:pPr>
        <w:spacing w:after="0" w:line="78" w:lineRule="exact"/>
        <w:rPr>
          <w:rFonts w:ascii="Arial" w:cs="Arial" w:eastAsia="Arial" w:hAnsi="Arial"/>
          <w:sz w:val="18"/>
          <w:szCs w:val="18"/>
          <w:color w:val="auto"/>
        </w:rPr>
      </w:pPr>
    </w:p>
    <w:p>
      <w:pPr>
        <w:ind w:firstLine="987"/>
        <w:spacing w:after="0" w:line="269" w:lineRule="auto"/>
        <w:tabs>
          <w:tab w:leader="none" w:pos="1246" w:val="left"/>
        </w:tabs>
        <w:numPr>
          <w:ilvl w:val="1"/>
          <w:numId w:val="491"/>
        </w:numPr>
        <w:rPr>
          <w:rFonts w:ascii="Arial" w:cs="Arial" w:eastAsia="Arial" w:hAnsi="Arial"/>
          <w:sz w:val="17"/>
          <w:szCs w:val="17"/>
          <w:color w:val="auto"/>
        </w:rPr>
      </w:pPr>
      <w:r>
        <w:rPr>
          <w:rFonts w:ascii="Arial" w:cs="Arial" w:eastAsia="Arial" w:hAnsi="Arial"/>
          <w:sz w:val="17"/>
          <w:szCs w:val="17"/>
          <w:u w:val="single" w:color="auto"/>
          <w:color w:val="auto"/>
        </w:rPr>
        <w:t>Continued Healthcare</w:t>
      </w:r>
      <w:r>
        <w:rPr>
          <w:rFonts w:ascii="Arial" w:cs="Arial" w:eastAsia="Arial" w:hAnsi="Arial"/>
          <w:sz w:val="17"/>
          <w:szCs w:val="17"/>
          <w:color w:val="auto"/>
        </w:rPr>
        <w:t>. During the period commencing on the Termination Date and ending on the first anniversary thereof or, if earlier, the date on which Executive becomes eligible for comparable replacement coverage under a subsequent employer’s group health plan (in any case, the “</w:t>
      </w:r>
      <w:r>
        <w:rPr>
          <w:rFonts w:ascii="Arial" w:cs="Arial" w:eastAsia="Arial" w:hAnsi="Arial"/>
          <w:sz w:val="17"/>
          <w:szCs w:val="17"/>
          <w:b w:val="1"/>
          <w:bCs w:val="1"/>
          <w:i w:val="1"/>
          <w:iCs w:val="1"/>
          <w:color w:val="auto"/>
        </w:rPr>
        <w:t>CIC COBRA Period</w:t>
      </w:r>
      <w:r>
        <w:rPr>
          <w:rFonts w:ascii="Arial" w:cs="Arial" w:eastAsia="Arial" w:hAnsi="Arial"/>
          <w:sz w:val="17"/>
          <w:szCs w:val="17"/>
          <w:color w:val="auto"/>
        </w:rPr>
        <w:t xml:space="preserve">”), subject to Executive’s valid election to continue healthcare coverage under Section 4980B of the Code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Termination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spacing w:after="0" w:line="73" w:lineRule="exact"/>
        <w:rPr>
          <w:rFonts w:ascii="Arial" w:cs="Arial" w:eastAsia="Arial" w:hAnsi="Arial"/>
          <w:sz w:val="17"/>
          <w:szCs w:val="17"/>
          <w:color w:val="auto"/>
        </w:rPr>
      </w:pPr>
    </w:p>
    <w:p>
      <w:pPr>
        <w:ind w:right="240" w:firstLine="987"/>
        <w:spacing w:after="0" w:line="279" w:lineRule="auto"/>
        <w:tabs>
          <w:tab w:leader="none" w:pos="1236" w:val="left"/>
        </w:tabs>
        <w:numPr>
          <w:ilvl w:val="1"/>
          <w:numId w:val="491"/>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Each outstanding and unvested equity award covering the American Depositary Shares or ordinary shares of Parent that vests solely based on the passage of time held by Executive as of the Termination Date shall automatically become vested and, if applicable, exercisable and any forfeiture restrictions or rights of repurchase thereon shall immediately lapse with respect to one percent (100%) of the American Depositary Shares or ordinary shares of Parent subject thereto, as of immediately prior to the Termination Date.</w:t>
      </w:r>
    </w:p>
    <w:p>
      <w:pPr>
        <w:spacing w:after="0" w:line="63" w:lineRule="exact"/>
        <w:rPr>
          <w:rFonts w:ascii="Arial" w:cs="Arial" w:eastAsia="Arial" w:hAnsi="Arial"/>
          <w:sz w:val="17"/>
          <w:szCs w:val="17"/>
          <w:color w:val="auto"/>
        </w:rPr>
      </w:pPr>
    </w:p>
    <w:p>
      <w:pPr>
        <w:ind w:right="20" w:firstLine="436"/>
        <w:spacing w:after="0" w:line="291" w:lineRule="auto"/>
        <w:tabs>
          <w:tab w:leader="none" w:pos="620" w:val="left"/>
        </w:tabs>
        <w:numPr>
          <w:ilvl w:val="0"/>
          <w:numId w:val="492"/>
        </w:numPr>
        <w:rPr>
          <w:rFonts w:ascii="Arial" w:cs="Arial" w:eastAsia="Arial" w:hAnsi="Arial"/>
          <w:sz w:val="16"/>
          <w:szCs w:val="16"/>
          <w:color w:val="auto"/>
        </w:rPr>
      </w:pPr>
      <w:r>
        <w:rPr>
          <w:rFonts w:ascii="Arial" w:cs="Arial" w:eastAsia="Arial" w:hAnsi="Arial"/>
          <w:sz w:val="16"/>
          <w:szCs w:val="16"/>
          <w:u w:val="single" w:color="auto"/>
          <w:color w:val="auto"/>
        </w:rPr>
        <w:t>Certain Reductions</w:t>
      </w:r>
      <w:r>
        <w:rPr>
          <w:rFonts w:ascii="Arial" w:cs="Arial" w:eastAsia="Arial" w:hAnsi="Arial"/>
          <w:sz w:val="16"/>
          <w:szCs w:val="16"/>
          <w:color w:val="auto"/>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58" w:name="page459"/>
    <w:bookmarkEnd w:id="458"/>
    <w:p>
      <w:pPr>
        <w:jc w:val="both"/>
        <w:ind w:left="4" w:right="120" w:firstLine="436"/>
        <w:spacing w:after="0" w:line="263" w:lineRule="auto"/>
        <w:tabs>
          <w:tab w:leader="none" w:pos="624" w:val="left"/>
        </w:tabs>
        <w:numPr>
          <w:ilvl w:val="1"/>
          <w:numId w:val="4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Resignation</w:t>
      </w:r>
      <w:r>
        <w:rPr>
          <w:rFonts w:ascii="Arial" w:cs="Arial" w:eastAsia="Arial" w:hAnsi="Arial"/>
          <w:sz w:val="18"/>
          <w:szCs w:val="18"/>
          <w:color w:val="auto"/>
        </w:rPr>
        <w:t>.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75" w:lineRule="exact"/>
        <w:rPr>
          <w:rFonts w:ascii="Arial" w:cs="Arial" w:eastAsia="Arial" w:hAnsi="Arial"/>
          <w:sz w:val="18"/>
          <w:szCs w:val="18"/>
          <w:color w:val="auto"/>
        </w:rPr>
      </w:pPr>
    </w:p>
    <w:p>
      <w:pPr>
        <w:ind w:left="4" w:right="200" w:firstLine="436"/>
        <w:spacing w:after="0" w:line="259" w:lineRule="auto"/>
        <w:tabs>
          <w:tab w:leader="none" w:pos="624" w:val="left"/>
        </w:tabs>
        <w:numPr>
          <w:ilvl w:val="1"/>
          <w:numId w:val="493"/>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spacing w:after="0" w:line="78" w:lineRule="exact"/>
        <w:rPr>
          <w:rFonts w:ascii="Arial" w:cs="Arial" w:eastAsia="Arial" w:hAnsi="Arial"/>
          <w:sz w:val="18"/>
          <w:szCs w:val="18"/>
          <w:color w:val="auto"/>
        </w:rPr>
      </w:pPr>
    </w:p>
    <w:p>
      <w:pPr>
        <w:ind w:left="624" w:hanging="184"/>
        <w:spacing w:after="0"/>
        <w:tabs>
          <w:tab w:leader="none" w:pos="624" w:val="left"/>
        </w:tabs>
        <w:numPr>
          <w:ilvl w:val="1"/>
          <w:numId w:val="493"/>
        </w:numPr>
        <w:rPr>
          <w:rFonts w:ascii="Arial" w:cs="Arial" w:eastAsia="Arial" w:hAnsi="Arial"/>
          <w:sz w:val="18"/>
          <w:szCs w:val="18"/>
          <w:color w:val="auto"/>
        </w:rPr>
      </w:pPr>
      <w:r>
        <w:rPr>
          <w:rFonts w:ascii="Arial" w:cs="Arial" w:eastAsia="Arial" w:hAnsi="Arial"/>
          <w:sz w:val="18"/>
          <w:szCs w:val="18"/>
          <w:u w:val="single" w:color="auto"/>
          <w:color w:val="auto"/>
        </w:rPr>
        <w:t>Golden Parachute Excise Tax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83" w:lineRule="auto"/>
        <w:tabs>
          <w:tab w:leader="none" w:pos="1240" w:val="left"/>
        </w:tabs>
        <w:numPr>
          <w:ilvl w:val="2"/>
          <w:numId w:val="493"/>
        </w:numPr>
        <w:rPr>
          <w:rFonts w:ascii="Arial" w:cs="Arial" w:eastAsia="Arial" w:hAnsi="Arial"/>
          <w:sz w:val="16"/>
          <w:szCs w:val="16"/>
          <w:color w:val="auto"/>
        </w:rPr>
      </w:pPr>
      <w:r>
        <w:rPr>
          <w:rFonts w:ascii="Arial" w:cs="Arial" w:eastAsia="Arial" w:hAnsi="Arial"/>
          <w:sz w:val="16"/>
          <w:szCs w:val="16"/>
          <w:u w:val="single" w:color="auto"/>
          <w:color w:val="auto"/>
        </w:rPr>
        <w:t>Best Pay</w:t>
      </w:r>
      <w:r>
        <w:rPr>
          <w:rFonts w:ascii="Arial" w:cs="Arial" w:eastAsia="Arial" w:hAnsi="Arial"/>
          <w:sz w:val="16"/>
          <w:szCs w:val="16"/>
          <w:color w:val="auto"/>
        </w:rPr>
        <w:t>. Any provision of this Agreement to the contrary notwithstanding, if any payment or benefit Executive would receive from the Company pursuant to this Agreement or otherwise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will be equal to the Reduced Amount (as defined below). The “</w:t>
      </w:r>
      <w:r>
        <w:rPr>
          <w:rFonts w:ascii="Arial" w:cs="Arial" w:eastAsia="Arial" w:hAnsi="Arial"/>
          <w:sz w:val="16"/>
          <w:szCs w:val="16"/>
          <w:b w:val="1"/>
          <w:bCs w:val="1"/>
          <w:i w:val="1"/>
          <w:iCs w:val="1"/>
          <w:color w:val="auto"/>
        </w:rPr>
        <w:t>Reduced Amount</w:t>
      </w:r>
      <w:r>
        <w:rPr>
          <w:rFonts w:ascii="Arial" w:cs="Arial" w:eastAsia="Arial" w:hAnsi="Arial"/>
          <w:sz w:val="16"/>
          <w:szCs w:val="16"/>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6"/>
          <w:szCs w:val="16"/>
          <w:b w:val="1"/>
          <w:bCs w:val="1"/>
          <w:i w:val="1"/>
          <w:iCs w:val="1"/>
          <w:color w:val="auto"/>
        </w:rPr>
        <w:t>Reduction Method</w:t>
      </w:r>
      <w:r>
        <w:rPr>
          <w:rFonts w:ascii="Arial" w:cs="Arial" w:eastAsia="Arial" w:hAnsi="Arial"/>
          <w:sz w:val="16"/>
          <w:szCs w:val="16"/>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6"/>
          <w:szCs w:val="16"/>
          <w:b w:val="1"/>
          <w:bCs w:val="1"/>
          <w:i w:val="1"/>
          <w:iCs w:val="1"/>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1" w:lineRule="exact"/>
        <w:rPr>
          <w:rFonts w:ascii="Arial" w:cs="Arial" w:eastAsia="Arial" w:hAnsi="Arial"/>
          <w:sz w:val="16"/>
          <w:szCs w:val="16"/>
          <w:color w:val="auto"/>
        </w:rPr>
      </w:pPr>
    </w:p>
    <w:p>
      <w:pPr>
        <w:ind w:left="4" w:right="200" w:hanging="4"/>
        <w:spacing w:after="0" w:line="295" w:lineRule="auto"/>
        <w:tabs>
          <w:tab w:leader="none" w:pos="259"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6"/>
          <w:szCs w:val="16"/>
          <w:i w:val="1"/>
          <w:iCs w:val="1"/>
          <w:color w:val="auto"/>
        </w:rPr>
        <w:t>e.g</w:t>
      </w:r>
      <w:r>
        <w:rPr>
          <w:rFonts w:ascii="Arial" w:cs="Arial" w:eastAsia="Arial" w:hAnsi="Arial"/>
          <w:sz w:val="16"/>
          <w:szCs w:val="16"/>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53" w:lineRule="exact"/>
        <w:rPr>
          <w:rFonts w:ascii="Arial" w:cs="Arial" w:eastAsia="Arial" w:hAnsi="Arial"/>
          <w:sz w:val="16"/>
          <w:szCs w:val="16"/>
          <w:color w:val="auto"/>
        </w:rPr>
      </w:pPr>
    </w:p>
    <w:p>
      <w:pPr>
        <w:ind w:left="4" w:right="60" w:firstLine="987"/>
        <w:spacing w:after="0" w:line="301" w:lineRule="auto"/>
        <w:tabs>
          <w:tab w:leader="none" w:pos="1250" w:val="left"/>
        </w:tabs>
        <w:numPr>
          <w:ilvl w:val="2"/>
          <w:numId w:val="494"/>
        </w:numPr>
        <w:rPr>
          <w:rFonts w:ascii="Arial" w:cs="Arial" w:eastAsia="Arial" w:hAnsi="Arial"/>
          <w:sz w:val="16"/>
          <w:szCs w:val="16"/>
          <w:color w:val="auto"/>
        </w:rPr>
      </w:pP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engaged by the Company for general tax purposes as of the day prior to the Change in Control will perform the calculations set forth in Section 8(a).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59" w:name="page460"/>
    <w:bookmarkEnd w:id="45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determinations hereunder will provide its calculations, together with detailed supporting documentation, to the Company within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53" w:lineRule="exact"/>
        <w:rPr>
          <w:sz w:val="20"/>
          <w:szCs w:val="20"/>
          <w:color w:val="auto"/>
        </w:rPr>
      </w:pPr>
    </w:p>
    <w:p>
      <w:pPr>
        <w:ind w:left="620" w:hanging="184"/>
        <w:spacing w:after="0"/>
        <w:tabs>
          <w:tab w:leader="none" w:pos="620"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Agreement shall have the following meanings:</w:t>
      </w:r>
    </w:p>
    <w:p>
      <w:pPr>
        <w:spacing w:after="0" w:line="117" w:lineRule="exact"/>
        <w:rPr>
          <w:rFonts w:ascii="Arial" w:cs="Arial" w:eastAsia="Arial" w:hAnsi="Arial"/>
          <w:sz w:val="18"/>
          <w:szCs w:val="18"/>
          <w:color w:val="auto"/>
        </w:rPr>
      </w:pPr>
    </w:p>
    <w:p>
      <w:pPr>
        <w:ind w:right="80" w:firstLine="987"/>
        <w:spacing w:after="0" w:line="286" w:lineRule="auto"/>
        <w:tabs>
          <w:tab w:leader="none" w:pos="1236" w:val="left"/>
        </w:tabs>
        <w:numPr>
          <w:ilvl w:val="1"/>
          <w:numId w:val="4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any one of the following: (i) Executive engaging in any act of theft or fraud concerning, or misappropriation of, funds or other assets of the Company or any of its affiliates (the “</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xml:space="preserve">”), or other acts of dishonesty, willful misconduct or gross negligence involving the property or affairs of the Company Group; (ii) a conviction (by trial, upon a plea or otherwise) of Executive or the admission of guilt via </w:t>
      </w:r>
      <w:r>
        <w:rPr>
          <w:rFonts w:ascii="Arial" w:cs="Arial" w:eastAsia="Arial" w:hAnsi="Arial"/>
          <w:sz w:val="16"/>
          <w:szCs w:val="16"/>
          <w:i w:val="1"/>
          <w:iCs w:val="1"/>
          <w:color w:val="auto"/>
        </w:rPr>
        <w:t xml:space="preserve">nolo contendere </w:t>
      </w:r>
      <w:r>
        <w:rPr>
          <w:rFonts w:ascii="Arial" w:cs="Arial" w:eastAsia="Arial" w:hAnsi="Arial"/>
          <w:sz w:val="16"/>
          <w:szCs w:val="16"/>
          <w:color w:val="auto"/>
        </w:rPr>
        <w:t>by Executive of any felony or misdemeanor involving moral turpitude; (iii) Executive’s willful violation of any material policy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 of the Company Group; (iv) Executive’s material breach of the fiduciary duties owed by an officer of the Company Group to the Company Group under applicable law; (v) Executive’s willful failure (other than due to mental or physical incapacity) or refusal to obey and execute all reasonable and lawful directions given by or under the authority of the Company Group; (vi) Executive’s willful and material breach of any of the terms and conditions of this Agreement; or (vii) Executive’s willful and material breach of any restrictive covenants by which Executive is bound under this Agreement or any other agreement with any member of the Company Group. Notwithstanding the foregoing, if there exists a circumstance that constitutes “Cause” as set forth above which is capable of being cured by Executive, the Company will promptly notify Executive in writing of such event (which notification shall specify in reasonable detail the conduct that the Company alleges to constitute Cause and the specific actions, if any, which the Company believes Executive must take to cure such events or conditions) and Executive will have 30 days from the date such written notice is given to cure such events (if curable), and, if cured, such events or conditions will be deemed not to constitute Cause hereunder. For the purposes of this definition, no act or failure to act on Executive’s part shall be considered “willful” unless it is done or omitted to be done by Executive in bad faith and without reasonable belief that the act or failure to act was in the best interest of the Company.</w:t>
      </w:r>
    </w:p>
    <w:p>
      <w:pPr>
        <w:spacing w:after="0" w:line="59" w:lineRule="exact"/>
        <w:rPr>
          <w:rFonts w:ascii="Arial" w:cs="Arial" w:eastAsia="Arial" w:hAnsi="Arial"/>
          <w:sz w:val="16"/>
          <w:szCs w:val="16"/>
          <w:color w:val="auto"/>
        </w:rPr>
      </w:pPr>
    </w:p>
    <w:p>
      <w:pPr>
        <w:ind w:right="120" w:firstLine="987"/>
        <w:spacing w:after="0" w:line="272" w:lineRule="auto"/>
        <w:tabs>
          <w:tab w:leader="none" w:pos="1246" w:val="left"/>
        </w:tabs>
        <w:numPr>
          <w:ilvl w:val="1"/>
          <w:numId w:val="4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(i) the acquisition by any person or group of affiliated or associated persons of more than fifty percent (50%) of the outstanding capital stock of Parent or voting securities representing more than fifty percent (50%) of the total voting power of outstanding securities of Parent; (ii) the consummation of a sale, exclusive license or other disposition of all or substantially all of the assets of Parent to a third party; (iii) the consummation of any merger involving Parent in which, immediately after giving effect to such merger, less than a majority of the total voting power of outstanding stock of the surviving or resulting entity is then “beneficially owned” (within the meaning of Rule 13d-3 under the Securities Exchange Act of 1934, as amended) in the aggregate by the shareholders of Parent, as applicable, immediately prior to such merger. For the avoidance of doubt and notwithstanding anything herein to the contrary, in no event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60" w:name="page461"/>
    <w:bookmarkEnd w:id="46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a transaction constitute a “Change in Control” if: (A) its sole purpose is to change the jurisdiction of Parent’s incorporation; (B) its sole purpose is to create a holding company that will be owned in substantially the same proportions by the persons who held Parent’s securities immediately before such transaction; or (C) it is effected primarily for the purpose of financing Parent with cash (as determined by the Board without regard to whether such transaction is effectuated by a merger, equity financing, or otherwise). Notwithstanding the foregoing, if a Change in Control would give rise to a payment or settlement event that constitutes “nonqualified deferred compensation,” the transaction or event constituting the Change in Control must also constitute a “change in control event” (as defined in Treasury Regulation §1.409A-3(i)(5)) in order to give rise to the payment or settlement event, to the extent required by Section 409A.</w:t>
      </w:r>
    </w:p>
    <w:p>
      <w:pPr>
        <w:spacing w:after="0" w:line="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 “</w:t>
      </w:r>
      <w:r>
        <w:rPr>
          <w:rFonts w:ascii="Arial" w:cs="Arial" w:eastAsia="Arial" w:hAnsi="Arial"/>
          <w:sz w:val="17"/>
          <w:szCs w:val="17"/>
          <w:b w:val="1"/>
          <w:bCs w:val="1"/>
          <w:i w:val="1"/>
          <w:iCs w:val="1"/>
          <w:color w:val="auto"/>
        </w:rPr>
        <w:t>Change in Control Period</w:t>
      </w:r>
      <w:r>
        <w:rPr>
          <w:rFonts w:ascii="Arial" w:cs="Arial" w:eastAsia="Arial" w:hAnsi="Arial"/>
          <w:sz w:val="17"/>
          <w:szCs w:val="17"/>
          <w:color w:val="auto"/>
        </w:rPr>
        <w:t>” means the period commencing on a Change in Control and ending 12 months after such Change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103" w:lineRule="exact"/>
        <w:rPr>
          <w:sz w:val="20"/>
          <w:szCs w:val="20"/>
          <w:color w:val="auto"/>
        </w:rPr>
      </w:pPr>
    </w:p>
    <w:p>
      <w:pPr>
        <w:ind w:right="180" w:firstLine="987"/>
        <w:spacing w:after="0" w:line="277" w:lineRule="auto"/>
        <w:tabs>
          <w:tab w:leader="none" w:pos="1246" w:val="left"/>
        </w:tabs>
        <w:numPr>
          <w:ilvl w:val="1"/>
          <w:numId w:val="4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the termination of Executive’s employment by the Company other than for Cause or by Executive for Good Reason, and shall not include a termination due to Executive’s death or disability.</w:t>
      </w:r>
    </w:p>
    <w:p>
      <w:pPr>
        <w:spacing w:after="0" w:line="62" w:lineRule="exact"/>
        <w:rPr>
          <w:rFonts w:ascii="Arial" w:cs="Arial" w:eastAsia="Arial" w:hAnsi="Arial"/>
          <w:sz w:val="18"/>
          <w:szCs w:val="18"/>
          <w:color w:val="auto"/>
        </w:rPr>
      </w:pPr>
    </w:p>
    <w:p>
      <w:pPr>
        <w:ind w:right="20" w:firstLine="987"/>
        <w:spacing w:after="0" w:line="287" w:lineRule="auto"/>
        <w:tabs>
          <w:tab w:leader="none" w:pos="1236" w:val="left"/>
        </w:tabs>
        <w:numPr>
          <w:ilvl w:val="1"/>
          <w:numId w:val="4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Executive’s resignation from employment with the Company after the occurrence, without Executive’s written consent, of any of the following: (i) a material reduction in Executive’s authorities, duties, reporting obligations and responsibilities or other terms and conditions of employment; (ii) a material reduction by the Company in Executive’s base salary from Executive’s base salary in effect immediately prior to such reduction; (iii) a relocation of Executive’s principal place of employment to a place outside the Atlanta, Georgia metropolitan area, provided that if Executive’s office as of such relocation is Executive’s home office, such commute shall be measured from Executive’s home office as of Executive’s commencement of employment with the Company Group, or a relocation of Executive’s office to a location outside of Georgia, except that required travel on the Company’s business to an extent substantially consistent with Executive’s historical business travel obligations shall not be considered a relocation; or (iv) any material breach, non-performance or non-observance by the Company fo any of the terms of this Agreement or the Employment Agreement. Notwithstanding the foregoing, a resignation shall not be for “Good Reason” unless the event or condition giving rise to such resignation continues more than thirty (30) days following Executive’s written notice of such condition provided to the Company within sixty (60) days of the first occurrence of such event or condition and such resignation is effective within thirty (30) days following the end of such notice period.</w:t>
      </w:r>
    </w:p>
    <w:p>
      <w:pPr>
        <w:spacing w:after="0" w:line="63" w:lineRule="exact"/>
        <w:rPr>
          <w:rFonts w:ascii="Arial" w:cs="Arial" w:eastAsia="Arial" w:hAnsi="Arial"/>
          <w:sz w:val="16"/>
          <w:szCs w:val="16"/>
          <w:color w:val="auto"/>
        </w:rPr>
      </w:pPr>
    </w:p>
    <w:p>
      <w:pPr>
        <w:ind w:right="80" w:firstLine="987"/>
        <w:spacing w:after="0" w:line="277" w:lineRule="auto"/>
        <w:tabs>
          <w:tab w:leader="none" w:pos="1216" w:val="left"/>
        </w:tabs>
        <w:numPr>
          <w:ilvl w:val="1"/>
          <w:numId w:val="4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“separation from service” with the Company within the meaning of Section 409A of the Code and the Department of Treasury regulations and other guidance promulgated thereunder.</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on which Executive experiences a Covered Termination.</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61" w:name="page462"/>
    <w:bookmarkEnd w:id="461"/>
    <w:p>
      <w:pPr>
        <w:ind w:left="-60" w:right="220" w:firstLine="987"/>
        <w:spacing w:after="0" w:line="255" w:lineRule="auto"/>
        <w:tabs>
          <w:tab w:leader="none" w:pos="1176" w:val="left"/>
        </w:tabs>
        <w:numPr>
          <w:ilvl w:val="1"/>
          <w:numId w:val="4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Successors</w:t>
      </w:r>
      <w:r>
        <w:rPr>
          <w:rFonts w:ascii="Arial" w:cs="Arial" w:eastAsia="Arial" w:hAnsi="Arial"/>
          <w:sz w:val="18"/>
          <w:szCs w:val="18"/>
          <w:color w:val="auto"/>
        </w:rPr>
        <w:t xml:space="preserve"> .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include any successor to the Company’s business or assets which executes and delivers the assumption agreement described in this Section 10(a) or which becomes bound by the terms of this Agreement by operation of law.</w:t>
      </w:r>
    </w:p>
    <w:p>
      <w:pPr>
        <w:spacing w:after="0" w:line="84" w:lineRule="exact"/>
        <w:rPr>
          <w:rFonts w:ascii="Arial" w:cs="Arial" w:eastAsia="Arial" w:hAnsi="Arial"/>
          <w:sz w:val="18"/>
          <w:szCs w:val="18"/>
          <w:color w:val="auto"/>
        </w:rPr>
      </w:pPr>
    </w:p>
    <w:p>
      <w:pPr>
        <w:ind w:left="-60" w:right="600" w:firstLine="987"/>
        <w:spacing w:after="0" w:line="342" w:lineRule="auto"/>
        <w:tabs>
          <w:tab w:leader="none" w:pos="1186" w:val="left"/>
        </w:tabs>
        <w:numPr>
          <w:ilvl w:val="1"/>
          <w:numId w:val="498"/>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5" w:lineRule="exact"/>
        <w:rPr>
          <w:rFonts w:ascii="Arial" w:cs="Arial" w:eastAsia="Arial" w:hAnsi="Arial"/>
          <w:sz w:val="16"/>
          <w:szCs w:val="16"/>
          <w:color w:val="auto"/>
        </w:rPr>
      </w:pPr>
    </w:p>
    <w:p>
      <w:pPr>
        <w:ind w:left="-60" w:right="100" w:firstLine="436"/>
        <w:spacing w:after="0" w:line="263" w:lineRule="auto"/>
        <w:tabs>
          <w:tab w:leader="none" w:pos="643"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spacing w:after="0" w:line="75" w:lineRule="exact"/>
        <w:rPr>
          <w:rFonts w:ascii="Arial" w:cs="Arial" w:eastAsia="Arial" w:hAnsi="Arial"/>
          <w:sz w:val="18"/>
          <w:szCs w:val="18"/>
          <w:color w:val="auto"/>
        </w:rPr>
      </w:pPr>
    </w:p>
    <w:p>
      <w:pPr>
        <w:ind w:left="640" w:hanging="264"/>
        <w:spacing w:after="0"/>
        <w:tabs>
          <w:tab w:leader="none" w:pos="640"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Confidentiality; Non-Disparagement.</w:t>
      </w:r>
    </w:p>
    <w:p>
      <w:pPr>
        <w:spacing w:after="0" w:line="117" w:lineRule="exact"/>
        <w:rPr>
          <w:rFonts w:ascii="Arial" w:cs="Arial" w:eastAsia="Arial" w:hAnsi="Arial"/>
          <w:sz w:val="18"/>
          <w:szCs w:val="18"/>
          <w:color w:val="auto"/>
        </w:rPr>
      </w:pPr>
    </w:p>
    <w:p>
      <w:pPr>
        <w:ind w:left="-60" w:right="40" w:firstLine="987"/>
        <w:spacing w:after="0" w:line="263" w:lineRule="auto"/>
        <w:tabs>
          <w:tab w:leader="none" w:pos="1176" w:val="left"/>
        </w:tabs>
        <w:numPr>
          <w:ilvl w:val="1"/>
          <w:numId w:val="499"/>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Executive hereby expressly confirms Executive’s continuing obligations to the Company pursuant to that certain Employee Proprietary Information and Inventions Assignment Agreement or other confidentiality, invention assignment, restrictive covenant or similar agreement by and between the Company and/or Parent and Executive (the “</w:t>
      </w:r>
      <w:r>
        <w:rPr>
          <w:rFonts w:ascii="Arial" w:cs="Arial" w:eastAsia="Arial" w:hAnsi="Arial"/>
          <w:sz w:val="18"/>
          <w:szCs w:val="18"/>
          <w:b w:val="1"/>
          <w:bCs w:val="1"/>
          <w:i w:val="1"/>
          <w:iCs w:val="1"/>
          <w:color w:val="auto"/>
        </w:rPr>
        <w:t>Confidential Information 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0" w:right="140" w:firstLine="987"/>
        <w:spacing w:after="0" w:line="263" w:lineRule="auto"/>
        <w:tabs>
          <w:tab w:leader="none" w:pos="1186" w:val="left"/>
        </w:tabs>
        <w:numPr>
          <w:ilvl w:val="1"/>
          <w:numId w:val="49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Executive shall not disparage, criticize or defame the Company, Parent, their respective affiliates and their respective directors, officers, agents, partners, stockholders or employees, either publicly or privately. Nothing in this Section 12(c) shall apply to any evidence or testimony required by any court, arbitrator or government agency.</w:t>
      </w:r>
    </w:p>
    <w:p>
      <w:pPr>
        <w:spacing w:after="0" w:line="75" w:lineRule="exact"/>
        <w:rPr>
          <w:rFonts w:ascii="Arial" w:cs="Arial" w:eastAsia="Arial" w:hAnsi="Arial"/>
          <w:sz w:val="18"/>
          <w:szCs w:val="18"/>
          <w:color w:val="auto"/>
        </w:rPr>
      </w:pPr>
    </w:p>
    <w:p>
      <w:pPr>
        <w:ind w:left="-60" w:firstLine="987"/>
        <w:spacing w:after="0" w:line="270" w:lineRule="auto"/>
        <w:tabs>
          <w:tab w:leader="none" w:pos="1176" w:val="left"/>
        </w:tabs>
        <w:numPr>
          <w:ilvl w:val="1"/>
          <w:numId w:val="499"/>
        </w:numPr>
        <w:rPr>
          <w:rFonts w:ascii="Arial" w:cs="Arial" w:eastAsia="Arial" w:hAnsi="Arial"/>
          <w:sz w:val="17"/>
          <w:szCs w:val="17"/>
          <w:color w:val="auto"/>
        </w:rPr>
      </w:pPr>
      <w:r>
        <w:rPr>
          <w:rFonts w:ascii="Arial" w:cs="Arial" w:eastAsia="Arial" w:hAnsi="Arial"/>
          <w:sz w:val="17"/>
          <w:szCs w:val="17"/>
          <w:u w:val="single" w:color="auto"/>
          <w:color w:val="auto"/>
        </w:rPr>
        <w:t>Whistleblower Protections and Trade Secrets</w:t>
      </w:r>
      <w:r>
        <w:rPr>
          <w:rFonts w:ascii="Arial" w:cs="Arial" w:eastAsia="Arial" w:hAnsi="Arial"/>
          <w:sz w:val="17"/>
          <w:szCs w:val="17"/>
          <w:color w:val="auto"/>
        </w:rPr>
        <w:t>. Notwithstanding anything to the 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500" w:top="274" w:right="519" w:bottom="1440" w:gutter="0" w:footer="0" w:header="0"/>
        </w:sectPr>
      </w:pPr>
    </w:p>
    <w:bookmarkStart w:id="462" w:name="page463"/>
    <w:bookmarkEnd w:id="462"/>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57" w:lineRule="exact"/>
        <w:rPr>
          <w:sz w:val="20"/>
          <w:szCs w:val="20"/>
          <w:color w:val="auto"/>
        </w:rPr>
      </w:pPr>
    </w:p>
    <w:p>
      <w:pPr>
        <w:ind w:firstLine="436"/>
        <w:spacing w:after="0" w:line="284" w:lineRule="auto"/>
        <w:tabs>
          <w:tab w:leader="none" w:pos="710" w:val="left"/>
        </w:tabs>
        <w:numPr>
          <w:ilvl w:val="0"/>
          <w:numId w:val="500"/>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w:t>
      </w:r>
      <w:r>
        <w:rPr>
          <w:rFonts w:ascii="Arial" w:cs="Arial" w:eastAsia="Arial" w:hAnsi="Arial"/>
          <w:sz w:val="16"/>
          <w:szCs w:val="16"/>
          <w:i w:val="1"/>
          <w:iCs w:val="1"/>
          <w:color w:val="auto"/>
        </w:rPr>
        <w:t>county and state of residency</w:t>
      </w:r>
      <w:r>
        <w:rPr>
          <w:rFonts w:ascii="Arial" w:cs="Arial" w:eastAsia="Arial" w:hAnsi="Arial"/>
          <w:sz w:val="16"/>
          <w:szCs w:val="16"/>
          <w:color w:val="auto"/>
        </w:rPr>
        <w:t>] through JAMS in conformity with [</w:t>
      </w:r>
      <w:r>
        <w:rPr>
          <w:rFonts w:ascii="Arial" w:cs="Arial" w:eastAsia="Arial" w:hAnsi="Arial"/>
          <w:sz w:val="16"/>
          <w:szCs w:val="16"/>
          <w:i w:val="1"/>
          <w:iCs w:val="1"/>
          <w:color w:val="auto"/>
        </w:rPr>
        <w:t>state of residency</w:t>
      </w:r>
      <w:r>
        <w:rPr>
          <w:rFonts w:ascii="Arial" w:cs="Arial" w:eastAsia="Arial" w:hAnsi="Arial"/>
          <w:sz w:val="16"/>
          <w:szCs w:val="16"/>
          <w:color w:val="auto"/>
        </w:rPr>
        <w:t>] law and the then-existing JAMS employment arbitration rules, which can be found at https://www.jamsadr.com/rules- employment-arbitration/. The Federal Arbitration Act, 9 U.S.C. §§ 1 et seq. shall govern the interpretation and enforcement of this arbitration clause. All remedies available from a court of competent jurisdiction shall be available in the arbitration; provided, however, in the event of a breach of Sections 12(a) – 12(b),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12(a) – 12(b),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12(a) – 12(b), none of the parties shall raise the defense, without a good faith basis for raising such defense, that there is an adequate remedy at law. Executive and the Company understand that by agreement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spacing w:after="0" w:line="289" w:lineRule="exact"/>
        <w:rPr>
          <w:rFonts w:ascii="Arial" w:cs="Arial" w:eastAsia="Arial" w:hAnsi="Arial"/>
          <w:sz w:val="16"/>
          <w:szCs w:val="16"/>
          <w:color w:val="auto"/>
        </w:rPr>
      </w:pPr>
    </w:p>
    <w:p>
      <w:pPr>
        <w:ind w:left="700" w:hanging="264"/>
        <w:spacing w:after="0"/>
        <w:tabs>
          <w:tab w:leader="none" w:pos="700"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50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1428"/>
        <w:spacing w:after="0" w:line="263" w:lineRule="auto"/>
        <w:tabs>
          <w:tab w:leader="none" w:pos="1647" w:val="left"/>
        </w:tabs>
        <w:numPr>
          <w:ilvl w:val="2"/>
          <w:numId w:val="500"/>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Notwithstanding any provision to the contrary in this Agreement, no amount constituting deferred compensation subject to Section 409A of the Code shall be payable pursuant to Sections 3 or 4 above unless Executive’s termination of employment constitutes a Separation from Service.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63" w:name="page464"/>
    <w:bookmarkEnd w:id="463"/>
    <w:p>
      <w:pPr>
        <w:ind w:firstLine="1428"/>
        <w:spacing w:after="0" w:line="287" w:lineRule="auto"/>
        <w:tabs>
          <w:tab w:leader="none" w:pos="1697" w:val="left"/>
        </w:tabs>
        <w:numPr>
          <w:ilvl w:val="0"/>
          <w:numId w:val="5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Executive</w:t>
      </w:r>
      <w:r>
        <w:rPr>
          <w:rFonts w:ascii="Arial" w:cs="Arial" w:eastAsia="Arial" w:hAnsi="Arial"/>
          <w:sz w:val="16"/>
          <w:szCs w:val="16"/>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w:t>
      </w:r>
    </w:p>
    <w:p>
      <w:pPr>
        <w:spacing w:after="0" w:line="2" w:lineRule="exact"/>
        <w:rPr>
          <w:rFonts w:ascii="Arial" w:cs="Arial" w:eastAsia="Arial" w:hAnsi="Arial"/>
          <w:sz w:val="16"/>
          <w:szCs w:val="16"/>
          <w:color w:val="auto"/>
        </w:rPr>
      </w:pPr>
    </w:p>
    <w:p>
      <w:pPr>
        <w:ind w:right="20"/>
        <w:spacing w:after="0" w:line="273" w:lineRule="auto"/>
        <w:rPr>
          <w:rFonts w:ascii="Arial" w:cs="Arial" w:eastAsia="Arial" w:hAnsi="Arial"/>
          <w:sz w:val="16"/>
          <w:szCs w:val="16"/>
          <w:color w:val="auto"/>
        </w:rPr>
      </w:pPr>
      <w:r>
        <w:rPr>
          <w:rFonts w:ascii="Arial" w:cs="Arial" w:eastAsia="Arial" w:hAnsi="Arial"/>
          <w:sz w:val="17"/>
          <w:szCs w:val="17"/>
          <w:color w:val="auto"/>
        </w:rPr>
        <w:t>(2)(B)(i)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68" w:lineRule="exact"/>
        <w:rPr>
          <w:rFonts w:ascii="Arial" w:cs="Arial" w:eastAsia="Arial" w:hAnsi="Arial"/>
          <w:sz w:val="16"/>
          <w:szCs w:val="16"/>
          <w:color w:val="auto"/>
        </w:rPr>
      </w:pPr>
    </w:p>
    <w:p>
      <w:pPr>
        <w:ind w:right="120" w:firstLine="1428"/>
        <w:spacing w:after="0" w:line="257" w:lineRule="auto"/>
        <w:tabs>
          <w:tab w:leader="none" w:pos="1747"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t>Expense Reimbursements</w:t>
      </w:r>
      <w:r>
        <w:rPr>
          <w:rFonts w:ascii="Arial" w:cs="Arial" w:eastAsia="Arial" w:hAnsi="Arial"/>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79" w:lineRule="exact"/>
        <w:rPr>
          <w:rFonts w:ascii="Arial" w:cs="Arial" w:eastAsia="Arial" w:hAnsi="Arial"/>
          <w:sz w:val="18"/>
          <w:szCs w:val="18"/>
          <w:color w:val="auto"/>
        </w:rPr>
      </w:pPr>
    </w:p>
    <w:p>
      <w:pPr>
        <w:ind w:right="80" w:firstLine="1428"/>
        <w:spacing w:after="0" w:line="286" w:lineRule="auto"/>
        <w:tabs>
          <w:tab w:leader="none" w:pos="1737" w:val="left"/>
        </w:tabs>
        <w:numPr>
          <w:ilvl w:val="0"/>
          <w:numId w:val="501"/>
        </w:numPr>
        <w:rPr>
          <w:rFonts w:ascii="Arial" w:cs="Arial" w:eastAsia="Arial" w:hAnsi="Arial"/>
          <w:sz w:val="17"/>
          <w:szCs w:val="17"/>
          <w:color w:val="auto"/>
        </w:rPr>
      </w:pPr>
      <w:r>
        <w:rPr>
          <w:rFonts w:ascii="Arial" w:cs="Arial" w:eastAsia="Arial" w:hAnsi="Arial"/>
          <w:sz w:val="17"/>
          <w:szCs w:val="17"/>
          <w:u w:val="single" w:color="auto"/>
          <w:color w:val="auto"/>
        </w:rPr>
        <w:t>Installments</w:t>
      </w:r>
      <w:r>
        <w:rPr>
          <w:rFonts w:ascii="Arial" w:cs="Arial" w:eastAsia="Arial" w:hAnsi="Arial"/>
          <w:sz w:val="17"/>
          <w:szCs w:val="17"/>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57" w:lineRule="exact"/>
        <w:rPr>
          <w:rFonts w:ascii="Arial" w:cs="Arial" w:eastAsia="Arial" w:hAnsi="Arial"/>
          <w:sz w:val="17"/>
          <w:szCs w:val="17"/>
          <w:color w:val="auto"/>
        </w:rPr>
      </w:pPr>
    </w:p>
    <w:p>
      <w:pPr>
        <w:ind w:right="80" w:firstLine="1428"/>
        <w:spacing w:after="0" w:line="286" w:lineRule="auto"/>
        <w:tabs>
          <w:tab w:leader="none" w:pos="1687" w:val="left"/>
        </w:tabs>
        <w:numPr>
          <w:ilvl w:val="0"/>
          <w:numId w:val="50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if Executive fails to execute the Release of Claims on or prior to the Release Expiration Date (as defined below) or the Release of Claims does not become effective and irrevocable within 60 days following the Termination Date (or such shorter period specified by the Company), Executive shall not be entitled to any payments or benefits otherwise conditioned on the Release of Claims, and (B) in any case where Executive’s Termination Date and the last day the Release of Claims may be considered or, if applicable, revoked fall in two separate taxable years, any payments required to be made to Executive that are conditioned on the Release of Claims and are treated as nonqualified deferred compensation for purposes of Section 409A of the Code shall commence or be made in the later taxable year. For purposes hereof, </w:t>
      </w:r>
      <w:r>
        <w:rPr>
          <w:rFonts w:ascii="Arial" w:cs="Arial" w:eastAsia="Arial" w:hAnsi="Arial"/>
          <w:sz w:val="16"/>
          <w:szCs w:val="16"/>
          <w:b w:val="1"/>
          <w:bCs w:val="1"/>
          <w:i w:val="1"/>
          <w:iCs w:val="1"/>
          <w:color w:val="auto"/>
        </w:rPr>
        <w:t>“Release Expiration Date</w:t>
      </w:r>
      <w:r>
        <w:rPr>
          <w:rFonts w:ascii="Arial" w:cs="Arial" w:eastAsia="Arial" w:hAnsi="Arial"/>
          <w:sz w:val="16"/>
          <w:szCs w:val="16"/>
          <w:color w:val="auto"/>
        </w:rPr>
        <w:t>” shall mean (1) if Executive is under 40 years old as of the Termination Date, the date that is seven (7) days 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forty five (45) days following such delivery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64" w:name="page465"/>
    <w:bookmarkEnd w:id="464"/>
    <w:p>
      <w:pPr>
        <w:ind w:right="180" w:firstLine="987"/>
        <w:spacing w:after="0" w:line="277" w:lineRule="auto"/>
        <w:tabs>
          <w:tab w:leader="none" w:pos="1246"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w:t>
      </w:r>
    </w:p>
    <w:p>
      <w:pPr>
        <w:spacing w:after="0" w:line="62" w:lineRule="exact"/>
        <w:rPr>
          <w:rFonts w:ascii="Arial" w:cs="Arial" w:eastAsia="Arial" w:hAnsi="Arial"/>
          <w:sz w:val="18"/>
          <w:szCs w:val="18"/>
          <w:color w:val="auto"/>
        </w:rPr>
      </w:pPr>
    </w:p>
    <w:p>
      <w:pPr>
        <w:jc w:val="both"/>
        <w:ind w:right="80" w:firstLine="987"/>
        <w:spacing w:after="0" w:line="259" w:lineRule="auto"/>
        <w:tabs>
          <w:tab w:leader="none" w:pos="1236"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shall be modified, waived or dis- 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78" w:lineRule="exact"/>
        <w:rPr>
          <w:rFonts w:ascii="Arial" w:cs="Arial" w:eastAsia="Arial" w:hAnsi="Arial"/>
          <w:sz w:val="18"/>
          <w:szCs w:val="18"/>
          <w:color w:val="auto"/>
        </w:rPr>
      </w:pPr>
    </w:p>
    <w:p>
      <w:pPr>
        <w:ind w:firstLine="987"/>
        <w:spacing w:after="0" w:line="254" w:lineRule="auto"/>
        <w:tabs>
          <w:tab w:leader="none" w:pos="1246"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Whole Agreement</w:t>
      </w:r>
      <w:r>
        <w:rPr>
          <w:rFonts w:ascii="Arial" w:cs="Arial" w:eastAsia="Arial" w:hAnsi="Arial"/>
          <w:sz w:val="18"/>
          <w:szCs w:val="18"/>
          <w:color w:val="auto"/>
        </w:rPr>
        <w:t>. This Agreement and the Confidential Information Agreement represent the entire understanding of the parties hereto with respect to the subject matter hereof and supersede all prior promises, arrangements and understandings regarding the same, whether written or unwritten, including, without limitation, any equity award agreement between Executive and Parent to the extent the terms are less favorable acceleration than hereunder or any severance or change in control benefits in Executive’s employment agreement with Parent dated as of [</w:t>
      </w:r>
      <w:r>
        <w:rPr>
          <w:rFonts w:ascii="Arial" w:cs="Arial" w:eastAsia="Arial" w:hAnsi="Arial"/>
          <w:sz w:val="18"/>
          <w:szCs w:val="18"/>
          <w:i w:val="1"/>
          <w:iCs w:val="1"/>
          <w:color w:val="auto"/>
        </w:rPr>
        <w:t>date</w:t>
      </w:r>
      <w:r>
        <w:rPr>
          <w:rFonts w:ascii="Arial" w:cs="Arial" w:eastAsia="Arial" w:hAnsi="Arial"/>
          <w:sz w:val="18"/>
          <w:szCs w:val="18"/>
          <w:color w:val="auto"/>
        </w:rPr>
        <w:t>]. Notwithstanding the foregoing, beyond the severance benefits set forth in Section 6 of the Employment Agreement, the other provisions the Employment Agreement remain in full force and effect, except as otherwise modified by that certain transfer letter agreement between Executive, Parent and the Company effective as of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firstLine="987"/>
        <w:spacing w:after="0" w:line="277" w:lineRule="auto"/>
        <w:tabs>
          <w:tab w:leader="none" w:pos="1236"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laws of [</w:t>
      </w:r>
      <w:r>
        <w:rPr>
          <w:rFonts w:ascii="Arial" w:cs="Arial" w:eastAsia="Arial" w:hAnsi="Arial"/>
          <w:sz w:val="18"/>
          <w:szCs w:val="18"/>
          <w:i w:val="1"/>
          <w:iCs w:val="1"/>
          <w:color w:val="auto"/>
        </w:rPr>
        <w:t>state of residency</w:t>
      </w:r>
      <w:r>
        <w:rPr>
          <w:rFonts w:ascii="Arial" w:cs="Arial" w:eastAsia="Arial" w:hAnsi="Arial"/>
          <w:sz w:val="18"/>
          <w:szCs w:val="18"/>
          <w:color w:val="auto"/>
        </w:rPr>
        <w:t>] without regard to its conflicts of law provisions.</w:t>
      </w:r>
    </w:p>
    <w:p>
      <w:pPr>
        <w:spacing w:after="0" w:line="62" w:lineRule="exact"/>
        <w:rPr>
          <w:rFonts w:ascii="Arial" w:cs="Arial" w:eastAsia="Arial" w:hAnsi="Arial"/>
          <w:sz w:val="18"/>
          <w:szCs w:val="18"/>
          <w:color w:val="auto"/>
        </w:rPr>
      </w:pPr>
    </w:p>
    <w:p>
      <w:pPr>
        <w:ind w:right="20" w:firstLine="987"/>
        <w:spacing w:after="0" w:line="279" w:lineRule="auto"/>
        <w:tabs>
          <w:tab w:leader="none" w:pos="1216" w:val="left"/>
        </w:tabs>
        <w:numPr>
          <w:ilvl w:val="0"/>
          <w:numId w:val="50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spacing w:after="0" w:line="63" w:lineRule="exact"/>
        <w:rPr>
          <w:rFonts w:ascii="Arial" w:cs="Arial" w:eastAsia="Arial" w:hAnsi="Arial"/>
          <w:sz w:val="17"/>
          <w:szCs w:val="17"/>
          <w:color w:val="auto"/>
        </w:rPr>
      </w:pPr>
    </w:p>
    <w:p>
      <w:pPr>
        <w:ind w:right="260" w:firstLine="987"/>
        <w:spacing w:after="0" w:line="277" w:lineRule="auto"/>
        <w:tabs>
          <w:tab w:leader="none" w:pos="1246"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 than one party, but all of which taken together will constitute one and the same Agreement.</w:t>
      </w:r>
    </w:p>
    <w:p>
      <w:pPr>
        <w:spacing w:after="0" w:line="62" w:lineRule="exact"/>
        <w:rPr>
          <w:rFonts w:ascii="Arial" w:cs="Arial" w:eastAsia="Arial" w:hAnsi="Arial"/>
          <w:sz w:val="18"/>
          <w:szCs w:val="18"/>
          <w:color w:val="auto"/>
        </w:rPr>
      </w:pPr>
    </w:p>
    <w:p>
      <w:pPr>
        <w:ind w:right="40" w:firstLine="987"/>
        <w:spacing w:after="0" w:line="311" w:lineRule="auto"/>
        <w:tabs>
          <w:tab w:leader="none" w:pos="1246" w:val="left"/>
        </w:tabs>
        <w:numPr>
          <w:ilvl w:val="0"/>
          <w:numId w:val="502"/>
        </w:numPr>
        <w:rPr>
          <w:rFonts w:ascii="Arial" w:cs="Arial" w:eastAsia="Arial" w:hAnsi="Arial"/>
          <w:sz w:val="16"/>
          <w:szCs w:val="16"/>
          <w:color w:val="auto"/>
        </w:rPr>
      </w:pPr>
      <w:r>
        <w:rPr>
          <w:rFonts w:ascii="Arial" w:cs="Arial" w:eastAsia="Arial" w:hAnsi="Arial"/>
          <w:sz w:val="16"/>
          <w:szCs w:val="16"/>
          <w:u w:val="single" w:color="auto"/>
          <w:color w:val="auto"/>
        </w:rPr>
        <w:t>Executive Acknowledgement</w:t>
      </w:r>
      <w:r>
        <w:rPr>
          <w:rFonts w:ascii="Arial" w:cs="Arial" w:eastAsia="Arial" w:hAnsi="Arial"/>
          <w:sz w:val="16"/>
          <w:szCs w:val="16"/>
          <w:color w:val="auto"/>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65" w:name="page466"/>
    <w:bookmarkEnd w:id="4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Agreement as of the dates set forth below.</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MEREO BIOPHARMA 5,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-19050</wp:posOffset>
            </wp:positionV>
            <wp:extent cx="22561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225615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117475</wp:posOffset>
            </wp:positionV>
            <wp:extent cx="40005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6">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-10160</wp:posOffset>
            </wp:positionV>
            <wp:extent cx="22561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7">
                      <a:extLst>
                        <a:ext uri="{28A0092B-C50C-407E-A947-70E740481C1C}"/>
                      </a:extLst>
                    </a:blip>
                    <a:srcRect/>
                    <a:stretch>
                      <a:fillRect/>
                    </a:stretch>
                  </pic:blipFill>
                  <pic:spPr bwMode="auto">
                    <a:xfrm>
                      <a:off x="0" y="0"/>
                      <a:ext cx="225615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126365</wp:posOffset>
            </wp:positionV>
            <wp:extent cx="4286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-19050</wp:posOffset>
            </wp:positionV>
            <wp:extent cx="222821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117475</wp:posOffset>
            </wp:positionV>
            <wp:extent cx="40005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-10160</wp:posOffset>
            </wp:positionV>
            <wp:extent cx="222821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126365</wp:posOffset>
            </wp:positionV>
            <wp:extent cx="40005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-19050</wp:posOffset>
            </wp:positionV>
            <wp:extent cx="222821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117475</wp:posOffset>
            </wp:positionV>
            <wp:extent cx="40005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-10160</wp:posOffset>
            </wp:positionV>
            <wp:extent cx="22282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126365</wp:posOffset>
            </wp:positionV>
            <wp:extent cx="40005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3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579"/>
          </w:cols>
          <w:pgMar w:left="880" w:top="274" w:right="1440" w:bottom="1440" w:gutter="0" w:footer="0" w:header="0"/>
        </w:sectPr>
      </w:pPr>
    </w:p>
    <w:bookmarkStart w:id="466" w:name="page467"/>
    <w:bookmarkEnd w:id="466"/>
    <w:p>
      <w:pPr>
        <w:jc w:val="right"/>
        <w:spacing w:after="0"/>
        <w:rPr>
          <w:sz w:val="20"/>
          <w:szCs w:val="20"/>
          <w:color w:val="auto"/>
        </w:rPr>
      </w:pPr>
      <w:r>
        <w:rPr>
          <w:rFonts w:ascii="Arial" w:cs="Arial" w:eastAsia="Arial" w:hAnsi="Arial"/>
          <w:sz w:val="22"/>
          <w:szCs w:val="22"/>
          <w:b w:val="1"/>
          <w:bCs w:val="1"/>
          <w:color w:val="auto"/>
        </w:rPr>
        <w:t>Exhibit 4.44</w:t>
      </w:r>
    </w:p>
    <w:p>
      <w:pPr>
        <w:spacing w:after="0" w:line="206" w:lineRule="exact"/>
        <w:rPr>
          <w:sz w:val="20"/>
          <w:szCs w:val="20"/>
          <w:color w:val="auto"/>
        </w:rPr>
      </w:pPr>
    </w:p>
    <w:p>
      <w:pPr>
        <w:ind w:left="3724"/>
        <w:spacing w:after="0"/>
        <w:rPr>
          <w:sz w:val="20"/>
          <w:szCs w:val="20"/>
          <w:color w:val="auto"/>
        </w:rPr>
      </w:pPr>
      <w:r>
        <w:rPr>
          <w:rFonts w:ascii="Arial" w:cs="Arial" w:eastAsia="Arial" w:hAnsi="Arial"/>
          <w:sz w:val="22"/>
          <w:szCs w:val="22"/>
          <w:b w:val="1"/>
          <w:bCs w:val="1"/>
          <w:color w:val="auto"/>
        </w:rPr>
        <w:t>MEREO BIOPHARMA GROUP PLC</w:t>
      </w:r>
    </w:p>
    <w:p>
      <w:pPr>
        <w:spacing w:after="0" w:line="4" w:lineRule="exact"/>
        <w:rPr>
          <w:sz w:val="20"/>
          <w:szCs w:val="20"/>
          <w:color w:val="auto"/>
        </w:rPr>
      </w:pPr>
    </w:p>
    <w:p>
      <w:pPr>
        <w:ind w:left="3684"/>
        <w:spacing w:after="0"/>
        <w:rPr>
          <w:sz w:val="20"/>
          <w:szCs w:val="20"/>
          <w:color w:val="auto"/>
        </w:rPr>
      </w:pPr>
      <w:r>
        <w:rPr>
          <w:rFonts w:ascii="Arial" w:cs="Arial" w:eastAsia="Arial" w:hAnsi="Arial"/>
          <w:sz w:val="22"/>
          <w:szCs w:val="22"/>
          <w:b w:val="1"/>
          <w:bCs w:val="1"/>
          <w:color w:val="auto"/>
        </w:rPr>
        <w:t>DEFERRED COMPENSATION PLAN</w:t>
      </w:r>
    </w:p>
    <w:p>
      <w:pPr>
        <w:ind w:left="3684"/>
        <w:spacing w:after="0"/>
        <w:rPr>
          <w:sz w:val="20"/>
          <w:szCs w:val="20"/>
          <w:color w:val="auto"/>
        </w:rPr>
      </w:pPr>
      <w:r>
        <w:rPr>
          <w:rFonts w:ascii="Arial" w:cs="Arial" w:eastAsia="Arial" w:hAnsi="Arial"/>
          <w:sz w:val="22"/>
          <w:szCs w:val="22"/>
          <w:b w:val="1"/>
          <w:bCs w:val="1"/>
          <w:color w:val="auto"/>
        </w:rPr>
        <w:t>FOR NON-EMPLOYEE DIRECTORS</w:t>
      </w:r>
    </w:p>
    <w:p>
      <w:pPr>
        <w:spacing w:after="0" w:line="188" w:lineRule="exact"/>
        <w:rPr>
          <w:sz w:val="20"/>
          <w:szCs w:val="20"/>
          <w:color w:val="auto"/>
        </w:rPr>
      </w:pPr>
    </w:p>
    <w:p>
      <w:pPr>
        <w:ind w:left="4" w:right="260" w:hanging="4"/>
        <w:spacing w:after="0" w:line="287" w:lineRule="auto"/>
        <w:tabs>
          <w:tab w:leader="none" w:pos="382" w:val="left"/>
        </w:tabs>
        <w:numPr>
          <w:ilvl w:val="0"/>
          <w:numId w:val="503"/>
        </w:numPr>
        <w:rPr>
          <w:rFonts w:ascii="Arial" w:cs="Arial" w:eastAsia="Arial" w:hAnsi="Arial"/>
          <w:sz w:val="19"/>
          <w:szCs w:val="19"/>
          <w:color w:val="auto"/>
        </w:rPr>
      </w:pPr>
      <w:r>
        <w:rPr>
          <w:rFonts w:ascii="Arial" w:cs="Arial" w:eastAsia="Arial" w:hAnsi="Arial"/>
          <w:sz w:val="19"/>
          <w:szCs w:val="19"/>
          <w:u w:val="single" w:color="auto"/>
          <w:color w:val="auto"/>
        </w:rPr>
        <w:t>Purpose and Effective Date</w:t>
      </w:r>
      <w:r>
        <w:rPr>
          <w:rFonts w:ascii="Arial" w:cs="Arial" w:eastAsia="Arial" w:hAnsi="Arial"/>
          <w:sz w:val="19"/>
          <w:szCs w:val="19"/>
          <w:color w:val="auto"/>
        </w:rPr>
        <w:t>. The purpose of this Plan is to provide the non-employee members of the Board of Directors (the “</w:t>
      </w:r>
      <w:r>
        <w:rPr>
          <w:rFonts w:ascii="Arial" w:cs="Arial" w:eastAsia="Arial" w:hAnsi="Arial"/>
          <w:sz w:val="19"/>
          <w:szCs w:val="19"/>
          <w:i w:val="1"/>
          <w:iCs w:val="1"/>
          <w:color w:val="auto"/>
        </w:rPr>
        <w:t>Board</w:t>
      </w:r>
      <w:r>
        <w:rPr>
          <w:rFonts w:ascii="Arial" w:cs="Arial" w:eastAsia="Arial" w:hAnsi="Arial"/>
          <w:sz w:val="19"/>
          <w:szCs w:val="19"/>
          <w:color w:val="auto"/>
        </w:rPr>
        <w:t>”) of Mereo BioPharma Group plc and it successors (the “</w:t>
      </w:r>
      <w:r>
        <w:rPr>
          <w:rFonts w:ascii="Arial" w:cs="Arial" w:eastAsia="Arial" w:hAnsi="Arial"/>
          <w:sz w:val="19"/>
          <w:szCs w:val="19"/>
          <w:i w:val="1"/>
          <w:iCs w:val="1"/>
          <w:color w:val="auto"/>
        </w:rPr>
        <w:t>Company</w:t>
      </w:r>
      <w:r>
        <w:rPr>
          <w:rFonts w:ascii="Arial" w:cs="Arial" w:eastAsia="Arial" w:hAnsi="Arial"/>
          <w:sz w:val="19"/>
          <w:szCs w:val="19"/>
          <w:color w:val="auto"/>
        </w:rPr>
        <w:t>”) with an opportunity to (i) elect to receive RSUs (as defined below) in lieu of their cash fees and (ii) upon such election to receive RSUs, defer settlement of all their Deferred RSUs (as defined below). The Plan shall be effective as of January 31, 2022 (the “</w:t>
      </w:r>
      <w:r>
        <w:rPr>
          <w:rFonts w:ascii="Arial" w:cs="Arial" w:eastAsia="Arial" w:hAnsi="Arial"/>
          <w:sz w:val="19"/>
          <w:szCs w:val="19"/>
          <w:i w:val="1"/>
          <w:iCs w:val="1"/>
          <w:color w:val="auto"/>
        </w:rPr>
        <w:t>Effective Date</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4" w:right="720" w:hanging="4"/>
        <w:spacing w:after="0" w:line="250" w:lineRule="auto"/>
        <w:tabs>
          <w:tab w:leader="none" w:pos="382" w:val="left"/>
        </w:tabs>
        <w:numPr>
          <w:ilvl w:val="0"/>
          <w:numId w:val="50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The following terms shall have the meanings given in this section unless a different meaning is clearly implied by the context:</w:t>
      </w:r>
    </w:p>
    <w:p>
      <w:pPr>
        <w:spacing w:after="0" w:line="174" w:lineRule="exact"/>
        <w:rPr>
          <w:rFonts w:ascii="Arial" w:cs="Arial" w:eastAsia="Arial" w:hAnsi="Arial"/>
          <w:sz w:val="22"/>
          <w:szCs w:val="22"/>
          <w:color w:val="auto"/>
        </w:rPr>
      </w:pPr>
    </w:p>
    <w:p>
      <w:pPr>
        <w:ind w:left="1004" w:hanging="453"/>
        <w:spacing w:after="0"/>
        <w:tabs>
          <w:tab w:leader="none" w:pos="1004" w:val="left"/>
        </w:tabs>
        <w:numPr>
          <w:ilvl w:val="1"/>
          <w:numId w:val="50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ADS</w:t>
      </w:r>
      <w:r>
        <w:rPr>
          <w:rFonts w:ascii="Arial" w:cs="Arial" w:eastAsia="Arial" w:hAnsi="Arial"/>
          <w:sz w:val="21"/>
          <w:szCs w:val="21"/>
          <w:color w:val="auto"/>
        </w:rPr>
        <w:t>” shall have the same meaning as defined in the Existing Equity Plan as in effect on the Effective Date.</w:t>
      </w:r>
    </w:p>
    <w:p>
      <w:pPr>
        <w:spacing w:after="0" w:line="217" w:lineRule="exact"/>
        <w:rPr>
          <w:rFonts w:ascii="Arial" w:cs="Arial" w:eastAsia="Arial" w:hAnsi="Arial"/>
          <w:sz w:val="21"/>
          <w:szCs w:val="21"/>
          <w:color w:val="auto"/>
        </w:rPr>
      </w:pPr>
    </w:p>
    <w:p>
      <w:pPr>
        <w:ind w:left="4" w:right="60" w:firstLine="547"/>
        <w:spacing w:after="0"/>
        <w:tabs>
          <w:tab w:leader="none" w:pos="1023" w:val="left"/>
        </w:tabs>
        <w:numPr>
          <w:ilvl w:val="1"/>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w:t>
      </w:r>
      <w:r>
        <w:rPr>
          <w:rFonts w:ascii="Arial" w:cs="Arial" w:eastAsia="Arial" w:hAnsi="Arial"/>
          <w:sz w:val="22"/>
          <w:szCs w:val="22"/>
          <w:color w:val="auto"/>
        </w:rPr>
        <w:t xml:space="preserve">” shall have the same meaning as defined in the Existing Equity Plan as in effect on the Effective Date; </w:t>
      </w:r>
      <w:r>
        <w:rPr>
          <w:rFonts w:ascii="Arial" w:cs="Arial" w:eastAsia="Arial" w:hAnsi="Arial"/>
          <w:sz w:val="22"/>
          <w:szCs w:val="22"/>
          <w:i w:val="1"/>
          <w:iCs w:val="1"/>
          <w:color w:val="auto"/>
        </w:rPr>
        <w:t>provided</w:t>
      </w:r>
      <w:r>
        <w:rPr>
          <w:rFonts w:ascii="Arial" w:cs="Arial" w:eastAsia="Arial" w:hAnsi="Arial"/>
          <w:sz w:val="22"/>
          <w:szCs w:val="22"/>
          <w:color w:val="auto"/>
        </w:rPr>
        <w:t>, that, for purposes of the Plan, in no event will a Change in Control be deemed to have occurred if the transaction is not also a “change in control event” under Section 409A of the Code.</w:t>
      </w:r>
    </w:p>
    <w:p>
      <w:pPr>
        <w:spacing w:after="0" w:line="186" w:lineRule="exact"/>
        <w:rPr>
          <w:rFonts w:ascii="Arial" w:cs="Arial" w:eastAsia="Arial" w:hAnsi="Arial"/>
          <w:sz w:val="22"/>
          <w:szCs w:val="22"/>
          <w:color w:val="auto"/>
        </w:rPr>
      </w:pPr>
    </w:p>
    <w:p>
      <w:pPr>
        <w:ind w:left="4" w:right="40" w:firstLine="547"/>
        <w:spacing w:after="0" w:line="250" w:lineRule="auto"/>
        <w:tabs>
          <w:tab w:leader="none" w:pos="1011" w:val="left"/>
        </w:tabs>
        <w:numPr>
          <w:ilvl w:val="1"/>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Deferred Compensation Account</w:t>
      </w:r>
      <w:r>
        <w:rPr>
          <w:rFonts w:ascii="Arial" w:cs="Arial" w:eastAsia="Arial" w:hAnsi="Arial"/>
          <w:sz w:val="22"/>
          <w:szCs w:val="22"/>
          <w:color w:val="auto"/>
        </w:rPr>
        <w:t>” means an account maintained for each director who makes a deferral election as described in Section 4.</w:t>
      </w:r>
    </w:p>
    <w:p>
      <w:pPr>
        <w:spacing w:after="0" w:line="174" w:lineRule="exact"/>
        <w:rPr>
          <w:rFonts w:ascii="Arial" w:cs="Arial" w:eastAsia="Arial" w:hAnsi="Arial"/>
          <w:sz w:val="22"/>
          <w:szCs w:val="22"/>
          <w:color w:val="auto"/>
        </w:rPr>
      </w:pPr>
    </w:p>
    <w:p>
      <w:pPr>
        <w:ind w:left="4" w:right="100" w:firstLine="547"/>
        <w:spacing w:after="0" w:line="250" w:lineRule="auto"/>
        <w:tabs>
          <w:tab w:leader="none" w:pos="1077" w:val="left"/>
        </w:tabs>
        <w:numPr>
          <w:ilvl w:val="1"/>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Deferred RSU</w:t>
      </w:r>
      <w:r>
        <w:rPr>
          <w:rFonts w:ascii="Arial" w:cs="Arial" w:eastAsia="Arial" w:hAnsi="Arial"/>
          <w:sz w:val="22"/>
          <w:szCs w:val="22"/>
          <w:color w:val="auto"/>
        </w:rPr>
        <w:t>” means RSUs that are received by a participant pursuant to this Plan that provides for the deferred receipt of compensation.</w:t>
      </w:r>
    </w:p>
    <w:p>
      <w:pPr>
        <w:spacing w:after="0" w:line="174" w:lineRule="exact"/>
        <w:rPr>
          <w:rFonts w:ascii="Arial" w:cs="Arial" w:eastAsia="Arial" w:hAnsi="Arial"/>
          <w:sz w:val="22"/>
          <w:szCs w:val="22"/>
          <w:color w:val="auto"/>
        </w:rPr>
      </w:pPr>
    </w:p>
    <w:p>
      <w:pPr>
        <w:ind w:left="4" w:right="300" w:firstLine="547"/>
        <w:spacing w:after="0" w:line="328" w:lineRule="auto"/>
        <w:tabs>
          <w:tab w:leader="none" w:pos="1011" w:val="left"/>
        </w:tabs>
        <w:numPr>
          <w:ilvl w:val="1"/>
          <w:numId w:val="5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Director Compensation</w:t>
      </w:r>
      <w:r>
        <w:rPr>
          <w:rFonts w:ascii="Arial" w:cs="Arial" w:eastAsia="Arial" w:hAnsi="Arial"/>
          <w:sz w:val="19"/>
          <w:szCs w:val="19"/>
          <w:color w:val="auto"/>
        </w:rPr>
        <w:t>” means the compensation payable to a director for his or her service as a director in the applicable Plan Year pursuant to a Letter of Appointment, including both cash, RSUs and other forms of equity.</w:t>
      </w:r>
    </w:p>
    <w:p>
      <w:pPr>
        <w:spacing w:after="0" w:line="104" w:lineRule="exact"/>
        <w:rPr>
          <w:rFonts w:ascii="Arial" w:cs="Arial" w:eastAsia="Arial" w:hAnsi="Arial"/>
          <w:sz w:val="19"/>
          <w:szCs w:val="19"/>
          <w:color w:val="auto"/>
        </w:rPr>
      </w:pPr>
    </w:p>
    <w:p>
      <w:pPr>
        <w:ind w:left="4" w:right="100" w:firstLine="547"/>
        <w:spacing w:after="0" w:line="328" w:lineRule="auto"/>
        <w:tabs>
          <w:tab w:leader="none" w:pos="987" w:val="left"/>
        </w:tabs>
        <w:numPr>
          <w:ilvl w:val="1"/>
          <w:numId w:val="5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Election Form</w:t>
      </w:r>
      <w:r>
        <w:rPr>
          <w:rFonts w:ascii="Arial" w:cs="Arial" w:eastAsia="Arial" w:hAnsi="Arial"/>
          <w:sz w:val="19"/>
          <w:szCs w:val="19"/>
          <w:color w:val="auto"/>
        </w:rPr>
        <w:t>” means an election form, in a form approved by the Plan Administrator, to be provided to directors by the Plan Administrator, pursuant to which they may elect to receive Deferred RSUs in lieu of their cash fees.</w:t>
      </w:r>
    </w:p>
    <w:p>
      <w:pPr>
        <w:spacing w:after="0" w:line="104" w:lineRule="exact"/>
        <w:rPr>
          <w:rFonts w:ascii="Arial" w:cs="Arial" w:eastAsia="Arial" w:hAnsi="Arial"/>
          <w:sz w:val="19"/>
          <w:szCs w:val="19"/>
          <w:color w:val="auto"/>
        </w:rPr>
      </w:pPr>
    </w:p>
    <w:p>
      <w:pPr>
        <w:ind w:left="1064" w:hanging="513"/>
        <w:spacing w:after="0"/>
        <w:tabs>
          <w:tab w:leader="none" w:pos="1064" w:val="left"/>
        </w:tabs>
        <w:numPr>
          <w:ilvl w:val="1"/>
          <w:numId w:val="503"/>
        </w:numPr>
        <w:rPr>
          <w:rFonts w:ascii="Arial" w:cs="Arial" w:eastAsia="Arial" w:hAnsi="Arial"/>
          <w:sz w:val="19"/>
          <w:szCs w:val="19"/>
          <w:i w:val="1"/>
          <w:iCs w:val="1"/>
          <w:color w:val="auto"/>
        </w:rPr>
      </w:pPr>
      <w:r>
        <w:rPr>
          <w:rFonts w:ascii="Arial" w:cs="Arial" w:eastAsia="Arial" w:hAnsi="Arial"/>
          <w:sz w:val="19"/>
          <w:szCs w:val="19"/>
          <w:color w:val="auto"/>
        </w:rPr>
        <w:t>“</w:t>
      </w:r>
      <w:r>
        <w:rPr>
          <w:rFonts w:ascii="Arial" w:cs="Arial" w:eastAsia="Arial" w:hAnsi="Arial"/>
          <w:sz w:val="19"/>
          <w:szCs w:val="19"/>
          <w:i w:val="1"/>
          <w:iCs w:val="1"/>
          <w:color w:val="auto"/>
        </w:rPr>
        <w:t>Equity Plan</w:t>
      </w:r>
      <w:r>
        <w:rPr>
          <w:rFonts w:ascii="Arial" w:cs="Arial" w:eastAsia="Arial" w:hAnsi="Arial"/>
          <w:sz w:val="19"/>
          <w:szCs w:val="19"/>
          <w:color w:val="auto"/>
        </w:rPr>
        <w:t>” means the Existing Equity Plan and any successor or replacement plan as in effect from time to</w:t>
      </w:r>
    </w:p>
    <w:p>
      <w:pPr>
        <w:spacing w:after="0" w:line="42" w:lineRule="exact"/>
        <w:rPr>
          <w:rFonts w:ascii="Arial" w:cs="Arial" w:eastAsia="Arial" w:hAnsi="Arial"/>
          <w:sz w:val="19"/>
          <w:szCs w:val="19"/>
          <w:i w:val="1"/>
          <w:iCs w:val="1"/>
          <w:color w:val="auto"/>
        </w:rPr>
      </w:pPr>
    </w:p>
    <w:p>
      <w:pPr>
        <w:ind w:left="4"/>
        <w:spacing w:after="0"/>
        <w:rPr>
          <w:rFonts w:ascii="Arial" w:cs="Arial" w:eastAsia="Arial" w:hAnsi="Arial"/>
          <w:sz w:val="19"/>
          <w:szCs w:val="19"/>
          <w:i w:val="1"/>
          <w:iCs w:val="1"/>
          <w:color w:val="auto"/>
        </w:rPr>
      </w:pPr>
      <w:r>
        <w:rPr>
          <w:rFonts w:ascii="Arial" w:cs="Arial" w:eastAsia="Arial" w:hAnsi="Arial"/>
          <w:sz w:val="22"/>
          <w:szCs w:val="22"/>
          <w:color w:val="auto"/>
        </w:rPr>
        <w:t>time.</w:t>
      </w:r>
    </w:p>
    <w:p>
      <w:pPr>
        <w:spacing w:after="0" w:line="188" w:lineRule="exact"/>
        <w:rPr>
          <w:rFonts w:ascii="Arial" w:cs="Arial" w:eastAsia="Arial" w:hAnsi="Arial"/>
          <w:sz w:val="19"/>
          <w:szCs w:val="19"/>
          <w:i w:val="1"/>
          <w:iCs w:val="1"/>
          <w:color w:val="auto"/>
        </w:rPr>
      </w:pPr>
    </w:p>
    <w:p>
      <w:pPr>
        <w:ind w:left="4" w:right="180" w:firstLine="547"/>
        <w:spacing w:after="0" w:line="250" w:lineRule="auto"/>
        <w:tabs>
          <w:tab w:leader="none" w:pos="1023" w:val="left"/>
        </w:tabs>
        <w:numPr>
          <w:ilvl w:val="1"/>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Equity Plan</w:t>
      </w:r>
      <w:r>
        <w:rPr>
          <w:rFonts w:ascii="Arial" w:cs="Arial" w:eastAsia="Arial" w:hAnsi="Arial"/>
          <w:sz w:val="22"/>
          <w:szCs w:val="22"/>
          <w:color w:val="auto"/>
        </w:rPr>
        <w:t>” means the Company’s 2019 Non-Employee Equity Incentive Plan, which is a sub-plan the Company’s 2019 Equity Incentive Plan.</w:t>
      </w:r>
    </w:p>
    <w:p>
      <w:pPr>
        <w:spacing w:after="0" w:line="174" w:lineRule="exact"/>
        <w:rPr>
          <w:rFonts w:ascii="Arial" w:cs="Arial" w:eastAsia="Arial" w:hAnsi="Arial"/>
          <w:sz w:val="22"/>
          <w:szCs w:val="22"/>
          <w:color w:val="auto"/>
        </w:rPr>
      </w:pPr>
    </w:p>
    <w:p>
      <w:pPr>
        <w:jc w:val="both"/>
        <w:ind w:left="4" w:right="300" w:firstLine="547"/>
        <w:spacing w:after="0"/>
        <w:tabs>
          <w:tab w:leader="none" w:pos="975" w:val="left"/>
        </w:tabs>
        <w:numPr>
          <w:ilvl w:val="1"/>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Letter of Appointment</w:t>
      </w:r>
      <w:r>
        <w:rPr>
          <w:rFonts w:ascii="Arial" w:cs="Arial" w:eastAsia="Arial" w:hAnsi="Arial"/>
          <w:sz w:val="22"/>
          <w:szCs w:val="22"/>
          <w:color w:val="auto"/>
        </w:rPr>
        <w:t>” shall mean a letter of appointment (as may be amended or restated from time to time) or any similar letter, agreement, arrangement or plan that sets a participant’s service on the Board, including such participant’s remuneration for service on the Board.</w:t>
      </w:r>
    </w:p>
    <w:p>
      <w:pPr>
        <w:spacing w:after="0" w:line="186" w:lineRule="exact"/>
        <w:rPr>
          <w:rFonts w:ascii="Arial" w:cs="Arial" w:eastAsia="Arial" w:hAnsi="Arial"/>
          <w:sz w:val="22"/>
          <w:szCs w:val="22"/>
          <w:color w:val="auto"/>
        </w:rPr>
      </w:pPr>
    </w:p>
    <w:p>
      <w:pPr>
        <w:ind w:left="964" w:hanging="413"/>
        <w:spacing w:after="0"/>
        <w:tabs>
          <w:tab w:leader="none" w:pos="964" w:val="left"/>
        </w:tabs>
        <w:numPr>
          <w:ilvl w:val="1"/>
          <w:numId w:val="50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Plan</w:t>
      </w:r>
      <w:r>
        <w:rPr>
          <w:rFonts w:ascii="Arial" w:cs="Arial" w:eastAsia="Arial" w:hAnsi="Arial"/>
          <w:sz w:val="21"/>
          <w:szCs w:val="21"/>
          <w:color w:val="auto"/>
        </w:rPr>
        <w:t>” means the Mereo BioPharma Group plc Deferred Compensation Plan for Non-Employee Directors.</w:t>
      </w:r>
    </w:p>
    <w:p>
      <w:pPr>
        <w:spacing w:after="0" w:line="217" w:lineRule="exact"/>
        <w:rPr>
          <w:rFonts w:ascii="Arial" w:cs="Arial" w:eastAsia="Arial" w:hAnsi="Arial"/>
          <w:sz w:val="21"/>
          <w:szCs w:val="21"/>
          <w:color w:val="auto"/>
        </w:rPr>
      </w:pPr>
    </w:p>
    <w:p>
      <w:pPr>
        <w:ind w:left="1024" w:hanging="473"/>
        <w:spacing w:after="0"/>
        <w:tabs>
          <w:tab w:leader="none" w:pos="1024" w:val="left"/>
        </w:tabs>
        <w:numPr>
          <w:ilvl w:val="1"/>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Plan Year</w:t>
      </w:r>
      <w:r>
        <w:rPr>
          <w:rFonts w:ascii="Arial" w:cs="Arial" w:eastAsia="Arial" w:hAnsi="Arial"/>
          <w:sz w:val="22"/>
          <w:szCs w:val="22"/>
          <w:color w:val="auto"/>
        </w:rPr>
        <w:t>” means a calendar year.</w:t>
      </w:r>
    </w:p>
    <w:p>
      <w:pPr>
        <w:sectPr>
          <w:pgSz w:w="11900" w:h="16838" w:orient="portrait"/>
          <w:cols w:equalWidth="0" w:num="1">
            <w:col w:w="11024"/>
          </w:cols>
          <w:pgMar w:left="436" w:top="111" w:right="439" w:bottom="1440" w:gutter="0" w:footer="0" w:header="0"/>
        </w:sectPr>
      </w:pPr>
    </w:p>
    <w:bookmarkStart w:id="467" w:name="page468"/>
    <w:bookmarkEnd w:id="467"/>
    <w:p>
      <w:pPr>
        <w:ind w:left="964" w:hanging="413"/>
        <w:spacing w:after="0"/>
        <w:tabs>
          <w:tab w:leader="none" w:pos="964" w:val="left"/>
        </w:tabs>
        <w:numPr>
          <w:ilvl w:val="1"/>
          <w:numId w:val="50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22"/>
          <w:szCs w:val="22"/>
          <w:i w:val="1"/>
          <w:iCs w:val="1"/>
          <w:color w:val="auto"/>
        </w:rPr>
        <w:t>Plan Administrator</w:t>
      </w:r>
      <w:r>
        <w:rPr>
          <w:rFonts w:ascii="Arial" w:cs="Arial" w:eastAsia="Arial" w:hAnsi="Arial"/>
          <w:sz w:val="22"/>
          <w:szCs w:val="22"/>
          <w:color w:val="auto"/>
        </w:rPr>
        <w:t>” means the Board or its designee (including the Remuneration Committee).</w:t>
      </w:r>
    </w:p>
    <w:p>
      <w:pPr>
        <w:spacing w:after="0" w:line="206" w:lineRule="exact"/>
        <w:rPr>
          <w:rFonts w:ascii="Arial" w:cs="Arial" w:eastAsia="Arial" w:hAnsi="Arial"/>
          <w:sz w:val="22"/>
          <w:szCs w:val="22"/>
          <w:color w:val="auto"/>
        </w:rPr>
      </w:pPr>
    </w:p>
    <w:p>
      <w:pPr>
        <w:ind w:left="1084" w:hanging="533"/>
        <w:spacing w:after="0"/>
        <w:tabs>
          <w:tab w:leader="none" w:pos="1084" w:val="left"/>
        </w:tabs>
        <w:numPr>
          <w:ilvl w:val="1"/>
          <w:numId w:val="5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Remuneration Committee</w:t>
      </w:r>
      <w:r>
        <w:rPr>
          <w:rFonts w:ascii="Arial" w:cs="Arial" w:eastAsia="Arial" w:hAnsi="Arial"/>
          <w:sz w:val="22"/>
          <w:szCs w:val="22"/>
          <w:color w:val="auto"/>
        </w:rPr>
        <w:t>” means the Remuneration Committee of the Board.</w:t>
      </w:r>
    </w:p>
    <w:p>
      <w:pPr>
        <w:spacing w:after="0" w:line="206" w:lineRule="exact"/>
        <w:rPr>
          <w:rFonts w:ascii="Arial" w:cs="Arial" w:eastAsia="Arial" w:hAnsi="Arial"/>
          <w:sz w:val="22"/>
          <w:szCs w:val="22"/>
          <w:color w:val="auto"/>
        </w:rPr>
      </w:pPr>
    </w:p>
    <w:p>
      <w:pPr>
        <w:ind w:left="1024" w:hanging="473"/>
        <w:spacing w:after="0"/>
        <w:tabs>
          <w:tab w:leader="none" w:pos="1024" w:val="left"/>
        </w:tabs>
        <w:numPr>
          <w:ilvl w:val="1"/>
          <w:numId w:val="50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RSU</w:t>
      </w:r>
      <w:r>
        <w:rPr>
          <w:rFonts w:ascii="Arial" w:cs="Arial" w:eastAsia="Arial" w:hAnsi="Arial"/>
          <w:sz w:val="19"/>
          <w:szCs w:val="19"/>
          <w:color w:val="auto"/>
        </w:rPr>
        <w:t>” shall have the same meaning as defined in the Existing Equity Plan as in effect on the Effective Date.</w:t>
      </w:r>
    </w:p>
    <w:p>
      <w:pPr>
        <w:spacing w:after="0" w:line="240" w:lineRule="exact"/>
        <w:rPr>
          <w:rFonts w:ascii="Arial" w:cs="Arial" w:eastAsia="Arial" w:hAnsi="Arial"/>
          <w:sz w:val="19"/>
          <w:szCs w:val="19"/>
          <w:color w:val="auto"/>
        </w:rPr>
      </w:pPr>
    </w:p>
    <w:p>
      <w:pPr>
        <w:ind w:left="1024" w:hanging="473"/>
        <w:spacing w:after="0"/>
        <w:tabs>
          <w:tab w:leader="none" w:pos="1024" w:val="left"/>
        </w:tabs>
        <w:numPr>
          <w:ilvl w:val="1"/>
          <w:numId w:val="5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Section 409A</w:t>
      </w:r>
      <w:r>
        <w:rPr>
          <w:rFonts w:ascii="Arial" w:cs="Arial" w:eastAsia="Arial" w:hAnsi="Arial"/>
          <w:sz w:val="22"/>
          <w:szCs w:val="22"/>
          <w:color w:val="auto"/>
        </w:rPr>
        <w:t>” means Section 409A of the U.S. Internal Revenue Code of 1986, as amended.</w:t>
      </w:r>
    </w:p>
    <w:p>
      <w:pPr>
        <w:spacing w:after="0" w:line="206" w:lineRule="exact"/>
        <w:rPr>
          <w:rFonts w:ascii="Arial" w:cs="Arial" w:eastAsia="Arial" w:hAnsi="Arial"/>
          <w:sz w:val="22"/>
          <w:szCs w:val="22"/>
          <w:color w:val="auto"/>
        </w:rPr>
      </w:pPr>
    </w:p>
    <w:p>
      <w:pPr>
        <w:ind w:left="1024" w:hanging="473"/>
        <w:spacing w:after="0"/>
        <w:tabs>
          <w:tab w:leader="none" w:pos="1024" w:val="left"/>
        </w:tabs>
        <w:numPr>
          <w:ilvl w:val="1"/>
          <w:numId w:val="5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Separation from Service</w:t>
      </w:r>
      <w:r>
        <w:rPr>
          <w:rFonts w:ascii="Arial" w:cs="Arial" w:eastAsia="Arial" w:hAnsi="Arial"/>
          <w:sz w:val="22"/>
          <w:szCs w:val="22"/>
          <w:color w:val="auto"/>
        </w:rPr>
        <w:t>” means a “separation from service” within the meaning of Section 409A.</w:t>
      </w:r>
    </w:p>
    <w:p>
      <w:pPr>
        <w:spacing w:after="0" w:line="206" w:lineRule="exact"/>
        <w:rPr>
          <w:rFonts w:ascii="Arial" w:cs="Arial" w:eastAsia="Arial" w:hAnsi="Arial"/>
          <w:sz w:val="22"/>
          <w:szCs w:val="22"/>
          <w:color w:val="auto"/>
        </w:rPr>
      </w:pPr>
    </w:p>
    <w:p>
      <w:pPr>
        <w:ind w:left="1024" w:hanging="473"/>
        <w:spacing w:after="0"/>
        <w:tabs>
          <w:tab w:leader="none" w:pos="1024" w:val="left"/>
        </w:tabs>
        <w:numPr>
          <w:ilvl w:val="1"/>
          <w:numId w:val="50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Share</w:t>
      </w:r>
      <w:r>
        <w:rPr>
          <w:rFonts w:ascii="Arial" w:cs="Arial" w:eastAsia="Arial" w:hAnsi="Arial"/>
          <w:sz w:val="19"/>
          <w:szCs w:val="19"/>
          <w:color w:val="auto"/>
        </w:rPr>
        <w:t>” shall have the same meaning as defined in the Existing Equity Plan as in effect on the Effective Date.</w:t>
      </w:r>
    </w:p>
    <w:p>
      <w:pPr>
        <w:spacing w:after="0" w:line="240" w:lineRule="exact"/>
        <w:rPr>
          <w:rFonts w:ascii="Arial" w:cs="Arial" w:eastAsia="Arial" w:hAnsi="Arial"/>
          <w:sz w:val="19"/>
          <w:szCs w:val="19"/>
          <w:color w:val="auto"/>
        </w:rPr>
      </w:pPr>
    </w:p>
    <w:p>
      <w:pPr>
        <w:ind w:left="4" w:right="180" w:hanging="4"/>
        <w:spacing w:after="0" w:line="250" w:lineRule="auto"/>
        <w:tabs>
          <w:tab w:leader="none" w:pos="382"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All members of the Board who are not employees of the Company or any subsidiary of the Company shall be eligible to participate in the Plan.</w:t>
      </w:r>
    </w:p>
    <w:p>
      <w:pPr>
        <w:spacing w:after="0" w:line="323" w:lineRule="exact"/>
        <w:rPr>
          <w:rFonts w:ascii="Arial" w:cs="Arial" w:eastAsia="Arial" w:hAnsi="Arial"/>
          <w:sz w:val="22"/>
          <w:szCs w:val="22"/>
          <w:color w:val="auto"/>
        </w:rPr>
      </w:pPr>
    </w:p>
    <w:p>
      <w:pPr>
        <w:ind w:left="544" w:hanging="544"/>
        <w:spacing w:after="0"/>
        <w:tabs>
          <w:tab w:leader="none" w:pos="544" w:val="left"/>
        </w:tabs>
        <w:numPr>
          <w:ilvl w:val="0"/>
          <w:numId w:val="505"/>
        </w:numPr>
        <w:rPr>
          <w:rFonts w:ascii="Arial" w:cs="Arial" w:eastAsia="Arial" w:hAnsi="Arial"/>
          <w:sz w:val="22"/>
          <w:szCs w:val="22"/>
          <w:color w:val="auto"/>
        </w:rPr>
      </w:pPr>
      <w:r>
        <w:rPr>
          <w:rFonts w:ascii="Arial" w:cs="Arial" w:eastAsia="Arial" w:hAnsi="Arial"/>
          <w:sz w:val="22"/>
          <w:szCs w:val="22"/>
          <w:u w:val="single" w:color="auto"/>
          <w:color w:val="auto"/>
        </w:rPr>
        <w:t>Election to Receive Deferred RSUs in Lieu of Cash Fees</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24" w:hanging="473"/>
        <w:spacing w:after="0"/>
        <w:tabs>
          <w:tab w:leader="none" w:pos="1024" w:val="left"/>
        </w:tabs>
        <w:numPr>
          <w:ilvl w:val="1"/>
          <w:numId w:val="505"/>
        </w:numPr>
        <w:rPr>
          <w:rFonts w:ascii="Arial" w:cs="Arial" w:eastAsia="Arial" w:hAnsi="Arial"/>
          <w:sz w:val="22"/>
          <w:szCs w:val="22"/>
          <w:i w:val="1"/>
          <w:iCs w:val="1"/>
          <w:color w:val="auto"/>
        </w:rPr>
      </w:pPr>
      <w:r>
        <w:rPr>
          <w:rFonts w:ascii="Arial" w:cs="Arial" w:eastAsia="Arial" w:hAnsi="Arial"/>
          <w:sz w:val="22"/>
          <w:szCs w:val="22"/>
          <w:i w:val="1"/>
          <w:iCs w:val="1"/>
          <w:color w:val="auto"/>
        </w:rPr>
        <w:t>Manner of Election.</w:t>
      </w:r>
    </w:p>
    <w:p>
      <w:pPr>
        <w:spacing w:after="0" w:line="98" w:lineRule="exact"/>
        <w:rPr>
          <w:rFonts w:ascii="Arial" w:cs="Arial" w:eastAsia="Arial" w:hAnsi="Arial"/>
          <w:sz w:val="22"/>
          <w:szCs w:val="22"/>
          <w:i w:val="1"/>
          <w:iCs w:val="1"/>
          <w:color w:val="auto"/>
        </w:rPr>
      </w:pPr>
    </w:p>
    <w:p>
      <w:pPr>
        <w:jc w:val="both"/>
        <w:ind w:left="4" w:right="40" w:firstLine="1208"/>
        <w:spacing w:after="0"/>
        <w:tabs>
          <w:tab w:leader="none" w:pos="1632" w:val="left"/>
        </w:tabs>
        <w:numPr>
          <w:ilvl w:val="2"/>
          <w:numId w:val="505"/>
        </w:numPr>
        <w:rPr>
          <w:rFonts w:ascii="Arial" w:cs="Arial" w:eastAsia="Arial" w:hAnsi="Arial"/>
          <w:sz w:val="22"/>
          <w:szCs w:val="22"/>
          <w:color w:val="auto"/>
        </w:rPr>
      </w:pPr>
      <w:r>
        <w:rPr>
          <w:rFonts w:ascii="Arial" w:cs="Arial" w:eastAsia="Arial" w:hAnsi="Arial"/>
          <w:sz w:val="22"/>
          <w:szCs w:val="22"/>
          <w:color w:val="auto"/>
        </w:rPr>
        <w:t>The Plan Administrator may, in its discretion, provide participants with the opportunity in an Election Form to elect to convert all or a portion of their annual cash Director Compensation into awards of Deferred RSUs granted under the Equity Plan (such election, a “</w:t>
      </w:r>
      <w:r>
        <w:rPr>
          <w:rFonts w:ascii="Arial" w:cs="Arial" w:eastAsia="Arial" w:hAnsi="Arial"/>
          <w:sz w:val="22"/>
          <w:szCs w:val="22"/>
          <w:i w:val="1"/>
          <w:iCs w:val="1"/>
          <w:color w:val="auto"/>
        </w:rPr>
        <w:t>Deferred RSU Election</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4" w:firstLine="1208"/>
        <w:spacing w:after="0" w:line="236" w:lineRule="auto"/>
        <w:tabs>
          <w:tab w:leader="none" w:pos="1696" w:val="left"/>
        </w:tabs>
        <w:numPr>
          <w:ilvl w:val="2"/>
          <w:numId w:val="505"/>
        </w:numPr>
        <w:rPr>
          <w:rFonts w:ascii="Arial" w:cs="Arial" w:eastAsia="Arial" w:hAnsi="Arial"/>
          <w:sz w:val="22"/>
          <w:szCs w:val="22"/>
          <w:color w:val="auto"/>
        </w:rPr>
      </w:pPr>
      <w:r>
        <w:rPr>
          <w:rFonts w:ascii="Arial" w:cs="Arial" w:eastAsia="Arial" w:hAnsi="Arial"/>
          <w:sz w:val="22"/>
          <w:szCs w:val="22"/>
          <w:color w:val="auto"/>
        </w:rPr>
        <w:t>Each such Deferred RSU shall cover a number of ADS (or, if permitted by the Plan Administrator, Shares) calculated by dividing (i) the estimated amount of the annual cash Director Compensation that would have otherwise been paid to such participant for a Plan Year (which may be pro-rated for any director newly appointed in a given plan Year) by (ii) the average per ADS (or Share, if applicable) closing trading price of the ADS (or Shares, if applicable) over the most recent 30 trading days as of the grant date.</w:t>
      </w:r>
    </w:p>
    <w:p>
      <w:pPr>
        <w:spacing w:after="0" w:line="187" w:lineRule="exact"/>
        <w:rPr>
          <w:rFonts w:ascii="Arial" w:cs="Arial" w:eastAsia="Arial" w:hAnsi="Arial"/>
          <w:sz w:val="22"/>
          <w:szCs w:val="22"/>
          <w:color w:val="auto"/>
        </w:rPr>
      </w:pPr>
    </w:p>
    <w:p>
      <w:pPr>
        <w:ind w:left="4" w:firstLine="1208"/>
        <w:spacing w:after="0" w:line="236" w:lineRule="auto"/>
        <w:tabs>
          <w:tab w:leader="none" w:pos="1756" w:val="left"/>
        </w:tabs>
        <w:numPr>
          <w:ilvl w:val="2"/>
          <w:numId w:val="505"/>
        </w:numPr>
        <w:rPr>
          <w:rFonts w:ascii="Arial" w:cs="Arial" w:eastAsia="Arial" w:hAnsi="Arial"/>
          <w:sz w:val="22"/>
          <w:szCs w:val="22"/>
          <w:color w:val="auto"/>
        </w:rPr>
      </w:pPr>
      <w:r>
        <w:rPr>
          <w:rFonts w:ascii="Arial" w:cs="Arial" w:eastAsia="Arial" w:hAnsi="Arial"/>
          <w:sz w:val="22"/>
          <w:szCs w:val="22"/>
          <w:color w:val="auto"/>
        </w:rPr>
        <w:t>In the event there is a change to a director’s service on the committees of the Board that results in increased cash Director Compensation during a Plan Year, such director shall be eligible for additional Deferred RSUs for the amount of increased Director Compensation that such director will receive through the remainder of the Plan Year compared to the estimate as of the beginning of the Plan Year, pro-rated through the end of the Plan-Year, with such number of Deferred RSUs calculated in accordance with subsection (ii) above.</w:t>
      </w:r>
    </w:p>
    <w:p>
      <w:pPr>
        <w:spacing w:after="0" w:line="187" w:lineRule="exact"/>
        <w:rPr>
          <w:rFonts w:ascii="Arial" w:cs="Arial" w:eastAsia="Arial" w:hAnsi="Arial"/>
          <w:sz w:val="22"/>
          <w:szCs w:val="22"/>
          <w:color w:val="auto"/>
        </w:rPr>
      </w:pPr>
    </w:p>
    <w:p>
      <w:pPr>
        <w:jc w:val="both"/>
        <w:ind w:left="4" w:right="260" w:firstLine="1208"/>
        <w:spacing w:after="0" w:line="297" w:lineRule="auto"/>
        <w:tabs>
          <w:tab w:leader="none" w:pos="1732" w:val="left"/>
        </w:tabs>
        <w:numPr>
          <w:ilvl w:val="2"/>
          <w:numId w:val="505"/>
        </w:numPr>
        <w:rPr>
          <w:rFonts w:ascii="Arial" w:cs="Arial" w:eastAsia="Arial" w:hAnsi="Arial"/>
          <w:sz w:val="19"/>
          <w:szCs w:val="19"/>
          <w:color w:val="auto"/>
        </w:rPr>
      </w:pPr>
      <w:r>
        <w:rPr>
          <w:rFonts w:ascii="Arial" w:cs="Arial" w:eastAsia="Arial" w:hAnsi="Arial"/>
          <w:sz w:val="19"/>
          <w:szCs w:val="19"/>
          <w:color w:val="auto"/>
        </w:rPr>
        <w:t>An individual who fails to make a timely Deferred RSU Election in accordance with the below shall not receive a Deferred RSU and instead shall receive the applicable annual cash Director Compensation in cash. A participant’s Deferred RSU Election is irrevocable and may not be changed, except as may be provided in the election form.</w:t>
      </w:r>
    </w:p>
    <w:p>
      <w:pPr>
        <w:sectPr>
          <w:pgSz w:w="11900" w:h="16838" w:orient="portrait"/>
          <w:cols w:equalWidth="0" w:num="1">
            <w:col w:w="10984"/>
          </w:cols>
          <w:pgMar w:left="436" w:top="266" w:right="479" w:bottom="1440" w:gutter="0" w:footer="0" w:header="0"/>
        </w:sectPr>
      </w:pPr>
    </w:p>
    <w:bookmarkStart w:id="468" w:name="page469"/>
    <w:bookmarkEnd w:id="468"/>
    <w:p>
      <w:pPr>
        <w:ind w:left="1024" w:hanging="473"/>
        <w:spacing w:after="0"/>
        <w:tabs>
          <w:tab w:leader="none" w:pos="1024" w:val="left"/>
        </w:tabs>
        <w:numPr>
          <w:ilvl w:val="1"/>
          <w:numId w:val="506"/>
        </w:numPr>
        <w:rPr>
          <w:rFonts w:ascii="Arial" w:cs="Arial" w:eastAsia="Arial" w:hAnsi="Arial"/>
          <w:sz w:val="22"/>
          <w:szCs w:val="22"/>
          <w:i w:val="1"/>
          <w:iCs w:val="1"/>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Timing for Grant of Deferred RSUs.</w:t>
      </w:r>
    </w:p>
    <w:p>
      <w:pPr>
        <w:spacing w:after="0" w:line="98" w:lineRule="exact"/>
        <w:rPr>
          <w:rFonts w:ascii="Arial" w:cs="Arial" w:eastAsia="Arial" w:hAnsi="Arial"/>
          <w:sz w:val="22"/>
          <w:szCs w:val="22"/>
          <w:i w:val="1"/>
          <w:iCs w:val="1"/>
          <w:color w:val="auto"/>
        </w:rPr>
      </w:pPr>
    </w:p>
    <w:p>
      <w:pPr>
        <w:ind w:left="4" w:right="20" w:firstLine="1208"/>
        <w:spacing w:after="0" w:line="246" w:lineRule="auto"/>
        <w:tabs>
          <w:tab w:leader="none" w:pos="1636" w:val="left"/>
        </w:tabs>
        <w:numPr>
          <w:ilvl w:val="2"/>
          <w:numId w:val="506"/>
        </w:numPr>
        <w:rPr>
          <w:rFonts w:ascii="Arial" w:cs="Arial" w:eastAsia="Arial" w:hAnsi="Arial"/>
          <w:sz w:val="21"/>
          <w:szCs w:val="21"/>
          <w:color w:val="auto"/>
        </w:rPr>
      </w:pPr>
      <w:r>
        <w:rPr>
          <w:rFonts w:ascii="Arial" w:cs="Arial" w:eastAsia="Arial" w:hAnsi="Arial"/>
          <w:sz w:val="21"/>
          <w:szCs w:val="21"/>
          <w:color w:val="auto"/>
        </w:rPr>
        <w:t>Each Deferred RSU award will automatically be granted on (A) the first business day of the second month of the Plan Year, (B) the first business day of the month following the date a director is appointed to the Board during a Plan Year or (C) the first business day of the month following the date there is a change to a director’s service on the committees of the Board that results in increased cash Director Compensation during a Plan Year. The grant of such Deferred RSUs is subject to (1) the continued service of the applicable director through to the grant of the relevant Deferred RSU and (2) the Existing Equity Plan having a sufficient share reserve to issue such Deferred RSUs; provided that if the Existing Equity Plan does not have a sufficient share reserve, then the date of grant will be the first date upon which the Existing Equity Plan has a sufficient share reserve to issue such Deferred RSUs.</w:t>
      </w:r>
    </w:p>
    <w:p>
      <w:pPr>
        <w:spacing w:after="0" w:line="179" w:lineRule="exact"/>
        <w:rPr>
          <w:rFonts w:ascii="Arial" w:cs="Arial" w:eastAsia="Arial" w:hAnsi="Arial"/>
          <w:sz w:val="21"/>
          <w:szCs w:val="21"/>
          <w:color w:val="auto"/>
        </w:rPr>
      </w:pPr>
    </w:p>
    <w:p>
      <w:pPr>
        <w:ind w:left="4" w:firstLine="1208"/>
        <w:spacing w:after="0" w:line="273" w:lineRule="auto"/>
        <w:tabs>
          <w:tab w:leader="none" w:pos="1696" w:val="left"/>
        </w:tabs>
        <w:numPr>
          <w:ilvl w:val="2"/>
          <w:numId w:val="506"/>
        </w:numPr>
        <w:rPr>
          <w:rFonts w:ascii="Arial" w:cs="Arial" w:eastAsia="Arial" w:hAnsi="Arial"/>
          <w:sz w:val="19"/>
          <w:szCs w:val="19"/>
          <w:color w:val="auto"/>
        </w:rPr>
      </w:pPr>
      <w:r>
        <w:rPr>
          <w:rFonts w:ascii="Arial" w:cs="Arial" w:eastAsia="Arial" w:hAnsi="Arial"/>
          <w:sz w:val="19"/>
          <w:szCs w:val="19"/>
          <w:color w:val="auto"/>
        </w:rPr>
        <w:t>Each Deferred RSU award will vest in substantially equal installments over each month of the Plan Year, subject to the continued service of the applicable holder through the applicable vesting date; provided that any Deferred RSUs shall be deferred as set forth below and as specified in the Election Form and in no event will be settled until the deferred period set forth in Section 7(a). Notwithstanding the foregoing, in the event that there is a change to a director’s service on the committees of the Board that results in decreased cash Director Compensation during a Plan Year, then that number of Deferred RSUs granted during the Plan Year shall be automatically forfeited (effective as of that date such change in committee service) equal to (A) the amount of decreased Director Compensation that such director will no longer receive as compared to the estimate as of the original applicable grant date, pro-rated through the end of the Plan-Year, divided by (B) the average per ADS (or Share, if applicable) closing trading price of the ADS (or Shares, if applicable) over the 30 trading days as of the applicable original grant date of such Deferred RSUs, rounded down to the nearest whole Deferred RSU.</w:t>
      </w:r>
    </w:p>
    <w:p>
      <w:pPr>
        <w:spacing w:after="0" w:line="160" w:lineRule="exact"/>
        <w:rPr>
          <w:rFonts w:ascii="Arial" w:cs="Arial" w:eastAsia="Arial" w:hAnsi="Arial"/>
          <w:sz w:val="19"/>
          <w:szCs w:val="19"/>
          <w:color w:val="auto"/>
        </w:rPr>
      </w:pPr>
    </w:p>
    <w:p>
      <w:pPr>
        <w:ind w:left="4" w:right="240" w:firstLine="1208"/>
        <w:spacing w:after="0" w:line="250" w:lineRule="auto"/>
        <w:tabs>
          <w:tab w:leader="none" w:pos="1756" w:val="left"/>
        </w:tabs>
        <w:numPr>
          <w:ilvl w:val="2"/>
          <w:numId w:val="506"/>
        </w:numPr>
        <w:rPr>
          <w:rFonts w:ascii="Arial" w:cs="Arial" w:eastAsia="Arial" w:hAnsi="Arial"/>
          <w:sz w:val="22"/>
          <w:szCs w:val="22"/>
          <w:color w:val="auto"/>
        </w:rPr>
      </w:pPr>
      <w:r>
        <w:rPr>
          <w:rFonts w:ascii="Arial" w:cs="Arial" w:eastAsia="Arial" w:hAnsi="Arial"/>
          <w:sz w:val="22"/>
          <w:szCs w:val="22"/>
          <w:color w:val="auto"/>
        </w:rPr>
        <w:t>In no event will a participant be able to elect to receive RSUs that are not Deferred RSUs in lieu of such participant’s cash Director Compensation.</w:t>
      </w:r>
    </w:p>
    <w:p>
      <w:pPr>
        <w:spacing w:after="0" w:line="323" w:lineRule="exact"/>
        <w:rPr>
          <w:rFonts w:ascii="Arial" w:cs="Arial" w:eastAsia="Arial" w:hAnsi="Arial"/>
          <w:sz w:val="22"/>
          <w:szCs w:val="22"/>
          <w:color w:val="auto"/>
        </w:rPr>
      </w:pPr>
    </w:p>
    <w:p>
      <w:pPr>
        <w:ind w:left="544" w:hanging="544"/>
        <w:spacing w:after="0"/>
        <w:tabs>
          <w:tab w:leader="none" w:pos="544" w:val="left"/>
        </w:tabs>
        <w:numPr>
          <w:ilvl w:val="0"/>
          <w:numId w:val="507"/>
        </w:numPr>
        <w:rPr>
          <w:rFonts w:ascii="Arial" w:cs="Arial" w:eastAsia="Arial" w:hAnsi="Arial"/>
          <w:sz w:val="22"/>
          <w:szCs w:val="22"/>
          <w:color w:val="auto"/>
        </w:rPr>
      </w:pPr>
      <w:r>
        <w:rPr>
          <w:rFonts w:ascii="Arial" w:cs="Arial" w:eastAsia="Arial" w:hAnsi="Arial"/>
          <w:sz w:val="22"/>
          <w:szCs w:val="22"/>
          <w:u w:val="single" w:color="auto"/>
          <w:color w:val="auto"/>
        </w:rPr>
        <w:t>Election Forms and Timing</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4" w:hanging="453"/>
        <w:spacing w:after="0"/>
        <w:tabs>
          <w:tab w:leader="none" w:pos="1004" w:val="left"/>
        </w:tabs>
        <w:numPr>
          <w:ilvl w:val="1"/>
          <w:numId w:val="507"/>
        </w:numPr>
        <w:rPr>
          <w:rFonts w:ascii="Arial" w:cs="Arial" w:eastAsia="Arial" w:hAnsi="Arial"/>
          <w:sz w:val="22"/>
          <w:szCs w:val="22"/>
          <w:color w:val="auto"/>
        </w:rPr>
      </w:pPr>
      <w:r>
        <w:rPr>
          <w:rFonts w:ascii="Arial" w:cs="Arial" w:eastAsia="Arial" w:hAnsi="Arial"/>
          <w:sz w:val="22"/>
          <w:szCs w:val="22"/>
          <w:i w:val="1"/>
          <w:iCs w:val="1"/>
          <w:color w:val="auto"/>
        </w:rPr>
        <w:t>Time of Election</w:t>
      </w:r>
      <w:r>
        <w:rPr>
          <w:rFonts w:ascii="Arial" w:cs="Arial" w:eastAsia="Arial" w:hAnsi="Arial"/>
          <w:sz w:val="22"/>
          <w:szCs w:val="22"/>
          <w:color w:val="auto"/>
        </w:rPr>
        <w:t>. Deferred RSU Elections shall be made at the following times:</w:t>
      </w:r>
    </w:p>
    <w:p>
      <w:pPr>
        <w:spacing w:after="0" w:line="206" w:lineRule="exact"/>
        <w:rPr>
          <w:rFonts w:ascii="Arial" w:cs="Arial" w:eastAsia="Arial" w:hAnsi="Arial"/>
          <w:sz w:val="22"/>
          <w:szCs w:val="22"/>
          <w:color w:val="auto"/>
        </w:rPr>
      </w:pPr>
    </w:p>
    <w:p>
      <w:pPr>
        <w:ind w:left="4" w:firstLine="1208"/>
        <w:spacing w:after="0" w:line="235" w:lineRule="auto"/>
        <w:tabs>
          <w:tab w:leader="none" w:pos="1624" w:val="left"/>
        </w:tabs>
        <w:numPr>
          <w:ilvl w:val="2"/>
          <w:numId w:val="507"/>
        </w:numPr>
        <w:rPr>
          <w:rFonts w:ascii="Arial" w:cs="Arial" w:eastAsia="Arial" w:hAnsi="Arial"/>
          <w:sz w:val="22"/>
          <w:szCs w:val="22"/>
          <w:color w:val="auto"/>
        </w:rPr>
      </w:pPr>
      <w:r>
        <w:rPr>
          <w:rFonts w:ascii="Arial" w:cs="Arial" w:eastAsia="Arial" w:hAnsi="Arial"/>
          <w:sz w:val="22"/>
          <w:szCs w:val="22"/>
          <w:color w:val="auto"/>
        </w:rPr>
        <w:t>A director may make Deferred RSU Elections at such time or times during the calendar year as permitted by the Plan Administrator. Notwithstanding the foregoing, for the initial partial 2022 Plan Year, a director may make a Deferred RSU Election at any time prior to February 1, 2022 and such election shall apply to relevant compensation earned for service from and after February 1, 2022. Unless otherwise provided by the Plan Administrator, each director will submit an Election Form no later than December 31 of each calendar year with respect to the Deferred RSU Election relating to services to be performed in the following calendar year.</w:t>
      </w:r>
    </w:p>
    <w:p>
      <w:pPr>
        <w:spacing w:after="0" w:line="187" w:lineRule="exact"/>
        <w:rPr>
          <w:rFonts w:ascii="Arial" w:cs="Arial" w:eastAsia="Arial" w:hAnsi="Arial"/>
          <w:sz w:val="22"/>
          <w:szCs w:val="22"/>
          <w:color w:val="auto"/>
        </w:rPr>
      </w:pPr>
    </w:p>
    <w:p>
      <w:pPr>
        <w:ind w:left="4" w:right="200" w:firstLine="1208"/>
        <w:spacing w:after="0" w:line="249" w:lineRule="auto"/>
        <w:tabs>
          <w:tab w:leader="none" w:pos="1684" w:val="left"/>
        </w:tabs>
        <w:numPr>
          <w:ilvl w:val="2"/>
          <w:numId w:val="507"/>
        </w:numPr>
        <w:rPr>
          <w:rFonts w:ascii="Arial" w:cs="Arial" w:eastAsia="Arial" w:hAnsi="Arial"/>
          <w:sz w:val="21"/>
          <w:szCs w:val="21"/>
          <w:color w:val="auto"/>
        </w:rPr>
      </w:pPr>
      <w:r>
        <w:rPr>
          <w:rFonts w:ascii="Arial" w:cs="Arial" w:eastAsia="Arial" w:hAnsi="Arial"/>
          <w:sz w:val="21"/>
          <w:szCs w:val="21"/>
          <w:color w:val="auto"/>
        </w:rPr>
        <w:t>A nominee for election and/or appointment to director (who is not at the time of nomination a sitting director and was not previously eligible to participate in this Plan) may make a Deferred RSU Election no later than 30 days after the date of the director’s commencement of services as a director. Such Deferred RSU Election shall be effective for Deferred RSUs, following the later of (A) the date of the director’s commencement of services as a director, and (B) the date an irrevocable election form is filed with the Company.</w:t>
      </w:r>
    </w:p>
    <w:p>
      <w:pPr>
        <w:spacing w:after="0" w:line="178" w:lineRule="exact"/>
        <w:rPr>
          <w:rFonts w:ascii="Arial" w:cs="Arial" w:eastAsia="Arial" w:hAnsi="Arial"/>
          <w:sz w:val="21"/>
          <w:szCs w:val="21"/>
          <w:color w:val="auto"/>
        </w:rPr>
      </w:pPr>
    </w:p>
    <w:p>
      <w:pPr>
        <w:ind w:left="4" w:firstLine="547"/>
        <w:spacing w:after="0" w:line="235" w:lineRule="auto"/>
        <w:tabs>
          <w:tab w:leader="none" w:pos="1023" w:val="left"/>
        </w:tabs>
        <w:numPr>
          <w:ilvl w:val="1"/>
          <w:numId w:val="507"/>
        </w:numPr>
        <w:rPr>
          <w:rFonts w:ascii="Arial" w:cs="Arial" w:eastAsia="Arial" w:hAnsi="Arial"/>
          <w:sz w:val="22"/>
          <w:szCs w:val="22"/>
          <w:color w:val="auto"/>
        </w:rPr>
      </w:pPr>
      <w:r>
        <w:rPr>
          <w:rFonts w:ascii="Arial" w:cs="Arial" w:eastAsia="Arial" w:hAnsi="Arial"/>
          <w:sz w:val="22"/>
          <w:szCs w:val="22"/>
          <w:i w:val="1"/>
          <w:iCs w:val="1"/>
          <w:color w:val="auto"/>
        </w:rPr>
        <w:t>Duration of Deferral Election</w:t>
      </w:r>
      <w:r>
        <w:rPr>
          <w:rFonts w:ascii="Arial" w:cs="Arial" w:eastAsia="Arial" w:hAnsi="Arial"/>
          <w:sz w:val="22"/>
          <w:szCs w:val="22"/>
          <w:color w:val="auto"/>
        </w:rPr>
        <w:t>. Unless otherwise permitted by the Plan Administrator and specified in an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deferral election form, a Deferred RSU Election will only apply to one Plan Year and a participant must make a new deferral election with respect to each Plan Year that the participant decides to make a Deferred RSU Election. The Plan Administrator may provide pursuant to the terms of an approved Election Form that such Deferred RSU Election shall carry forward from year-to-year and continue to apply to Deferred RSUs and Director Compensation for subsequent years, in each case as specified in the applicable Election Form.</w:t>
      </w:r>
    </w:p>
    <w:p>
      <w:pPr>
        <w:sectPr>
          <w:pgSz w:w="11900" w:h="16838" w:orient="portrait"/>
          <w:cols w:equalWidth="0" w:num="1">
            <w:col w:w="10984"/>
          </w:cols>
          <w:pgMar w:left="436" w:top="266" w:right="479" w:bottom="1440" w:gutter="0" w:footer="0" w:header="0"/>
        </w:sectPr>
      </w:pPr>
    </w:p>
    <w:bookmarkStart w:id="469" w:name="page470"/>
    <w:bookmarkEnd w:id="469"/>
    <w:p>
      <w:pPr>
        <w:ind w:left="4" w:right="640" w:hanging="4"/>
        <w:spacing w:after="0" w:line="250" w:lineRule="auto"/>
        <w:tabs>
          <w:tab w:leader="none" w:pos="382" w:val="left"/>
        </w:tabs>
        <w:numPr>
          <w:ilvl w:val="0"/>
          <w:numId w:val="50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Deferred Compensation Accounts</w:t>
      </w:r>
      <w:r>
        <w:rPr>
          <w:rFonts w:ascii="Arial" w:cs="Arial" w:eastAsia="Arial" w:hAnsi="Arial"/>
          <w:sz w:val="22"/>
          <w:szCs w:val="22"/>
          <w:color w:val="auto"/>
        </w:rPr>
        <w:t>. The Company shall establish on its books and records a Deferred Compensation Account with sub accounts for each participant, as provided below.</w:t>
      </w:r>
    </w:p>
    <w:p>
      <w:pPr>
        <w:spacing w:after="0" w:line="174" w:lineRule="exact"/>
        <w:rPr>
          <w:rFonts w:ascii="Arial" w:cs="Arial" w:eastAsia="Arial" w:hAnsi="Arial"/>
          <w:sz w:val="22"/>
          <w:szCs w:val="22"/>
          <w:color w:val="auto"/>
        </w:rPr>
      </w:pPr>
    </w:p>
    <w:p>
      <w:pPr>
        <w:ind w:left="4" w:right="460" w:firstLine="547"/>
        <w:spacing w:after="0" w:line="238" w:lineRule="auto"/>
        <w:tabs>
          <w:tab w:leader="none" w:pos="1010" w:val="left"/>
        </w:tabs>
        <w:numPr>
          <w:ilvl w:val="1"/>
          <w:numId w:val="508"/>
        </w:numPr>
        <w:rPr>
          <w:rFonts w:ascii="Arial" w:cs="Arial" w:eastAsia="Arial" w:hAnsi="Arial"/>
          <w:sz w:val="22"/>
          <w:szCs w:val="22"/>
          <w:color w:val="auto"/>
        </w:rPr>
      </w:pPr>
      <w:r>
        <w:rPr>
          <w:rFonts w:ascii="Arial" w:cs="Arial" w:eastAsia="Arial" w:hAnsi="Arial"/>
          <w:sz w:val="22"/>
          <w:szCs w:val="22"/>
          <w:i w:val="1"/>
          <w:iCs w:val="1"/>
          <w:color w:val="auto"/>
        </w:rPr>
        <w:t>Crediting of Deferred RSUs</w:t>
      </w:r>
      <w:r>
        <w:rPr>
          <w:rFonts w:ascii="Arial" w:cs="Arial" w:eastAsia="Arial" w:hAnsi="Arial"/>
          <w:sz w:val="22"/>
          <w:szCs w:val="22"/>
          <w:color w:val="auto"/>
        </w:rPr>
        <w:t>. Deferred RSUs, if applicable, shall be credited to the participant’s Deferred</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Account on the date it would otherwise have been granted. On such date, the Company shall credit to the Deferred Compensation Account with a number of Deferred RSUs that was granted. No fractional Deferred RSUs will be credited to a participant’s account.</w:t>
      </w:r>
    </w:p>
    <w:p>
      <w:pPr>
        <w:spacing w:after="0" w:line="184" w:lineRule="exact"/>
        <w:rPr>
          <w:rFonts w:ascii="Arial" w:cs="Arial" w:eastAsia="Arial" w:hAnsi="Arial"/>
          <w:sz w:val="22"/>
          <w:szCs w:val="22"/>
          <w:color w:val="auto"/>
        </w:rPr>
      </w:pPr>
    </w:p>
    <w:p>
      <w:pPr>
        <w:ind w:left="4" w:firstLine="547"/>
        <w:spacing w:after="0" w:line="279" w:lineRule="auto"/>
        <w:tabs>
          <w:tab w:leader="none" w:pos="1023" w:val="left"/>
        </w:tabs>
        <w:numPr>
          <w:ilvl w:val="1"/>
          <w:numId w:val="508"/>
        </w:numPr>
        <w:rPr>
          <w:rFonts w:ascii="Arial" w:cs="Arial" w:eastAsia="Arial" w:hAnsi="Arial"/>
          <w:sz w:val="19"/>
          <w:szCs w:val="19"/>
          <w:color w:val="auto"/>
        </w:rPr>
      </w:pPr>
      <w:r>
        <w:rPr>
          <w:rFonts w:ascii="Arial" w:cs="Arial" w:eastAsia="Arial" w:hAnsi="Arial"/>
          <w:sz w:val="19"/>
          <w:szCs w:val="19"/>
          <w:i w:val="1"/>
          <w:iCs w:val="1"/>
          <w:color w:val="auto"/>
        </w:rPr>
        <w:t>Dividend Equivalents</w:t>
      </w:r>
      <w:r>
        <w:rPr>
          <w:rFonts w:ascii="Arial" w:cs="Arial" w:eastAsia="Arial" w:hAnsi="Arial"/>
          <w:sz w:val="19"/>
          <w:szCs w:val="19"/>
          <w:color w:val="auto"/>
        </w:rPr>
        <w:t>. Each Deferred RSU credited to a participant’s Deferred Compensation Account shall carry</w:t>
      </w:r>
      <w:r>
        <w:rPr>
          <w:rFonts w:ascii="Arial" w:cs="Arial" w:eastAsia="Arial" w:hAnsi="Arial"/>
          <w:sz w:val="19"/>
          <w:szCs w:val="19"/>
          <w:i w:val="1"/>
          <w:iCs w:val="1"/>
          <w:color w:val="auto"/>
        </w:rPr>
        <w:t xml:space="preserve"> </w:t>
      </w:r>
      <w:r>
        <w:rPr>
          <w:rFonts w:ascii="Arial" w:cs="Arial" w:eastAsia="Arial" w:hAnsi="Arial"/>
          <w:sz w:val="19"/>
          <w:szCs w:val="19"/>
          <w:color w:val="auto"/>
        </w:rPr>
        <w:t>with it a right to receive dividend equivalents in respect of the Share or ADS, as applicable, underlying such Deferred RSU. Dividend equivalents shall be paid to participants in cash on the Company’s applicable dividend payment date based on the number of Deferred RSU, whether vested or unvested, held in the director’s Deferred Compensation Account on the applicable Company record date. The dividend equivalent right associated with a Deferred RSU shall remain outstanding until the delivery to the participant of the Share or ADS, applicable underlying such Deferred RSU.</w:t>
      </w:r>
    </w:p>
    <w:p>
      <w:pPr>
        <w:spacing w:after="0" w:line="150" w:lineRule="exact"/>
        <w:rPr>
          <w:rFonts w:ascii="Arial" w:cs="Arial" w:eastAsia="Arial" w:hAnsi="Arial"/>
          <w:sz w:val="19"/>
          <w:szCs w:val="19"/>
          <w:color w:val="auto"/>
        </w:rPr>
      </w:pPr>
    </w:p>
    <w:p>
      <w:pPr>
        <w:ind w:left="4" w:right="180" w:firstLine="547"/>
        <w:spacing w:after="0" w:line="246" w:lineRule="auto"/>
        <w:tabs>
          <w:tab w:leader="none" w:pos="1010" w:val="left"/>
        </w:tabs>
        <w:numPr>
          <w:ilvl w:val="1"/>
          <w:numId w:val="508"/>
        </w:numPr>
        <w:rPr>
          <w:rFonts w:ascii="Arial" w:cs="Arial" w:eastAsia="Arial" w:hAnsi="Arial"/>
          <w:sz w:val="21"/>
          <w:szCs w:val="21"/>
          <w:color w:val="auto"/>
        </w:rPr>
      </w:pPr>
      <w:r>
        <w:rPr>
          <w:rFonts w:ascii="Arial" w:cs="Arial" w:eastAsia="Arial" w:hAnsi="Arial"/>
          <w:sz w:val="21"/>
          <w:szCs w:val="21"/>
          <w:i w:val="1"/>
          <w:iCs w:val="1"/>
          <w:color w:val="auto"/>
        </w:rPr>
        <w:t>Adjustment of Deferred RSUs</w:t>
      </w:r>
      <w:r>
        <w:rPr>
          <w:rFonts w:ascii="Arial" w:cs="Arial" w:eastAsia="Arial" w:hAnsi="Arial"/>
          <w:sz w:val="21"/>
          <w:szCs w:val="21"/>
          <w:color w:val="auto"/>
        </w:rPr>
        <w:t>. If the number of outstanding Shares and/or ADS, as applicable, is increased or</w:t>
      </w:r>
      <w:r>
        <w:rPr>
          <w:rFonts w:ascii="Arial" w:cs="Arial" w:eastAsia="Arial" w:hAnsi="Arial"/>
          <w:sz w:val="21"/>
          <w:szCs w:val="21"/>
          <w:i w:val="1"/>
          <w:iCs w:val="1"/>
          <w:color w:val="auto"/>
        </w:rPr>
        <w:t xml:space="preserve"> </w:t>
      </w:r>
      <w:r>
        <w:rPr>
          <w:rFonts w:ascii="Arial" w:cs="Arial" w:eastAsia="Arial" w:hAnsi="Arial"/>
          <w:sz w:val="21"/>
          <w:szCs w:val="21"/>
          <w:color w:val="auto"/>
        </w:rPr>
        <w:t>decreased or the Shares and/or ADS, as applicable, are changed into or exchanged for a different number or kind of shares or other securities of the Company on account of any recapitalization, reclassification, share split, reverse split, combination of shares, exchange of shares, share dividend, or other distribution payable in capital securities, or other increase or decrease in such shares effected without receipt of consideration by the Company occurring after the Effective Date, the Plan Administrator will make appropriate adjustments to (i) the number and kind of Shares and/or ADS, as applicable, for which Deferred RSUs are outstanding, and (ii) the number of Deferred RSUs credited to each participant’s Deferred Compensation Account.</w:t>
      </w:r>
    </w:p>
    <w:p>
      <w:pPr>
        <w:spacing w:after="0" w:line="328" w:lineRule="exact"/>
        <w:rPr>
          <w:rFonts w:ascii="Arial" w:cs="Arial" w:eastAsia="Arial" w:hAnsi="Arial"/>
          <w:sz w:val="21"/>
          <w:szCs w:val="21"/>
          <w:color w:val="auto"/>
        </w:rPr>
      </w:pPr>
    </w:p>
    <w:p>
      <w:pPr>
        <w:ind w:left="544" w:hanging="544"/>
        <w:spacing w:after="0"/>
        <w:tabs>
          <w:tab w:leader="none" w:pos="544" w:val="left"/>
        </w:tabs>
        <w:numPr>
          <w:ilvl w:val="0"/>
          <w:numId w:val="508"/>
        </w:numPr>
        <w:rPr>
          <w:rFonts w:ascii="Arial" w:cs="Arial" w:eastAsia="Arial" w:hAnsi="Arial"/>
          <w:sz w:val="22"/>
          <w:szCs w:val="22"/>
          <w:color w:val="auto"/>
        </w:rPr>
      </w:pPr>
      <w:r>
        <w:rPr>
          <w:rFonts w:ascii="Arial" w:cs="Arial" w:eastAsia="Arial" w:hAnsi="Arial"/>
          <w:sz w:val="22"/>
          <w:szCs w:val="22"/>
          <w:u w:val="single" w:color="auto"/>
          <w:color w:val="auto"/>
        </w:rPr>
        <w:t>Payment of Deferred RSUs</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4" w:hanging="453"/>
        <w:spacing w:after="0"/>
        <w:tabs>
          <w:tab w:leader="none" w:pos="1004" w:val="left"/>
        </w:tabs>
        <w:numPr>
          <w:ilvl w:val="1"/>
          <w:numId w:val="508"/>
        </w:numPr>
        <w:rPr>
          <w:rFonts w:ascii="Arial" w:cs="Arial" w:eastAsia="Arial" w:hAnsi="Arial"/>
          <w:sz w:val="21"/>
          <w:szCs w:val="21"/>
          <w:color w:val="auto"/>
        </w:rPr>
      </w:pPr>
      <w:r>
        <w:rPr>
          <w:rFonts w:ascii="Arial" w:cs="Arial" w:eastAsia="Arial" w:hAnsi="Arial"/>
          <w:sz w:val="21"/>
          <w:szCs w:val="21"/>
          <w:i w:val="1"/>
          <w:iCs w:val="1"/>
          <w:color w:val="auto"/>
        </w:rPr>
        <w:t>Distributions</w:t>
      </w:r>
      <w:r>
        <w:rPr>
          <w:rFonts w:ascii="Arial" w:cs="Arial" w:eastAsia="Arial" w:hAnsi="Arial"/>
          <w:sz w:val="21"/>
          <w:szCs w:val="21"/>
          <w:color w:val="auto"/>
        </w:rPr>
        <w:t>. Payment from the Deferred RSUs shall be made in one lump sum on the earliest to occur of:</w:t>
      </w:r>
    </w:p>
    <w:p>
      <w:pPr>
        <w:spacing w:after="0" w:line="123" w:lineRule="exact"/>
        <w:rPr>
          <w:rFonts w:ascii="Arial" w:cs="Arial" w:eastAsia="Arial" w:hAnsi="Arial"/>
          <w:sz w:val="21"/>
          <w:szCs w:val="21"/>
          <w:color w:val="auto"/>
        </w:rPr>
      </w:pPr>
    </w:p>
    <w:p>
      <w:pPr>
        <w:ind w:left="1744" w:hanging="543"/>
        <w:spacing w:after="0"/>
        <w:tabs>
          <w:tab w:leader="none" w:pos="1744" w:val="left"/>
        </w:tabs>
        <w:numPr>
          <w:ilvl w:val="2"/>
          <w:numId w:val="508"/>
        </w:numPr>
        <w:rPr>
          <w:rFonts w:ascii="Arial" w:cs="Arial" w:eastAsia="Arial" w:hAnsi="Arial"/>
          <w:sz w:val="22"/>
          <w:szCs w:val="22"/>
          <w:color w:val="auto"/>
        </w:rPr>
      </w:pPr>
      <w:r>
        <w:rPr>
          <w:rFonts w:ascii="Arial" w:cs="Arial" w:eastAsia="Arial" w:hAnsi="Arial"/>
          <w:sz w:val="22"/>
          <w:szCs w:val="22"/>
          <w:color w:val="auto"/>
        </w:rPr>
        <w:t>180 days following the participant’s Separation From Service;</w:t>
      </w:r>
    </w:p>
    <w:p>
      <w:pPr>
        <w:spacing w:after="0" w:line="111" w:lineRule="exact"/>
        <w:rPr>
          <w:rFonts w:ascii="Arial" w:cs="Arial" w:eastAsia="Arial" w:hAnsi="Arial"/>
          <w:sz w:val="22"/>
          <w:szCs w:val="22"/>
          <w:color w:val="auto"/>
        </w:rPr>
      </w:pPr>
    </w:p>
    <w:p>
      <w:pPr>
        <w:ind w:left="1744" w:hanging="543"/>
        <w:spacing w:after="0"/>
        <w:tabs>
          <w:tab w:leader="none" w:pos="1744" w:val="left"/>
        </w:tabs>
        <w:numPr>
          <w:ilvl w:val="2"/>
          <w:numId w:val="508"/>
        </w:numPr>
        <w:rPr>
          <w:rFonts w:ascii="Arial" w:cs="Arial" w:eastAsia="Arial" w:hAnsi="Arial"/>
          <w:sz w:val="22"/>
          <w:szCs w:val="22"/>
          <w:color w:val="auto"/>
        </w:rPr>
      </w:pPr>
      <w:r>
        <w:rPr>
          <w:rFonts w:ascii="Arial" w:cs="Arial" w:eastAsia="Arial" w:hAnsi="Arial"/>
          <w:sz w:val="22"/>
          <w:szCs w:val="22"/>
          <w:color w:val="auto"/>
        </w:rPr>
        <w:t>immediately prior to, on or within 30 days following a Change in Control;</w:t>
      </w:r>
    </w:p>
    <w:p>
      <w:pPr>
        <w:spacing w:after="0" w:line="111" w:lineRule="exact"/>
        <w:rPr>
          <w:rFonts w:ascii="Arial" w:cs="Arial" w:eastAsia="Arial" w:hAnsi="Arial"/>
          <w:sz w:val="22"/>
          <w:szCs w:val="22"/>
          <w:color w:val="auto"/>
        </w:rPr>
      </w:pPr>
    </w:p>
    <w:p>
      <w:pPr>
        <w:ind w:left="1744" w:hanging="543"/>
        <w:spacing w:after="0"/>
        <w:tabs>
          <w:tab w:leader="none" w:pos="1744" w:val="left"/>
        </w:tabs>
        <w:numPr>
          <w:ilvl w:val="2"/>
          <w:numId w:val="508"/>
        </w:numPr>
        <w:rPr>
          <w:rFonts w:ascii="Arial" w:cs="Arial" w:eastAsia="Arial" w:hAnsi="Arial"/>
          <w:sz w:val="22"/>
          <w:szCs w:val="22"/>
          <w:color w:val="auto"/>
        </w:rPr>
      </w:pPr>
      <w:r>
        <w:rPr>
          <w:rFonts w:ascii="Arial" w:cs="Arial" w:eastAsia="Arial" w:hAnsi="Arial"/>
          <w:sz w:val="22"/>
          <w:szCs w:val="22"/>
          <w:color w:val="auto"/>
        </w:rPr>
        <w:t>180 days following the participant’s Disability;</w:t>
      </w:r>
    </w:p>
    <w:p>
      <w:pPr>
        <w:spacing w:after="0" w:line="111" w:lineRule="exact"/>
        <w:rPr>
          <w:rFonts w:ascii="Arial" w:cs="Arial" w:eastAsia="Arial" w:hAnsi="Arial"/>
          <w:sz w:val="22"/>
          <w:szCs w:val="22"/>
          <w:color w:val="auto"/>
        </w:rPr>
      </w:pPr>
    </w:p>
    <w:p>
      <w:pPr>
        <w:ind w:left="1744" w:hanging="543"/>
        <w:spacing w:after="0"/>
        <w:tabs>
          <w:tab w:leader="none" w:pos="1744" w:val="left"/>
        </w:tabs>
        <w:numPr>
          <w:ilvl w:val="2"/>
          <w:numId w:val="508"/>
        </w:numPr>
        <w:rPr>
          <w:rFonts w:ascii="Arial" w:cs="Arial" w:eastAsia="Arial" w:hAnsi="Arial"/>
          <w:sz w:val="22"/>
          <w:szCs w:val="22"/>
          <w:color w:val="auto"/>
        </w:rPr>
      </w:pPr>
      <w:r>
        <w:rPr>
          <w:rFonts w:ascii="Arial" w:cs="Arial" w:eastAsia="Arial" w:hAnsi="Arial"/>
          <w:sz w:val="22"/>
          <w:szCs w:val="22"/>
          <w:color w:val="auto"/>
        </w:rPr>
        <w:t>the participant’s death.</w:t>
      </w:r>
    </w:p>
    <w:p>
      <w:pPr>
        <w:spacing w:after="0" w:line="206" w:lineRule="exact"/>
        <w:rPr>
          <w:sz w:val="20"/>
          <w:szCs w:val="20"/>
          <w:color w:val="auto"/>
        </w:rPr>
      </w:pPr>
    </w:p>
    <w:p>
      <w:pPr>
        <w:ind w:left="4" w:firstLine="551"/>
        <w:spacing w:after="0" w:line="252" w:lineRule="auto"/>
        <w:rPr>
          <w:sz w:val="20"/>
          <w:szCs w:val="20"/>
          <w:color w:val="auto"/>
        </w:rPr>
      </w:pPr>
      <w:r>
        <w:rPr>
          <w:rFonts w:ascii="Arial" w:cs="Arial" w:eastAsia="Arial" w:hAnsi="Arial"/>
          <w:sz w:val="21"/>
          <w:szCs w:val="21"/>
          <w:color w:val="auto"/>
        </w:rPr>
        <w:t>Notwithstanding anything to the contrary in the Plan, if on the date of the participant’s Separation from Service, the participant is a “</w:t>
      </w:r>
      <w:r>
        <w:rPr>
          <w:rFonts w:ascii="Arial" w:cs="Arial" w:eastAsia="Arial" w:hAnsi="Arial"/>
          <w:sz w:val="21"/>
          <w:szCs w:val="21"/>
          <w:i w:val="1"/>
          <w:iCs w:val="1"/>
          <w:color w:val="auto"/>
        </w:rPr>
        <w:t>specified employee</w:t>
      </w:r>
      <w:r>
        <w:rPr>
          <w:rFonts w:ascii="Arial" w:cs="Arial" w:eastAsia="Arial" w:hAnsi="Arial"/>
          <w:sz w:val="21"/>
          <w:szCs w:val="21"/>
          <w:color w:val="auto"/>
        </w:rPr>
        <w:t>” within the meaning of Section 409A and is subject to Section 409A, the payment will occur on the later to occur of (x) the scheduled distribution date and (y) the first day of the seventh month following the date of the participant’s Separation from Service or, if earlier, the date of the participant’s death.</w:t>
      </w:r>
    </w:p>
    <w:p>
      <w:pPr>
        <w:spacing w:after="0" w:line="174" w:lineRule="exact"/>
        <w:rPr>
          <w:sz w:val="20"/>
          <w:szCs w:val="20"/>
          <w:color w:val="auto"/>
        </w:rPr>
      </w:pPr>
    </w:p>
    <w:p>
      <w:pPr>
        <w:ind w:left="4" w:right="140" w:firstLine="547"/>
        <w:spacing w:after="0" w:line="236" w:lineRule="auto"/>
        <w:tabs>
          <w:tab w:leader="none" w:pos="1023" w:val="left"/>
        </w:tabs>
        <w:numPr>
          <w:ilvl w:val="0"/>
          <w:numId w:val="509"/>
        </w:numPr>
        <w:rPr>
          <w:rFonts w:ascii="Arial" w:cs="Arial" w:eastAsia="Arial" w:hAnsi="Arial"/>
          <w:sz w:val="22"/>
          <w:szCs w:val="22"/>
          <w:color w:val="auto"/>
        </w:rPr>
      </w:pPr>
      <w:r>
        <w:rPr>
          <w:rFonts w:ascii="Arial" w:cs="Arial" w:eastAsia="Arial" w:hAnsi="Arial"/>
          <w:sz w:val="22"/>
          <w:szCs w:val="22"/>
          <w:i w:val="1"/>
          <w:iCs w:val="1"/>
          <w:color w:val="auto"/>
        </w:rPr>
        <w:t>Medium of Payment</w:t>
      </w:r>
      <w:r>
        <w:rPr>
          <w:rFonts w:ascii="Arial" w:cs="Arial" w:eastAsia="Arial" w:hAnsi="Arial"/>
          <w:sz w:val="22"/>
          <w:szCs w:val="22"/>
          <w:color w:val="auto"/>
        </w:rPr>
        <w:t>. Payments from the Deferred Compensation Account shall be made in whole Shares and/or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ADS, as applicable, for each whole Deferred RSU, and in cash for any fractional Deferred RSU; </w:t>
      </w:r>
      <w:r>
        <w:rPr>
          <w:rFonts w:ascii="Arial" w:cs="Arial" w:eastAsia="Arial" w:hAnsi="Arial"/>
          <w:sz w:val="22"/>
          <w:szCs w:val="22"/>
          <w:i w:val="1"/>
          <w:iCs w:val="1"/>
          <w:color w:val="auto"/>
        </w:rPr>
        <w:t>provided</w:t>
      </w:r>
      <w:r>
        <w:rPr>
          <w:rFonts w:ascii="Arial" w:cs="Arial" w:eastAsia="Arial" w:hAnsi="Arial"/>
          <w:sz w:val="22"/>
          <w:szCs w:val="22"/>
          <w:color w:val="auto"/>
        </w:rPr>
        <w:t>, that, the Company may choose in its sole discretion to pay the participant cash in lieu of all or a portion of the Shares and/or ADS, as applicable. Deferred RSUs issued to and Shares and/or ADS, as applicable, paid to participants under the Plan shall be issued and paid from the Equity Plan.</w:t>
      </w:r>
    </w:p>
    <w:p>
      <w:pPr>
        <w:sectPr>
          <w:pgSz w:w="11900" w:h="16838" w:orient="portrait"/>
          <w:cols w:equalWidth="0" w:num="1">
            <w:col w:w="10984"/>
          </w:cols>
          <w:pgMar w:left="436" w:top="266" w:right="479" w:bottom="1440" w:gutter="0" w:footer="0" w:header="0"/>
        </w:sectPr>
      </w:pPr>
    </w:p>
    <w:bookmarkStart w:id="470" w:name="page471"/>
    <w:bookmarkEnd w:id="470"/>
    <w:p>
      <w:pPr>
        <w:ind w:left="4" w:hanging="4"/>
        <w:spacing w:after="0" w:line="249" w:lineRule="auto"/>
        <w:tabs>
          <w:tab w:leader="none" w:pos="382" w:val="left"/>
        </w:tabs>
        <w:numPr>
          <w:ilvl w:val="0"/>
          <w:numId w:val="510"/>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Unfunded Promise to Pay; No Segregation of Funds or Assets</w:t>
      </w:r>
      <w:r>
        <w:rPr>
          <w:rFonts w:ascii="Arial" w:cs="Arial" w:eastAsia="Arial" w:hAnsi="Arial"/>
          <w:sz w:val="21"/>
          <w:szCs w:val="21"/>
          <w:color w:val="auto"/>
        </w:rPr>
        <w:t>. Nothing in this Plan shall require the segregation of any assets of the Company or any type of funding by the Company, it being the intention of the parties that the Plan be an unfunded arrangement for federal income tax purposes. No participant shall have any rights to or interest in any specific assets or ADS or Shares by reason of the Plan, and any participant’s rights to enforce payment of the obligations of the Company hereunder shall be those of a general creditor of the Company.</w:t>
      </w:r>
    </w:p>
    <w:p>
      <w:pPr>
        <w:spacing w:after="0" w:line="178" w:lineRule="exact"/>
        <w:rPr>
          <w:rFonts w:ascii="Arial" w:cs="Arial" w:eastAsia="Arial" w:hAnsi="Arial"/>
          <w:sz w:val="21"/>
          <w:szCs w:val="21"/>
          <w:color w:val="auto"/>
        </w:rPr>
      </w:pPr>
    </w:p>
    <w:p>
      <w:pPr>
        <w:ind w:left="4" w:right="40" w:hanging="4"/>
        <w:spacing w:after="0" w:line="249" w:lineRule="auto"/>
        <w:tabs>
          <w:tab w:leader="none" w:pos="382" w:val="left"/>
        </w:tabs>
        <w:numPr>
          <w:ilvl w:val="0"/>
          <w:numId w:val="510"/>
        </w:numPr>
        <w:rPr>
          <w:rFonts w:ascii="Arial" w:cs="Arial" w:eastAsia="Arial" w:hAnsi="Arial"/>
          <w:sz w:val="21"/>
          <w:szCs w:val="21"/>
          <w:color w:val="auto"/>
        </w:rPr>
      </w:pPr>
      <w:r>
        <w:rPr>
          <w:rFonts w:ascii="Arial" w:cs="Arial" w:eastAsia="Arial" w:hAnsi="Arial"/>
          <w:sz w:val="21"/>
          <w:szCs w:val="21"/>
          <w:u w:val="single" w:color="auto"/>
          <w:color w:val="auto"/>
        </w:rPr>
        <w:t>Nonassignability; Beneficiary Designation</w:t>
      </w:r>
      <w:r>
        <w:rPr>
          <w:rFonts w:ascii="Arial" w:cs="Arial" w:eastAsia="Arial" w:hAnsi="Arial"/>
          <w:sz w:val="21"/>
          <w:szCs w:val="21"/>
          <w:color w:val="auto"/>
        </w:rPr>
        <w:t>. The right of a participant to receive any unpaid portion of the participant’s Deferred Compensation Account shall not be assigned, transferred, pledged or encumbered or subjected in any manner to alienation or anticipation. However, in the event of a participant’s death, the Company will pay the unpaid portion of the participant’s Deferred Compensation Account to the participant’s designated beneficiaries. If the participant fails to complete a valid beneficiary designation, the participant’s beneficiary will be his or her estate.</w:t>
      </w:r>
    </w:p>
    <w:p>
      <w:pPr>
        <w:spacing w:after="0" w:line="178" w:lineRule="exact"/>
        <w:rPr>
          <w:rFonts w:ascii="Arial" w:cs="Arial" w:eastAsia="Arial" w:hAnsi="Arial"/>
          <w:sz w:val="21"/>
          <w:szCs w:val="21"/>
          <w:color w:val="auto"/>
        </w:rPr>
      </w:pPr>
    </w:p>
    <w:p>
      <w:pPr>
        <w:jc w:val="both"/>
        <w:ind w:left="4" w:right="160" w:hanging="4"/>
        <w:spacing w:after="0" w:line="238" w:lineRule="auto"/>
        <w:tabs>
          <w:tab w:leader="none" w:pos="490" w:val="left"/>
        </w:tabs>
        <w:numPr>
          <w:ilvl w:val="0"/>
          <w:numId w:val="510"/>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xml:space="preserve"> The Plan will be administered under the supervision of the Plan Administrator. The Plan Administrator will prescribe guidelines and forms for the implementation and administration of the Plan, interpret the terms of the Plan, and make all other substantive decisions regarding the operation of the Plan. The Plan Administrator’s decisions in its administration of the Plan are conclusive and binding on all persons.</w:t>
      </w:r>
    </w:p>
    <w:p>
      <w:pPr>
        <w:spacing w:after="0" w:line="184" w:lineRule="exact"/>
        <w:rPr>
          <w:rFonts w:ascii="Arial" w:cs="Arial" w:eastAsia="Arial" w:hAnsi="Arial"/>
          <w:sz w:val="22"/>
          <w:szCs w:val="22"/>
          <w:color w:val="auto"/>
        </w:rPr>
      </w:pPr>
    </w:p>
    <w:p>
      <w:pPr>
        <w:ind w:left="4" w:right="260" w:hanging="4"/>
        <w:spacing w:after="0" w:line="276" w:lineRule="auto"/>
        <w:tabs>
          <w:tab w:leader="none" w:pos="482" w:val="left"/>
        </w:tabs>
        <w:numPr>
          <w:ilvl w:val="0"/>
          <w:numId w:val="51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To the extent a participant is subject to Section 409A, the Plan is intended to comply with Section 409A and any regulations and guidance thereunder and shall be interpreted and operated in accordance with such</w:t>
      </w:r>
    </w:p>
    <w:p>
      <w:pPr>
        <w:spacing w:after="0" w:line="1" w:lineRule="exact"/>
        <w:rPr>
          <w:rFonts w:ascii="Arial" w:cs="Arial" w:eastAsia="Arial" w:hAnsi="Arial"/>
          <w:sz w:val="19"/>
          <w:szCs w:val="19"/>
          <w:color w:val="auto"/>
        </w:rPr>
      </w:pPr>
    </w:p>
    <w:p>
      <w:pPr>
        <w:ind w:left="4" w:right="320"/>
        <w:spacing w:after="0" w:line="233" w:lineRule="auto"/>
        <w:rPr>
          <w:rFonts w:ascii="Arial" w:cs="Arial" w:eastAsia="Arial" w:hAnsi="Arial"/>
          <w:sz w:val="19"/>
          <w:szCs w:val="19"/>
          <w:color w:val="auto"/>
        </w:rPr>
      </w:pPr>
      <w:r>
        <w:rPr>
          <w:rFonts w:ascii="Arial" w:cs="Arial" w:eastAsia="Arial" w:hAnsi="Arial"/>
          <w:sz w:val="22"/>
          <w:szCs w:val="22"/>
          <w:color w:val="auto"/>
        </w:rPr>
        <w:t>intent. Notwithstanding anything to the contrary in the Plan, neither the Company, its affiliates, the Board, nor the Plan Administrator will have any obligation to take any action to prevent the assessment of any excise tax or penalty on any participant under Section 409A, and neither the Company, its affiliates, the Board, nor the Plan Administrator will have any liability to any participant for such tax or penalty.</w:t>
      </w:r>
    </w:p>
    <w:p>
      <w:pPr>
        <w:spacing w:after="0" w:line="187" w:lineRule="exact"/>
        <w:rPr>
          <w:rFonts w:ascii="Arial" w:cs="Arial" w:eastAsia="Arial" w:hAnsi="Arial"/>
          <w:sz w:val="19"/>
          <w:szCs w:val="19"/>
          <w:color w:val="auto"/>
        </w:rPr>
      </w:pPr>
    </w:p>
    <w:p>
      <w:pPr>
        <w:ind w:left="4" w:right="100" w:hanging="4"/>
        <w:spacing w:after="0" w:line="275" w:lineRule="auto"/>
        <w:tabs>
          <w:tab w:leader="none" w:pos="490" w:val="left"/>
        </w:tabs>
        <w:numPr>
          <w:ilvl w:val="0"/>
          <w:numId w:val="510"/>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laws of the England and Wales shall govern all questions of law arising with respect to the Plan, without regard to the choice of law principles of any jurisdiction, except where the laws governing the Plan are preempted by the laws of the England and Wales. To the extent applicable, the Plan is intended to be construed so that participation in the Plan will be exempt from Section 16(b) of the Securities Exchange Act of 1934, as amended, pursuant to regulations and interpretations issued from time to time by the Securities and Exchange Commission. If any provision of the Plan is held to be illegal or void, such illegality or invalidity shall not affect the remaining provisions of the Plan, but shall be fully severable, and the Plan shall be construed and enforced as if the illegal or invalid provision had never been inserted. This document constitutes the entire Plan, and supersedes any prior oral or written agreements on the subject matter hereof.</w:t>
      </w:r>
    </w:p>
    <w:p>
      <w:pPr>
        <w:spacing w:after="0" w:line="157" w:lineRule="exact"/>
        <w:rPr>
          <w:rFonts w:ascii="Arial" w:cs="Arial" w:eastAsia="Arial" w:hAnsi="Arial"/>
          <w:sz w:val="19"/>
          <w:szCs w:val="19"/>
          <w:color w:val="auto"/>
        </w:rPr>
      </w:pPr>
    </w:p>
    <w:p>
      <w:pPr>
        <w:ind w:left="4" w:right="40" w:hanging="4"/>
        <w:spacing w:after="0" w:line="287" w:lineRule="auto"/>
        <w:tabs>
          <w:tab w:leader="none" w:pos="490" w:val="left"/>
        </w:tabs>
        <w:numPr>
          <w:ilvl w:val="0"/>
          <w:numId w:val="510"/>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xml:space="preserve"> All awards of Deferred RSUs under the Plan will be subject to mandatory repayment by the participant to the Company to the extent the participant is, or in the future becomes, subject to any Company or affiliate “claw-back” or recoupment policy that is adopted to comply with the requirements of any applicable law, rule, regulation or otherwise, or any law, rule, or regulation that imposes mandatory recoupment, under circumstances set forth in such law, rule or regulation.</w:t>
      </w:r>
    </w:p>
    <w:p>
      <w:pPr>
        <w:spacing w:after="0" w:line="142" w:lineRule="exact"/>
        <w:rPr>
          <w:rFonts w:ascii="Arial" w:cs="Arial" w:eastAsia="Arial" w:hAnsi="Arial"/>
          <w:sz w:val="19"/>
          <w:szCs w:val="19"/>
          <w:color w:val="auto"/>
        </w:rPr>
      </w:pPr>
    </w:p>
    <w:p>
      <w:pPr>
        <w:jc w:val="both"/>
        <w:ind w:left="4" w:right="140" w:hanging="4"/>
        <w:spacing w:after="0" w:line="238" w:lineRule="auto"/>
        <w:tabs>
          <w:tab w:leader="none" w:pos="490" w:val="left"/>
        </w:tabs>
        <w:numPr>
          <w:ilvl w:val="0"/>
          <w:numId w:val="510"/>
        </w:numPr>
        <w:rPr>
          <w:rFonts w:ascii="Arial" w:cs="Arial" w:eastAsia="Arial" w:hAnsi="Arial"/>
          <w:sz w:val="22"/>
          <w:szCs w:val="22"/>
          <w:color w:val="auto"/>
        </w:rPr>
      </w:pPr>
      <w:r>
        <w:rPr>
          <w:rFonts w:ascii="Arial" w:cs="Arial" w:eastAsia="Arial" w:hAnsi="Arial"/>
          <w:sz w:val="22"/>
          <w:szCs w:val="22"/>
          <w:u w:val="single" w:color="auto"/>
          <w:color w:val="auto"/>
        </w:rPr>
        <w:t>Payment of subscription cost</w:t>
      </w:r>
      <w:r>
        <w:rPr>
          <w:rFonts w:ascii="Arial" w:cs="Arial" w:eastAsia="Arial" w:hAnsi="Arial"/>
          <w:sz w:val="22"/>
          <w:szCs w:val="22"/>
          <w:color w:val="auto"/>
        </w:rPr>
        <w:t>. A pre-condition of the delivery of any Shares and/or ADS under the Plan includes that the relevant participant must pay the Company (or undertake to pay) the aggregate nominal value subscription cost for number of Shares delivered (or underlying the ADS as relevant) in connection with such settlement and in any event no later than the applicable payment date under section 7(a) of the Plan.</w:t>
      </w:r>
    </w:p>
    <w:p>
      <w:pPr>
        <w:sectPr>
          <w:pgSz w:w="11900" w:h="16838" w:orient="portrait"/>
          <w:cols w:equalWidth="0" w:num="1">
            <w:col w:w="11004"/>
          </w:cols>
          <w:pgMar w:left="436" w:top="266" w:right="459" w:bottom="1440" w:gutter="0" w:footer="0" w:header="0"/>
        </w:sectPr>
      </w:pPr>
    </w:p>
    <w:bookmarkStart w:id="471" w:name="page472"/>
    <w:bookmarkEnd w:id="471"/>
    <w:p>
      <w:pPr>
        <w:ind w:left="4" w:hanging="4"/>
        <w:spacing w:after="0" w:line="279" w:lineRule="auto"/>
        <w:tabs>
          <w:tab w:leader="none" w:pos="490" w:val="left"/>
        </w:tabs>
        <w:numPr>
          <w:ilvl w:val="0"/>
          <w:numId w:val="511"/>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and Termination</w:t>
      </w:r>
      <w:r>
        <w:rPr>
          <w:rFonts w:ascii="Arial" w:cs="Arial" w:eastAsia="Arial" w:hAnsi="Arial"/>
          <w:sz w:val="19"/>
          <w:szCs w:val="19"/>
          <w:color w:val="auto"/>
        </w:rPr>
        <w:t>. The Board may amend, suspend, or terminate the Plan at any time and for any reason. No amendment, suspension, or termination will, without the consent of the participant, materially impair rights or obligations under any Deferred RSUs previously awarded to the participant under the Plan, except as provided below. The Board may terminate the Plan and distribute the Deferred Compensation Accounts to participants in accordance with and subject to the rules of U.S. Treas. Reg. Section 1.409A-3(j)(4)(ix), or successor provisions, and any generally applicable guidance issued by the U.S. Internal Revenue Service permitting such termination and distribution.</w:t>
      </w:r>
    </w:p>
    <w:p>
      <w:pPr>
        <w:sectPr>
          <w:pgSz w:w="11900" w:h="16838" w:orient="portrait"/>
          <w:cols w:equalWidth="0" w:num="1">
            <w:col w:w="10884"/>
          </w:cols>
          <w:pgMar w:left="436" w:top="266" w:right="579" w:bottom="1440" w:gutter="0" w:footer="0" w:header="0"/>
        </w:sectPr>
      </w:pPr>
    </w:p>
    <w:bookmarkStart w:id="472" w:name="page473"/>
    <w:bookmarkEnd w:id="472"/>
    <w:p>
      <w:pPr>
        <w:ind w:left="9900"/>
        <w:spacing w:after="0"/>
        <w:rPr>
          <w:sz w:val="20"/>
          <w:szCs w:val="20"/>
          <w:color w:val="auto"/>
        </w:rPr>
      </w:pPr>
      <w:r>
        <w:rPr>
          <w:rFonts w:ascii="Arial" w:cs="Arial" w:eastAsia="Arial" w:hAnsi="Arial"/>
          <w:sz w:val="19"/>
          <w:szCs w:val="19"/>
          <w:b w:val="1"/>
          <w:bCs w:val="1"/>
          <w:color w:val="auto"/>
        </w:rPr>
        <w:t>Exhibit 4.45</w:t>
      </w:r>
    </w:p>
    <w:p>
      <w:pPr>
        <w:spacing w:after="0" w:line="241" w:lineRule="exact"/>
        <w:rPr>
          <w:sz w:val="20"/>
          <w:szCs w:val="20"/>
          <w:color w:val="auto"/>
        </w:rPr>
      </w:pPr>
    </w:p>
    <w:p>
      <w:pPr>
        <w:ind w:right="440"/>
        <w:spacing w:after="0" w:line="243" w:lineRule="auto"/>
        <w:rPr>
          <w:sz w:val="20"/>
          <w:szCs w:val="20"/>
          <w:color w:val="auto"/>
        </w:rPr>
      </w:pPr>
      <w:r>
        <w:rPr>
          <w:rFonts w:ascii="Arial" w:cs="Arial" w:eastAsia="Arial" w:hAnsi="Arial"/>
          <w:sz w:val="22"/>
          <w:szCs w:val="22"/>
          <w:b w:val="1"/>
          <w:bCs w:val="1"/>
          <w:color w:val="auto"/>
        </w:rPr>
        <w:t>CERTAIN IDENTIFIED INFORMATION CONTAINED IN THIS EXHIBIT, MARKED BY [***], HAS BEEN EXCLUDED FROM THIS EXHIBIT BECAUSE IT IS BOTH NOT MATERIAL AND IS THE TYPE THAT THE REGISTRANT TREATS AS PRIVATE OR CONFIDENTIAL.</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XECUTION</w:t>
      </w:r>
      <w:r>
        <w:rPr>
          <w:rFonts w:ascii="Arial" w:cs="Arial" w:eastAsia="Arial" w:hAnsi="Arial"/>
          <w:sz w:val="22"/>
          <w:szCs w:val="22"/>
          <w:b w:val="1"/>
          <w:bCs w:val="1"/>
          <w:color w:val="auto"/>
        </w:rPr>
        <w:t xml:space="preserve"> V</w:t>
      </w:r>
      <w:r>
        <w:rPr>
          <w:rFonts w:ascii="Arial" w:cs="Arial" w:eastAsia="Arial" w:hAnsi="Arial"/>
          <w:sz w:val="17"/>
          <w:szCs w:val="17"/>
          <w:b w:val="1"/>
          <w:bCs w:val="1"/>
          <w:color w:val="auto"/>
        </w:rPr>
        <w:t>ERSION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ind w:right="100" w:firstLine="551"/>
        <w:spacing w:after="0" w:line="249"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L</w:t>
      </w:r>
      <w:r>
        <w:rPr>
          <w:rFonts w:ascii="Arial" w:cs="Arial" w:eastAsia="Arial" w:hAnsi="Arial"/>
          <w:sz w:val="16"/>
          <w:szCs w:val="16"/>
          <w:b w:val="1"/>
          <w:bCs w:val="1"/>
          <w:color w:val="auto"/>
        </w:rPr>
        <w:t>ICENSE</w:t>
      </w:r>
      <w:r>
        <w:rPr>
          <w:rFonts w:ascii="Arial" w:cs="Arial" w:eastAsia="Arial" w:hAnsi="Arial"/>
          <w:sz w:val="21"/>
          <w:szCs w:val="21"/>
          <w:color w:val="auto"/>
        </w:rPr>
        <w:t xml:space="preserve"> </w:t>
      </w:r>
      <w:r>
        <w:rPr>
          <w:rFonts w:ascii="Arial" w:cs="Arial" w:eastAsia="Arial" w:hAnsi="Arial"/>
          <w:sz w:val="21"/>
          <w:szCs w:val="21"/>
          <w:b w:val="1"/>
          <w:bCs w:val="1"/>
          <w:color w:val="auto"/>
        </w:rPr>
        <w:t>A</w:t>
      </w:r>
      <w:r>
        <w:rPr>
          <w:rFonts w:ascii="Arial" w:cs="Arial" w:eastAsia="Arial" w:hAnsi="Arial"/>
          <w:sz w:val="16"/>
          <w:szCs w:val="16"/>
          <w:b w:val="1"/>
          <w:bCs w:val="1"/>
          <w:color w:val="auto"/>
        </w:rPr>
        <w:t>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on January 13, 2020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between </w:t>
      </w:r>
      <w:r>
        <w:rPr>
          <w:rFonts w:ascii="Arial" w:cs="Arial" w:eastAsia="Arial" w:hAnsi="Arial"/>
          <w:sz w:val="21"/>
          <w:szCs w:val="21"/>
          <w:b w:val="1"/>
          <w:bCs w:val="1"/>
          <w:color w:val="auto"/>
        </w:rPr>
        <w:t>O</w:t>
      </w:r>
      <w:r>
        <w:rPr>
          <w:rFonts w:ascii="Arial" w:cs="Arial" w:eastAsia="Arial" w:hAnsi="Arial"/>
          <w:sz w:val="16"/>
          <w:szCs w:val="16"/>
          <w:b w:val="1"/>
          <w:bCs w:val="1"/>
          <w:color w:val="auto"/>
        </w:rPr>
        <w:t>NCO</w:t>
      </w:r>
      <w:r>
        <w:rPr>
          <w:rFonts w:ascii="Arial" w:cs="Arial" w:eastAsia="Arial" w:hAnsi="Arial"/>
          <w:sz w:val="21"/>
          <w:szCs w:val="21"/>
          <w:b w:val="1"/>
          <w:bCs w:val="1"/>
          <w:color w:val="auto"/>
        </w:rPr>
        <w:t>M</w:t>
      </w:r>
      <w:r>
        <w:rPr>
          <w:rFonts w:ascii="Arial" w:cs="Arial" w:eastAsia="Arial" w:hAnsi="Arial"/>
          <w:sz w:val="16"/>
          <w:szCs w:val="16"/>
          <w:b w:val="1"/>
          <w:bCs w:val="1"/>
          <w:color w:val="auto"/>
        </w:rPr>
        <w:t>ED</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HARMACEUTICALS</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a Delaware corporation with a place of business at 800 Chesapeake Dr., Redwood</w:t>
      </w:r>
      <w:r>
        <w:rPr>
          <w:rFonts w:ascii="Arial" w:cs="Arial" w:eastAsia="Arial" w:hAnsi="Arial"/>
          <w:sz w:val="21"/>
          <w:szCs w:val="21"/>
          <w:b w:val="1"/>
          <w:bCs w:val="1"/>
          <w:color w:val="auto"/>
        </w:rPr>
        <w:t xml:space="preserve"> </w:t>
      </w:r>
      <w:r>
        <w:rPr>
          <w:rFonts w:ascii="Arial" w:cs="Arial" w:eastAsia="Arial" w:hAnsi="Arial"/>
          <w:sz w:val="21"/>
          <w:szCs w:val="21"/>
          <w:color w:val="auto"/>
        </w:rPr>
        <w:t>City, CA, 94063 (“</w:t>
      </w:r>
      <w:r>
        <w:rPr>
          <w:rFonts w:ascii="Arial" w:cs="Arial" w:eastAsia="Arial" w:hAnsi="Arial"/>
          <w:sz w:val="21"/>
          <w:szCs w:val="21"/>
          <w:b w:val="1"/>
          <w:bCs w:val="1"/>
          <w:color w:val="auto"/>
        </w:rPr>
        <w:t>Licensor</w:t>
      </w:r>
      <w:r>
        <w:rPr>
          <w:rFonts w:ascii="Arial" w:cs="Arial" w:eastAsia="Arial" w:hAnsi="Arial"/>
          <w:sz w:val="21"/>
          <w:szCs w:val="21"/>
          <w:color w:val="auto"/>
        </w:rPr>
        <w:t xml:space="preserve">”), a wholly-owned subsidiary of </w:t>
      </w:r>
      <w:r>
        <w:rPr>
          <w:rFonts w:ascii="Arial" w:cs="Arial" w:eastAsia="Arial" w:hAnsi="Arial"/>
          <w:sz w:val="21"/>
          <w:szCs w:val="21"/>
          <w:b w:val="1"/>
          <w:bCs w:val="1"/>
          <w:color w:val="auto"/>
        </w:rPr>
        <w:t>M</w:t>
      </w:r>
      <w:r>
        <w:rPr>
          <w:rFonts w:ascii="Arial" w:cs="Arial" w:eastAsia="Arial" w:hAnsi="Arial"/>
          <w:sz w:val="16"/>
          <w:szCs w:val="16"/>
          <w:b w:val="1"/>
          <w:bCs w:val="1"/>
          <w:color w:val="auto"/>
        </w:rPr>
        <w:t>EREO</w:t>
      </w:r>
      <w:r>
        <w:rPr>
          <w:rFonts w:ascii="Arial" w:cs="Arial" w:eastAsia="Arial" w:hAnsi="Arial"/>
          <w:sz w:val="21"/>
          <w:szCs w:val="21"/>
          <w:color w:val="auto"/>
        </w:rPr>
        <w:t xml:space="preserve"> </w:t>
      </w:r>
      <w:r>
        <w:rPr>
          <w:rFonts w:ascii="Arial" w:cs="Arial" w:eastAsia="Arial" w:hAnsi="Arial"/>
          <w:sz w:val="21"/>
          <w:szCs w:val="21"/>
          <w:b w:val="1"/>
          <w:bCs w:val="1"/>
          <w:color w:val="auto"/>
        </w:rPr>
        <w:t>B</w:t>
      </w:r>
      <w:r>
        <w:rPr>
          <w:rFonts w:ascii="Arial" w:cs="Arial" w:eastAsia="Arial" w:hAnsi="Arial"/>
          <w:sz w:val="16"/>
          <w:szCs w:val="16"/>
          <w:b w:val="1"/>
          <w:bCs w:val="1"/>
          <w:color w:val="auto"/>
        </w:rPr>
        <w:t>IO</w:t>
      </w:r>
      <w:r>
        <w:rPr>
          <w:rFonts w:ascii="Arial" w:cs="Arial" w:eastAsia="Arial" w:hAnsi="Arial"/>
          <w:sz w:val="21"/>
          <w:szCs w:val="21"/>
          <w:b w:val="1"/>
          <w:bCs w:val="1"/>
          <w:color w:val="auto"/>
        </w:rPr>
        <w:t>P</w:t>
      </w:r>
      <w:r>
        <w:rPr>
          <w:rFonts w:ascii="Arial" w:cs="Arial" w:eastAsia="Arial" w:hAnsi="Arial"/>
          <w:sz w:val="16"/>
          <w:szCs w:val="16"/>
          <w:b w:val="1"/>
          <w:bCs w:val="1"/>
          <w:color w:val="auto"/>
        </w:rPr>
        <w:t>HARMA</w:t>
      </w:r>
      <w:r>
        <w:rPr>
          <w:rFonts w:ascii="Arial" w:cs="Arial" w:eastAsia="Arial" w:hAnsi="Arial"/>
          <w:sz w:val="21"/>
          <w:szCs w:val="21"/>
          <w:color w:val="auto"/>
        </w:rPr>
        <w:t xml:space="preserve"> </w:t>
      </w:r>
      <w:r>
        <w:rPr>
          <w:rFonts w:ascii="Arial" w:cs="Arial" w:eastAsia="Arial" w:hAnsi="Arial"/>
          <w:sz w:val="21"/>
          <w:szCs w:val="21"/>
          <w:b w:val="1"/>
          <w:bCs w:val="1"/>
          <w:color w:val="auto"/>
        </w:rPr>
        <w:t>G</w:t>
      </w:r>
      <w:r>
        <w:rPr>
          <w:rFonts w:ascii="Arial" w:cs="Arial" w:eastAsia="Arial" w:hAnsi="Arial"/>
          <w:sz w:val="16"/>
          <w:szCs w:val="16"/>
          <w:b w:val="1"/>
          <w:bCs w:val="1"/>
          <w:color w:val="auto"/>
        </w:rPr>
        <w:t>ROUP PLC</w:t>
      </w:r>
      <w:r>
        <w:rPr>
          <w:rFonts w:ascii="Arial" w:cs="Arial" w:eastAsia="Arial" w:hAnsi="Arial"/>
          <w:sz w:val="21"/>
          <w:szCs w:val="21"/>
          <w:color w:val="auto"/>
        </w:rPr>
        <w:t xml:space="preserve"> with a place of business at 1 Cavendish Place, London W1G 0QF, United Kingdom (“</w:t>
      </w:r>
      <w:r>
        <w:rPr>
          <w:rFonts w:ascii="Arial" w:cs="Arial" w:eastAsia="Arial" w:hAnsi="Arial"/>
          <w:sz w:val="21"/>
          <w:szCs w:val="21"/>
          <w:b w:val="1"/>
          <w:bCs w:val="1"/>
          <w:color w:val="auto"/>
        </w:rPr>
        <w:t>Mereo</w:t>
      </w:r>
      <w:r>
        <w:rPr>
          <w:rFonts w:ascii="Arial" w:cs="Arial" w:eastAsia="Arial" w:hAnsi="Arial"/>
          <w:sz w:val="21"/>
          <w:szCs w:val="21"/>
          <w:color w:val="auto"/>
        </w:rPr>
        <w:t xml:space="preserve">”), and </w:t>
      </w:r>
      <w:r>
        <w:rPr>
          <w:rFonts w:ascii="Arial" w:cs="Arial" w:eastAsia="Arial" w:hAnsi="Arial"/>
          <w:sz w:val="21"/>
          <w:szCs w:val="21"/>
          <w:b w:val="1"/>
          <w:bCs w:val="1"/>
          <w:color w:val="auto"/>
        </w:rPr>
        <w:t>O</w:t>
      </w:r>
      <w:r>
        <w:rPr>
          <w:rFonts w:ascii="Arial" w:cs="Arial" w:eastAsia="Arial" w:hAnsi="Arial"/>
          <w:sz w:val="16"/>
          <w:szCs w:val="16"/>
          <w:b w:val="1"/>
          <w:bCs w:val="1"/>
          <w:color w:val="auto"/>
        </w:rPr>
        <w:t>NCOLOGIE</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r>
        <w:rPr>
          <w:rFonts w:ascii="Arial" w:cs="Arial" w:eastAsia="Arial" w:hAnsi="Arial"/>
          <w:sz w:val="21"/>
          <w:szCs w:val="21"/>
          <w:color w:val="auto"/>
        </w:rPr>
        <w:t>, a Delaware corporation with a place of business at 400 Totten Pond Road, Suite 120, Waltham, MA 02451 (“</w:t>
      </w:r>
      <w:r>
        <w:rPr>
          <w:rFonts w:ascii="Arial" w:cs="Arial" w:eastAsia="Arial" w:hAnsi="Arial"/>
          <w:sz w:val="21"/>
          <w:szCs w:val="21"/>
          <w:b w:val="1"/>
          <w:bCs w:val="1"/>
          <w:color w:val="auto"/>
        </w:rPr>
        <w:t>Licensee</w:t>
      </w:r>
      <w:r>
        <w:rPr>
          <w:rFonts w:ascii="Arial" w:cs="Arial" w:eastAsia="Arial" w:hAnsi="Arial"/>
          <w:sz w:val="21"/>
          <w:szCs w:val="21"/>
          <w:color w:val="auto"/>
        </w:rPr>
        <w:t>”). Licensor and Licensee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160" w:firstLine="551"/>
        <w:spacing w:after="0" w:line="23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HEREAS</w:t>
      </w:r>
      <w:r>
        <w:rPr>
          <w:rFonts w:ascii="Arial" w:cs="Arial" w:eastAsia="Arial" w:hAnsi="Arial"/>
          <w:sz w:val="22"/>
          <w:szCs w:val="22"/>
          <w:color w:val="auto"/>
        </w:rPr>
        <w:t>, Licensor, a clinical stage biotechnology company, is developing navicixizumab, a proprietary anti-DLL4/VEGF bispecific antibody targeting both DLL4 in the Notch cancer stem cell pathway and vascular endothelial growth factor (VEGF), and owns or controls certain patent, know-how, and other intellectual property rights relating to such product candidate; and</w:t>
      </w:r>
    </w:p>
    <w:p>
      <w:pPr>
        <w:spacing w:after="0" w:line="180" w:lineRule="exact"/>
        <w:rPr>
          <w:sz w:val="20"/>
          <w:szCs w:val="20"/>
          <w:color w:val="auto"/>
        </w:rPr>
      </w:pPr>
    </w:p>
    <w:p>
      <w:pPr>
        <w:ind w:right="20" w:firstLine="551"/>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7"/>
          <w:szCs w:val="17"/>
          <w:b w:val="1"/>
          <w:bCs w:val="1"/>
          <w:color w:val="auto"/>
        </w:rPr>
        <w:t>HEREAS</w:t>
      </w:r>
      <w:r>
        <w:rPr>
          <w:rFonts w:ascii="Arial" w:cs="Arial" w:eastAsia="Arial" w:hAnsi="Arial"/>
          <w:sz w:val="22"/>
          <w:szCs w:val="22"/>
          <w:color w:val="auto"/>
        </w:rPr>
        <w:t>, Licensee wishes to obtain from Licensor, and Licensor is willing to grant to Licensee, an exclusive and</w:t>
      </w:r>
      <w:r>
        <w:rPr>
          <w:rFonts w:ascii="Arial" w:cs="Arial" w:eastAsia="Arial" w:hAnsi="Arial"/>
          <w:sz w:val="22"/>
          <w:szCs w:val="22"/>
          <w:b w:val="1"/>
          <w:bCs w:val="1"/>
          <w:color w:val="auto"/>
        </w:rPr>
        <w:t xml:space="preserve"> </w:t>
      </w:r>
      <w:r>
        <w:rPr>
          <w:rFonts w:ascii="Arial" w:cs="Arial" w:eastAsia="Arial" w:hAnsi="Arial"/>
          <w:sz w:val="22"/>
          <w:szCs w:val="22"/>
          <w:color w:val="auto"/>
        </w:rPr>
        <w:t>worldwide license to research, develop, manufacture, and commercialize such product, all on the terms and conditions set forth herein.</w:t>
      </w:r>
    </w:p>
    <w:p>
      <w:pPr>
        <w:spacing w:after="0" w:line="177" w:lineRule="exact"/>
        <w:rPr>
          <w:sz w:val="20"/>
          <w:szCs w:val="20"/>
          <w:color w:val="auto"/>
        </w:rPr>
      </w:pPr>
    </w:p>
    <w:p>
      <w:pPr>
        <w:ind w:right="280" w:firstLine="551"/>
        <w:spacing w:after="0" w:line="280"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6"/>
          <w:szCs w:val="16"/>
          <w:b w:val="1"/>
          <w:bCs w:val="1"/>
          <w:color w:val="auto"/>
        </w:rPr>
        <w:t>OW</w:t>
      </w:r>
      <w:r>
        <w:rPr>
          <w:rFonts w:ascii="Arial" w:cs="Arial" w:eastAsia="Arial" w:hAnsi="Arial"/>
          <w:sz w:val="21"/>
          <w:szCs w:val="21"/>
          <w:b w:val="1"/>
          <w:bCs w:val="1"/>
          <w:color w:val="auto"/>
        </w:rPr>
        <w:t xml:space="preserve"> T</w:t>
      </w:r>
      <w:r>
        <w:rPr>
          <w:rFonts w:ascii="Arial" w:cs="Arial" w:eastAsia="Arial" w:hAnsi="Arial"/>
          <w:sz w:val="16"/>
          <w:szCs w:val="16"/>
          <w:b w:val="1"/>
          <w:bCs w:val="1"/>
          <w:color w:val="auto"/>
        </w:rPr>
        <w:t>HEREFORE</w:t>
      </w:r>
      <w:r>
        <w:rPr>
          <w:rFonts w:ascii="Arial" w:cs="Arial" w:eastAsia="Arial" w:hAnsi="Arial"/>
          <w:sz w:val="21"/>
          <w:szCs w:val="21"/>
          <w:color w:val="auto"/>
        </w:rPr>
        <w:t>, in consideration of the foregoing premises and the mutual covenants contained herein, the receipt</w:t>
      </w:r>
      <w:r>
        <w:rPr>
          <w:rFonts w:ascii="Arial" w:cs="Arial" w:eastAsia="Arial" w:hAnsi="Arial"/>
          <w:sz w:val="21"/>
          <w:szCs w:val="21"/>
          <w:b w:val="1"/>
          <w:bCs w:val="1"/>
          <w:color w:val="auto"/>
        </w:rPr>
        <w:t xml:space="preserve"> </w:t>
      </w:r>
      <w:r>
        <w:rPr>
          <w:rFonts w:ascii="Arial" w:cs="Arial" w:eastAsia="Arial" w:hAnsi="Arial"/>
          <w:sz w:val="21"/>
          <w:szCs w:val="21"/>
          <w:color w:val="auto"/>
        </w:rPr>
        <w:t>and sufficiency of which are hereby acknowledged, Licensee and Licensor hereby agree as follows: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right="140" w:firstLine="551"/>
        <w:spacing w:after="0" w:line="250" w:lineRule="auto"/>
        <w:rPr>
          <w:sz w:val="20"/>
          <w:szCs w:val="20"/>
          <w:color w:val="auto"/>
        </w:rPr>
      </w:pPr>
      <w:r>
        <w:rPr>
          <w:rFonts w:ascii="Arial" w:cs="Arial" w:eastAsia="Arial" w:hAnsi="Arial"/>
          <w:sz w:val="22"/>
          <w:szCs w:val="22"/>
          <w:color w:val="auto"/>
        </w:rPr>
        <w:t>Unless the context otherwise requires, the terms in this Agreement with initial letters capitalized, have the meanings set forth below, or the meaning as designated in the indicated places throughout this Agreement.</w:t>
      </w:r>
    </w:p>
    <w:p>
      <w:pPr>
        <w:spacing w:after="0" w:line="169" w:lineRule="exact"/>
        <w:rPr>
          <w:sz w:val="20"/>
          <w:szCs w:val="20"/>
          <w:color w:val="auto"/>
        </w:rPr>
      </w:pPr>
    </w:p>
    <w:p>
      <w:pPr>
        <w:ind w:right="20" w:firstLine="551"/>
        <w:spacing w:after="0" w:line="251"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 Party, any Person that controls, is controlled by, or is under common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with that Party. For the purpose of this definition, “control” (including, with correlative meaning, the terms “controlled by” and “under the common control”) means the actual power, either directly or indirectly through one or more intermediaries, to direct or cause the direction of the management and policies of such Person, whether by the ownership of fifty percent (50%) or more of the voting stocking of such Person, by contract or otherwise.</w:t>
      </w:r>
    </w:p>
    <w:p>
      <w:pPr>
        <w:sectPr>
          <w:pgSz w:w="11900" w:h="16838" w:orient="portrait"/>
          <w:cols w:equalWidth="0" w:num="1">
            <w:col w:w="11020"/>
          </w:cols>
          <w:pgMar w:left="440" w:top="111" w:right="439" w:bottom="1440" w:gutter="0" w:footer="0" w:header="0"/>
        </w:sectPr>
      </w:pPr>
    </w:p>
    <w:bookmarkStart w:id="473" w:name="page474"/>
    <w:bookmarkEnd w:id="473"/>
    <w:p>
      <w:pPr>
        <w:ind w:right="60" w:firstLine="551"/>
        <w:spacing w:after="0" w:line="278"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Arial" w:cs="Arial" w:eastAsia="Arial" w:hAnsi="Arial"/>
          <w:sz w:val="19"/>
          <w:szCs w:val="19"/>
          <w:color w:val="auto"/>
        </w:rPr>
        <w:t>“</w:t>
      </w:r>
      <w:r>
        <w:rPr>
          <w:rFonts w:ascii="Arial" w:cs="Arial" w:eastAsia="Arial" w:hAnsi="Arial"/>
          <w:sz w:val="19"/>
          <w:szCs w:val="19"/>
          <w:b w:val="1"/>
          <w:bCs w:val="1"/>
          <w:color w:val="auto"/>
        </w:rPr>
        <w:t>Biosimilar Product</w:t>
      </w:r>
      <w:r>
        <w:rPr>
          <w:rFonts w:ascii="Arial" w:cs="Arial" w:eastAsia="Arial" w:hAnsi="Arial"/>
          <w:sz w:val="19"/>
          <w:szCs w:val="19"/>
          <w:color w:val="auto"/>
        </w:rPr>
        <w:t>” means, with respect to a Product, a biological medicinal product or biological product for</w:t>
      </w:r>
      <w:r>
        <w:rPr>
          <w:rFonts w:ascii="Arial" w:cs="Arial" w:eastAsia="Arial" w:hAnsi="Arial"/>
          <w:sz w:val="19"/>
          <w:szCs w:val="19"/>
          <w:b w:val="1"/>
          <w:bCs w:val="1"/>
          <w:color w:val="auto"/>
        </w:rPr>
        <w:t xml:space="preserve"> </w:t>
      </w:r>
      <w:r>
        <w:rPr>
          <w:rFonts w:ascii="Arial" w:cs="Arial" w:eastAsia="Arial" w:hAnsi="Arial"/>
          <w:sz w:val="19"/>
          <w:szCs w:val="19"/>
          <w:color w:val="auto"/>
        </w:rPr>
        <w:t>human use which is approved for use (a) in the U.S., under 42 U.S.C § 262(k) as a biosimilar biological product (as defined in 42 U.S.C. § 262(i)(1), (2)) and for which the Product is the reference product (as defined in 42 U.S.C. § 262(i)(4)), (b) in the EU, as a similar biological medicinal product pursuant to Directive 2001/83/EC or Regulation (EC) No 726/2004 (as applicable), and for which such Product is the reference medicinal product, or (c) in any other country or jurisdiction, pursuant to an equivalent regime in such country or jurisdiction, and for which such Product is the reference product. A product marketed by Licensee, its Affiliates or its or their Sublicensees will not constitute a Biosimilar Product.</w:t>
      </w:r>
    </w:p>
    <w:p>
      <w:pPr>
        <w:spacing w:after="0" w:line="145" w:lineRule="exact"/>
        <w:rPr>
          <w:sz w:val="20"/>
          <w:szCs w:val="20"/>
          <w:color w:val="auto"/>
        </w:rPr>
      </w:pPr>
    </w:p>
    <w:p>
      <w:pPr>
        <w:ind w:right="200" w:firstLine="551"/>
        <w:spacing w:after="0" w:line="239"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of the three (3) month periods ending March 31, June 30, September 30,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December 31; </w:t>
      </w:r>
      <w:r>
        <w:rPr>
          <w:rFonts w:ascii="Arial" w:cs="Arial" w:eastAsia="Arial" w:hAnsi="Arial"/>
          <w:sz w:val="22"/>
          <w:szCs w:val="22"/>
          <w:u w:val="single" w:color="auto"/>
          <w:color w:val="auto"/>
        </w:rPr>
        <w:t>provided</w:t>
      </w:r>
      <w:r>
        <w:rPr>
          <w:rFonts w:ascii="Arial" w:cs="Arial" w:eastAsia="Arial" w:hAnsi="Arial"/>
          <w:sz w:val="22"/>
          <w:szCs w:val="22"/>
          <w:color w:val="auto"/>
        </w:rPr>
        <w:t>, that: (a) the first Calendar Quarter of the Term shall extend from the Effective Date to the end of the first complete such three (3)-month period thereafter; and (b) the final Calendar Quarter of the Term shall end on the last day of the Term.</w:t>
      </w:r>
    </w:p>
    <w:p>
      <w:pPr>
        <w:spacing w:after="0" w:line="180" w:lineRule="exact"/>
        <w:rPr>
          <w:sz w:val="20"/>
          <w:szCs w:val="20"/>
          <w:color w:val="auto"/>
        </w:rPr>
      </w:pPr>
    </w:p>
    <w:p>
      <w:pPr>
        <w:ind w:right="240" w:firstLine="551"/>
        <w:spacing w:after="0" w:line="239"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(a) the period beginning on the Effective Date and ending on December 31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calendar year in which the Effective Date falls, and (b) thereafter each successive period of twelve (12) consecutive calendar months beginning on January 1 and ending on December 31; </w:t>
      </w:r>
      <w:r>
        <w:rPr>
          <w:rFonts w:ascii="Arial" w:cs="Arial" w:eastAsia="Arial" w:hAnsi="Arial"/>
          <w:sz w:val="22"/>
          <w:szCs w:val="22"/>
          <w:u w:val="single" w:color="auto"/>
          <w:color w:val="auto"/>
        </w:rPr>
        <w:t>provided</w:t>
      </w:r>
      <w:r>
        <w:rPr>
          <w:rFonts w:ascii="Arial" w:cs="Arial" w:eastAsia="Arial" w:hAnsi="Arial"/>
          <w:sz w:val="22"/>
          <w:szCs w:val="22"/>
          <w:color w:val="auto"/>
        </w:rPr>
        <w:t>, that the final Calendar Year of the Term shall end on the last day of the Term.</w:t>
      </w:r>
    </w:p>
    <w:p>
      <w:pPr>
        <w:spacing w:after="0" w:line="180"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China</w:t>
      </w:r>
      <w:r>
        <w:rPr>
          <w:rFonts w:ascii="Arial" w:cs="Arial" w:eastAsia="Arial" w:hAnsi="Arial"/>
          <w:sz w:val="19"/>
          <w:szCs w:val="19"/>
          <w:color w:val="auto"/>
        </w:rPr>
        <w:t>” means the People’s Republic of China, including Hong Kong, Macau, and Taiwan.</w:t>
      </w:r>
    </w:p>
    <w:p>
      <w:pPr>
        <w:spacing w:after="0" w:line="206" w:lineRule="exact"/>
        <w:rPr>
          <w:sz w:val="20"/>
          <w:szCs w:val="20"/>
          <w:color w:val="auto"/>
        </w:rPr>
      </w:pPr>
    </w:p>
    <w:p>
      <w:pPr>
        <w:ind w:right="560" w:firstLine="551"/>
        <w:spacing w:after="0" w:line="334" w:lineRule="auto"/>
        <w:rPr>
          <w:sz w:val="20"/>
          <w:szCs w:val="20"/>
          <w:color w:val="auto"/>
        </w:rPr>
      </w:pPr>
      <w:r>
        <w:rPr>
          <w:rFonts w:ascii="Arial" w:cs="Arial" w:eastAsia="Arial" w:hAnsi="Arial"/>
          <w:sz w:val="19"/>
          <w:szCs w:val="19"/>
          <w:b w:val="1"/>
          <w:bCs w:val="1"/>
          <w:color w:val="auto"/>
        </w:rPr>
        <w:t xml:space="preserve">1.6 </w:t>
      </w: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means all Third Party demands, claims, actions, or other proceedings (whether criminal or civil,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 tort or otherwise) for losses, damages, liabilities, reasonable legal costs, and other reasonable expenses.</w:t>
      </w:r>
    </w:p>
    <w:p>
      <w:pPr>
        <w:spacing w:after="0" w:line="94" w:lineRule="exact"/>
        <w:rPr>
          <w:sz w:val="20"/>
          <w:szCs w:val="20"/>
          <w:color w:val="auto"/>
        </w:rPr>
      </w:pPr>
    </w:p>
    <w:p>
      <w:pPr>
        <w:ind w:right="400" w:firstLine="551"/>
        <w:spacing w:after="0" w:line="334" w:lineRule="auto"/>
        <w:rPr>
          <w:sz w:val="20"/>
          <w:szCs w:val="20"/>
          <w:color w:val="auto"/>
        </w:rPr>
      </w:pPr>
      <w:r>
        <w:rPr>
          <w:rFonts w:ascii="Arial" w:cs="Arial" w:eastAsia="Arial" w:hAnsi="Arial"/>
          <w:sz w:val="19"/>
          <w:szCs w:val="19"/>
          <w:b w:val="1"/>
          <w:bCs w:val="1"/>
          <w:color w:val="auto"/>
        </w:rPr>
        <w:t xml:space="preserve">1.7 </w:t>
      </w:r>
      <w:r>
        <w:rPr>
          <w:rFonts w:ascii="Arial" w:cs="Arial" w:eastAsia="Arial" w:hAnsi="Arial"/>
          <w:sz w:val="19"/>
          <w:szCs w:val="19"/>
          <w:color w:val="auto"/>
        </w:rPr>
        <w:t>“</w:t>
      </w:r>
      <w:r>
        <w:rPr>
          <w:rFonts w:ascii="Arial" w:cs="Arial" w:eastAsia="Arial" w:hAnsi="Arial"/>
          <w:sz w:val="19"/>
          <w:szCs w:val="19"/>
          <w:b w:val="1"/>
          <w:bCs w:val="1"/>
          <w:color w:val="auto"/>
        </w:rPr>
        <w:t>Combination Product</w:t>
      </w:r>
      <w:r>
        <w:rPr>
          <w:rFonts w:ascii="Arial" w:cs="Arial" w:eastAsia="Arial" w:hAnsi="Arial"/>
          <w:sz w:val="19"/>
          <w:szCs w:val="19"/>
          <w:color w:val="auto"/>
        </w:rPr>
        <w:t>” means any pharmaceutical product that contains (a) a Compound and (b) at least one</w:t>
      </w:r>
      <w:r>
        <w:rPr>
          <w:rFonts w:ascii="Arial" w:cs="Arial" w:eastAsia="Arial" w:hAnsi="Arial"/>
          <w:sz w:val="19"/>
          <w:szCs w:val="19"/>
          <w:b w:val="1"/>
          <w:bCs w:val="1"/>
          <w:color w:val="auto"/>
        </w:rPr>
        <w:t xml:space="preserve"> </w:t>
      </w:r>
      <w:r>
        <w:rPr>
          <w:rFonts w:ascii="Arial" w:cs="Arial" w:eastAsia="Arial" w:hAnsi="Arial"/>
          <w:sz w:val="19"/>
          <w:szCs w:val="19"/>
          <w:color w:val="auto"/>
        </w:rPr>
        <w:t>other active ingredient, either co-formulated or packaged together and sold as a single unit for a single price.</w:t>
      </w:r>
    </w:p>
    <w:p>
      <w:pPr>
        <w:spacing w:after="0" w:line="94" w:lineRule="exact"/>
        <w:rPr>
          <w:sz w:val="20"/>
          <w:szCs w:val="20"/>
          <w:color w:val="auto"/>
        </w:rPr>
      </w:pPr>
    </w:p>
    <w:p>
      <w:pPr>
        <w:ind w:firstLine="551"/>
        <w:spacing w:after="0" w:line="276" w:lineRule="auto"/>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b w:val="1"/>
          <w:bCs w:val="1"/>
          <w:color w:val="auto"/>
        </w:rPr>
        <w:t>Commercialize</w:t>
      </w:r>
      <w:r>
        <w:rPr>
          <w:rFonts w:ascii="Arial" w:cs="Arial" w:eastAsia="Arial" w:hAnsi="Arial"/>
          <w:sz w:val="19"/>
          <w:szCs w:val="19"/>
          <w:color w:val="auto"/>
        </w:rPr>
        <w:t>” or “</w:t>
      </w:r>
      <w:r>
        <w:rPr>
          <w:rFonts w:ascii="Arial" w:cs="Arial" w:eastAsia="Arial" w:hAnsi="Arial"/>
          <w:sz w:val="19"/>
          <w:szCs w:val="19"/>
          <w:b w:val="1"/>
          <w:bCs w:val="1"/>
          <w:color w:val="auto"/>
        </w:rPr>
        <w:t>Commercialization</w:t>
      </w:r>
      <w:r>
        <w:rPr>
          <w:rFonts w:ascii="Arial" w:cs="Arial" w:eastAsia="Arial" w:hAnsi="Arial"/>
          <w:sz w:val="19"/>
          <w:szCs w:val="19"/>
          <w:color w:val="auto"/>
        </w:rPr>
        <w:t>” means the conduct of all activities undertaken before and after</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Approval relating to the promotion, sales, marketing, and distribution for sale of Products in the Field in the Territory (including importing, exporting, transporting, customs clearance, warehousing, invoicing, handling, and delivering Products to customers), including sales force efforts, detailing, advertising, market research, market access (including price and reimbursement activities), medical education and information services, publication, scientific and medical affairs, medical support, advisory and collaborative activities with opinion leaders and professional societies including symposia, marketing, sales force training, and sales (including receiving, accepting, and filling Product orders) and distribution for sale, and all activities directed to obtaining pricing and reimbursement approvals for Products.</w:t>
      </w:r>
    </w:p>
    <w:p>
      <w:pPr>
        <w:spacing w:after="0" w:line="150" w:lineRule="exact"/>
        <w:rPr>
          <w:sz w:val="20"/>
          <w:szCs w:val="20"/>
          <w:color w:val="auto"/>
        </w:rPr>
      </w:pPr>
    </w:p>
    <w:p>
      <w:pPr>
        <w:ind w:right="200" w:firstLine="551"/>
        <w:spacing w:after="0" w:line="289"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a particular activity or Product and a Party, that</w:t>
      </w:r>
      <w:r>
        <w:rPr>
          <w:rFonts w:ascii="Arial" w:cs="Arial" w:eastAsia="Arial" w:hAnsi="Arial"/>
          <w:sz w:val="19"/>
          <w:szCs w:val="19"/>
          <w:b w:val="1"/>
          <w:bCs w:val="1"/>
          <w:color w:val="auto"/>
        </w:rPr>
        <w:t xml:space="preserve"> </w:t>
      </w:r>
      <w:r>
        <w:rPr>
          <w:rFonts w:ascii="Arial" w:cs="Arial" w:eastAsia="Arial" w:hAnsi="Arial"/>
          <w:sz w:val="19"/>
          <w:szCs w:val="19"/>
          <w:color w:val="auto"/>
        </w:rPr>
        <w:t>measure of efforts and resources that is consistent with the efforts and resources that a biopharmaceutical or biotechnology company commits to its own activities or products that it is actively developing or commercializing that are at a similar stage of development or commercialization and have similar market potential, taking into account efficacy, safety, patent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00"/>
          </w:cols>
          <w:pgMar w:left="440" w:top="260" w:right="459" w:bottom="1440" w:gutter="0" w:footer="0" w:header="0"/>
        </w:sectPr>
      </w:pPr>
    </w:p>
    <w:bookmarkStart w:id="474" w:name="page475"/>
    <w:bookmarkEnd w:id="474"/>
    <w:p>
      <w:pPr>
        <w:ind w:right="12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regulatory exclusivity, anticipated or approved labeling, present and future market potential, competitive market conditions, the profitability of the product in light of pricing and reimbursement issues, and all other relevant factors. Commercially Reasonable Efforts shall be determined on a Product-by-Product and country-by-country basis, and it is anticipated that the level of efforts required may be different for different Products in different countries and may change over time.</w:t>
      </w:r>
    </w:p>
    <w:p>
      <w:pPr>
        <w:spacing w:after="0" w:line="181"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Compound</w:t>
      </w:r>
      <w:r>
        <w:rPr>
          <w:rFonts w:ascii="Arial" w:cs="Arial" w:eastAsia="Arial" w:hAnsi="Arial"/>
          <w:sz w:val="19"/>
          <w:szCs w:val="19"/>
          <w:color w:val="auto"/>
        </w:rPr>
        <w:t>” means [***].</w:t>
      </w:r>
    </w:p>
    <w:p>
      <w:pPr>
        <w:spacing w:after="0" w:line="206" w:lineRule="exact"/>
        <w:rPr>
          <w:sz w:val="20"/>
          <w:szCs w:val="20"/>
          <w:color w:val="auto"/>
        </w:rPr>
      </w:pPr>
    </w:p>
    <w:p>
      <w:pPr>
        <w:ind w:firstLine="551"/>
        <w:spacing w:after="0" w:line="275"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of a Party means all Know-How, unpublished patent applications,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and data of a financial, commercial, business, operational, or technical nature of such Party that is: (a) disclosed by or on behalf of such Party or any of its Affiliates or otherwise made available to the other Party or any of its Affiliates, whether made available orally, in writing, or in electronic form, or (b) learned by the other Party pursuant to this Agreement. The terms and conditions of this Agreement are the Confidential Information of both Parties. Notwithstanding the foregoing, (x) Licensed Know-How to the extent directly related to the Compounds and Products being Developed, manufactured, or Commercialized by or on behalf of Licensee, its Affiliates, or Sublicensees and (y) Regulatory Materials assigned by Licensor to Licensee pursuant to Section 4.4 shall in each case be deemed the Confidential Information of Licensee and Licensee shall be deemed the disclosing Party and Licensor shall be deemed the receiving Party with respect thereto.</w:t>
      </w:r>
    </w:p>
    <w:p>
      <w:pPr>
        <w:spacing w:after="0" w:line="150" w:lineRule="exact"/>
        <w:rPr>
          <w:sz w:val="20"/>
          <w:szCs w:val="20"/>
          <w:color w:val="auto"/>
        </w:rPr>
      </w:pPr>
    </w:p>
    <w:p>
      <w:pPr>
        <w:ind w:right="60" w:firstLine="551"/>
        <w:spacing w:after="0" w:line="275"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Know-How, Patent Rights, or other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that a Party has the legal authority or right (whether by ownership, license, or otherwise) to grant a license, sublicense, access, or other right (as applicable) under such Know-How, Patent Rights, or other intellectual property rights to the other Party on the terms and conditions set forth herein, in each case without breaching the terms of any agreement with a Third Party; provided that neither Party shall be deemed to Control any intellectual property rights that it has in-licensed if granting the right to access or use, or a license or a sublicense to, such intellectual property to the other Party as provided for in this Agreement requires payment to the upstream licensor that the other Party has not agreed in writing to pay or reimburse to such Party (except that Licensor shall nevertheless be deemed to Control all Licensed Technology which it in-licenses from Lonza pursuant to the Lonza Agreement).</w:t>
      </w:r>
    </w:p>
    <w:p>
      <w:pPr>
        <w:spacing w:after="0" w:line="400" w:lineRule="exact"/>
        <w:rPr>
          <w:sz w:val="20"/>
          <w:szCs w:val="20"/>
          <w:color w:val="auto"/>
        </w:rPr>
      </w:pPr>
    </w:p>
    <w:p>
      <w:pPr>
        <w:ind w:firstLine="551"/>
        <w:spacing w:after="0" w:line="234"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Develop</w:t>
      </w:r>
      <w:r>
        <w:rPr>
          <w:rFonts w:ascii="Arial" w:cs="Arial" w:eastAsia="Arial" w:hAnsi="Arial"/>
          <w:sz w:val="22"/>
          <w:szCs w:val="22"/>
          <w:color w:val="auto"/>
        </w:rPr>
        <w:t>” or “</w:t>
      </w:r>
      <w:r>
        <w:rPr>
          <w:rFonts w:ascii="Arial" w:cs="Arial" w:eastAsia="Arial" w:hAnsi="Arial"/>
          <w:sz w:val="22"/>
          <w:szCs w:val="22"/>
          <w:b w:val="1"/>
          <w:bCs w:val="1"/>
          <w:color w:val="auto"/>
        </w:rPr>
        <w:t>Development</w:t>
      </w:r>
      <w:r>
        <w:rPr>
          <w:rFonts w:ascii="Arial" w:cs="Arial" w:eastAsia="Arial" w:hAnsi="Arial"/>
          <w:sz w:val="22"/>
          <w:szCs w:val="22"/>
          <w:color w:val="auto"/>
        </w:rPr>
        <w:t>” means all development activities for any Compound and Product (whether alone or</w:t>
      </w:r>
      <w:r>
        <w:rPr>
          <w:rFonts w:ascii="Arial" w:cs="Arial" w:eastAsia="Arial" w:hAnsi="Arial"/>
          <w:sz w:val="22"/>
          <w:szCs w:val="22"/>
          <w:b w:val="1"/>
          <w:bCs w:val="1"/>
          <w:color w:val="auto"/>
        </w:rPr>
        <w:t xml:space="preserve"> </w:t>
      </w:r>
      <w:r>
        <w:rPr>
          <w:rFonts w:ascii="Arial" w:cs="Arial" w:eastAsia="Arial" w:hAnsi="Arial"/>
          <w:sz w:val="22"/>
          <w:szCs w:val="22"/>
          <w:color w:val="auto"/>
        </w:rPr>
        <w:t>for use together, or in combination, with another active agent or pharmaceutical product as a combination product or combination therapy) that are directed to obtaining Regulatory Approval(s) of such Product and lifecycle management of such Product in any country in the world, including all non-clinical, preclinical, and clinical testing and studies of such Product; toxicology, pharmacokinetic, and pharmacological studies; statistical analyses; assay development; protocol design and development; the preparation, filing, and prosecution of any MAA for such Product; development activities directed to label expansion and/or obtaining Regulatory Approval for one or more additional Indications following initial Regulatory Approval; development activities conducted after receipt of Regulatory Approval; and all regulatory affairs related to any of the foregoing.</w:t>
      </w:r>
    </w:p>
    <w:p>
      <w:pPr>
        <w:spacing w:after="0" w:line="183"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means U.S. dollars, and “</w:t>
      </w:r>
      <w:r>
        <w:rPr>
          <w:rFonts w:ascii="Arial" w:cs="Arial" w:eastAsia="Arial" w:hAnsi="Arial"/>
          <w:sz w:val="19"/>
          <w:szCs w:val="19"/>
          <w:b w:val="1"/>
          <w:bCs w:val="1"/>
          <w:color w:val="auto"/>
        </w:rPr>
        <w:t>$</w:t>
      </w:r>
      <w:r>
        <w:rPr>
          <w:rFonts w:ascii="Arial" w:cs="Arial" w:eastAsia="Arial" w:hAnsi="Arial"/>
          <w:sz w:val="19"/>
          <w:szCs w:val="19"/>
          <w:color w:val="auto"/>
        </w:rPr>
        <w:t>” shall be interpreted accordingly.</w:t>
      </w:r>
    </w:p>
    <w:p>
      <w:pPr>
        <w:spacing w:after="0" w:line="14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00"/>
          </w:cols>
          <w:pgMar w:left="440" w:top="266" w:right="459" w:bottom="1440" w:gutter="0" w:footer="0" w:header="0"/>
        </w:sectPr>
      </w:pPr>
    </w:p>
    <w:bookmarkStart w:id="475" w:name="page476"/>
    <w:bookmarkEnd w:id="475"/>
    <w:p>
      <w:pPr>
        <w:ind w:left="540"/>
        <w:spacing w:after="0"/>
        <w:tabs>
          <w:tab w:leader="none" w:pos="112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its successor.</w:t>
      </w:r>
    </w:p>
    <w:p>
      <w:pPr>
        <w:spacing w:after="0" w:line="206" w:lineRule="exact"/>
        <w:rPr>
          <w:sz w:val="20"/>
          <w:szCs w:val="20"/>
          <w:color w:val="auto"/>
        </w:rPr>
      </w:pPr>
    </w:p>
    <w:p>
      <w:pPr>
        <w:ind w:firstLine="551"/>
        <w:spacing w:after="0" w:line="239"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means the economic, scientific, and political organization of member states known as the European Union,</w:t>
      </w:r>
      <w:r>
        <w:rPr>
          <w:rFonts w:ascii="Arial" w:cs="Arial" w:eastAsia="Arial" w:hAnsi="Arial"/>
          <w:sz w:val="22"/>
          <w:szCs w:val="22"/>
          <w:b w:val="1"/>
          <w:bCs w:val="1"/>
          <w:color w:val="auto"/>
        </w:rPr>
        <w:t xml:space="preserve"> </w:t>
      </w:r>
      <w:r>
        <w:rPr>
          <w:rFonts w:ascii="Arial" w:cs="Arial" w:eastAsia="Arial" w:hAnsi="Arial"/>
          <w:sz w:val="22"/>
          <w:szCs w:val="22"/>
          <w:color w:val="auto"/>
        </w:rPr>
        <w:t>as its membership may be altered from time to time, and any successor thereto. For the purposes of this Agreement, the United Kingdom shall be deemed to be a member of the EU regardless of any withdrawal of the United Kingdom from the European Union.</w:t>
      </w:r>
    </w:p>
    <w:p>
      <w:pPr>
        <w:spacing w:after="0" w:line="180"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it successor.</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uses.</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FTE Rate</w:t>
      </w:r>
      <w:r>
        <w:rPr>
          <w:rFonts w:ascii="Arial" w:cs="Arial" w:eastAsia="Arial" w:hAnsi="Arial"/>
          <w:sz w:val="21"/>
          <w:szCs w:val="21"/>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consistently applied.</w:t>
      </w:r>
    </w:p>
    <w:p>
      <w:pPr>
        <w:spacing w:after="0" w:line="206" w:lineRule="exact"/>
        <w:rPr>
          <w:sz w:val="20"/>
          <w:szCs w:val="20"/>
          <w:color w:val="auto"/>
        </w:rPr>
      </w:pPr>
    </w:p>
    <w:p>
      <w:pPr>
        <w:ind w:right="180" w:firstLine="551"/>
        <w:spacing w:after="0" w:line="254" w:lineRule="auto"/>
        <w:rPr>
          <w:sz w:val="20"/>
          <w:szCs w:val="20"/>
          <w:color w:val="auto"/>
        </w:rPr>
      </w:pPr>
      <w:r>
        <w:rPr>
          <w:rFonts w:ascii="Arial" w:cs="Arial" w:eastAsia="Arial" w:hAnsi="Arial"/>
          <w:sz w:val="21"/>
          <w:szCs w:val="21"/>
          <w:b w:val="1"/>
          <w:bCs w:val="1"/>
          <w:color w:val="auto"/>
        </w:rPr>
        <w:t xml:space="preserve">1.23 </w:t>
      </w:r>
      <w:r>
        <w:rPr>
          <w:rFonts w:ascii="Arial" w:cs="Arial" w:eastAsia="Arial" w:hAnsi="Arial"/>
          <w:sz w:val="21"/>
          <w:szCs w:val="21"/>
          <w:color w:val="auto"/>
        </w:rPr>
        <w:t>“</w:t>
      </w:r>
      <w:r>
        <w:rPr>
          <w:rFonts w:ascii="Arial" w:cs="Arial" w:eastAsia="Arial" w:hAnsi="Arial"/>
          <w:sz w:val="21"/>
          <w:szCs w:val="21"/>
          <w:b w:val="1"/>
          <w:bCs w:val="1"/>
          <w:color w:val="auto"/>
        </w:rPr>
        <w:t>Government Authority</w:t>
      </w:r>
      <w:r>
        <w:rPr>
          <w:rFonts w:ascii="Arial" w:cs="Arial" w:eastAsia="Arial" w:hAnsi="Arial"/>
          <w:sz w:val="21"/>
          <w:szCs w:val="21"/>
          <w:color w:val="auto"/>
        </w:rPr>
        <w:t>” means any federal, state, national, state, provincial, or local government, or political</w:t>
      </w:r>
      <w:r>
        <w:rPr>
          <w:rFonts w:ascii="Arial" w:cs="Arial" w:eastAsia="Arial" w:hAnsi="Arial"/>
          <w:sz w:val="21"/>
          <w:szCs w:val="21"/>
          <w:b w:val="1"/>
          <w:bCs w:val="1"/>
          <w:color w:val="auto"/>
        </w:rPr>
        <w:t xml:space="preserve"> </w:t>
      </w:r>
      <w:r>
        <w:rPr>
          <w:rFonts w:ascii="Arial" w:cs="Arial" w:eastAsia="Arial" w:hAnsi="Arial"/>
          <w:sz w:val="21"/>
          <w:szCs w:val="21"/>
          <w:color w:val="auto"/>
        </w:rPr>
        <w:t>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66" w:lineRule="exact"/>
        <w:rPr>
          <w:sz w:val="20"/>
          <w:szCs w:val="20"/>
          <w:color w:val="auto"/>
        </w:rPr>
      </w:pPr>
    </w:p>
    <w:p>
      <w:pPr>
        <w:ind w:right="320" w:firstLine="551"/>
        <w:spacing w:after="0" w:line="243"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any investigational new drug application, clinical trial application, clinical trial exemption, or</w:t>
      </w:r>
      <w:r>
        <w:rPr>
          <w:rFonts w:ascii="Arial" w:cs="Arial" w:eastAsia="Arial" w:hAnsi="Arial"/>
          <w:sz w:val="22"/>
          <w:szCs w:val="22"/>
          <w:b w:val="1"/>
          <w:bCs w:val="1"/>
          <w:color w:val="auto"/>
        </w:rPr>
        <w:t xml:space="preserve"> </w:t>
      </w:r>
      <w:r>
        <w:rPr>
          <w:rFonts w:ascii="Arial" w:cs="Arial" w:eastAsia="Arial" w:hAnsi="Arial"/>
          <w:sz w:val="22"/>
          <w:szCs w:val="22"/>
          <w:color w:val="auto"/>
        </w:rPr>
        <w:t>similar or equivalent application filed with the applicable Regulatory Authority for approval to conduct clinical testing of a pharmaceutical product in humans in the applicable country.</w:t>
      </w:r>
    </w:p>
    <w:p>
      <w:pPr>
        <w:spacing w:after="0" w:line="177"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Indication</w:t>
      </w:r>
      <w:r>
        <w:rPr>
          <w:rFonts w:ascii="Arial" w:cs="Arial" w:eastAsia="Arial" w:hAnsi="Arial"/>
          <w:sz w:val="21"/>
          <w:szCs w:val="21"/>
          <w:color w:val="auto"/>
        </w:rPr>
        <w:t>” means [***].</w:t>
      </w:r>
    </w:p>
    <w:p>
      <w:pPr>
        <w:spacing w:after="0" w:line="206" w:lineRule="exact"/>
        <w:rPr>
          <w:sz w:val="20"/>
          <w:szCs w:val="20"/>
          <w:color w:val="auto"/>
        </w:rPr>
      </w:pPr>
    </w:p>
    <w:p>
      <w:pPr>
        <w:ind w:right="80" w:firstLine="551"/>
        <w:spacing w:after="0" w:line="256"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Initiate</w:t>
      </w:r>
      <w:r>
        <w:rPr>
          <w:rFonts w:ascii="Arial" w:cs="Arial" w:eastAsia="Arial" w:hAnsi="Arial"/>
          <w:sz w:val="22"/>
          <w:szCs w:val="22"/>
          <w:color w:val="auto"/>
        </w:rPr>
        <w:t>” or “</w:t>
      </w:r>
      <w:r>
        <w:rPr>
          <w:rFonts w:ascii="Arial" w:cs="Arial" w:eastAsia="Arial" w:hAnsi="Arial"/>
          <w:sz w:val="22"/>
          <w:szCs w:val="22"/>
          <w:b w:val="1"/>
          <w:bCs w:val="1"/>
          <w:color w:val="auto"/>
        </w:rPr>
        <w:t>Initiation</w:t>
      </w:r>
      <w:r>
        <w:rPr>
          <w:rFonts w:ascii="Arial" w:cs="Arial" w:eastAsia="Arial" w:hAnsi="Arial"/>
          <w:sz w:val="22"/>
          <w:szCs w:val="22"/>
          <w:color w:val="auto"/>
        </w:rPr>
        <w:t>” means, with respect to a human clinical trial, the first dosing of the first human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enrolled in such clinical trial.</w:t>
      </w:r>
    </w:p>
    <w:p>
      <w:pPr>
        <w:spacing w:after="0" w:line="162" w:lineRule="exact"/>
        <w:rPr>
          <w:sz w:val="20"/>
          <w:szCs w:val="20"/>
          <w:color w:val="auto"/>
        </w:rPr>
      </w:pPr>
    </w:p>
    <w:p>
      <w:pPr>
        <w:ind w:right="160" w:firstLine="551"/>
        <w:spacing w:after="0" w:line="289" w:lineRule="auto"/>
        <w:rPr>
          <w:sz w:val="20"/>
          <w:szCs w:val="20"/>
          <w:color w:val="auto"/>
        </w:rPr>
      </w:pPr>
      <w:r>
        <w:rPr>
          <w:rFonts w:ascii="Arial" w:cs="Arial" w:eastAsia="Arial" w:hAnsi="Arial"/>
          <w:sz w:val="19"/>
          <w:szCs w:val="19"/>
          <w:b w:val="1"/>
          <w:bCs w:val="1"/>
          <w:color w:val="auto"/>
        </w:rPr>
        <w:t xml:space="preserve">1.27 </w:t>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means any data, results, discovery, finding, process, improvement, method, composition of matter,</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of manufacture or process, patentable or otherwise, that is first conceived, first discovered, or otherwise first made, by either Party exercising its rights or carrying out its obligations under this Agreement, whether directly or via its Affiliates, agents, contractors, or sublicensees, including all intellectual property rights therein.</w:t>
      </w:r>
    </w:p>
    <w:p>
      <w:pPr>
        <w:spacing w:after="0" w:line="136" w:lineRule="exact"/>
        <w:rPr>
          <w:sz w:val="20"/>
          <w:szCs w:val="20"/>
          <w:color w:val="auto"/>
        </w:rPr>
      </w:pPr>
    </w:p>
    <w:p>
      <w:pPr>
        <w:ind w:right="220" w:firstLine="551"/>
        <w:spacing w:after="0" w:line="254" w:lineRule="auto"/>
        <w:rPr>
          <w:sz w:val="20"/>
          <w:szCs w:val="20"/>
          <w:color w:val="auto"/>
        </w:rPr>
      </w:pPr>
      <w:r>
        <w:rPr>
          <w:rFonts w:ascii="Arial" w:cs="Arial" w:eastAsia="Arial" w:hAnsi="Arial"/>
          <w:sz w:val="21"/>
          <w:szCs w:val="21"/>
          <w:b w:val="1"/>
          <w:bCs w:val="1"/>
          <w:color w:val="auto"/>
        </w:rPr>
        <w:t xml:space="preserve">1.28 </w:t>
      </w:r>
      <w:r>
        <w:rPr>
          <w:rFonts w:ascii="Arial" w:cs="Arial" w:eastAsia="Arial" w:hAnsi="Arial"/>
          <w:sz w:val="21"/>
          <w:szCs w:val="21"/>
          <w:color w:val="auto"/>
        </w:rPr>
        <w:t>“</w:t>
      </w:r>
      <w:r>
        <w:rPr>
          <w:rFonts w:ascii="Arial" w:cs="Arial" w:eastAsia="Arial" w:hAnsi="Arial"/>
          <w:sz w:val="21"/>
          <w:szCs w:val="21"/>
          <w:b w:val="1"/>
          <w:bCs w:val="1"/>
          <w:color w:val="auto"/>
        </w:rPr>
        <w:t>Know-How</w:t>
      </w:r>
      <w:r>
        <w:rPr>
          <w:rFonts w:ascii="Arial" w:cs="Arial" w:eastAsia="Arial" w:hAnsi="Arial"/>
          <w:sz w:val="21"/>
          <w:szCs w:val="21"/>
          <w:color w:val="auto"/>
        </w:rPr>
        <w:t>” means all technical information, know-how, and data, including inventions, discoveries, trade</w:t>
      </w:r>
      <w:r>
        <w:rPr>
          <w:rFonts w:ascii="Arial" w:cs="Arial" w:eastAsia="Arial" w:hAnsi="Arial"/>
          <w:sz w:val="21"/>
          <w:szCs w:val="21"/>
          <w:b w:val="1"/>
          <w:bCs w:val="1"/>
          <w:color w:val="auto"/>
        </w:rPr>
        <w:t xml:space="preserve"> </w:t>
      </w:r>
      <w:r>
        <w:rPr>
          <w:rFonts w:ascii="Arial" w:cs="Arial" w:eastAsia="Arial" w:hAnsi="Arial"/>
          <w:sz w:val="21"/>
          <w:szCs w:val="21"/>
          <w:color w:val="auto"/>
        </w:rPr>
        <w:t>secrets, specifications, instructions, processes, formulae, compositions of matter, cells, cell lines, assays, animal models, and other physical, biological, or chemical materials, expertise and other technology, including all biological, chemical, pharmacological, biochemical, toxicological, pharmaceutical, physical, and analytical, safety,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60"/>
          </w:cols>
          <w:pgMar w:left="440" w:top="260" w:right="499" w:bottom="1440" w:gutter="0" w:footer="0" w:header="0"/>
        </w:sectPr>
      </w:pPr>
    </w:p>
    <w:bookmarkStart w:id="476" w:name="page477"/>
    <w:bookmarkEnd w:id="476"/>
    <w:p>
      <w:pPr>
        <w:ind w:right="160"/>
        <w:spacing w:after="0" w:line="25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nonclinical, and clinical data, regulatory documents, data and filings, instructions, processes, formulae, expertise, and information in each case that is relevant to the research, development, use, importation, offering for sale, or sale of, or which may be useful in studying, testing, or developing, pharmaceutical products.</w:t>
      </w:r>
    </w:p>
    <w:p>
      <w:pPr>
        <w:spacing w:after="0" w:line="163" w:lineRule="exact"/>
        <w:rPr>
          <w:sz w:val="20"/>
          <w:szCs w:val="20"/>
          <w:color w:val="auto"/>
        </w:rPr>
      </w:pPr>
    </w:p>
    <w:p>
      <w:pPr>
        <w:ind w:firstLine="551"/>
        <w:spacing w:after="0" w:line="260" w:lineRule="auto"/>
        <w:rPr>
          <w:sz w:val="20"/>
          <w:szCs w:val="20"/>
          <w:color w:val="auto"/>
        </w:rPr>
      </w:pPr>
      <w:r>
        <w:rPr>
          <w:rFonts w:ascii="Arial" w:cs="Arial" w:eastAsia="Arial" w:hAnsi="Arial"/>
          <w:sz w:val="21"/>
          <w:szCs w:val="21"/>
          <w:b w:val="1"/>
          <w:bCs w:val="1"/>
          <w:color w:val="auto"/>
        </w:rPr>
        <w:t xml:space="preserve">1.29 </w:t>
      </w: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means any federal, state, local, foreign or multinational law, statute, standard, ordinance, code, rule,</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 resolution or promulgation, or any order by any Government Authority, or any license, franchise, permit, or similar right granted under any of the foregoing, or any similar provision having the force or effect of law.</w:t>
      </w:r>
    </w:p>
    <w:p>
      <w:pPr>
        <w:spacing w:after="0" w:line="160"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Know-How</w:t>
      </w:r>
      <w:r>
        <w:rPr>
          <w:rFonts w:ascii="Arial" w:cs="Arial" w:eastAsia="Arial" w:hAnsi="Arial"/>
          <w:sz w:val="19"/>
          <w:szCs w:val="19"/>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Patents</w:t>
      </w:r>
      <w:r>
        <w:rPr>
          <w:rFonts w:ascii="Arial" w:cs="Arial" w:eastAsia="Arial" w:hAnsi="Arial"/>
          <w:sz w:val="19"/>
          <w:szCs w:val="19"/>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Technology</w:t>
      </w:r>
      <w:r>
        <w:rPr>
          <w:rFonts w:ascii="Arial" w:cs="Arial" w:eastAsia="Arial" w:hAnsi="Arial"/>
          <w:sz w:val="19"/>
          <w:szCs w:val="19"/>
          <w:color w:val="auto"/>
        </w:rPr>
        <w:t>” means the Licensed Patents and Licensed Know-How.</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right="380" w:firstLine="551"/>
        <w:spacing w:after="0" w:line="239"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color w:val="auto"/>
        </w:rPr>
        <w:t>MAA</w:t>
      </w:r>
      <w:r>
        <w:rPr>
          <w:rFonts w:ascii="Arial" w:cs="Arial" w:eastAsia="Arial" w:hAnsi="Arial"/>
          <w:sz w:val="22"/>
          <w:szCs w:val="22"/>
          <w:color w:val="auto"/>
        </w:rPr>
        <w:t>” or “</w:t>
      </w:r>
      <w:r>
        <w:rPr>
          <w:rFonts w:ascii="Arial" w:cs="Arial" w:eastAsia="Arial" w:hAnsi="Arial"/>
          <w:sz w:val="22"/>
          <w:szCs w:val="22"/>
          <w:b w:val="1"/>
          <w:bCs w:val="1"/>
          <w:color w:val="auto"/>
        </w:rPr>
        <w:t>Marketing Authorization Application</w:t>
      </w:r>
      <w:r>
        <w:rPr>
          <w:rFonts w:ascii="Arial" w:cs="Arial" w:eastAsia="Arial" w:hAnsi="Arial"/>
          <w:sz w:val="22"/>
          <w:szCs w:val="22"/>
          <w:color w:val="auto"/>
        </w:rPr>
        <w:t>” means an application to the appropriate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for approval to commercially sell any pharmaceutical product in a particular country or jurisdiction and all amendments and supplements thereto, including a Biologic License Application (BLA) filed with the FDA and equivalent foreign applications.</w:t>
      </w:r>
    </w:p>
    <w:p>
      <w:pPr>
        <w:spacing w:after="0" w:line="180"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Major Market</w:t>
      </w:r>
      <w:r>
        <w:rPr>
          <w:rFonts w:ascii="Arial" w:cs="Arial" w:eastAsia="Arial" w:hAnsi="Arial"/>
          <w:sz w:val="21"/>
          <w:szCs w:val="21"/>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Master Cell Bank</w:t>
      </w:r>
      <w:r>
        <w:rPr>
          <w:rFonts w:ascii="Arial" w:cs="Arial" w:eastAsia="Arial" w:hAnsi="Arial"/>
          <w:sz w:val="21"/>
          <w:szCs w:val="21"/>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t>
      </w:r>
    </w:p>
    <w:p>
      <w:pPr>
        <w:spacing w:after="0" w:line="212" w:lineRule="exact"/>
        <w:rPr>
          <w:sz w:val="20"/>
          <w:szCs w:val="20"/>
          <w:color w:val="auto"/>
        </w:rPr>
      </w:pPr>
    </w:p>
    <w:p>
      <w:pPr>
        <w:ind w:left="1680" w:hanging="472"/>
        <w:spacing w:after="0"/>
        <w:tabs>
          <w:tab w:leader="none" w:pos="168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40" w:hanging="432"/>
        <w:spacing w:after="0"/>
        <w:tabs>
          <w:tab w:leader="none" w:pos="164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1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20"/>
          </w:cols>
          <w:pgMar w:left="440" w:top="266" w:right="539" w:bottom="1440" w:gutter="0" w:footer="0" w:header="0"/>
        </w:sectPr>
      </w:pPr>
    </w:p>
    <w:bookmarkStart w:id="477" w:name="page478"/>
    <w:bookmarkEnd w:id="477"/>
    <w:p>
      <w:pPr>
        <w:ind w:right="180" w:firstLine="55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1.38 </w:t>
      </w:r>
      <w:r>
        <w:rPr>
          <w:rFonts w:ascii="Arial" w:cs="Arial" w:eastAsia="Arial" w:hAnsi="Arial"/>
          <w:sz w:val="22"/>
          <w:szCs w:val="22"/>
          <w:color w:val="auto"/>
        </w:rPr>
        <w:t>“</w:t>
      </w:r>
      <w:r>
        <w:rPr>
          <w:rFonts w:ascii="Arial" w:cs="Arial" w:eastAsia="Arial" w:hAnsi="Arial"/>
          <w:sz w:val="22"/>
          <w:szCs w:val="22"/>
          <w:b w:val="1"/>
          <w:bCs w:val="1"/>
          <w:color w:val="auto"/>
        </w:rPr>
        <w:t>NMPA</w:t>
      </w:r>
      <w:r>
        <w:rPr>
          <w:rFonts w:ascii="Arial" w:cs="Arial" w:eastAsia="Arial" w:hAnsi="Arial"/>
          <w:sz w:val="22"/>
          <w:szCs w:val="22"/>
          <w:color w:val="auto"/>
        </w:rPr>
        <w:t>” means National Medicine Products Administration of China (formerly known as the China Food and</w:t>
      </w:r>
      <w:r>
        <w:rPr>
          <w:rFonts w:ascii="Arial" w:cs="Arial" w:eastAsia="Arial" w:hAnsi="Arial"/>
          <w:sz w:val="22"/>
          <w:szCs w:val="22"/>
          <w:b w:val="1"/>
          <w:bCs w:val="1"/>
          <w:color w:val="auto"/>
        </w:rPr>
        <w:t xml:space="preserve"> </w:t>
      </w:r>
      <w:r>
        <w:rPr>
          <w:rFonts w:ascii="Arial" w:cs="Arial" w:eastAsia="Arial" w:hAnsi="Arial"/>
          <w:sz w:val="22"/>
          <w:szCs w:val="22"/>
          <w:color w:val="auto"/>
        </w:rPr>
        <w:t>Drug Administration), or it successor.</w:t>
      </w:r>
    </w:p>
    <w:p>
      <w:pPr>
        <w:spacing w:after="0" w:line="162"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Non-Core Territory Country</w:t>
      </w:r>
      <w:r>
        <w:rPr>
          <w:rFonts w:ascii="Arial" w:cs="Arial" w:eastAsia="Arial" w:hAnsi="Arial"/>
          <w:sz w:val="19"/>
          <w:szCs w:val="19"/>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Non-Oncology Field</w:t>
      </w:r>
      <w:r>
        <w:rPr>
          <w:rFonts w:ascii="Arial" w:cs="Arial" w:eastAsia="Arial" w:hAnsi="Arial"/>
          <w:sz w:val="19"/>
          <w:szCs w:val="19"/>
          <w:color w:val="auto"/>
        </w:rPr>
        <w:t>” means the treatment of any Indication(s) other than cancer Indications.</w:t>
      </w:r>
    </w:p>
    <w:p>
      <w:pPr>
        <w:spacing w:after="0" w:line="206" w:lineRule="exact"/>
        <w:rPr>
          <w:sz w:val="20"/>
          <w:szCs w:val="20"/>
          <w:color w:val="auto"/>
        </w:rPr>
      </w:pPr>
    </w:p>
    <w:p>
      <w:pPr>
        <w:ind w:right="260" w:firstLine="551"/>
        <w:spacing w:after="0" w:line="243"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Non-Oncology Sublicense</w:t>
      </w:r>
      <w:r>
        <w:rPr>
          <w:rFonts w:ascii="Arial" w:cs="Arial" w:eastAsia="Arial" w:hAnsi="Arial"/>
          <w:sz w:val="22"/>
          <w:szCs w:val="22"/>
          <w:color w:val="auto"/>
        </w:rPr>
        <w:t>” means a sublicense under the Licensed Technology to research, Develop, make,</w:t>
      </w:r>
      <w:r>
        <w:rPr>
          <w:rFonts w:ascii="Arial" w:cs="Arial" w:eastAsia="Arial" w:hAnsi="Arial"/>
          <w:sz w:val="22"/>
          <w:szCs w:val="22"/>
          <w:b w:val="1"/>
          <w:bCs w:val="1"/>
          <w:color w:val="auto"/>
        </w:rPr>
        <w:t xml:space="preserve"> </w:t>
      </w:r>
      <w:r>
        <w:rPr>
          <w:rFonts w:ascii="Arial" w:cs="Arial" w:eastAsia="Arial" w:hAnsi="Arial"/>
          <w:sz w:val="22"/>
          <w:szCs w:val="22"/>
          <w:color w:val="auto"/>
        </w:rPr>
        <w:t>have made, use, sell, offer for sale, have sold, import, and otherwise Commercialize the Compounds and Products in the Territory solely in the Non-Oncology Field.</w:t>
      </w:r>
    </w:p>
    <w:p>
      <w:pPr>
        <w:spacing w:after="0" w:line="177" w:lineRule="exact"/>
        <w:rPr>
          <w:sz w:val="20"/>
          <w:szCs w:val="20"/>
          <w:color w:val="auto"/>
        </w:rPr>
      </w:pPr>
    </w:p>
    <w:p>
      <w:pPr>
        <w:ind w:right="700" w:firstLine="551"/>
        <w:spacing w:after="0" w:line="256"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color w:val="auto"/>
        </w:rPr>
        <w:t>Non-Oncology Third Party Sublicensee</w:t>
      </w:r>
      <w:r>
        <w:rPr>
          <w:rFonts w:ascii="Arial" w:cs="Arial" w:eastAsia="Arial" w:hAnsi="Arial"/>
          <w:sz w:val="22"/>
          <w:szCs w:val="22"/>
          <w:color w:val="auto"/>
        </w:rPr>
        <w:t>” means a Third Party Sublicensee to whom Licensee grants a</w:t>
      </w:r>
      <w:r>
        <w:rPr>
          <w:rFonts w:ascii="Arial" w:cs="Arial" w:eastAsia="Arial" w:hAnsi="Arial"/>
          <w:sz w:val="22"/>
          <w:szCs w:val="22"/>
          <w:b w:val="1"/>
          <w:bCs w:val="1"/>
          <w:color w:val="auto"/>
        </w:rPr>
        <w:t xml:space="preserve"> </w:t>
      </w:r>
      <w:r>
        <w:rPr>
          <w:rFonts w:ascii="Arial" w:cs="Arial" w:eastAsia="Arial" w:hAnsi="Arial"/>
          <w:sz w:val="22"/>
          <w:szCs w:val="22"/>
          <w:color w:val="auto"/>
        </w:rPr>
        <w:t>Non-Oncology Sublicense.</w:t>
      </w:r>
    </w:p>
    <w:p>
      <w:pPr>
        <w:spacing w:after="0" w:line="162"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Orphan Indication</w:t>
      </w:r>
      <w:r>
        <w:rPr>
          <w:rFonts w:ascii="Arial" w:cs="Arial" w:eastAsia="Arial" w:hAnsi="Arial"/>
          <w:sz w:val="19"/>
          <w:szCs w:val="19"/>
          <w:color w:val="auto"/>
        </w:rPr>
        <w:t>” means [***].</w:t>
      </w:r>
    </w:p>
    <w:p>
      <w:pPr>
        <w:spacing w:after="0" w:line="206" w:lineRule="exact"/>
        <w:rPr>
          <w:sz w:val="20"/>
          <w:szCs w:val="20"/>
          <w:color w:val="auto"/>
        </w:rPr>
      </w:pPr>
    </w:p>
    <w:p>
      <w:pPr>
        <w:ind w:firstLine="551"/>
        <w:spacing w:after="0" w:line="237"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color w:val="auto"/>
        </w:rPr>
        <w:t>Patent Rights</w:t>
      </w:r>
      <w:r>
        <w:rPr>
          <w:rFonts w:ascii="Arial" w:cs="Arial" w:eastAsia="Arial" w:hAnsi="Arial"/>
          <w:sz w:val="22"/>
          <w:szCs w:val="22"/>
          <w:color w:val="auto"/>
        </w:rPr>
        <w:t>” means all patents and patent applications (which for the purpose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include certificates of invention and applications for certificates of invention), including all divisionals, continuations, substitutions, continuations-in-part, re-examinations, reissues, additions, renewals, revalidations, extensions, registrations, pediatric exclusivity periods, and supplemental protection certificates and the like of any such patents and patent applications, and any and all foreign equivalents of the foregoing.</w:t>
      </w:r>
    </w:p>
    <w:p>
      <w:pPr>
        <w:spacing w:after="0" w:line="182" w:lineRule="exact"/>
        <w:rPr>
          <w:sz w:val="20"/>
          <w:szCs w:val="20"/>
          <w:color w:val="auto"/>
        </w:rPr>
      </w:pPr>
    </w:p>
    <w:p>
      <w:pPr>
        <w:ind w:right="480" w:firstLine="551"/>
        <w:spacing w:after="0" w:line="256"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partnership, limited liability company, firm, corporation, association, trust,</w:t>
      </w:r>
      <w:r>
        <w:rPr>
          <w:rFonts w:ascii="Arial" w:cs="Arial" w:eastAsia="Arial" w:hAnsi="Arial"/>
          <w:sz w:val="22"/>
          <w:szCs w:val="22"/>
          <w:b w:val="1"/>
          <w:bCs w:val="1"/>
          <w:color w:val="auto"/>
        </w:rPr>
        <w:t xml:space="preserve"> </w:t>
      </w:r>
      <w:r>
        <w:rPr>
          <w:rFonts w:ascii="Arial" w:cs="Arial" w:eastAsia="Arial" w:hAnsi="Arial"/>
          <w:sz w:val="22"/>
          <w:szCs w:val="22"/>
          <w:color w:val="auto"/>
        </w:rPr>
        <w:t>unincorporated organization or other entity.</w:t>
      </w:r>
    </w:p>
    <w:p>
      <w:pPr>
        <w:spacing w:after="0" w:line="162"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Pivotal Study</w:t>
      </w:r>
      <w:r>
        <w:rPr>
          <w:rFonts w:ascii="Arial" w:cs="Arial" w:eastAsia="Arial" w:hAnsi="Arial"/>
          <w:sz w:val="19"/>
          <w:szCs w:val="19"/>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PMDA</w:t>
      </w:r>
      <w:r>
        <w:rPr>
          <w:rFonts w:ascii="Arial" w:cs="Arial" w:eastAsia="Arial" w:hAnsi="Arial"/>
          <w:sz w:val="19"/>
          <w:szCs w:val="19"/>
          <w:color w:val="auto"/>
        </w:rPr>
        <w:t>” means the Pharmaceuticals and Medical Devices Agency of Japan, or its successor.</w:t>
      </w:r>
    </w:p>
    <w:p>
      <w:pPr>
        <w:spacing w:after="0" w:line="206" w:lineRule="exact"/>
        <w:rPr>
          <w:sz w:val="20"/>
          <w:szCs w:val="20"/>
          <w:color w:val="auto"/>
        </w:rPr>
      </w:pPr>
    </w:p>
    <w:p>
      <w:pPr>
        <w:ind w:right="40" w:firstLine="551"/>
        <w:spacing w:after="0" w:line="254" w:lineRule="auto"/>
        <w:rPr>
          <w:sz w:val="20"/>
          <w:szCs w:val="20"/>
          <w:color w:val="auto"/>
        </w:rPr>
      </w:pPr>
      <w:r>
        <w:rPr>
          <w:rFonts w:ascii="Arial" w:cs="Arial" w:eastAsia="Arial" w:hAnsi="Arial"/>
          <w:sz w:val="21"/>
          <w:szCs w:val="21"/>
          <w:b w:val="1"/>
          <w:bCs w:val="1"/>
          <w:color w:val="auto"/>
        </w:rPr>
        <w:t xml:space="preserve">1.48 </w:t>
      </w:r>
      <w:r>
        <w:rPr>
          <w:rFonts w:ascii="Arial" w:cs="Arial" w:eastAsia="Arial" w:hAnsi="Arial"/>
          <w:sz w:val="21"/>
          <w:szCs w:val="21"/>
          <w:color w:val="auto"/>
        </w:rPr>
        <w:t>“</w:t>
      </w:r>
      <w:r>
        <w:rPr>
          <w:rFonts w:ascii="Arial" w:cs="Arial" w:eastAsia="Arial" w:hAnsi="Arial"/>
          <w:sz w:val="21"/>
          <w:szCs w:val="21"/>
          <w:b w:val="1"/>
          <w:bCs w:val="1"/>
          <w:color w:val="auto"/>
        </w:rPr>
        <w:t>Product</w:t>
      </w:r>
      <w:r>
        <w:rPr>
          <w:rFonts w:ascii="Arial" w:cs="Arial" w:eastAsia="Arial" w:hAnsi="Arial"/>
          <w:sz w:val="21"/>
          <w:szCs w:val="21"/>
          <w:color w:val="auto"/>
        </w:rPr>
        <w:t>” means any pharmaceutical product that contains a Compound as an active pharmaceutical ingredient,</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alone or in combination with other active ingredients, in any formulation, dosage form, or presentation, and for any mode of administration; provided that Product shall not include any active ingredients, the composition of matter of which is claimed by a Licensed Patent, other than the Compound.</w:t>
      </w:r>
    </w:p>
    <w:p>
      <w:pPr>
        <w:spacing w:after="0" w:line="166" w:lineRule="exact"/>
        <w:rPr>
          <w:sz w:val="20"/>
          <w:szCs w:val="20"/>
          <w:color w:val="auto"/>
        </w:rPr>
      </w:pPr>
    </w:p>
    <w:p>
      <w:pPr>
        <w:jc w:val="both"/>
        <w:ind w:right="640" w:firstLine="551"/>
        <w:spacing w:after="0" w:line="300" w:lineRule="auto"/>
        <w:rPr>
          <w:sz w:val="20"/>
          <w:szCs w:val="20"/>
          <w:color w:val="auto"/>
        </w:rPr>
      </w:pPr>
      <w:r>
        <w:rPr>
          <w:rFonts w:ascii="Arial" w:cs="Arial" w:eastAsia="Arial" w:hAnsi="Arial"/>
          <w:sz w:val="19"/>
          <w:szCs w:val="19"/>
          <w:b w:val="1"/>
          <w:bCs w:val="1"/>
          <w:color w:val="auto"/>
        </w:rPr>
        <w:t xml:space="preserve">1.49 </w:t>
      </w:r>
      <w:r>
        <w:rPr>
          <w:rFonts w:ascii="Arial" w:cs="Arial" w:eastAsia="Arial" w:hAnsi="Arial"/>
          <w:sz w:val="19"/>
          <w:szCs w:val="19"/>
          <w:color w:val="auto"/>
        </w:rPr>
        <w:t>“</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all approvals that are necessary for the use, import, transport, promotion,</w:t>
      </w:r>
      <w:r>
        <w:rPr>
          <w:rFonts w:ascii="Arial" w:cs="Arial" w:eastAsia="Arial" w:hAnsi="Arial"/>
          <w:sz w:val="19"/>
          <w:szCs w:val="19"/>
          <w:b w:val="1"/>
          <w:bCs w:val="1"/>
          <w:color w:val="auto"/>
        </w:rPr>
        <w:t xml:space="preserve"> </w:t>
      </w:r>
      <w:r>
        <w:rPr>
          <w:rFonts w:ascii="Arial" w:cs="Arial" w:eastAsia="Arial" w:hAnsi="Arial"/>
          <w:sz w:val="19"/>
          <w:szCs w:val="19"/>
          <w:color w:val="auto"/>
        </w:rPr>
        <w:t>marketing, distribution, offer for sale, or commercial sale of a pharmaceutical or biologic product in a given country or regulatory jurisdiction, including pricing and reimbursement approval if required for such purposes.</w:t>
      </w:r>
    </w:p>
    <w:p>
      <w:pPr>
        <w:spacing w:after="0" w:line="126" w:lineRule="exact"/>
        <w:rPr>
          <w:sz w:val="20"/>
          <w:szCs w:val="20"/>
          <w:color w:val="auto"/>
        </w:rPr>
      </w:pPr>
    </w:p>
    <w:p>
      <w:pPr>
        <w:ind w:right="500" w:firstLine="551"/>
        <w:spacing w:after="0" w:line="256"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applicable Government Authority responsible for granting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Approvals for the Product, including FDA, EMA, NMPA and PMDA.</w:t>
      </w:r>
    </w:p>
    <w:p>
      <w:pPr>
        <w:spacing w:after="0" w:line="162" w:lineRule="exact"/>
        <w:rPr>
          <w:sz w:val="20"/>
          <w:szCs w:val="20"/>
          <w:color w:val="auto"/>
        </w:rPr>
      </w:pPr>
    </w:p>
    <w:p>
      <w:pPr>
        <w:ind w:right="100" w:firstLine="551"/>
        <w:spacing w:after="0" w:line="260" w:lineRule="auto"/>
        <w:rPr>
          <w:sz w:val="20"/>
          <w:szCs w:val="20"/>
          <w:color w:val="auto"/>
        </w:rPr>
      </w:pPr>
      <w:r>
        <w:rPr>
          <w:rFonts w:ascii="Arial" w:cs="Arial" w:eastAsia="Arial" w:hAnsi="Arial"/>
          <w:sz w:val="21"/>
          <w:szCs w:val="21"/>
          <w:b w:val="1"/>
          <w:bCs w:val="1"/>
          <w:color w:val="auto"/>
        </w:rPr>
        <w:t xml:space="preserve">1.51 </w:t>
      </w:r>
      <w:r>
        <w:rPr>
          <w:rFonts w:ascii="Arial" w:cs="Arial" w:eastAsia="Arial" w:hAnsi="Arial"/>
          <w:sz w:val="21"/>
          <w:szCs w:val="21"/>
          <w:color w:val="auto"/>
        </w:rPr>
        <w:t>“</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any exclusive marketing rights or data exclusivity rights (other than Patent</w:t>
      </w:r>
      <w:r>
        <w:rPr>
          <w:rFonts w:ascii="Arial" w:cs="Arial" w:eastAsia="Arial" w:hAnsi="Arial"/>
          <w:sz w:val="21"/>
          <w:szCs w:val="21"/>
          <w:b w:val="1"/>
          <w:bCs w:val="1"/>
          <w:color w:val="auto"/>
        </w:rPr>
        <w:t xml:space="preserve"> </w:t>
      </w:r>
      <w:r>
        <w:rPr>
          <w:rFonts w:ascii="Arial" w:cs="Arial" w:eastAsia="Arial" w:hAnsi="Arial"/>
          <w:sz w:val="21"/>
          <w:szCs w:val="21"/>
          <w:color w:val="auto"/>
        </w:rPr>
        <w:t>Rights) conferred by a Regulatory Authority with respect to a Product in a given country or regulatory jurisdiction, including orphan drug exclusivity, new chemical entity exclusivity, and pediatric exclusivity.</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00"/>
          </w:cols>
          <w:pgMar w:left="440" w:top="260" w:right="559" w:bottom="1440" w:gutter="0" w:footer="0" w:header="0"/>
        </w:sectPr>
      </w:pPr>
    </w:p>
    <w:bookmarkStart w:id="478" w:name="page479"/>
    <w:bookmarkEnd w:id="478"/>
    <w:p>
      <w:pPr>
        <w:ind w:right="160" w:firstLine="551"/>
        <w:spacing w:after="0" w:line="289"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1.52 </w:t>
      </w:r>
      <w:r>
        <w:rPr>
          <w:rFonts w:ascii="Arial" w:cs="Arial" w:eastAsia="Arial" w:hAnsi="Arial"/>
          <w:sz w:val="19"/>
          <w:szCs w:val="19"/>
          <w:color w:val="auto"/>
        </w:rPr>
        <w:t>“</w:t>
      </w:r>
      <w:r>
        <w:rPr>
          <w:rFonts w:ascii="Arial" w:cs="Arial" w:eastAsia="Arial" w:hAnsi="Arial"/>
          <w:sz w:val="19"/>
          <w:szCs w:val="19"/>
          <w:b w:val="1"/>
          <w:bCs w:val="1"/>
          <w:color w:val="auto"/>
        </w:rPr>
        <w:t>Regulatory Material</w:t>
      </w:r>
      <w:r>
        <w:rPr>
          <w:rFonts w:ascii="Arial" w:cs="Arial" w:eastAsia="Arial" w:hAnsi="Arial"/>
          <w:sz w:val="19"/>
          <w:szCs w:val="19"/>
          <w:color w:val="auto"/>
        </w:rPr>
        <w:t>” means any and all regulatory applications, submissions, notifications, communications,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correspondences, registrations, and other filings made to, received from, or otherwise conducted with a Regulatory Authority in order to Develop, manufacture, market, sell, or otherwise Commercialize a pharmaceutical or biologic product in a particular country or jurisdiction, including IND, MAAs, and Regulatory Approvals.</w:t>
      </w:r>
    </w:p>
    <w:p>
      <w:pPr>
        <w:spacing w:after="0" w:line="13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Relevant Patent</w:t>
      </w:r>
      <w:r>
        <w:rPr>
          <w:rFonts w:ascii="Arial" w:cs="Arial" w:eastAsia="Arial" w:hAnsi="Arial"/>
          <w:sz w:val="19"/>
          <w:szCs w:val="19"/>
          <w:color w:val="auto"/>
        </w:rPr>
        <w:t>” means [***].</w:t>
      </w:r>
    </w:p>
    <w:p>
      <w:pPr>
        <w:spacing w:after="0" w:line="206" w:lineRule="exact"/>
        <w:rPr>
          <w:sz w:val="20"/>
          <w:szCs w:val="20"/>
          <w:color w:val="auto"/>
        </w:rPr>
      </w:pPr>
    </w:p>
    <w:p>
      <w:pPr>
        <w:ind w:right="320" w:firstLine="551"/>
        <w:spacing w:after="0" w:line="256"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color w:val="auto"/>
        </w:rPr>
        <w:t>“</w:t>
      </w:r>
      <w:r>
        <w:rPr>
          <w:rFonts w:ascii="Arial" w:cs="Arial" w:eastAsia="Arial" w:hAnsi="Arial"/>
          <w:sz w:val="22"/>
          <w:szCs w:val="22"/>
          <w:b w:val="1"/>
          <w:bCs w:val="1"/>
          <w:color w:val="auto"/>
        </w:rPr>
        <w:t>Senior Officer</w:t>
      </w:r>
      <w:r>
        <w:rPr>
          <w:rFonts w:ascii="Arial" w:cs="Arial" w:eastAsia="Arial" w:hAnsi="Arial"/>
          <w:sz w:val="22"/>
          <w:szCs w:val="22"/>
          <w:color w:val="auto"/>
        </w:rPr>
        <w:t>” means, with respect to Licensor, President or his/her designee, and with respect to Licensee,</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or his/her designee.</w:t>
      </w:r>
    </w:p>
    <w:p>
      <w:pPr>
        <w:spacing w:after="0" w:line="162" w:lineRule="exact"/>
        <w:rPr>
          <w:sz w:val="20"/>
          <w:szCs w:val="20"/>
          <w:color w:val="auto"/>
        </w:rPr>
      </w:pPr>
    </w:p>
    <w:p>
      <w:pPr>
        <w:ind w:right="620" w:firstLine="551"/>
        <w:spacing w:after="0" w:line="280" w:lineRule="auto"/>
        <w:rPr>
          <w:sz w:val="20"/>
          <w:szCs w:val="20"/>
          <w:color w:val="auto"/>
        </w:rPr>
      </w:pPr>
      <w:r>
        <w:rPr>
          <w:rFonts w:ascii="Arial" w:cs="Arial" w:eastAsia="Arial" w:hAnsi="Arial"/>
          <w:sz w:val="21"/>
          <w:szCs w:val="21"/>
          <w:b w:val="1"/>
          <w:bCs w:val="1"/>
          <w:color w:val="auto"/>
        </w:rPr>
        <w:t xml:space="preserve">1.55 </w:t>
      </w:r>
      <w:r>
        <w:rPr>
          <w:rFonts w:ascii="Arial" w:cs="Arial" w:eastAsia="Arial" w:hAnsi="Arial"/>
          <w:sz w:val="21"/>
          <w:szCs w:val="21"/>
          <w:color w:val="auto"/>
        </w:rPr>
        <w:t>“</w:t>
      </w:r>
      <w:r>
        <w:rPr>
          <w:rFonts w:ascii="Arial" w:cs="Arial" w:eastAsia="Arial" w:hAnsi="Arial"/>
          <w:sz w:val="21"/>
          <w:szCs w:val="21"/>
          <w:b w:val="1"/>
          <w:bCs w:val="1"/>
          <w:color w:val="auto"/>
        </w:rPr>
        <w:t>Sublicensee</w:t>
      </w:r>
      <w:r>
        <w:rPr>
          <w:rFonts w:ascii="Arial" w:cs="Arial" w:eastAsia="Arial" w:hAnsi="Arial"/>
          <w:sz w:val="21"/>
          <w:szCs w:val="21"/>
          <w:color w:val="auto"/>
        </w:rPr>
        <w:t>” means any Third Party or Affiliate of Licensee to whom Licensee grants a sublicense under</w:t>
      </w:r>
      <w:r>
        <w:rPr>
          <w:rFonts w:ascii="Arial" w:cs="Arial" w:eastAsia="Arial" w:hAnsi="Arial"/>
          <w:sz w:val="21"/>
          <w:szCs w:val="21"/>
          <w:b w:val="1"/>
          <w:bCs w:val="1"/>
          <w:color w:val="auto"/>
        </w:rPr>
        <w:t xml:space="preserve"> </w:t>
      </w:r>
      <w:r>
        <w:rPr>
          <w:rFonts w:ascii="Arial" w:cs="Arial" w:eastAsia="Arial" w:hAnsi="Arial"/>
          <w:sz w:val="21"/>
          <w:szCs w:val="21"/>
          <w:color w:val="auto"/>
        </w:rPr>
        <w:t>Licensee’s rights to the Licensed Technology licensed from Licensor pursuant to this Agreement.</w:t>
      </w:r>
    </w:p>
    <w:p>
      <w:pPr>
        <w:spacing w:after="0" w:line="139"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 Revenue</w:t>
      </w:r>
      <w:r>
        <w:rPr>
          <w:rFonts w:ascii="Arial" w:cs="Arial" w:eastAsia="Arial" w:hAnsi="Arial"/>
          <w:sz w:val="19"/>
          <w:szCs w:val="19"/>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10.1.</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worldwide.</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 Party or an Affiliate of a Party.</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Sublicensee</w:t>
      </w:r>
      <w:r>
        <w:rPr>
          <w:rFonts w:ascii="Arial" w:cs="Arial" w:eastAsia="Arial" w:hAnsi="Arial"/>
          <w:sz w:val="19"/>
          <w:szCs w:val="19"/>
          <w:color w:val="auto"/>
        </w:rPr>
        <w:t>” means a Sublicensee who is a Third Party and not an Affiliate of Licensee.</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United States</w:t>
      </w:r>
      <w:r>
        <w:rPr>
          <w:rFonts w:ascii="Arial" w:cs="Arial" w:eastAsia="Arial" w:hAnsi="Arial"/>
          <w:sz w:val="19"/>
          <w:szCs w:val="19"/>
          <w:color w:val="auto"/>
        </w:rPr>
        <w:t>” or “</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and its territories and possessions.</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w:t>
      </w:r>
    </w:p>
    <w:p>
      <w:pPr>
        <w:spacing w:after="0" w:line="206"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b w:val="1"/>
          <w:bCs w:val="1"/>
          <w:color w:val="auto"/>
        </w:rPr>
        <w:t>Interpretation</w:t>
      </w:r>
      <w:r>
        <w:rPr>
          <w:rFonts w:ascii="Arial" w:cs="Arial" w:eastAsia="Arial" w:hAnsi="Arial"/>
          <w:sz w:val="19"/>
          <w:szCs w:val="19"/>
          <w:color w:val="auto"/>
        </w:rPr>
        <w:t>. In this Agreement, unless otherwise specified:</w:t>
      </w:r>
    </w:p>
    <w:p>
      <w:pPr>
        <w:spacing w:after="0" w:line="212" w:lineRule="exact"/>
        <w:rPr>
          <w:sz w:val="20"/>
          <w:szCs w:val="20"/>
          <w:color w:val="auto"/>
        </w:rPr>
      </w:pPr>
    </w:p>
    <w:p>
      <w:pPr>
        <w:ind w:left="1680" w:hanging="472"/>
        <w:spacing w:after="0"/>
        <w:tabs>
          <w:tab w:leader="none" w:pos="1680" w:val="left"/>
        </w:tabs>
        <w:numPr>
          <w:ilvl w:val="0"/>
          <w:numId w:val="513"/>
        </w:numPr>
        <w:rPr>
          <w:rFonts w:ascii="Arial" w:cs="Arial" w:eastAsia="Arial" w:hAnsi="Arial"/>
          <w:sz w:val="19"/>
          <w:szCs w:val="19"/>
          <w:b w:val="1"/>
          <w:bCs w:val="1"/>
          <w:color w:val="auto"/>
        </w:rPr>
      </w:pPr>
      <w:r>
        <w:rPr>
          <w:rFonts w:ascii="Arial" w:cs="Arial" w:eastAsia="Arial" w:hAnsi="Arial"/>
          <w:sz w:val="19"/>
          <w:szCs w:val="19"/>
          <w:color w:val="auto"/>
        </w:rPr>
        <w:t>The words “include”, “includes”, and “including” shall be deemed to be followed by the phrase “without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limitation”;</w:t>
      </w:r>
    </w:p>
    <w:p>
      <w:pPr>
        <w:spacing w:after="0" w:line="188" w:lineRule="exact"/>
        <w:rPr>
          <w:sz w:val="20"/>
          <w:szCs w:val="20"/>
          <w:color w:val="auto"/>
        </w:rPr>
      </w:pPr>
    </w:p>
    <w:p>
      <w:pPr>
        <w:ind w:right="340" w:firstLine="1208"/>
        <w:spacing w:after="0" w:line="250" w:lineRule="auto"/>
        <w:tabs>
          <w:tab w:leader="none" w:pos="1692" w:val="left"/>
        </w:tabs>
        <w:numPr>
          <w:ilvl w:val="0"/>
          <w:numId w:val="514"/>
        </w:numPr>
        <w:rPr>
          <w:rFonts w:ascii="Arial" w:cs="Arial" w:eastAsia="Arial" w:hAnsi="Arial"/>
          <w:sz w:val="22"/>
          <w:szCs w:val="22"/>
          <w:b w:val="1"/>
          <w:bCs w:val="1"/>
          <w:color w:val="auto"/>
        </w:rPr>
      </w:pPr>
      <w:r>
        <w:rPr>
          <w:rFonts w:ascii="Arial" w:cs="Arial" w:eastAsia="Arial" w:hAnsi="Arial"/>
          <w:sz w:val="22"/>
          <w:szCs w:val="22"/>
          <w:color w:val="auto"/>
        </w:rPr>
        <w:t>words denoting the singular shall include the plural and vice versa and words denoting any gender shall include all genders;</w:t>
      </w:r>
    </w:p>
    <w:p>
      <w:pPr>
        <w:spacing w:after="0" w:line="174" w:lineRule="exact"/>
        <w:rPr>
          <w:rFonts w:ascii="Arial" w:cs="Arial" w:eastAsia="Arial" w:hAnsi="Arial"/>
          <w:sz w:val="22"/>
          <w:szCs w:val="22"/>
          <w:b w:val="1"/>
          <w:bCs w:val="1"/>
          <w:color w:val="auto"/>
        </w:rPr>
      </w:pPr>
    </w:p>
    <w:p>
      <w:pPr>
        <w:ind w:firstLine="1208"/>
        <w:spacing w:after="0" w:line="250" w:lineRule="auto"/>
        <w:tabs>
          <w:tab w:leader="none" w:pos="1667" w:val="left"/>
        </w:tabs>
        <w:numPr>
          <w:ilvl w:val="0"/>
          <w:numId w:val="514"/>
        </w:numPr>
        <w:rPr>
          <w:rFonts w:ascii="Arial" w:cs="Arial" w:eastAsia="Arial" w:hAnsi="Arial"/>
          <w:sz w:val="22"/>
          <w:szCs w:val="22"/>
          <w:b w:val="1"/>
          <w:bCs w:val="1"/>
          <w:color w:val="auto"/>
        </w:rPr>
      </w:pPr>
      <w:r>
        <w:rPr>
          <w:rFonts w:ascii="Arial" w:cs="Arial" w:eastAsia="Arial" w:hAnsi="Arial"/>
          <w:sz w:val="22"/>
          <w:szCs w:val="22"/>
          <w:color w:val="auto"/>
        </w:rPr>
        <w:t>the word “or” is used in the inclusive sense typically associated with the phrase “and/or” unless the subjects of the conjunction are, or are intended to be, exclusive;</w:t>
      </w:r>
    </w:p>
    <w:p>
      <w:pPr>
        <w:spacing w:after="0" w:line="174" w:lineRule="exact"/>
        <w:rPr>
          <w:rFonts w:ascii="Arial" w:cs="Arial" w:eastAsia="Arial" w:hAnsi="Arial"/>
          <w:sz w:val="22"/>
          <w:szCs w:val="22"/>
          <w:b w:val="1"/>
          <w:bCs w:val="1"/>
          <w:color w:val="auto"/>
        </w:rPr>
      </w:pPr>
    </w:p>
    <w:p>
      <w:pPr>
        <w:ind w:firstLine="1208"/>
        <w:spacing w:after="0" w:line="250" w:lineRule="auto"/>
        <w:tabs>
          <w:tab w:leader="none" w:pos="1692" w:val="left"/>
        </w:tabs>
        <w:numPr>
          <w:ilvl w:val="0"/>
          <w:numId w:val="514"/>
        </w:numPr>
        <w:rPr>
          <w:rFonts w:ascii="Arial" w:cs="Arial" w:eastAsia="Arial" w:hAnsi="Arial"/>
          <w:sz w:val="22"/>
          <w:szCs w:val="22"/>
          <w:b w:val="1"/>
          <w:bCs w:val="1"/>
          <w:color w:val="auto"/>
        </w:rPr>
      </w:pPr>
      <w:r>
        <w:rPr>
          <w:rFonts w:ascii="Arial" w:cs="Arial" w:eastAsia="Arial" w:hAnsi="Arial"/>
          <w:sz w:val="22"/>
          <w:szCs w:val="22"/>
          <w:color w:val="auto"/>
        </w:rPr>
        <w:t>words such as “herein”, “hereof”, and “hereunder” refer to this Agreement as a whole and not merely to the particular provision in which such words appear;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80"/>
          </w:cols>
          <w:pgMar w:left="440" w:top="260" w:right="479" w:bottom="1440" w:gutter="0" w:footer="0" w:header="0"/>
        </w:sectPr>
      </w:pPr>
    </w:p>
    <w:bookmarkStart w:id="479" w:name="page480"/>
    <w:bookmarkEnd w:id="479"/>
    <w:p>
      <w:pPr>
        <w:ind w:right="60" w:firstLine="1208"/>
        <w:spacing w:after="0" w:line="250" w:lineRule="auto"/>
        <w:tabs>
          <w:tab w:leader="none" w:pos="1667" w:val="left"/>
        </w:tabs>
        <w:numPr>
          <w:ilvl w:val="0"/>
          <w:numId w:val="515"/>
        </w:numPr>
        <w:rPr>
          <w:rFonts w:ascii="Arial" w:cs="Arial" w:eastAsia="Arial" w:hAnsi="Arial"/>
          <w:sz w:val="22"/>
          <w:szCs w:val="22"/>
          <w:b w:val="1"/>
          <w:bCs w:val="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Exhibits and other attachments form part of the operative provision of this Agreement and references to this Agreement shall include references to the Exhibits and attachments.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LICENSE</w:t>
      </w:r>
    </w:p>
    <w:p>
      <w:pPr>
        <w:spacing w:after="0" w:line="182" w:lineRule="exact"/>
        <w:rPr>
          <w:sz w:val="20"/>
          <w:szCs w:val="20"/>
          <w:color w:val="auto"/>
        </w:rPr>
      </w:pPr>
    </w:p>
    <w:p>
      <w:pPr>
        <w:ind w:right="80" w:firstLine="551"/>
        <w:spacing w:after="0" w:line="254" w:lineRule="auto"/>
        <w:rPr>
          <w:sz w:val="20"/>
          <w:szCs w:val="20"/>
          <w:color w:val="auto"/>
        </w:rPr>
      </w:pPr>
      <w:r>
        <w:rPr>
          <w:rFonts w:ascii="Arial" w:cs="Arial" w:eastAsia="Arial" w:hAnsi="Arial"/>
          <w:sz w:val="21"/>
          <w:szCs w:val="21"/>
          <w:b w:val="1"/>
          <w:bCs w:val="1"/>
          <w:color w:val="auto"/>
        </w:rPr>
        <w:t>2.1 License Grant</w:t>
      </w:r>
      <w:r>
        <w:rPr>
          <w:rFonts w:ascii="Arial" w:cs="Arial" w:eastAsia="Arial" w:hAnsi="Arial"/>
          <w:sz w:val="21"/>
          <w:szCs w:val="21"/>
          <w:color w:val="auto"/>
        </w:rPr>
        <w:t>. Subject to the terms and conditions of this Agreement, Licensor hereby grants Licensee an</w:t>
      </w:r>
      <w:r>
        <w:rPr>
          <w:rFonts w:ascii="Arial" w:cs="Arial" w:eastAsia="Arial" w:hAnsi="Arial"/>
          <w:sz w:val="21"/>
          <w:szCs w:val="21"/>
          <w:b w:val="1"/>
          <w:bCs w:val="1"/>
          <w:color w:val="auto"/>
        </w:rPr>
        <w:t xml:space="preserve"> </w:t>
      </w:r>
      <w:r>
        <w:rPr>
          <w:rFonts w:ascii="Arial" w:cs="Arial" w:eastAsia="Arial" w:hAnsi="Arial"/>
          <w:sz w:val="21"/>
          <w:szCs w:val="21"/>
          <w:color w:val="auto"/>
        </w:rPr>
        <w:t>exclusive (even as to Licensor and its Affiliates) and royalty-bearing license, with the right to grant sublicenses as provided in Section 2.2, under the Licensed Technology to research, Develop, make, have made, use, sell, offer for sale, have sold, import, and otherwise Commercialize the Compounds and Products in the Field in the Territory. [***].</w:t>
      </w:r>
    </w:p>
    <w:p>
      <w:pPr>
        <w:spacing w:after="0" w:line="166" w:lineRule="exact"/>
        <w:rPr>
          <w:sz w:val="20"/>
          <w:szCs w:val="20"/>
          <w:color w:val="auto"/>
        </w:rPr>
      </w:pPr>
    </w:p>
    <w:p>
      <w:pPr>
        <w:ind w:firstLine="551"/>
        <w:spacing w:after="0" w:line="289" w:lineRule="auto"/>
        <w:rPr>
          <w:sz w:val="20"/>
          <w:szCs w:val="20"/>
          <w:color w:val="auto"/>
        </w:rPr>
      </w:pPr>
      <w:r>
        <w:rPr>
          <w:rFonts w:ascii="Arial" w:cs="Arial" w:eastAsia="Arial" w:hAnsi="Arial"/>
          <w:sz w:val="19"/>
          <w:szCs w:val="19"/>
          <w:b w:val="1"/>
          <w:bCs w:val="1"/>
          <w:color w:val="auto"/>
        </w:rPr>
        <w:t>2.2 Sublicenses</w:t>
      </w:r>
      <w:r>
        <w:rPr>
          <w:rFonts w:ascii="Arial" w:cs="Arial" w:eastAsia="Arial" w:hAnsi="Arial"/>
          <w:sz w:val="19"/>
          <w:szCs w:val="19"/>
          <w:color w:val="auto"/>
        </w:rPr>
        <w:t>. Licensee shall have the right to grant sublicenses (through multiple tiers) to its Affiliates, contractors,</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Third Parties under its license in Section 2.1, provided that each sublicense shall be subject to and consistent with the terms and conditions under this Agreement and Licensee shall remain responsible for the performance of the obligations hereunder by each of its Sublicensees and for the acts and omissions of such Sublicensees. [***].</w:t>
      </w:r>
    </w:p>
    <w:p>
      <w:pPr>
        <w:spacing w:after="0" w:line="136"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Retained Rights</w:t>
      </w:r>
      <w:r>
        <w:rPr>
          <w:rFonts w:ascii="Arial" w:cs="Arial" w:eastAsia="Arial" w:hAnsi="Arial"/>
          <w:sz w:val="19"/>
          <w:szCs w:val="19"/>
          <w:color w:val="auto"/>
        </w:rPr>
        <w:t>. [***].</w:t>
      </w:r>
    </w:p>
    <w:p>
      <w:pPr>
        <w:spacing w:after="0" w:line="206" w:lineRule="exact"/>
        <w:rPr>
          <w:sz w:val="20"/>
          <w:szCs w:val="20"/>
          <w:color w:val="auto"/>
        </w:rPr>
      </w:pPr>
    </w:p>
    <w:p>
      <w:pPr>
        <w:ind w:right="320" w:firstLine="551"/>
        <w:spacing w:after="0" w:line="256" w:lineRule="auto"/>
        <w:rPr>
          <w:sz w:val="20"/>
          <w:szCs w:val="20"/>
          <w:color w:val="auto"/>
        </w:rPr>
      </w:pPr>
      <w:r>
        <w:rPr>
          <w:rFonts w:ascii="Arial" w:cs="Arial" w:eastAsia="Arial" w:hAnsi="Arial"/>
          <w:sz w:val="22"/>
          <w:szCs w:val="22"/>
          <w:b w:val="1"/>
          <w:bCs w:val="1"/>
          <w:color w:val="auto"/>
        </w:rPr>
        <w:t>2.4 No Implied License</w:t>
      </w:r>
      <w:r>
        <w:rPr>
          <w:rFonts w:ascii="Arial" w:cs="Arial" w:eastAsia="Arial" w:hAnsi="Arial"/>
          <w:sz w:val="22"/>
          <w:szCs w:val="22"/>
          <w:color w:val="auto"/>
        </w:rPr>
        <w:t>. Except as expressly set forth herein, neither Party shall acquire any license, right,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by implication or otherwise, under any intellectual property rights of the other Party.</w:t>
      </w:r>
    </w:p>
    <w:p>
      <w:pPr>
        <w:spacing w:after="0" w:line="162"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Technology Transfer</w:t>
      </w:r>
      <w:r>
        <w:rPr>
          <w:rFonts w:ascii="Arial" w:cs="Arial" w:eastAsia="Arial" w:hAnsi="Arial"/>
          <w:sz w:val="19"/>
          <w:szCs w:val="19"/>
          <w:color w:val="auto"/>
        </w:rPr>
        <w:t>. [***].</w:t>
      </w:r>
    </w:p>
    <w:p>
      <w:pPr>
        <w:spacing w:after="0" w:line="206"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Third Party Licenses</w:t>
      </w:r>
      <w:r>
        <w:rPr>
          <w:rFonts w:ascii="Arial" w:cs="Arial" w:eastAsia="Arial" w:hAnsi="Arial"/>
          <w:sz w:val="19"/>
          <w:szCs w:val="19"/>
          <w:color w:val="auto"/>
        </w:rPr>
        <w:t>. [***].</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GOVERNANCE</w:t>
      </w:r>
    </w:p>
    <w:p>
      <w:pPr>
        <w:spacing w:after="0" w:line="182" w:lineRule="exact"/>
        <w:rPr>
          <w:sz w:val="20"/>
          <w:szCs w:val="20"/>
          <w:color w:val="auto"/>
        </w:rPr>
      </w:pPr>
    </w:p>
    <w:p>
      <w:pPr>
        <w:ind w:firstLine="551"/>
        <w:spacing w:after="0" w:line="247" w:lineRule="auto"/>
        <w:rPr>
          <w:sz w:val="20"/>
          <w:szCs w:val="20"/>
          <w:color w:val="auto"/>
        </w:rPr>
      </w:pPr>
      <w:r>
        <w:rPr>
          <w:rFonts w:ascii="Arial" w:cs="Arial" w:eastAsia="Arial" w:hAnsi="Arial"/>
          <w:sz w:val="21"/>
          <w:szCs w:val="21"/>
          <w:b w:val="1"/>
          <w:bCs w:val="1"/>
          <w:color w:val="auto"/>
        </w:rPr>
        <w:t>3.1 Joint Steering Committee</w:t>
      </w:r>
      <w:r>
        <w:rPr>
          <w:rFonts w:ascii="Arial" w:cs="Arial" w:eastAsia="Arial" w:hAnsi="Arial"/>
          <w:sz w:val="21"/>
          <w:szCs w:val="21"/>
          <w:color w:val="auto"/>
        </w:rPr>
        <w:t>. Within thirty (30) days after the Effective Date, the Parties shall establish a joint</w:t>
      </w:r>
      <w:r>
        <w:rPr>
          <w:rFonts w:ascii="Arial" w:cs="Arial" w:eastAsia="Arial" w:hAnsi="Arial"/>
          <w:sz w:val="21"/>
          <w:szCs w:val="21"/>
          <w:b w:val="1"/>
          <w:bCs w:val="1"/>
          <w:color w:val="auto"/>
        </w:rPr>
        <w:t xml:space="preserve"> </w:t>
      </w:r>
      <w:r>
        <w:rPr>
          <w:rFonts w:ascii="Arial" w:cs="Arial" w:eastAsia="Arial" w:hAnsi="Arial"/>
          <w:sz w:val="21"/>
          <w:szCs w:val="21"/>
          <w:color w:val="auto"/>
        </w:rPr>
        <w:t>steering committee (the “</w:t>
      </w:r>
      <w:r>
        <w:rPr>
          <w:rFonts w:ascii="Arial" w:cs="Arial" w:eastAsia="Arial" w:hAnsi="Arial"/>
          <w:sz w:val="21"/>
          <w:szCs w:val="21"/>
          <w:b w:val="1"/>
          <w:bCs w:val="1"/>
          <w:color w:val="auto"/>
        </w:rPr>
        <w:t>Joint Steering Committee</w:t>
      </w:r>
      <w:r>
        <w:rPr>
          <w:rFonts w:ascii="Arial" w:cs="Arial" w:eastAsia="Arial" w:hAnsi="Arial"/>
          <w:sz w:val="21"/>
          <w:szCs w:val="21"/>
          <w:color w:val="auto"/>
        </w:rPr>
        <w:t>” or the “</w:t>
      </w:r>
      <w:r>
        <w:rPr>
          <w:rFonts w:ascii="Arial" w:cs="Arial" w:eastAsia="Arial" w:hAnsi="Arial"/>
          <w:sz w:val="21"/>
          <w:szCs w:val="21"/>
          <w:b w:val="1"/>
          <w:bCs w:val="1"/>
          <w:color w:val="auto"/>
        </w:rPr>
        <w:t>JSC</w:t>
      </w:r>
      <w:r>
        <w:rPr>
          <w:rFonts w:ascii="Arial" w:cs="Arial" w:eastAsia="Arial" w:hAnsi="Arial"/>
          <w:sz w:val="21"/>
          <w:szCs w:val="21"/>
          <w:color w:val="auto"/>
        </w:rPr>
        <w:t>”), composed of two (2) senior representatives of each Party, to provide a forum to (a) facilitate the technology transfer to be provided in Section 2.5, (b) provide updates on the status of the Development and Commercialization of the Compound and Product, and (c) generally oversee the Parties’ activities under this Agreement. For clarity, the JSC shall serve as an information exchange entity only and shall not have any decision making authority. Each Party retains all rights, powers, and discretion granted to it under this Agreement and no such rights, powers, or discretion shall be delegated to or vested in the JSC.</w:t>
      </w:r>
    </w:p>
    <w:p>
      <w:pPr>
        <w:spacing w:after="0" w:line="285"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JSC Membership and Meetings</w:t>
      </w:r>
      <w:r>
        <w:rPr>
          <w:rFonts w:ascii="Arial" w:cs="Arial" w:eastAsia="Arial" w:hAnsi="Arial"/>
          <w:sz w:val="19"/>
          <w:szCs w:val="19"/>
          <w:color w:val="auto"/>
        </w:rPr>
        <w:t>.</w:t>
      </w:r>
    </w:p>
    <w:p>
      <w:pPr>
        <w:spacing w:after="0" w:line="104" w:lineRule="exact"/>
        <w:rPr>
          <w:sz w:val="20"/>
          <w:szCs w:val="20"/>
          <w:color w:val="auto"/>
        </w:rPr>
      </w:pPr>
    </w:p>
    <w:p>
      <w:pPr>
        <w:ind w:right="100" w:firstLine="1208"/>
        <w:spacing w:after="0" w:line="274" w:lineRule="auto"/>
        <w:tabs>
          <w:tab w:leader="none" w:pos="1676" w:val="left"/>
        </w:tabs>
        <w:numPr>
          <w:ilvl w:val="0"/>
          <w:numId w:val="516"/>
        </w:numPr>
        <w:rPr>
          <w:rFonts w:ascii="Arial" w:cs="Arial" w:eastAsia="Arial" w:hAnsi="Arial"/>
          <w:sz w:val="21"/>
          <w:szCs w:val="21"/>
          <w:b w:val="1"/>
          <w:bCs w:val="1"/>
          <w:color w:val="auto"/>
        </w:rPr>
      </w:pPr>
      <w:r>
        <w:rPr>
          <w:rFonts w:ascii="Arial" w:cs="Arial" w:eastAsia="Arial" w:hAnsi="Arial"/>
          <w:sz w:val="21"/>
          <w:szCs w:val="21"/>
          <w:color w:val="auto"/>
        </w:rPr>
        <w:t>Within thirty (30) days following the Effective Date, each Party shall designate its initial members to serve on the JSC. Each Party may replace its representatives on the JSC on written notice to the other Party.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00"/>
          </w:cols>
          <w:pgMar w:left="440" w:top="266" w:right="459" w:bottom="1440" w:gutter="0" w:footer="0" w:header="0"/>
        </w:sectPr>
      </w:pPr>
    </w:p>
    <w:bookmarkStart w:id="480" w:name="page481"/>
    <w:bookmarkEnd w:id="480"/>
    <w:p>
      <w:pPr>
        <w:ind w:right="40" w:firstLine="1208"/>
        <w:spacing w:after="0" w:line="279" w:lineRule="auto"/>
        <w:tabs>
          <w:tab w:leader="none" w:pos="1688" w:val="left"/>
        </w:tabs>
        <w:numPr>
          <w:ilvl w:val="0"/>
          <w:numId w:val="517"/>
        </w:numPr>
        <w:rPr>
          <w:rFonts w:ascii="Arial" w:cs="Arial" w:eastAsia="Arial" w:hAnsi="Arial"/>
          <w:sz w:val="19"/>
          <w:szCs w:val="19"/>
          <w:b w:val="1"/>
          <w:bCs w:val="1"/>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JSC shall hold meetings at such times as it elects to do so, but in no event shall such meetings be held less frequently than once every Calendar Quarter during the first two (2) years after the Effective Date. Thereafter meetings shall be on a semi-annual basis ( provided that after the first Regulatory Approval of a Product in the Territory, such meetings need only be on an annual basis) or as otherwise agreed by the Parties. Meetings of the JSC may be held in person or by audio or video teleconference. In person JSC meetings shall be held at locations selected alternately by the Parties. Each Party shall be responsible for all of its own expenses of participating in the JSC.</w:t>
      </w:r>
    </w:p>
    <w:p>
      <w:pPr>
        <w:spacing w:after="0" w:line="150" w:lineRule="exact"/>
        <w:rPr>
          <w:rFonts w:ascii="Arial" w:cs="Arial" w:eastAsia="Arial" w:hAnsi="Arial"/>
          <w:sz w:val="19"/>
          <w:szCs w:val="19"/>
          <w:b w:val="1"/>
          <w:bCs w:val="1"/>
          <w:color w:val="auto"/>
        </w:rPr>
      </w:pPr>
    </w:p>
    <w:p>
      <w:pPr>
        <w:ind w:right="20" w:firstLine="1208"/>
        <w:spacing w:after="0" w:line="252" w:lineRule="auto"/>
        <w:tabs>
          <w:tab w:leader="none" w:pos="1667" w:val="left"/>
        </w:tabs>
        <w:numPr>
          <w:ilvl w:val="0"/>
          <w:numId w:val="517"/>
        </w:numPr>
        <w:rPr>
          <w:rFonts w:ascii="Arial" w:cs="Arial" w:eastAsia="Arial" w:hAnsi="Arial"/>
          <w:sz w:val="21"/>
          <w:szCs w:val="21"/>
          <w:b w:val="1"/>
          <w:bCs w:val="1"/>
          <w:color w:val="auto"/>
        </w:rPr>
      </w:pPr>
      <w:r>
        <w:rPr>
          <w:rFonts w:ascii="Arial" w:cs="Arial" w:eastAsia="Arial" w:hAnsi="Arial"/>
          <w:sz w:val="21"/>
          <w:szCs w:val="21"/>
          <w:color w:val="auto"/>
        </w:rPr>
        <w:t>Each Party may from time to time invite a reasonable number of participants, in addition to its JSC representatives, to attend the JSC meetings; provided that such participants shall be bound by confidentiality and non-use obligations consistent with the terms of this Agreement and that each Party shall provide prior written notice to the other Party if it has invited any Third Party (including any consultant) to attend such a meeting.</w:t>
      </w:r>
    </w:p>
    <w:p>
      <w:pPr>
        <w:spacing w:after="0" w:line="168" w:lineRule="exact"/>
        <w:rPr>
          <w:sz w:val="20"/>
          <w:szCs w:val="20"/>
          <w:color w:val="auto"/>
        </w:rPr>
      </w:pPr>
    </w:p>
    <w:p>
      <w:pPr>
        <w:ind w:firstLine="551"/>
        <w:spacing w:after="0" w:line="289" w:lineRule="auto"/>
        <w:rPr>
          <w:sz w:val="20"/>
          <w:szCs w:val="20"/>
          <w:color w:val="auto"/>
        </w:rPr>
      </w:pPr>
      <w:r>
        <w:rPr>
          <w:rFonts w:ascii="Arial" w:cs="Arial" w:eastAsia="Arial" w:hAnsi="Arial"/>
          <w:sz w:val="19"/>
          <w:szCs w:val="19"/>
          <w:b w:val="1"/>
          <w:bCs w:val="1"/>
          <w:color w:val="auto"/>
        </w:rPr>
        <w:t>3.3 Discontinuation of the JSC</w:t>
      </w:r>
      <w:r>
        <w:rPr>
          <w:rFonts w:ascii="Arial" w:cs="Arial" w:eastAsia="Arial" w:hAnsi="Arial"/>
          <w:sz w:val="19"/>
          <w:szCs w:val="19"/>
          <w:color w:val="auto"/>
        </w:rPr>
        <w:t>. The activities to be performed by the JSC shall solely relate to information exchange</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and are not intended to be or involve the delivery of services. The JSC shall continue to exist until the Parties mutually agree to disband the JSC. Upon such mutual agreement, the JSC shall automatically dissolve and, thereafter, each Party shall designate, to the extent necessary, a contact person for the exchange of information under this Agreement.</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DEVELOPMENT AND COMMERCIALIZATION</w:t>
      </w:r>
    </w:p>
    <w:p>
      <w:pPr>
        <w:spacing w:after="0" w:line="182" w:lineRule="exact"/>
        <w:rPr>
          <w:sz w:val="20"/>
          <w:szCs w:val="20"/>
          <w:color w:val="auto"/>
        </w:rPr>
      </w:pPr>
    </w:p>
    <w:p>
      <w:pPr>
        <w:ind w:right="380" w:firstLine="551"/>
        <w:spacing w:after="0" w:line="243" w:lineRule="auto"/>
        <w:rPr>
          <w:sz w:val="20"/>
          <w:szCs w:val="20"/>
          <w:color w:val="auto"/>
        </w:rPr>
      </w:pPr>
      <w:r>
        <w:rPr>
          <w:rFonts w:ascii="Arial" w:cs="Arial" w:eastAsia="Arial" w:hAnsi="Arial"/>
          <w:sz w:val="22"/>
          <w:szCs w:val="22"/>
          <w:b w:val="1"/>
          <w:bCs w:val="1"/>
          <w:color w:val="auto"/>
        </w:rPr>
        <w:t>4.1 General</w:t>
      </w:r>
      <w:r>
        <w:rPr>
          <w:rFonts w:ascii="Arial" w:cs="Arial" w:eastAsia="Arial" w:hAnsi="Arial"/>
          <w:sz w:val="22"/>
          <w:szCs w:val="22"/>
          <w:color w:val="auto"/>
        </w:rPr>
        <w:t>. Subject to the terms and conditions of this Agreement, Licensee shall be solely responsible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and Commercialization of the Product in the Field in the Territory, at Licensee’s own cost and expense.</w:t>
      </w:r>
    </w:p>
    <w:p>
      <w:pPr>
        <w:spacing w:after="0" w:line="177"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1"/>
          <w:szCs w:val="21"/>
          <w:b w:val="1"/>
          <w:bCs w:val="1"/>
          <w:color w:val="auto"/>
        </w:rPr>
        <w:t>Diligence</w:t>
      </w:r>
      <w:r>
        <w:rPr>
          <w:rFonts w:ascii="Arial" w:cs="Arial" w:eastAsia="Arial" w:hAnsi="Arial"/>
          <w:sz w:val="21"/>
          <w:szCs w:val="21"/>
          <w:color w:val="auto"/>
        </w:rPr>
        <w:t>. [***].</w:t>
      </w:r>
    </w:p>
    <w:p>
      <w:pPr>
        <w:spacing w:after="0" w:line="314"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Development</w:t>
      </w:r>
      <w:r>
        <w:rPr>
          <w:rFonts w:ascii="Arial" w:cs="Arial" w:eastAsia="Arial" w:hAnsi="Arial"/>
          <w:sz w:val="19"/>
          <w:szCs w:val="19"/>
          <w:color w:val="auto"/>
        </w:rPr>
        <w:t>.</w:t>
      </w:r>
    </w:p>
    <w:p>
      <w:pPr>
        <w:spacing w:after="0" w:line="98" w:lineRule="exact"/>
        <w:rPr>
          <w:sz w:val="20"/>
          <w:szCs w:val="20"/>
          <w:color w:val="auto"/>
        </w:rPr>
      </w:pPr>
    </w:p>
    <w:p>
      <w:pPr>
        <w:ind w:right="160" w:firstLine="1208"/>
        <w:spacing w:after="0" w:line="260" w:lineRule="auto"/>
        <w:tabs>
          <w:tab w:leader="none" w:pos="1679" w:val="left"/>
        </w:tabs>
        <w:numPr>
          <w:ilvl w:val="0"/>
          <w:numId w:val="518"/>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Licensee (either itself or through its Affiliates and Sublicensees) shall be responsible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of the Compound and the Products in the Field in the Territory, including by conducting all pre-clinical studies and all clinical trials of the Product in the Field in the Territory, at Licensee’s own cost and expense.</w:t>
      </w:r>
    </w:p>
    <w:p>
      <w:pPr>
        <w:spacing w:after="0" w:line="160" w:lineRule="exact"/>
        <w:rPr>
          <w:rFonts w:ascii="Arial" w:cs="Arial" w:eastAsia="Arial" w:hAnsi="Arial"/>
          <w:sz w:val="21"/>
          <w:szCs w:val="21"/>
          <w:b w:val="1"/>
          <w:bCs w:val="1"/>
          <w:color w:val="auto"/>
        </w:rPr>
      </w:pPr>
    </w:p>
    <w:p>
      <w:pPr>
        <w:ind w:right="80" w:firstLine="1208"/>
        <w:spacing w:after="0" w:line="289" w:lineRule="auto"/>
        <w:tabs>
          <w:tab w:leader="none" w:pos="1692" w:val="left"/>
        </w:tabs>
        <w:numPr>
          <w:ilvl w:val="0"/>
          <w:numId w:val="518"/>
        </w:numPr>
        <w:rPr>
          <w:rFonts w:ascii="Arial" w:cs="Arial" w:eastAsia="Arial" w:hAnsi="Arial"/>
          <w:sz w:val="19"/>
          <w:szCs w:val="19"/>
          <w:b w:val="1"/>
          <w:bCs w:val="1"/>
          <w:color w:val="auto"/>
        </w:rPr>
      </w:pPr>
      <w:r>
        <w:rPr>
          <w:rFonts w:ascii="Arial" w:cs="Arial" w:eastAsia="Arial" w:hAnsi="Arial"/>
          <w:sz w:val="19"/>
          <w:szCs w:val="19"/>
          <w:b w:val="1"/>
          <w:bCs w:val="1"/>
          <w:color w:val="auto"/>
        </w:rPr>
        <w:t>Reporting</w:t>
      </w:r>
      <w:r>
        <w:rPr>
          <w:rFonts w:ascii="Arial" w:cs="Arial" w:eastAsia="Arial" w:hAnsi="Arial"/>
          <w:sz w:val="19"/>
          <w:szCs w:val="19"/>
          <w:color w:val="auto"/>
        </w:rPr>
        <w:t>. Within [***] after the end of each Calendar Year, Licensee shall provide the JSC with a report</w:t>
      </w:r>
      <w:r>
        <w:rPr>
          <w:rFonts w:ascii="Arial" w:cs="Arial" w:eastAsia="Arial" w:hAnsi="Arial"/>
          <w:sz w:val="19"/>
          <w:szCs w:val="19"/>
          <w:b w:val="1"/>
          <w:bCs w:val="1"/>
          <w:color w:val="auto"/>
        </w:rPr>
        <w:t xml:space="preserve"> </w:t>
      </w:r>
      <w:r>
        <w:rPr>
          <w:rFonts w:ascii="Arial" w:cs="Arial" w:eastAsia="Arial" w:hAnsi="Arial"/>
          <w:sz w:val="19"/>
          <w:szCs w:val="19"/>
          <w:color w:val="auto"/>
        </w:rPr>
        <w:t>summarizing its Development and Commercialization activities in respect of the Product in the Field in the Territory in the previous Calendar Year and a summary of its plans for the Development and Commercialization of the Product in the then-current Calendar Year. The Parties shall review and discuss such report at the JSC meetings.</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40"/>
          </w:cols>
          <w:pgMar w:left="440" w:top="266" w:right="519" w:bottom="1440" w:gutter="0" w:footer="0" w:header="0"/>
        </w:sectPr>
      </w:pPr>
    </w:p>
    <w:bookmarkStart w:id="481" w:name="page482"/>
    <w:bookmarkEnd w:id="481"/>
    <w:p>
      <w:pPr>
        <w:ind w:left="544"/>
        <w:spacing w:after="0"/>
        <w:tabs>
          <w:tab w:leader="none" w:pos="1024"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w:t>
      </w:r>
      <w:r>
        <w:rPr>
          <w:sz w:val="20"/>
          <w:szCs w:val="20"/>
          <w:color w:val="auto"/>
        </w:rPr>
        <w:tab/>
      </w:r>
      <w:r>
        <w:rPr>
          <w:rFonts w:ascii="Arial" w:cs="Arial" w:eastAsia="Arial" w:hAnsi="Arial"/>
          <w:sz w:val="19"/>
          <w:szCs w:val="19"/>
          <w:b w:val="1"/>
          <w:bCs w:val="1"/>
          <w:color w:val="auto"/>
        </w:rPr>
        <w:t>Regulatory</w:t>
      </w:r>
      <w:r>
        <w:rPr>
          <w:rFonts w:ascii="Arial" w:cs="Arial" w:eastAsia="Arial" w:hAnsi="Arial"/>
          <w:sz w:val="19"/>
          <w:szCs w:val="19"/>
          <w:color w:val="auto"/>
        </w:rPr>
        <w:t>.</w:t>
      </w:r>
    </w:p>
    <w:p>
      <w:pPr>
        <w:spacing w:after="0" w:line="98" w:lineRule="exact"/>
        <w:rPr>
          <w:sz w:val="20"/>
          <w:szCs w:val="20"/>
          <w:color w:val="auto"/>
        </w:rPr>
      </w:pPr>
    </w:p>
    <w:p>
      <w:pPr>
        <w:ind w:left="4" w:right="80" w:firstLine="1208"/>
        <w:spacing w:after="0" w:line="236" w:lineRule="auto"/>
        <w:tabs>
          <w:tab w:leader="none" w:pos="1683" w:val="left"/>
        </w:tabs>
        <w:numPr>
          <w:ilvl w:val="0"/>
          <w:numId w:val="519"/>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Licensee shall have the sole right to prepare, obtain, and maintain (as applicable) MAAs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setting of the overall regulatory strategy therefor), Regulatory Approvals, and Regulatory Materials, and to conduct communications with the applicable Regulatory Authorities, for the Products (which shall include filings of or with respect to INDs, MAAs, and other filings or communications with the applicable Regulatory Authorities in the Territory). At Licensee’s reasonable request and expense, Licensor shall assist Licensee in connection with the preparation and filing of any such Regulatory Materials.</w:t>
      </w:r>
    </w:p>
    <w:p>
      <w:pPr>
        <w:spacing w:after="0" w:line="181" w:lineRule="exact"/>
        <w:rPr>
          <w:rFonts w:ascii="Arial" w:cs="Arial" w:eastAsia="Arial" w:hAnsi="Arial"/>
          <w:sz w:val="22"/>
          <w:szCs w:val="22"/>
          <w:b w:val="1"/>
          <w:bCs w:val="1"/>
          <w:color w:val="auto"/>
        </w:rPr>
      </w:pPr>
    </w:p>
    <w:p>
      <w:pPr>
        <w:ind w:left="1684" w:hanging="472"/>
        <w:spacing w:after="0"/>
        <w:tabs>
          <w:tab w:leader="none" w:pos="1684" w:val="left"/>
        </w:tabs>
        <w:numPr>
          <w:ilvl w:val="0"/>
          <w:numId w:val="519"/>
        </w:numPr>
        <w:rPr>
          <w:rFonts w:ascii="Arial" w:cs="Arial" w:eastAsia="Arial" w:hAnsi="Arial"/>
          <w:sz w:val="22"/>
          <w:szCs w:val="22"/>
          <w:b w:val="1"/>
          <w:bCs w:val="1"/>
          <w:color w:val="auto"/>
        </w:rPr>
      </w:pPr>
      <w:r>
        <w:rPr>
          <w:rFonts w:ascii="Arial" w:cs="Arial" w:eastAsia="Arial" w:hAnsi="Arial"/>
          <w:sz w:val="22"/>
          <w:szCs w:val="22"/>
          <w:b w:val="1"/>
          <w:bCs w:val="1"/>
          <w:color w:val="auto"/>
        </w:rPr>
        <w:t>Transfer and Right of Reference; Investigator IND</w:t>
      </w:r>
      <w:r>
        <w:rPr>
          <w:rFonts w:ascii="Arial" w:cs="Arial" w:eastAsia="Arial" w:hAnsi="Arial"/>
          <w:sz w:val="22"/>
          <w:szCs w:val="22"/>
          <w:color w:val="auto"/>
        </w:rPr>
        <w:t>. [***].</w:t>
      </w:r>
    </w:p>
    <w:p>
      <w:pPr>
        <w:spacing w:after="0" w:line="323"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Manufacture and Supply.</w:t>
      </w:r>
    </w:p>
    <w:p>
      <w:pPr>
        <w:spacing w:after="0" w:line="114" w:lineRule="exact"/>
        <w:rPr>
          <w:sz w:val="20"/>
          <w:szCs w:val="20"/>
          <w:color w:val="auto"/>
        </w:rPr>
      </w:pPr>
    </w:p>
    <w:p>
      <w:pPr>
        <w:ind w:left="1684" w:hanging="472"/>
        <w:spacing w:after="0"/>
        <w:tabs>
          <w:tab w:leader="none" w:pos="1684" w:val="left"/>
        </w:tabs>
        <w:numPr>
          <w:ilvl w:val="0"/>
          <w:numId w:val="52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4" w:firstLine="1208"/>
        <w:spacing w:after="0" w:line="282" w:lineRule="auto"/>
        <w:tabs>
          <w:tab w:leader="none" w:pos="1696" w:val="left"/>
        </w:tabs>
        <w:numPr>
          <w:ilvl w:val="0"/>
          <w:numId w:val="520"/>
        </w:numPr>
        <w:rPr>
          <w:rFonts w:ascii="Arial" w:cs="Arial" w:eastAsia="Arial" w:hAnsi="Arial"/>
          <w:sz w:val="19"/>
          <w:szCs w:val="19"/>
          <w:b w:val="1"/>
          <w:bCs w:val="1"/>
          <w:color w:val="auto"/>
        </w:rPr>
      </w:pPr>
      <w:r>
        <w:rPr>
          <w:rFonts w:ascii="Arial" w:cs="Arial" w:eastAsia="Arial" w:hAnsi="Arial"/>
          <w:sz w:val="19"/>
          <w:szCs w:val="19"/>
          <w:color w:val="auto"/>
        </w:rPr>
        <w:t>Except for the Existing Inventory provided by Licensor under Section 4.5(a) above, Licensee shall manufacture and supply the Compounds or Products itself or through its contract manufacturer. Upon Licensee’s request, Licensor shall make available to Licensee all Licensed Know-How related to the manufacture of the Compound and Product, and shall, through its employees, consultants, and contractors, as appropriate, provide Licensee or its designee with reasonable technical assistance related to the manufacture of the Compound and Product in accordance with Section 2.5.</w:t>
      </w:r>
    </w:p>
    <w:p>
      <w:pPr>
        <w:spacing w:after="0" w:line="141" w:lineRule="exact"/>
        <w:rPr>
          <w:rFonts w:ascii="Arial" w:cs="Arial" w:eastAsia="Arial" w:hAnsi="Arial"/>
          <w:sz w:val="19"/>
          <w:szCs w:val="19"/>
          <w:b w:val="1"/>
          <w:bCs w:val="1"/>
          <w:color w:val="auto"/>
        </w:rPr>
      </w:pPr>
    </w:p>
    <w:p>
      <w:pPr>
        <w:ind w:left="1664" w:hanging="452"/>
        <w:spacing w:after="0"/>
        <w:tabs>
          <w:tab w:leader="none" w:pos="1664" w:val="left"/>
        </w:tabs>
        <w:numPr>
          <w:ilvl w:val="0"/>
          <w:numId w:val="520"/>
        </w:numPr>
        <w:rPr>
          <w:rFonts w:ascii="Arial" w:cs="Arial" w:eastAsia="Arial" w:hAnsi="Arial"/>
          <w:sz w:val="22"/>
          <w:szCs w:val="22"/>
          <w:b w:val="1"/>
          <w:bCs w:val="1"/>
          <w:color w:val="auto"/>
        </w:rPr>
      </w:pPr>
      <w:r>
        <w:rPr>
          <w:rFonts w:ascii="Arial" w:cs="Arial" w:eastAsia="Arial" w:hAnsi="Arial"/>
          <w:sz w:val="22"/>
          <w:szCs w:val="22"/>
          <w:b w:val="1"/>
          <w:bCs w:val="1"/>
          <w:color w:val="auto"/>
        </w:rPr>
        <w:t>Master Cell Bank</w:t>
      </w:r>
      <w:r>
        <w:rPr>
          <w:rFonts w:ascii="Arial" w:cs="Arial" w:eastAsia="Arial" w:hAnsi="Arial"/>
          <w:sz w:val="22"/>
          <w:szCs w:val="22"/>
          <w:color w:val="auto"/>
        </w:rPr>
        <w:t>. [***].</w:t>
      </w:r>
    </w:p>
    <w:p>
      <w:pPr>
        <w:spacing w:after="0" w:line="206" w:lineRule="exact"/>
        <w:rPr>
          <w:sz w:val="20"/>
          <w:szCs w:val="20"/>
          <w:color w:val="auto"/>
        </w:rPr>
      </w:pPr>
    </w:p>
    <w:p>
      <w:pPr>
        <w:ind w:left="4" w:right="20" w:firstLine="551"/>
        <w:spacing w:after="0" w:line="280" w:lineRule="auto"/>
        <w:rPr>
          <w:sz w:val="20"/>
          <w:szCs w:val="20"/>
          <w:color w:val="auto"/>
        </w:rPr>
      </w:pPr>
      <w:r>
        <w:rPr>
          <w:rFonts w:ascii="Arial" w:cs="Arial" w:eastAsia="Arial" w:hAnsi="Arial"/>
          <w:sz w:val="19"/>
          <w:szCs w:val="19"/>
          <w:b w:val="1"/>
          <w:bCs w:val="1"/>
          <w:color w:val="auto"/>
        </w:rPr>
        <w:t>4.6 Commercialization</w:t>
      </w:r>
      <w:r>
        <w:rPr>
          <w:rFonts w:ascii="Arial" w:cs="Arial" w:eastAsia="Arial" w:hAnsi="Arial"/>
          <w:sz w:val="19"/>
          <w:szCs w:val="19"/>
          <w:color w:val="auto"/>
        </w:rPr>
        <w:t>. Licensee (itself or through its Affiliates and Sublicensees) shall be responsible for all aspects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Commercialization of the Products in the Field in the Territory, at Licensee’s own cost and expense, including:</w:t>
      </w:r>
    </w:p>
    <w:p>
      <w:pPr>
        <w:ind w:left="4" w:right="300" w:hanging="4"/>
        <w:spacing w:after="0" w:line="233" w:lineRule="auto"/>
        <w:tabs>
          <w:tab w:leader="none" w:pos="298" w:val="left"/>
        </w:tabs>
        <w:numPr>
          <w:ilvl w:val="0"/>
          <w:numId w:val="521"/>
        </w:numPr>
        <w:rPr>
          <w:rFonts w:ascii="Arial" w:cs="Arial" w:eastAsia="Arial" w:hAnsi="Arial"/>
          <w:sz w:val="22"/>
          <w:szCs w:val="22"/>
          <w:color w:val="auto"/>
        </w:rPr>
      </w:pPr>
      <w:r>
        <w:rPr>
          <w:rFonts w:ascii="Arial" w:cs="Arial" w:eastAsia="Arial" w:hAnsi="Arial"/>
          <w:sz w:val="22"/>
          <w:szCs w:val="22"/>
          <w:color w:val="auto"/>
        </w:rPr>
        <w:t>developing and executing a commercial launch and pre-launch plan, (b) negotiating with applicable Governmental Authorities regarding the price and reimbursement status of the Product; (c) marketing and promotion; (d) booking sales, distributing Product and performing related services; (e) handling all aspects of order processing, invoicing, and collection, inventory and receivables; and (f) providing customer support, including handling medical queries, and performing other related functions.</w:t>
      </w:r>
    </w:p>
    <w:p>
      <w:pPr>
        <w:spacing w:after="0" w:line="395" w:lineRule="exact"/>
        <w:rPr>
          <w:sz w:val="20"/>
          <w:szCs w:val="20"/>
          <w:color w:val="auto"/>
        </w:rPr>
      </w:pPr>
    </w:p>
    <w:p>
      <w:pPr>
        <w:ind w:left="4944"/>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4924"/>
        <w:spacing w:after="0"/>
        <w:rPr>
          <w:sz w:val="20"/>
          <w:szCs w:val="20"/>
          <w:color w:val="auto"/>
        </w:rPr>
      </w:pPr>
      <w:r>
        <w:rPr>
          <w:rFonts w:ascii="Arial" w:cs="Arial" w:eastAsia="Arial" w:hAnsi="Arial"/>
          <w:sz w:val="22"/>
          <w:szCs w:val="22"/>
          <w:b w:val="1"/>
          <w:bCs w:val="1"/>
          <w:color w:val="auto"/>
        </w:rPr>
        <w:t>PAYMENTS</w:t>
      </w:r>
    </w:p>
    <w:p>
      <w:pPr>
        <w:spacing w:after="0" w:line="182" w:lineRule="exact"/>
        <w:rPr>
          <w:sz w:val="20"/>
          <w:szCs w:val="20"/>
          <w:color w:val="auto"/>
        </w:rPr>
      </w:pPr>
    </w:p>
    <w:p>
      <w:pPr>
        <w:ind w:left="544"/>
        <w:spacing w:after="0"/>
        <w:tabs>
          <w:tab w:leader="none" w:pos="1024"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1"/>
          <w:szCs w:val="21"/>
          <w:b w:val="1"/>
          <w:bCs w:val="1"/>
          <w:color w:val="auto"/>
        </w:rPr>
        <w:t>Upfront Payment</w:t>
      </w:r>
      <w:r>
        <w:rPr>
          <w:rFonts w:ascii="Arial" w:cs="Arial" w:eastAsia="Arial" w:hAnsi="Arial"/>
          <w:sz w:val="21"/>
          <w:szCs w:val="21"/>
          <w:color w:val="auto"/>
        </w:rPr>
        <w:t>. [***].</w:t>
      </w:r>
    </w:p>
    <w:p>
      <w:pPr>
        <w:spacing w:after="0" w:line="314" w:lineRule="exact"/>
        <w:rPr>
          <w:sz w:val="20"/>
          <w:szCs w:val="20"/>
          <w:color w:val="auto"/>
        </w:rPr>
      </w:pPr>
    </w:p>
    <w:p>
      <w:pPr>
        <w:ind w:left="544"/>
        <w:spacing w:after="0"/>
        <w:tabs>
          <w:tab w:leader="none" w:pos="1024"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Clone Expansion Financials</w:t>
      </w:r>
      <w:r>
        <w:rPr>
          <w:rFonts w:ascii="Arial" w:cs="Arial" w:eastAsia="Arial" w:hAnsi="Arial"/>
          <w:sz w:val="19"/>
          <w:szCs w:val="19"/>
          <w:color w:val="auto"/>
        </w:rPr>
        <w:t>.</w:t>
      </w:r>
    </w:p>
    <w:p>
      <w:pPr>
        <w:spacing w:after="0" w:line="98" w:lineRule="exact"/>
        <w:rPr>
          <w:sz w:val="20"/>
          <w:szCs w:val="20"/>
          <w:color w:val="auto"/>
        </w:rPr>
      </w:pPr>
    </w:p>
    <w:p>
      <w:pPr>
        <w:ind w:left="1684" w:hanging="472"/>
        <w:spacing w:after="0"/>
        <w:tabs>
          <w:tab w:leader="none" w:pos="1684" w:val="left"/>
        </w:tabs>
        <w:numPr>
          <w:ilvl w:val="0"/>
          <w:numId w:val="522"/>
        </w:numPr>
        <w:rPr>
          <w:rFonts w:ascii="Arial" w:cs="Arial" w:eastAsia="Arial" w:hAnsi="Arial"/>
          <w:sz w:val="22"/>
          <w:szCs w:val="22"/>
          <w:b w:val="1"/>
          <w:bCs w:val="1"/>
          <w:color w:val="auto"/>
        </w:rPr>
      </w:pPr>
      <w:r>
        <w:rPr>
          <w:rFonts w:ascii="Arial" w:cs="Arial" w:eastAsia="Arial" w:hAnsi="Arial"/>
          <w:sz w:val="22"/>
          <w:szCs w:val="22"/>
          <w:b w:val="1"/>
          <w:bCs w:val="1"/>
          <w:color w:val="auto"/>
        </w:rPr>
        <w:t>Clone Expansion Milestone Payment</w:t>
      </w:r>
      <w:r>
        <w:rPr>
          <w:rFonts w:ascii="Arial" w:cs="Arial" w:eastAsia="Arial" w:hAnsi="Arial"/>
          <w:sz w:val="22"/>
          <w:szCs w:val="22"/>
          <w:color w:val="auto"/>
        </w:rPr>
        <w:t>. [***].</w:t>
      </w:r>
    </w:p>
    <w:p>
      <w:pPr>
        <w:spacing w:after="0" w:line="212" w:lineRule="exact"/>
        <w:rPr>
          <w:rFonts w:ascii="Arial" w:cs="Arial" w:eastAsia="Arial" w:hAnsi="Arial"/>
          <w:sz w:val="22"/>
          <w:szCs w:val="22"/>
          <w:b w:val="1"/>
          <w:bCs w:val="1"/>
          <w:color w:val="auto"/>
        </w:rPr>
      </w:pPr>
    </w:p>
    <w:p>
      <w:pPr>
        <w:ind w:left="1684" w:hanging="472"/>
        <w:spacing w:after="0"/>
        <w:tabs>
          <w:tab w:leader="none" w:pos="1684" w:val="left"/>
        </w:tabs>
        <w:numPr>
          <w:ilvl w:val="0"/>
          <w:numId w:val="52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308" w:lineRule="exact"/>
        <w:rPr>
          <w:sz w:val="20"/>
          <w:szCs w:val="20"/>
          <w:color w:val="auto"/>
        </w:rPr>
      </w:pPr>
    </w:p>
    <w:p>
      <w:pPr>
        <w:ind w:left="544"/>
        <w:spacing w:after="0"/>
        <w:tabs>
          <w:tab w:leader="none" w:pos="1024"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Development Milestone Payments</w:t>
      </w:r>
      <w:r>
        <w:rPr>
          <w:rFonts w:ascii="Arial" w:cs="Arial" w:eastAsia="Arial" w:hAnsi="Arial"/>
          <w:sz w:val="19"/>
          <w:szCs w:val="19"/>
          <w:color w:val="auto"/>
        </w:rPr>
        <w:t>.</w:t>
      </w:r>
    </w:p>
    <w:p>
      <w:pPr>
        <w:spacing w:after="0" w:line="98" w:lineRule="exact"/>
        <w:rPr>
          <w:sz w:val="20"/>
          <w:szCs w:val="20"/>
          <w:color w:val="auto"/>
        </w:rPr>
      </w:pPr>
    </w:p>
    <w:p>
      <w:pPr>
        <w:ind w:left="4" w:right="120" w:firstLine="1208"/>
        <w:spacing w:after="0" w:line="239" w:lineRule="auto"/>
        <w:tabs>
          <w:tab w:leader="none" w:pos="1683" w:val="left"/>
        </w:tabs>
        <w:numPr>
          <w:ilvl w:val="0"/>
          <w:numId w:val="523"/>
        </w:numPr>
        <w:rPr>
          <w:rFonts w:ascii="Arial" w:cs="Arial" w:eastAsia="Arial" w:hAnsi="Arial"/>
          <w:sz w:val="22"/>
          <w:szCs w:val="22"/>
          <w:b w:val="1"/>
          <w:bCs w:val="1"/>
          <w:color w:val="auto"/>
        </w:rPr>
      </w:pPr>
      <w:r>
        <w:rPr>
          <w:rFonts w:ascii="Arial" w:cs="Arial" w:eastAsia="Arial" w:hAnsi="Arial"/>
          <w:sz w:val="22"/>
          <w:szCs w:val="22"/>
          <w:b w:val="1"/>
          <w:bCs w:val="1"/>
          <w:color w:val="auto"/>
        </w:rPr>
        <w:t>Milestone Events</w:t>
      </w:r>
      <w:r>
        <w:rPr>
          <w:rFonts w:ascii="Arial" w:cs="Arial" w:eastAsia="Arial" w:hAnsi="Arial"/>
          <w:sz w:val="22"/>
          <w:szCs w:val="22"/>
          <w:color w:val="auto"/>
        </w:rPr>
        <w:t>. Subject to the remainder of this Section 5.3 and also Sections 5.2(b), 5.6, and 5.7,</w:t>
      </w:r>
      <w:r>
        <w:rPr>
          <w:rFonts w:ascii="Arial" w:cs="Arial" w:eastAsia="Arial" w:hAnsi="Arial"/>
          <w:sz w:val="22"/>
          <w:szCs w:val="22"/>
          <w:b w:val="1"/>
          <w:bCs w:val="1"/>
          <w:color w:val="auto"/>
        </w:rPr>
        <w:t xml:space="preserve"> </w:t>
      </w:r>
      <w:r>
        <w:rPr>
          <w:rFonts w:ascii="Arial" w:cs="Arial" w:eastAsia="Arial" w:hAnsi="Arial"/>
          <w:sz w:val="22"/>
          <w:szCs w:val="22"/>
          <w:color w:val="auto"/>
        </w:rPr>
        <w:t>Licensee shall pay to Licensor the following one-time, non-refundable development milestone payments set forth in the table below upon the first achievement of the corresponding milestone event by Licensee, its Affiliates, or its Sublicensees. The payments</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944"/>
          </w:cols>
          <w:pgMar w:left="436" w:top="260" w:right="519" w:bottom="1440" w:gutter="0" w:footer="0" w:header="0"/>
        </w:sectPr>
      </w:pPr>
    </w:p>
    <w:bookmarkStart w:id="482" w:name="page483"/>
    <w:bookmarkEnd w:id="482"/>
    <w:p>
      <w:pPr>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 forth in Section A of the table below shall become due upon the first achievement of such milestone for a Product for the first Indication for which such milestone is achieved. The payments set forth in Section B of the table below shall become due upon the first achievement of such milestone for a Product for a second Indication that is distinct from the first Indication for which such milestone was achieved and the milestone payment was made pursuant to Section A of the table below (such distinct second Indication, the “</w:t>
      </w:r>
      <w:r>
        <w:rPr>
          <w:rFonts w:ascii="Arial" w:cs="Arial" w:eastAsia="Arial" w:hAnsi="Arial"/>
          <w:sz w:val="21"/>
          <w:szCs w:val="21"/>
          <w:b w:val="1"/>
          <w:bCs w:val="1"/>
          <w:color w:val="auto"/>
        </w:rPr>
        <w:t>Second Indication</w:t>
      </w:r>
      <w:r>
        <w:rPr>
          <w:rFonts w:ascii="Arial" w:cs="Arial" w:eastAsia="Arial" w:hAnsi="Arial"/>
          <w:sz w:val="21"/>
          <w:szCs w:val="21"/>
          <w:color w:val="auto"/>
        </w:rPr>
        <w:t>”).</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 Development Milestone Events for First Indication</w:t>
            </w:r>
          </w:p>
        </w:tc>
        <w:tc>
          <w:tcPr>
            <w:tcW w:w="4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Milestone</w:t>
            </w:r>
          </w:p>
        </w:tc>
        <w:tc>
          <w:tcPr>
            <w:tcW w:w="0" w:type="dxa"/>
            <w:vAlign w:val="bottom"/>
          </w:tcPr>
          <w:p>
            <w:pPr>
              <w:spacing w:after="0"/>
              <w:rPr>
                <w:sz w:val="1"/>
                <w:szCs w:val="1"/>
                <w:color w:val="auto"/>
              </w:rPr>
            </w:pPr>
          </w:p>
        </w:tc>
      </w:tr>
      <w:tr>
        <w:trPr>
          <w:trHeight w:val="178"/>
        </w:trPr>
        <w:tc>
          <w:tcPr>
            <w:tcW w:w="3660" w:type="dxa"/>
            <w:vAlign w:val="bottom"/>
            <w:gridSpan w:val="2"/>
            <w:vMerge w:val="continue"/>
          </w:tcPr>
          <w:p>
            <w:pPr>
              <w:spacing w:after="0"/>
              <w:rPr>
                <w:sz w:val="15"/>
                <w:szCs w:val="15"/>
                <w:color w:val="auto"/>
              </w:rPr>
            </w:pPr>
          </w:p>
        </w:tc>
        <w:tc>
          <w:tcPr>
            <w:tcW w:w="410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95"/>
        </w:trPr>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3300" w:type="dxa"/>
            <w:vAlign w:val="bottom"/>
          </w:tcPr>
          <w:p>
            <w:pPr>
              <w:ind w:left="44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4700" w:type="dxa"/>
            <w:vAlign w:val="bottom"/>
            <w:gridSpan w:val="2"/>
          </w:tcPr>
          <w:p>
            <w:pPr>
              <w:jc w:val="center"/>
              <w:ind w:left="402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2"/>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B. Development Milestone Events for the Second Indication</w:t>
            </w:r>
          </w:p>
        </w:tc>
        <w:tc>
          <w:tcPr>
            <w:tcW w:w="4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Milestone</w:t>
            </w:r>
          </w:p>
        </w:tc>
        <w:tc>
          <w:tcPr>
            <w:tcW w:w="0" w:type="dxa"/>
            <w:vAlign w:val="bottom"/>
          </w:tcPr>
          <w:p>
            <w:pPr>
              <w:spacing w:after="0"/>
              <w:rPr>
                <w:sz w:val="1"/>
                <w:szCs w:val="1"/>
                <w:color w:val="auto"/>
              </w:rPr>
            </w:pPr>
          </w:p>
        </w:tc>
      </w:tr>
      <w:tr>
        <w:trPr>
          <w:trHeight w:val="178"/>
        </w:trPr>
        <w:tc>
          <w:tcPr>
            <w:tcW w:w="3660" w:type="dxa"/>
            <w:vAlign w:val="bottom"/>
            <w:tcBorders>
              <w:bottom w:val="single" w:sz="8" w:color="auto"/>
            </w:tcBorders>
            <w:gridSpan w:val="2"/>
            <w:vMerge w:val="continue"/>
          </w:tcPr>
          <w:p>
            <w:pPr>
              <w:spacing w:after="0"/>
              <w:rPr>
                <w:sz w:val="15"/>
                <w:szCs w:val="15"/>
                <w:color w:val="auto"/>
              </w:rPr>
            </w:pPr>
          </w:p>
        </w:tc>
        <w:tc>
          <w:tcPr>
            <w:tcW w:w="4100" w:type="dxa"/>
            <w:vAlign w:val="bottom"/>
          </w:tcPr>
          <w:p>
            <w:pPr>
              <w:spacing w:after="0"/>
              <w:rPr>
                <w:sz w:val="15"/>
                <w:szCs w:val="15"/>
                <w:color w:val="auto"/>
              </w:rPr>
            </w:pPr>
          </w:p>
        </w:tc>
        <w:tc>
          <w:tcPr>
            <w:tcW w:w="6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95"/>
        </w:trPr>
        <w:tc>
          <w:tcPr>
            <w:tcW w:w="3300" w:type="dxa"/>
            <w:vAlign w:val="bottom"/>
          </w:tcPr>
          <w:p>
            <w:pPr>
              <w:spacing w:after="0" w:line="195"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60" w:type="dxa"/>
            <w:vAlign w:val="bottom"/>
          </w:tcPr>
          <w:p>
            <w:pPr>
              <w:spacing w:after="0"/>
              <w:rPr>
                <w:sz w:val="21"/>
                <w:szCs w:val="21"/>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3"/>
                <w:szCs w:val="23"/>
                <w:color w:val="auto"/>
              </w:rPr>
            </w:pPr>
          </w:p>
        </w:tc>
        <w:tc>
          <w:tcPr>
            <w:tcW w:w="4700" w:type="dxa"/>
            <w:vAlign w:val="bottom"/>
            <w:gridSpan w:val="2"/>
          </w:tcPr>
          <w:p>
            <w:pPr>
              <w:ind w:lef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jc w:val="right"/>
              <w:ind w:right="3389"/>
              <w:spacing w:after="0"/>
              <w:rPr>
                <w:sz w:val="20"/>
                <w:szCs w:val="20"/>
                <w:color w:val="auto"/>
              </w:rPr>
            </w:pPr>
            <w:r>
              <w:rPr>
                <w:rFonts w:ascii="Arial" w:cs="Arial" w:eastAsia="Arial" w:hAnsi="Arial"/>
                <w:sz w:val="22"/>
                <w:szCs w:val="22"/>
                <w:color w:val="auto"/>
              </w:rPr>
              <w:t>11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483" w:name="page484"/>
    <w:bookmarkEnd w:id="483"/>
    <w:p>
      <w:pPr>
        <w:ind w:left="1680" w:hanging="472"/>
        <w:spacing w:after="0"/>
        <w:tabs>
          <w:tab w:leader="none" w:pos="1680" w:val="left"/>
        </w:tabs>
        <w:numPr>
          <w:ilvl w:val="0"/>
          <w:numId w:val="524"/>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Milestone Conditions</w:t>
      </w:r>
      <w:r>
        <w:rPr>
          <w:rFonts w:ascii="Arial" w:cs="Arial" w:eastAsia="Arial" w:hAnsi="Arial"/>
          <w:sz w:val="22"/>
          <w:szCs w:val="22"/>
          <w:color w:val="auto"/>
        </w:rPr>
        <w:t>.</w:t>
      </w:r>
    </w:p>
    <w:p>
      <w:pPr>
        <w:spacing w:after="0" w:line="104" w:lineRule="exact"/>
        <w:rPr>
          <w:rFonts w:ascii="Arial" w:cs="Arial" w:eastAsia="Arial" w:hAnsi="Arial"/>
          <w:sz w:val="22"/>
          <w:szCs w:val="22"/>
          <w:b w:val="1"/>
          <w:bCs w:val="1"/>
          <w:color w:val="auto"/>
        </w:rPr>
      </w:pPr>
    </w:p>
    <w:p>
      <w:pPr>
        <w:ind w:left="2180" w:hanging="422"/>
        <w:spacing w:after="0"/>
        <w:tabs>
          <w:tab w:leader="none" w:pos="2180" w:val="left"/>
        </w:tabs>
        <w:numPr>
          <w:ilvl w:val="1"/>
          <w:numId w:val="524"/>
        </w:numPr>
        <w:rPr>
          <w:rFonts w:ascii="Arial" w:cs="Arial" w:eastAsia="Arial" w:hAnsi="Arial"/>
          <w:sz w:val="22"/>
          <w:szCs w:val="22"/>
          <w:b w:val="1"/>
          <w:bCs w:val="1"/>
          <w:color w:val="auto"/>
        </w:rPr>
      </w:pPr>
      <w:r>
        <w:rPr>
          <w:rFonts w:ascii="Arial" w:cs="Arial" w:eastAsia="Arial" w:hAnsi="Arial"/>
          <w:sz w:val="22"/>
          <w:szCs w:val="22"/>
          <w:color w:val="auto"/>
        </w:rPr>
        <w:t>Each development milestone payment set forth above shall be due and payable [***].</w:t>
      </w:r>
    </w:p>
    <w:p>
      <w:pPr>
        <w:spacing w:after="0" w:line="206" w:lineRule="exact"/>
        <w:rPr>
          <w:rFonts w:ascii="Arial" w:cs="Arial" w:eastAsia="Arial" w:hAnsi="Arial"/>
          <w:sz w:val="22"/>
          <w:szCs w:val="22"/>
          <w:b w:val="1"/>
          <w:bCs w:val="1"/>
          <w:color w:val="auto"/>
        </w:rPr>
      </w:pPr>
    </w:p>
    <w:p>
      <w:pPr>
        <w:ind w:right="100" w:firstLine="1758"/>
        <w:spacing w:after="0" w:line="250" w:lineRule="auto"/>
        <w:tabs>
          <w:tab w:leader="none" w:pos="2242" w:val="left"/>
        </w:tabs>
        <w:numPr>
          <w:ilvl w:val="1"/>
          <w:numId w:val="524"/>
        </w:numPr>
        <w:rPr>
          <w:rFonts w:ascii="Arial" w:cs="Arial" w:eastAsia="Arial" w:hAnsi="Arial"/>
          <w:sz w:val="22"/>
          <w:szCs w:val="22"/>
          <w:b w:val="1"/>
          <w:bCs w:val="1"/>
          <w:color w:val="auto"/>
        </w:rPr>
      </w:pPr>
      <w:r>
        <w:rPr>
          <w:rFonts w:ascii="Arial" w:cs="Arial" w:eastAsia="Arial" w:hAnsi="Arial"/>
          <w:sz w:val="22"/>
          <w:szCs w:val="22"/>
          <w:color w:val="auto"/>
        </w:rPr>
        <w:t>Notwithstanding the foregoing, if Licensee, its Affiliate, or Sublicensee first achieves any milestone in Part B of the table above (milestones 9-16 in the table above) with respect to a Product for [***].</w:t>
      </w:r>
    </w:p>
    <w:p>
      <w:pPr>
        <w:spacing w:after="0" w:line="174" w:lineRule="exact"/>
        <w:rPr>
          <w:rFonts w:ascii="Arial" w:cs="Arial" w:eastAsia="Arial" w:hAnsi="Arial"/>
          <w:sz w:val="22"/>
          <w:szCs w:val="22"/>
          <w:b w:val="1"/>
          <w:bCs w:val="1"/>
          <w:color w:val="auto"/>
        </w:rPr>
      </w:pPr>
    </w:p>
    <w:p>
      <w:pPr>
        <w:ind w:left="2300" w:hanging="542"/>
        <w:spacing w:after="0"/>
        <w:tabs>
          <w:tab w:leader="none" w:pos="2300" w:val="left"/>
        </w:tabs>
        <w:numPr>
          <w:ilvl w:val="1"/>
          <w:numId w:val="52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24"/>
        </w:numPr>
        <w:rPr>
          <w:rFonts w:ascii="Arial" w:cs="Arial" w:eastAsia="Arial" w:hAnsi="Arial"/>
          <w:sz w:val="22"/>
          <w:szCs w:val="22"/>
          <w:b w:val="1"/>
          <w:bCs w:val="1"/>
          <w:color w:val="auto"/>
        </w:rPr>
      </w:pPr>
      <w:r>
        <w:rPr>
          <w:rFonts w:ascii="Arial" w:cs="Arial" w:eastAsia="Arial" w:hAnsi="Arial"/>
          <w:sz w:val="22"/>
          <w:szCs w:val="22"/>
          <w:b w:val="1"/>
          <w:bCs w:val="1"/>
          <w:color w:val="auto"/>
        </w:rPr>
        <w:t>Notice and Payment</w:t>
      </w:r>
      <w:r>
        <w:rPr>
          <w:rFonts w:ascii="Arial" w:cs="Arial" w:eastAsia="Arial" w:hAnsi="Arial"/>
          <w:sz w:val="22"/>
          <w:szCs w:val="22"/>
          <w:color w:val="auto"/>
        </w:rPr>
        <w:t>. Licensee shall notify Licensor in writing [***].</w:t>
      </w:r>
    </w:p>
    <w:p>
      <w:pPr>
        <w:spacing w:after="0" w:line="314"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color w:val="auto"/>
        </w:rPr>
        <w:t>Sales Milestone Payments</w:t>
      </w:r>
      <w:r>
        <w:rPr>
          <w:rFonts w:ascii="Arial" w:cs="Arial" w:eastAsia="Arial" w:hAnsi="Arial"/>
          <w:sz w:val="18"/>
          <w:szCs w:val="18"/>
          <w:color w:val="auto"/>
        </w:rPr>
        <w:t>.</w:t>
      </w:r>
    </w:p>
    <w:p>
      <w:pPr>
        <w:spacing w:after="0" w:line="98" w:lineRule="exact"/>
        <w:rPr>
          <w:sz w:val="20"/>
          <w:szCs w:val="20"/>
          <w:color w:val="auto"/>
        </w:rPr>
      </w:pPr>
    </w:p>
    <w:p>
      <w:pPr>
        <w:ind w:right="80" w:firstLine="1208"/>
        <w:spacing w:after="0" w:line="289" w:lineRule="auto"/>
        <w:tabs>
          <w:tab w:leader="none" w:pos="1679" w:val="left"/>
        </w:tabs>
        <w:numPr>
          <w:ilvl w:val="0"/>
          <w:numId w:val="525"/>
        </w:numPr>
        <w:rPr>
          <w:rFonts w:ascii="Arial" w:cs="Arial" w:eastAsia="Arial" w:hAnsi="Arial"/>
          <w:sz w:val="19"/>
          <w:szCs w:val="19"/>
          <w:b w:val="1"/>
          <w:bCs w:val="1"/>
          <w:color w:val="auto"/>
        </w:rPr>
      </w:pPr>
      <w:r>
        <w:rPr>
          <w:rFonts w:ascii="Arial" w:cs="Arial" w:eastAsia="Arial" w:hAnsi="Arial"/>
          <w:sz w:val="19"/>
          <w:szCs w:val="19"/>
          <w:b w:val="1"/>
          <w:bCs w:val="1"/>
          <w:color w:val="auto"/>
        </w:rPr>
        <w:t>Milestone Events</w:t>
      </w:r>
      <w:r>
        <w:rPr>
          <w:rFonts w:ascii="Arial" w:cs="Arial" w:eastAsia="Arial" w:hAnsi="Arial"/>
          <w:sz w:val="19"/>
          <w:szCs w:val="19"/>
          <w:color w:val="auto"/>
        </w:rPr>
        <w:t>. Subject to the remainder of this Section 5.4 and also Sections 5.2(b), 5.6, and 5.7,</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 shall pay to Licensor the following one-time, non-refundable sales milestone payments set forth in the table below (each, a “</w:t>
      </w:r>
      <w:r>
        <w:rPr>
          <w:rFonts w:ascii="Arial" w:cs="Arial" w:eastAsia="Arial" w:hAnsi="Arial"/>
          <w:sz w:val="19"/>
          <w:szCs w:val="19"/>
          <w:b w:val="1"/>
          <w:bCs w:val="1"/>
          <w:color w:val="auto"/>
        </w:rPr>
        <w:t>Sales Milestone Payment Amount”)</w:t>
      </w:r>
      <w:r>
        <w:rPr>
          <w:rFonts w:ascii="Arial" w:cs="Arial" w:eastAsia="Arial" w:hAnsi="Arial"/>
          <w:sz w:val="19"/>
          <w:szCs w:val="19"/>
          <w:color w:val="auto"/>
        </w:rPr>
        <w:t xml:space="preserve"> when the aggregated annual Net Sales of all Products sold in the Territory in a Calendar Year by Licensee, its Affiliates, and its Sublicensees first reach the corresponding threshold value indicated below.</w:t>
      </w: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w w:val="91"/>
              </w:rPr>
              <w:t>Annual Net Sales of all Products in the Territory by Licensee, its Affiliates, and its Sublicensees</w:t>
            </w:r>
          </w:p>
        </w:tc>
        <w:tc>
          <w:tcPr>
            <w:tcW w:w="980" w:type="dxa"/>
            <w:vAlign w:val="bottom"/>
          </w:tcPr>
          <w:p>
            <w:pPr>
              <w:spacing w:after="0"/>
              <w:rPr>
                <w:sz w:val="14"/>
                <w:szCs w:val="14"/>
                <w:color w:val="auto"/>
              </w:rPr>
            </w:pP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w w:val="89"/>
              </w:rPr>
              <w:t>Sales Milestone Payment</w:t>
            </w:r>
          </w:p>
        </w:tc>
        <w:tc>
          <w:tcPr>
            <w:tcW w:w="0" w:type="dxa"/>
            <w:vAlign w:val="bottom"/>
          </w:tcPr>
          <w:p>
            <w:pPr>
              <w:spacing w:after="0"/>
              <w:rPr>
                <w:sz w:val="1"/>
                <w:szCs w:val="1"/>
                <w:color w:val="auto"/>
              </w:rPr>
            </w:pPr>
          </w:p>
        </w:tc>
      </w:tr>
      <w:tr>
        <w:trPr>
          <w:trHeight w:val="178"/>
        </w:trPr>
        <w:tc>
          <w:tcPr>
            <w:tcW w:w="5840" w:type="dxa"/>
            <w:vAlign w:val="bottom"/>
            <w:tcBorders>
              <w:bottom w:val="single" w:sz="8" w:color="auto"/>
            </w:tcBorders>
            <w:vMerge w:val="continue"/>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5"/>
        </w:trPr>
        <w:tc>
          <w:tcPr>
            <w:tcW w:w="5840" w:type="dxa"/>
            <w:vAlign w:val="bottom"/>
          </w:tcPr>
          <w:p>
            <w:pPr>
              <w:spacing w:after="0" w:line="195" w:lineRule="exact"/>
              <w:rPr>
                <w:sz w:val="20"/>
                <w:szCs w:val="20"/>
                <w:color w:val="auto"/>
              </w:rPr>
            </w:pPr>
            <w:r>
              <w:rPr>
                <w:rFonts w:ascii="Arial" w:cs="Arial" w:eastAsia="Arial" w:hAnsi="Arial"/>
                <w:sz w:val="22"/>
                <w:szCs w:val="22"/>
                <w:color w:val="auto"/>
              </w:rPr>
              <w:t>[***]</w:t>
            </w:r>
          </w:p>
        </w:tc>
        <w:tc>
          <w:tcPr>
            <w:tcW w:w="980" w:type="dxa"/>
            <w:vAlign w:val="bottom"/>
          </w:tcPr>
          <w:p>
            <w:pPr>
              <w:spacing w:after="0"/>
              <w:rPr>
                <w:sz w:val="16"/>
                <w:szCs w:val="16"/>
                <w:color w:val="auto"/>
              </w:rPr>
            </w:pPr>
          </w:p>
        </w:tc>
        <w:tc>
          <w:tcPr>
            <w:tcW w:w="154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2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5840" w:type="dxa"/>
            <w:vAlign w:val="bottom"/>
          </w:tcPr>
          <w:p>
            <w:pPr>
              <w:spacing w:after="0" w:line="246" w:lineRule="exact"/>
              <w:rPr>
                <w:sz w:val="20"/>
                <w:szCs w:val="20"/>
                <w:color w:val="auto"/>
              </w:rPr>
            </w:pPr>
            <w:r>
              <w:rPr>
                <w:rFonts w:ascii="Arial" w:cs="Arial" w:eastAsia="Arial" w:hAnsi="Arial"/>
                <w:sz w:val="22"/>
                <w:szCs w:val="22"/>
                <w:color w:val="auto"/>
              </w:rPr>
              <w:t>[***]</w:t>
            </w:r>
          </w:p>
        </w:tc>
        <w:tc>
          <w:tcPr>
            <w:tcW w:w="2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ind w:left="360"/>
              <w:spacing w:after="0"/>
              <w:rPr>
                <w:sz w:val="20"/>
                <w:szCs w:val="20"/>
                <w:color w:val="auto"/>
              </w:rPr>
            </w:pPr>
            <w:r>
              <w:rPr>
                <w:rFonts w:ascii="Arial" w:cs="Arial" w:eastAsia="Arial" w:hAnsi="Arial"/>
                <w:sz w:val="18"/>
                <w:szCs w:val="18"/>
                <w:b w:val="1"/>
                <w:bCs w:val="1"/>
                <w:color w:val="auto"/>
              </w:rPr>
              <w:t>Total Sales Milestone Payments</w:t>
            </w:r>
          </w:p>
        </w:tc>
        <w:tc>
          <w:tcPr>
            <w:tcW w:w="2520" w:type="dxa"/>
            <w:vAlign w:val="bottom"/>
            <w:gridSpan w:val="2"/>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1208"/>
        <w:spacing w:after="0" w:line="236" w:lineRule="auto"/>
        <w:tabs>
          <w:tab w:leader="none" w:pos="1692" w:val="left"/>
        </w:tabs>
        <w:numPr>
          <w:ilvl w:val="0"/>
          <w:numId w:val="526"/>
        </w:numPr>
        <w:rPr>
          <w:rFonts w:ascii="Arial" w:cs="Arial" w:eastAsia="Arial" w:hAnsi="Arial"/>
          <w:sz w:val="22"/>
          <w:szCs w:val="22"/>
          <w:b w:val="1"/>
          <w:bCs w:val="1"/>
          <w:color w:val="auto"/>
        </w:rPr>
      </w:pPr>
      <w:r>
        <w:rPr>
          <w:rFonts w:ascii="Arial" w:cs="Arial" w:eastAsia="Arial" w:hAnsi="Arial"/>
          <w:sz w:val="22"/>
          <w:szCs w:val="22"/>
          <w:b w:val="1"/>
          <w:bCs w:val="1"/>
          <w:color w:val="auto"/>
        </w:rPr>
        <w:t>Milestone Conditions</w:t>
      </w:r>
      <w:r>
        <w:rPr>
          <w:rFonts w:ascii="Arial" w:cs="Arial" w:eastAsia="Arial" w:hAnsi="Arial"/>
          <w:sz w:val="22"/>
          <w:szCs w:val="22"/>
          <w:color w:val="auto"/>
        </w:rPr>
        <w:t>. Each sales milestone payment set forth above shall be due and payable only once,</w:t>
      </w:r>
      <w:r>
        <w:rPr>
          <w:rFonts w:ascii="Arial" w:cs="Arial" w:eastAsia="Arial" w:hAnsi="Arial"/>
          <w:sz w:val="22"/>
          <w:szCs w:val="22"/>
          <w:b w:val="1"/>
          <w:bCs w:val="1"/>
          <w:color w:val="auto"/>
        </w:rPr>
        <w:t xml:space="preserve"> </w:t>
      </w:r>
      <w:r>
        <w:rPr>
          <w:rFonts w:ascii="Arial" w:cs="Arial" w:eastAsia="Arial" w:hAnsi="Arial"/>
          <w:sz w:val="22"/>
          <w:szCs w:val="22"/>
          <w:color w:val="auto"/>
        </w:rPr>
        <w:t>regardless of how many times such milestone event is achieved. The Net Sales of all Products sold in the Territory by Licensee, its Affiliates, and its Sublicensees (including Net Sales of a Product by Third Party Sublicensees in Non-Core Territory Countries and by Non-Oncology Third Party Sublicensees) shall be included in the calculation of the annual Net Sales of Products in the left hand column of the table above for the purpose of determining whether a given sales milestone has been achieved; provided[***].</w:t>
      </w:r>
    </w:p>
    <w:p>
      <w:pPr>
        <w:spacing w:after="0" w:line="181"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26"/>
        </w:numPr>
        <w:rPr>
          <w:rFonts w:ascii="Arial" w:cs="Arial" w:eastAsia="Arial" w:hAnsi="Arial"/>
          <w:sz w:val="19"/>
          <w:szCs w:val="19"/>
          <w:b w:val="1"/>
          <w:bCs w:val="1"/>
          <w:color w:val="auto"/>
        </w:rPr>
      </w:pPr>
      <w:r>
        <w:rPr>
          <w:rFonts w:ascii="Arial" w:cs="Arial" w:eastAsia="Arial" w:hAnsi="Arial"/>
          <w:sz w:val="19"/>
          <w:szCs w:val="19"/>
          <w:b w:val="1"/>
          <w:bCs w:val="1"/>
          <w:color w:val="auto"/>
        </w:rPr>
        <w:t>Notice and Payment</w:t>
      </w:r>
      <w:r>
        <w:rPr>
          <w:rFonts w:ascii="Arial" w:cs="Arial" w:eastAsia="Arial" w:hAnsi="Arial"/>
          <w:sz w:val="19"/>
          <w:szCs w:val="19"/>
          <w:color w:val="auto"/>
        </w:rPr>
        <w:t>. As part of the royalty report in Section 5.5(e), Licensee shall provide written notice</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to Licensor [***].</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980"/>
          </w:cols>
          <w:pgMar w:left="440" w:top="260" w:right="479" w:bottom="1440" w:gutter="0" w:footer="0" w:header="0"/>
        </w:sectPr>
      </w:pPr>
    </w:p>
    <w:bookmarkStart w:id="484" w:name="page485"/>
    <w:bookmarkEnd w:id="484"/>
    <w:p>
      <w:pPr>
        <w:ind w:left="540"/>
        <w:spacing w:after="0"/>
        <w:tabs>
          <w:tab w:leader="none" w:pos="102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w:t>
      </w:r>
      <w:r>
        <w:rPr>
          <w:sz w:val="20"/>
          <w:szCs w:val="20"/>
          <w:color w:val="auto"/>
        </w:rPr>
        <w:tab/>
      </w:r>
      <w:r>
        <w:rPr>
          <w:rFonts w:ascii="Arial" w:cs="Arial" w:eastAsia="Arial" w:hAnsi="Arial"/>
          <w:sz w:val="19"/>
          <w:szCs w:val="19"/>
          <w:b w:val="1"/>
          <w:bCs w:val="1"/>
          <w:color w:val="auto"/>
        </w:rPr>
        <w:t>Royalty Payments</w:t>
      </w:r>
      <w:r>
        <w:rPr>
          <w:rFonts w:ascii="Arial" w:cs="Arial" w:eastAsia="Arial" w:hAnsi="Arial"/>
          <w:sz w:val="19"/>
          <w:szCs w:val="19"/>
          <w:color w:val="auto"/>
        </w:rPr>
        <w:t>.</w:t>
      </w:r>
    </w:p>
    <w:p>
      <w:pPr>
        <w:spacing w:after="0" w:line="98" w:lineRule="exact"/>
        <w:rPr>
          <w:sz w:val="20"/>
          <w:szCs w:val="20"/>
          <w:color w:val="auto"/>
        </w:rPr>
      </w:pPr>
    </w:p>
    <w:p>
      <w:pPr>
        <w:ind w:left="1680" w:hanging="472"/>
        <w:spacing w:after="0"/>
        <w:tabs>
          <w:tab w:leader="none" w:pos="1680" w:val="left"/>
        </w:tabs>
        <w:numPr>
          <w:ilvl w:val="0"/>
          <w:numId w:val="527"/>
        </w:numPr>
        <w:rPr>
          <w:rFonts w:ascii="Arial" w:cs="Arial" w:eastAsia="Arial" w:hAnsi="Arial"/>
          <w:sz w:val="19"/>
          <w:szCs w:val="19"/>
          <w:b w:val="1"/>
          <w:bCs w:val="1"/>
          <w:color w:val="auto"/>
        </w:rPr>
      </w:pPr>
      <w:r>
        <w:rPr>
          <w:rFonts w:ascii="Arial" w:cs="Arial" w:eastAsia="Arial" w:hAnsi="Arial"/>
          <w:sz w:val="19"/>
          <w:szCs w:val="19"/>
          <w:b w:val="1"/>
          <w:bCs w:val="1"/>
          <w:color w:val="auto"/>
        </w:rPr>
        <w:t>Royalty Rate</w:t>
      </w:r>
      <w:r>
        <w:rPr>
          <w:rFonts w:ascii="Arial" w:cs="Arial" w:eastAsia="Arial" w:hAnsi="Arial"/>
          <w:sz w:val="19"/>
          <w:szCs w:val="19"/>
          <w:color w:val="auto"/>
        </w:rPr>
        <w:t>. Subject to the remainder of this Section 5.5, and subject to Section 5.2(b), Section 5.6 with</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respect to [***].</w:t>
      </w: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6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For that portion of annual Net Sale of a Product in the Territory by Licensee, its Affiliates, and its Sublicensees</w:t>
            </w:r>
          </w:p>
        </w:tc>
        <w:tc>
          <w:tcPr>
            <w:tcW w:w="7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Royalty Rate</w:t>
            </w:r>
          </w:p>
        </w:tc>
      </w:tr>
      <w:tr>
        <w:trPr>
          <w:trHeight w:val="195"/>
        </w:trPr>
        <w:tc>
          <w:tcPr>
            <w:tcW w:w="6780" w:type="dxa"/>
            <w:vAlign w:val="bottom"/>
          </w:tcPr>
          <w:p>
            <w:pPr>
              <w:spacing w:after="0" w:line="195" w:lineRule="exact"/>
              <w:rPr>
                <w:sz w:val="20"/>
                <w:szCs w:val="20"/>
                <w:color w:val="auto"/>
              </w:rPr>
            </w:pPr>
            <w:r>
              <w:rPr>
                <w:rFonts w:ascii="Arial" w:cs="Arial" w:eastAsia="Arial" w:hAnsi="Arial"/>
                <w:sz w:val="22"/>
                <w:szCs w:val="22"/>
                <w:color w:val="auto"/>
              </w:rPr>
              <w:t>[***]</w:t>
            </w:r>
          </w:p>
        </w:tc>
        <w:tc>
          <w:tcPr>
            <w:tcW w:w="78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74"/>
        </w:trPr>
        <w:tc>
          <w:tcPr>
            <w:tcW w:w="6780" w:type="dxa"/>
            <w:vAlign w:val="bottom"/>
          </w:tcPr>
          <w:p>
            <w:pPr>
              <w:spacing w:after="0"/>
              <w:rPr>
                <w:sz w:val="20"/>
                <w:szCs w:val="20"/>
                <w:color w:val="auto"/>
              </w:rPr>
            </w:pPr>
            <w:r>
              <w:rPr>
                <w:rFonts w:ascii="Arial" w:cs="Arial" w:eastAsia="Arial" w:hAnsi="Arial"/>
                <w:sz w:val="22"/>
                <w:szCs w:val="22"/>
                <w:color w:val="auto"/>
              </w:rPr>
              <w:t>[***]</w:t>
            </w: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w:t>
            </w:r>
          </w:p>
        </w:tc>
      </w:tr>
    </w:tbl>
    <w:p>
      <w:pPr>
        <w:spacing w:after="0" w:line="18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ind w:right="600" w:firstLine="1208"/>
        <w:spacing w:after="0" w:line="256" w:lineRule="auto"/>
        <w:tabs>
          <w:tab w:leader="none" w:pos="1692" w:val="left"/>
        </w:tabs>
        <w:numPr>
          <w:ilvl w:val="0"/>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Royalty Term</w:t>
      </w:r>
      <w:r>
        <w:rPr>
          <w:rFonts w:ascii="Arial" w:cs="Arial" w:eastAsia="Arial" w:hAnsi="Arial"/>
          <w:sz w:val="22"/>
          <w:szCs w:val="22"/>
          <w:color w:val="auto"/>
        </w:rPr>
        <w:t>. Licensee’s obligation to pay royalties pursuant to this Section 5.5 shall expire, on a</w:t>
      </w:r>
      <w:r>
        <w:rPr>
          <w:rFonts w:ascii="Arial" w:cs="Arial" w:eastAsia="Arial" w:hAnsi="Arial"/>
          <w:sz w:val="22"/>
          <w:szCs w:val="22"/>
          <w:b w:val="1"/>
          <w:bCs w:val="1"/>
          <w:color w:val="auto"/>
        </w:rPr>
        <w:t xml:space="preserve"> </w:t>
      </w:r>
      <w:r>
        <w:rPr>
          <w:rFonts w:ascii="Arial" w:cs="Arial" w:eastAsia="Arial" w:hAnsi="Arial"/>
          <w:sz w:val="22"/>
          <w:szCs w:val="22"/>
          <w:color w:val="auto"/>
        </w:rPr>
        <w:t>Product-by-Product and country-by-country basis, upon the latest of [***].</w:t>
      </w:r>
    </w:p>
    <w:p>
      <w:pPr>
        <w:spacing w:after="0" w:line="162"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28"/>
        </w:numPr>
        <w:rPr>
          <w:rFonts w:ascii="Arial" w:cs="Arial" w:eastAsia="Arial" w:hAnsi="Arial"/>
          <w:sz w:val="21"/>
          <w:szCs w:val="21"/>
          <w:b w:val="1"/>
          <w:bCs w:val="1"/>
          <w:color w:val="auto"/>
        </w:rPr>
      </w:pPr>
      <w:r>
        <w:rPr>
          <w:rFonts w:ascii="Arial" w:cs="Arial" w:eastAsia="Arial" w:hAnsi="Arial"/>
          <w:sz w:val="21"/>
          <w:szCs w:val="21"/>
          <w:b w:val="1"/>
          <w:bCs w:val="1"/>
          <w:color w:val="auto"/>
        </w:rPr>
        <w:t>Royalty Conditions</w:t>
      </w:r>
      <w:r>
        <w:rPr>
          <w:rFonts w:ascii="Arial" w:cs="Arial" w:eastAsia="Arial" w:hAnsi="Arial"/>
          <w:sz w:val="21"/>
          <w:szCs w:val="21"/>
          <w:color w:val="auto"/>
        </w:rPr>
        <w:t>. The royalty payments under this Section 5.5 shall be subject to the following</w:t>
      </w:r>
    </w:p>
    <w:p>
      <w:pPr>
        <w:spacing w:after="0" w:line="2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conditions:</w:t>
      </w:r>
    </w:p>
    <w:p>
      <w:pPr>
        <w:spacing w:after="0" w:line="188" w:lineRule="exact"/>
        <w:rPr>
          <w:rFonts w:ascii="Arial" w:cs="Arial" w:eastAsia="Arial" w:hAnsi="Arial"/>
          <w:sz w:val="21"/>
          <w:szCs w:val="21"/>
          <w:b w:val="1"/>
          <w:bCs w:val="1"/>
          <w:color w:val="auto"/>
        </w:rPr>
      </w:pPr>
    </w:p>
    <w:p>
      <w:pPr>
        <w:ind w:left="2180" w:hanging="422"/>
        <w:spacing w:after="0"/>
        <w:tabs>
          <w:tab w:leader="none" w:pos="2180" w:val="left"/>
        </w:tabs>
        <w:numPr>
          <w:ilvl w:val="1"/>
          <w:numId w:val="52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240" w:hanging="482"/>
        <w:spacing w:after="0"/>
        <w:tabs>
          <w:tab w:leader="none" w:pos="2240" w:val="left"/>
        </w:tabs>
        <w:numPr>
          <w:ilvl w:val="1"/>
          <w:numId w:val="52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300" w:hanging="542"/>
        <w:spacing w:after="0"/>
        <w:tabs>
          <w:tab w:leader="none" w:pos="2300" w:val="left"/>
        </w:tabs>
        <w:numPr>
          <w:ilvl w:val="1"/>
          <w:numId w:val="52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280" w:hanging="522"/>
        <w:spacing w:after="0"/>
        <w:tabs>
          <w:tab w:leader="none" w:pos="2280" w:val="left"/>
        </w:tabs>
        <w:numPr>
          <w:ilvl w:val="1"/>
          <w:numId w:val="52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308"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Royalty Reductions</w:t>
      </w:r>
      <w:r>
        <w:rPr>
          <w:rFonts w:ascii="Arial" w:cs="Arial" w:eastAsia="Arial" w:hAnsi="Arial"/>
          <w:sz w:val="22"/>
          <w:szCs w:val="22"/>
          <w:color w:val="auto"/>
        </w:rPr>
        <w:t>.</w:t>
      </w:r>
    </w:p>
    <w:p>
      <w:pPr>
        <w:spacing w:after="0" w:line="98" w:lineRule="exact"/>
        <w:rPr>
          <w:rFonts w:ascii="Arial" w:cs="Arial" w:eastAsia="Arial" w:hAnsi="Arial"/>
          <w:sz w:val="22"/>
          <w:szCs w:val="22"/>
          <w:b w:val="1"/>
          <w:bCs w:val="1"/>
          <w:color w:val="auto"/>
        </w:rPr>
      </w:pPr>
    </w:p>
    <w:p>
      <w:pPr>
        <w:ind w:left="2180" w:hanging="422"/>
        <w:spacing w:after="0"/>
        <w:tabs>
          <w:tab w:leader="none" w:pos="2180" w:val="left"/>
        </w:tabs>
        <w:numPr>
          <w:ilvl w:val="1"/>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Biosimilar Entry</w:t>
      </w:r>
      <w:r>
        <w:rPr>
          <w:rFonts w:ascii="Arial" w:cs="Arial" w:eastAsia="Arial" w:hAnsi="Arial"/>
          <w:sz w:val="22"/>
          <w:szCs w:val="22"/>
          <w:color w:val="auto"/>
        </w:rPr>
        <w:t>. [***].</w:t>
      </w:r>
    </w:p>
    <w:p>
      <w:pPr>
        <w:spacing w:after="0" w:line="206" w:lineRule="exact"/>
        <w:rPr>
          <w:rFonts w:ascii="Arial" w:cs="Arial" w:eastAsia="Arial" w:hAnsi="Arial"/>
          <w:sz w:val="22"/>
          <w:szCs w:val="22"/>
          <w:b w:val="1"/>
          <w:bCs w:val="1"/>
          <w:color w:val="auto"/>
        </w:rPr>
      </w:pPr>
    </w:p>
    <w:p>
      <w:pPr>
        <w:ind w:left="2240" w:hanging="482"/>
        <w:spacing w:after="0"/>
        <w:tabs>
          <w:tab w:leader="none" w:pos="2240" w:val="left"/>
        </w:tabs>
        <w:numPr>
          <w:ilvl w:val="1"/>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Patent Expiry</w:t>
      </w:r>
      <w:r>
        <w:rPr>
          <w:rFonts w:ascii="Arial" w:cs="Arial" w:eastAsia="Arial" w:hAnsi="Arial"/>
          <w:sz w:val="22"/>
          <w:szCs w:val="22"/>
          <w:color w:val="auto"/>
        </w:rPr>
        <w:t>. [***].</w:t>
      </w:r>
    </w:p>
    <w:p>
      <w:pPr>
        <w:spacing w:after="0" w:line="206" w:lineRule="exact"/>
        <w:rPr>
          <w:rFonts w:ascii="Arial" w:cs="Arial" w:eastAsia="Arial" w:hAnsi="Arial"/>
          <w:sz w:val="22"/>
          <w:szCs w:val="22"/>
          <w:b w:val="1"/>
          <w:bCs w:val="1"/>
          <w:color w:val="auto"/>
        </w:rPr>
      </w:pPr>
    </w:p>
    <w:p>
      <w:pPr>
        <w:ind w:left="2300" w:hanging="542"/>
        <w:spacing w:after="0"/>
        <w:tabs>
          <w:tab w:leader="none" w:pos="2300" w:val="left"/>
        </w:tabs>
        <w:numPr>
          <w:ilvl w:val="1"/>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Licensees</w:t>
      </w:r>
      <w:r>
        <w:rPr>
          <w:rFonts w:ascii="Arial" w:cs="Arial" w:eastAsia="Arial" w:hAnsi="Arial"/>
          <w:sz w:val="22"/>
          <w:szCs w:val="22"/>
          <w:color w:val="auto"/>
        </w:rPr>
        <w:t>. [***].</w:t>
      </w:r>
    </w:p>
    <w:p>
      <w:pPr>
        <w:spacing w:after="0" w:line="206" w:lineRule="exact"/>
        <w:rPr>
          <w:rFonts w:ascii="Arial" w:cs="Arial" w:eastAsia="Arial" w:hAnsi="Arial"/>
          <w:sz w:val="22"/>
          <w:szCs w:val="22"/>
          <w:b w:val="1"/>
          <w:bCs w:val="1"/>
          <w:color w:val="auto"/>
        </w:rPr>
      </w:pPr>
    </w:p>
    <w:p>
      <w:pPr>
        <w:ind w:left="2280" w:hanging="522"/>
        <w:spacing w:after="0"/>
        <w:tabs>
          <w:tab w:leader="none" w:pos="2280" w:val="left"/>
        </w:tabs>
        <w:numPr>
          <w:ilvl w:val="1"/>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Relevant Patent License</w:t>
      </w:r>
      <w:r>
        <w:rPr>
          <w:rFonts w:ascii="Arial" w:cs="Arial" w:eastAsia="Arial" w:hAnsi="Arial"/>
          <w:sz w:val="22"/>
          <w:szCs w:val="22"/>
          <w:color w:val="auto"/>
        </w:rPr>
        <w:t>. [***].</w:t>
      </w:r>
    </w:p>
    <w:p>
      <w:pPr>
        <w:spacing w:after="0" w:line="206" w:lineRule="exact"/>
        <w:rPr>
          <w:rFonts w:ascii="Arial" w:cs="Arial" w:eastAsia="Arial" w:hAnsi="Arial"/>
          <w:sz w:val="22"/>
          <w:szCs w:val="22"/>
          <w:b w:val="1"/>
          <w:bCs w:val="1"/>
          <w:color w:val="auto"/>
        </w:rPr>
      </w:pPr>
    </w:p>
    <w:p>
      <w:pPr>
        <w:ind w:left="2220" w:hanging="462"/>
        <w:spacing w:after="0"/>
        <w:tabs>
          <w:tab w:leader="none" w:pos="2220" w:val="left"/>
        </w:tabs>
        <w:numPr>
          <w:ilvl w:val="1"/>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Royalty Floor</w:t>
      </w:r>
      <w:r>
        <w:rPr>
          <w:rFonts w:ascii="Arial" w:cs="Arial" w:eastAsia="Arial" w:hAnsi="Arial"/>
          <w:sz w:val="22"/>
          <w:szCs w:val="22"/>
          <w:color w:val="auto"/>
        </w:rPr>
        <w:t>. [***].</w:t>
      </w:r>
    </w:p>
    <w:p>
      <w:pPr>
        <w:spacing w:after="0" w:line="206"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28"/>
        </w:numPr>
        <w:rPr>
          <w:rFonts w:ascii="Arial" w:cs="Arial" w:eastAsia="Arial" w:hAnsi="Arial"/>
          <w:sz w:val="22"/>
          <w:szCs w:val="22"/>
          <w:b w:val="1"/>
          <w:bCs w:val="1"/>
          <w:color w:val="auto"/>
        </w:rPr>
      </w:pPr>
      <w:r>
        <w:rPr>
          <w:rFonts w:ascii="Arial" w:cs="Arial" w:eastAsia="Arial" w:hAnsi="Arial"/>
          <w:sz w:val="22"/>
          <w:szCs w:val="22"/>
          <w:b w:val="1"/>
          <w:bCs w:val="1"/>
          <w:color w:val="auto"/>
        </w:rPr>
        <w:t>Report and Payment</w:t>
      </w:r>
      <w:r>
        <w:rPr>
          <w:rFonts w:ascii="Arial" w:cs="Arial" w:eastAsia="Arial" w:hAnsi="Arial"/>
          <w:sz w:val="22"/>
          <w:szCs w:val="22"/>
          <w:color w:val="auto"/>
        </w:rPr>
        <w:t>. [***].</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840"/>
          </w:cols>
          <w:pgMar w:left="440" w:top="260" w:right="619" w:bottom="1440" w:gutter="0" w:footer="0" w:header="0"/>
        </w:sectPr>
      </w:pPr>
    </w:p>
    <w:bookmarkStart w:id="485" w:name="page486"/>
    <w:bookmarkEnd w:id="485"/>
    <w:p>
      <w:pPr>
        <w:ind w:left="480"/>
        <w:spacing w:after="0"/>
        <w:tabs>
          <w:tab w:leader="none" w:pos="96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5.6</w:t>
      </w:r>
      <w:r>
        <w:rPr>
          <w:sz w:val="20"/>
          <w:szCs w:val="20"/>
          <w:color w:val="auto"/>
        </w:rPr>
        <w:tab/>
      </w:r>
      <w:r>
        <w:rPr>
          <w:rFonts w:ascii="Arial" w:cs="Arial" w:eastAsia="Arial" w:hAnsi="Arial"/>
          <w:sz w:val="19"/>
          <w:szCs w:val="19"/>
          <w:b w:val="1"/>
          <w:bCs w:val="1"/>
          <w:color w:val="auto"/>
        </w:rPr>
        <w:t>Sublicense Revenue Sharing in Non-Core Territory Countries</w:t>
      </w:r>
      <w:r>
        <w:rPr>
          <w:rFonts w:ascii="Arial" w:cs="Arial" w:eastAsia="Arial" w:hAnsi="Arial"/>
          <w:sz w:val="19"/>
          <w:szCs w:val="19"/>
          <w:color w:val="auto"/>
        </w:rPr>
        <w:t>.</w:t>
      </w:r>
    </w:p>
    <w:p>
      <w:pPr>
        <w:spacing w:after="0" w:line="98"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b w:val="1"/>
          <w:bCs w:val="1"/>
          <w:color w:val="auto"/>
        </w:rPr>
        <w:t>Sublicense Revenue Sharing Percentage</w:t>
      </w:r>
      <w:r>
        <w:rPr>
          <w:rFonts w:ascii="Arial" w:cs="Arial" w:eastAsia="Arial" w:hAnsi="Arial"/>
          <w:sz w:val="19"/>
          <w:szCs w:val="19"/>
          <w:color w:val="auto"/>
        </w:rPr>
        <w:t>. [***].</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89"/>
              </w:rPr>
              <w:t>The time when the sublicense agreement is executed</w:t>
            </w:r>
          </w:p>
        </w:tc>
        <w:tc>
          <w:tcPr>
            <w:tcW w:w="398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Sublicense Revenue</w:t>
            </w:r>
          </w:p>
        </w:tc>
        <w:tc>
          <w:tcPr>
            <w:tcW w:w="0" w:type="dxa"/>
            <w:vAlign w:val="bottom"/>
          </w:tcPr>
          <w:p>
            <w:pPr>
              <w:spacing w:after="0"/>
              <w:rPr>
                <w:sz w:val="1"/>
                <w:szCs w:val="1"/>
                <w:color w:val="auto"/>
              </w:rPr>
            </w:pPr>
          </w:p>
        </w:tc>
      </w:tr>
      <w:tr>
        <w:trPr>
          <w:trHeight w:val="178"/>
        </w:trPr>
        <w:tc>
          <w:tcPr>
            <w:tcW w:w="3180" w:type="dxa"/>
            <w:vAlign w:val="bottom"/>
            <w:tcBorders>
              <w:bottom w:val="single" w:sz="8" w:color="auto"/>
            </w:tcBorders>
            <w:vMerge w:val="continue"/>
          </w:tcPr>
          <w:p>
            <w:pPr>
              <w:spacing w:after="0"/>
              <w:rPr>
                <w:sz w:val="15"/>
                <w:szCs w:val="15"/>
                <w:color w:val="auto"/>
              </w:rPr>
            </w:pPr>
          </w:p>
        </w:tc>
        <w:tc>
          <w:tcPr>
            <w:tcW w:w="3980" w:type="dxa"/>
            <w:vAlign w:val="bottom"/>
          </w:tcPr>
          <w:p>
            <w:pPr>
              <w:spacing w:after="0"/>
              <w:rPr>
                <w:sz w:val="15"/>
                <w:szCs w:val="15"/>
                <w:color w:val="auto"/>
              </w:rPr>
            </w:pPr>
          </w:p>
        </w:tc>
        <w:tc>
          <w:tcPr>
            <w:tcW w:w="12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89"/>
              </w:rPr>
              <w:t>Payable to Licensor</w:t>
            </w:r>
          </w:p>
        </w:tc>
        <w:tc>
          <w:tcPr>
            <w:tcW w:w="0" w:type="dxa"/>
            <w:vAlign w:val="bottom"/>
          </w:tcPr>
          <w:p>
            <w:pPr>
              <w:spacing w:after="0"/>
              <w:rPr>
                <w:sz w:val="1"/>
                <w:szCs w:val="1"/>
                <w:color w:val="auto"/>
              </w:rPr>
            </w:pPr>
          </w:p>
        </w:tc>
      </w:tr>
      <w:tr>
        <w:trPr>
          <w:trHeight w:val="195"/>
        </w:trPr>
        <w:tc>
          <w:tcPr>
            <w:tcW w:w="3180" w:type="dxa"/>
            <w:vAlign w:val="bottom"/>
          </w:tcPr>
          <w:p>
            <w:pPr>
              <w:spacing w:after="0" w:line="195" w:lineRule="exact"/>
              <w:rPr>
                <w:sz w:val="20"/>
                <w:szCs w:val="20"/>
                <w:color w:val="auto"/>
              </w:rPr>
            </w:pPr>
            <w:r>
              <w:rPr>
                <w:rFonts w:ascii="Arial" w:cs="Arial" w:eastAsia="Arial" w:hAnsi="Arial"/>
                <w:sz w:val="22"/>
                <w:szCs w:val="22"/>
                <w:color w:val="auto"/>
              </w:rPr>
              <w:t>[***]</w:t>
            </w:r>
          </w:p>
        </w:tc>
        <w:tc>
          <w:tcPr>
            <w:tcW w:w="3980" w:type="dxa"/>
            <w:vAlign w:val="bottom"/>
          </w:tcPr>
          <w:p>
            <w:pPr>
              <w:spacing w:after="0"/>
              <w:rPr>
                <w:sz w:val="16"/>
                <w:szCs w:val="16"/>
                <w:color w:val="auto"/>
              </w:rPr>
            </w:pPr>
          </w:p>
        </w:tc>
        <w:tc>
          <w:tcPr>
            <w:tcW w:w="1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518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w:t>
            </w:r>
          </w:p>
        </w:tc>
        <w:tc>
          <w:tcPr>
            <w:tcW w:w="518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firstLine="1208"/>
        <w:spacing w:after="0" w:line="256" w:lineRule="auto"/>
        <w:tabs>
          <w:tab w:leader="none" w:pos="1632" w:val="left"/>
        </w:tabs>
        <w:numPr>
          <w:ilvl w:val="0"/>
          <w:numId w:val="529"/>
        </w:numPr>
        <w:rPr>
          <w:rFonts w:ascii="Arial" w:cs="Arial" w:eastAsia="Arial" w:hAnsi="Arial"/>
          <w:sz w:val="22"/>
          <w:szCs w:val="22"/>
          <w:b w:val="1"/>
          <w:bCs w:val="1"/>
          <w:color w:val="auto"/>
        </w:rPr>
      </w:pPr>
      <w:r>
        <w:rPr>
          <w:rFonts w:ascii="Arial" w:cs="Arial" w:eastAsia="Arial" w:hAnsi="Arial"/>
          <w:sz w:val="22"/>
          <w:szCs w:val="22"/>
          <w:b w:val="1"/>
          <w:bCs w:val="1"/>
          <w:color w:val="auto"/>
        </w:rPr>
        <w:t>Sublicense Revenue Sharing Conditions</w:t>
      </w:r>
      <w:r>
        <w:rPr>
          <w:rFonts w:ascii="Arial" w:cs="Arial" w:eastAsia="Arial" w:hAnsi="Arial"/>
          <w:sz w:val="22"/>
          <w:szCs w:val="22"/>
          <w:color w:val="auto"/>
        </w:rPr>
        <w:t>. The Sublicense Revenue sharing under this Section 5.6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following conditions:</w:t>
      </w:r>
    </w:p>
    <w:p>
      <w:pPr>
        <w:spacing w:after="0" w:line="168" w:lineRule="exact"/>
        <w:rPr>
          <w:rFonts w:ascii="Arial" w:cs="Arial" w:eastAsia="Arial" w:hAnsi="Arial"/>
          <w:sz w:val="22"/>
          <w:szCs w:val="22"/>
          <w:b w:val="1"/>
          <w:bCs w:val="1"/>
          <w:color w:val="auto"/>
        </w:rPr>
      </w:pPr>
    </w:p>
    <w:p>
      <w:pPr>
        <w:ind w:left="2120" w:hanging="422"/>
        <w:spacing w:after="0"/>
        <w:tabs>
          <w:tab w:leader="none" w:pos="2120" w:val="left"/>
        </w:tabs>
        <w:numPr>
          <w:ilvl w:val="1"/>
          <w:numId w:val="52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180" w:hanging="482"/>
        <w:spacing w:after="0"/>
        <w:tabs>
          <w:tab w:leader="none" w:pos="2180" w:val="left"/>
        </w:tabs>
        <w:numPr>
          <w:ilvl w:val="1"/>
          <w:numId w:val="52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240" w:hanging="542"/>
        <w:spacing w:after="0"/>
        <w:tabs>
          <w:tab w:leader="none" w:pos="2240" w:val="left"/>
        </w:tabs>
        <w:numPr>
          <w:ilvl w:val="1"/>
          <w:numId w:val="52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308"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Sublicense Revenue Sharing for Non-Oncology Indication</w:t>
      </w:r>
      <w:r>
        <w:rPr>
          <w:rFonts w:ascii="Arial" w:cs="Arial" w:eastAsia="Arial" w:hAnsi="Arial"/>
          <w:sz w:val="19"/>
          <w:szCs w:val="19"/>
          <w:color w:val="auto"/>
        </w:rPr>
        <w:t>.</w:t>
      </w:r>
    </w:p>
    <w:p>
      <w:pPr>
        <w:spacing w:after="0" w:line="98"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b w:val="1"/>
          <w:bCs w:val="1"/>
          <w:color w:val="auto"/>
        </w:rPr>
        <w:t>Sublicense Revenue Sharing Percentage</w:t>
      </w:r>
      <w:r>
        <w:rPr>
          <w:rFonts w:ascii="Arial" w:cs="Arial" w:eastAsia="Arial" w:hAnsi="Arial"/>
          <w:sz w:val="19"/>
          <w:szCs w:val="19"/>
          <w:color w:val="auto"/>
        </w:rPr>
        <w:t>. Subject to the remainder of this [***].</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89"/>
              </w:rPr>
              <w:t>The time when the sublicense agreement is executed</w:t>
            </w:r>
          </w:p>
        </w:tc>
        <w:tc>
          <w:tcPr>
            <w:tcW w:w="398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Sublicense Revenue</w:t>
            </w:r>
          </w:p>
        </w:tc>
        <w:tc>
          <w:tcPr>
            <w:tcW w:w="0" w:type="dxa"/>
            <w:vAlign w:val="bottom"/>
          </w:tcPr>
          <w:p>
            <w:pPr>
              <w:spacing w:after="0"/>
              <w:rPr>
                <w:sz w:val="1"/>
                <w:szCs w:val="1"/>
                <w:color w:val="auto"/>
              </w:rPr>
            </w:pPr>
          </w:p>
        </w:tc>
      </w:tr>
      <w:tr>
        <w:trPr>
          <w:trHeight w:val="178"/>
        </w:trPr>
        <w:tc>
          <w:tcPr>
            <w:tcW w:w="3180" w:type="dxa"/>
            <w:vAlign w:val="bottom"/>
            <w:tcBorders>
              <w:bottom w:val="single" w:sz="8" w:color="auto"/>
            </w:tcBorders>
            <w:vMerge w:val="continue"/>
          </w:tcPr>
          <w:p>
            <w:pPr>
              <w:spacing w:after="0"/>
              <w:rPr>
                <w:sz w:val="15"/>
                <w:szCs w:val="15"/>
                <w:color w:val="auto"/>
              </w:rPr>
            </w:pPr>
          </w:p>
        </w:tc>
        <w:tc>
          <w:tcPr>
            <w:tcW w:w="3980" w:type="dxa"/>
            <w:vAlign w:val="bottom"/>
          </w:tcPr>
          <w:p>
            <w:pPr>
              <w:spacing w:after="0"/>
              <w:rPr>
                <w:sz w:val="15"/>
                <w:szCs w:val="15"/>
                <w:color w:val="auto"/>
              </w:rPr>
            </w:pPr>
          </w:p>
        </w:tc>
        <w:tc>
          <w:tcPr>
            <w:tcW w:w="12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89"/>
              </w:rPr>
              <w:t>Payable to Licensor</w:t>
            </w:r>
          </w:p>
        </w:tc>
        <w:tc>
          <w:tcPr>
            <w:tcW w:w="0" w:type="dxa"/>
            <w:vAlign w:val="bottom"/>
          </w:tcPr>
          <w:p>
            <w:pPr>
              <w:spacing w:after="0"/>
              <w:rPr>
                <w:sz w:val="1"/>
                <w:szCs w:val="1"/>
                <w:color w:val="auto"/>
              </w:rPr>
            </w:pPr>
          </w:p>
        </w:tc>
      </w:tr>
      <w:tr>
        <w:trPr>
          <w:trHeight w:val="195"/>
        </w:trPr>
        <w:tc>
          <w:tcPr>
            <w:tcW w:w="3180" w:type="dxa"/>
            <w:vAlign w:val="bottom"/>
          </w:tcPr>
          <w:p>
            <w:pPr>
              <w:spacing w:after="0" w:line="195" w:lineRule="exact"/>
              <w:rPr>
                <w:sz w:val="20"/>
                <w:szCs w:val="20"/>
                <w:color w:val="auto"/>
              </w:rPr>
            </w:pPr>
            <w:r>
              <w:rPr>
                <w:rFonts w:ascii="Arial" w:cs="Arial" w:eastAsia="Arial" w:hAnsi="Arial"/>
                <w:sz w:val="22"/>
                <w:szCs w:val="22"/>
                <w:color w:val="auto"/>
              </w:rPr>
              <w:t>[***]</w:t>
            </w:r>
          </w:p>
        </w:tc>
        <w:tc>
          <w:tcPr>
            <w:tcW w:w="3980" w:type="dxa"/>
            <w:vAlign w:val="bottom"/>
          </w:tcPr>
          <w:p>
            <w:pPr>
              <w:spacing w:after="0"/>
              <w:rPr>
                <w:sz w:val="16"/>
                <w:szCs w:val="16"/>
                <w:color w:val="auto"/>
              </w:rPr>
            </w:pPr>
          </w:p>
        </w:tc>
        <w:tc>
          <w:tcPr>
            <w:tcW w:w="1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518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w:t>
            </w:r>
          </w:p>
        </w:tc>
        <w:tc>
          <w:tcPr>
            <w:tcW w:w="518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firstLine="1208"/>
        <w:spacing w:after="0" w:line="256" w:lineRule="auto"/>
        <w:tabs>
          <w:tab w:leader="none" w:pos="1632" w:val="left"/>
        </w:tabs>
        <w:numPr>
          <w:ilvl w:val="0"/>
          <w:numId w:val="530"/>
        </w:numPr>
        <w:rPr>
          <w:rFonts w:ascii="Arial" w:cs="Arial" w:eastAsia="Arial" w:hAnsi="Arial"/>
          <w:sz w:val="22"/>
          <w:szCs w:val="22"/>
          <w:b w:val="1"/>
          <w:bCs w:val="1"/>
          <w:color w:val="auto"/>
        </w:rPr>
      </w:pPr>
      <w:r>
        <w:rPr>
          <w:rFonts w:ascii="Arial" w:cs="Arial" w:eastAsia="Arial" w:hAnsi="Arial"/>
          <w:sz w:val="22"/>
          <w:szCs w:val="22"/>
          <w:b w:val="1"/>
          <w:bCs w:val="1"/>
          <w:color w:val="auto"/>
        </w:rPr>
        <w:t>Sublicense Revenue Sharing Conditions</w:t>
      </w:r>
      <w:r>
        <w:rPr>
          <w:rFonts w:ascii="Arial" w:cs="Arial" w:eastAsia="Arial" w:hAnsi="Arial"/>
          <w:sz w:val="22"/>
          <w:szCs w:val="22"/>
          <w:color w:val="auto"/>
        </w:rPr>
        <w:t>. The Sublicense Revenue sharing under this Section 5.7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following conditions:</w:t>
      </w:r>
    </w:p>
    <w:p>
      <w:pPr>
        <w:spacing w:after="0" w:line="168" w:lineRule="exact"/>
        <w:rPr>
          <w:rFonts w:ascii="Arial" w:cs="Arial" w:eastAsia="Arial" w:hAnsi="Arial"/>
          <w:sz w:val="22"/>
          <w:szCs w:val="22"/>
          <w:b w:val="1"/>
          <w:bCs w:val="1"/>
          <w:color w:val="auto"/>
        </w:rPr>
      </w:pPr>
    </w:p>
    <w:p>
      <w:pPr>
        <w:ind w:left="2120" w:hanging="422"/>
        <w:spacing w:after="0"/>
        <w:tabs>
          <w:tab w:leader="none" w:pos="2120" w:val="left"/>
        </w:tabs>
        <w:numPr>
          <w:ilvl w:val="1"/>
          <w:numId w:val="53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180" w:hanging="482"/>
        <w:spacing w:after="0"/>
        <w:tabs>
          <w:tab w:leader="none" w:pos="2180" w:val="left"/>
        </w:tabs>
        <w:numPr>
          <w:ilvl w:val="1"/>
          <w:numId w:val="53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240" w:hanging="542"/>
        <w:spacing w:after="0"/>
        <w:tabs>
          <w:tab w:leader="none" w:pos="2240" w:val="left"/>
        </w:tabs>
        <w:numPr>
          <w:ilvl w:val="1"/>
          <w:numId w:val="53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color w:val="auto"/>
        </w:rPr>
        <w:t>Third Party Payment Obligations</w:t>
      </w:r>
      <w:r>
        <w:rPr>
          <w:rFonts w:ascii="Arial" w:cs="Arial" w:eastAsia="Arial" w:hAnsi="Arial"/>
          <w:sz w:val="19"/>
          <w:szCs w:val="19"/>
          <w:color w:val="auto"/>
        </w:rPr>
        <w:t>. [***].</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880"/>
          </w:cols>
          <w:pgMar w:left="500" w:top="260" w:right="519" w:bottom="1440" w:gutter="0" w:footer="0" w:header="0"/>
        </w:sectPr>
      </w:pPr>
    </w:p>
    <w:bookmarkStart w:id="486" w:name="page487"/>
    <w:bookmarkEnd w:id="486"/>
    <w:p>
      <w:pPr>
        <w:ind w:right="20" w:firstLine="551"/>
        <w:spacing w:after="0" w:line="251" w:lineRule="auto"/>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5.9 Currency; Exchange Rate</w:t>
      </w:r>
      <w:r>
        <w:rPr>
          <w:rFonts w:ascii="Arial" w:cs="Arial" w:eastAsia="Arial" w:hAnsi="Arial"/>
          <w:sz w:val="21"/>
          <w:szCs w:val="21"/>
          <w:color w:val="auto"/>
        </w:rPr>
        <w:t>. All payments to be made by Licensee to Licensor under this Agreement shall be made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Dollars by bank wire transfer in immediately available funds to a bank account designated by written notice from Licensor. The rate of exchange to be used in computing the amount of currency equivalent in Dollars shall be made at the average of the closing exchange rates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(U.S., Eastern Edition) for the first, middle, and last business days of the applicable reporting period for the payment due.</w:t>
      </w:r>
    </w:p>
    <w:p>
      <w:pPr>
        <w:spacing w:after="0" w:line="168" w:lineRule="exact"/>
        <w:rPr>
          <w:sz w:val="20"/>
          <w:szCs w:val="20"/>
          <w:color w:val="auto"/>
        </w:rPr>
      </w:pPr>
    </w:p>
    <w:p>
      <w:pPr>
        <w:ind w:right="80" w:firstLine="551"/>
        <w:spacing w:after="0" w:line="254" w:lineRule="auto"/>
        <w:rPr>
          <w:sz w:val="20"/>
          <w:szCs w:val="20"/>
          <w:color w:val="auto"/>
        </w:rPr>
      </w:pPr>
      <w:r>
        <w:rPr>
          <w:rFonts w:ascii="Arial" w:cs="Arial" w:eastAsia="Arial" w:hAnsi="Arial"/>
          <w:sz w:val="21"/>
          <w:szCs w:val="21"/>
          <w:b w:val="1"/>
          <w:bCs w:val="1"/>
          <w:color w:val="auto"/>
        </w:rPr>
        <w:t>5.10 Blocked Currency</w:t>
      </w:r>
      <w:r>
        <w:rPr>
          <w:rFonts w:ascii="Arial" w:cs="Arial" w:eastAsia="Arial" w:hAnsi="Arial"/>
          <w:sz w:val="21"/>
          <w:szCs w:val="21"/>
          <w:color w:val="auto"/>
        </w:rPr>
        <w:t>. If the conversion of a local currency in the Territory into Dollars or transfer of funds out of a</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in the Territory becomes materially restricted, forbidden, or substantially delayed due to applicable Laws, then Licensee shall promptly notify Licensor and amounts accrued in such country may be paid by Licensee in local currency into an account in a local bank designated by Licensor, unless the Parties otherwise agree.</w:t>
      </w:r>
    </w:p>
    <w:p>
      <w:pPr>
        <w:spacing w:after="0" w:line="166" w:lineRule="exact"/>
        <w:rPr>
          <w:sz w:val="20"/>
          <w:szCs w:val="20"/>
          <w:color w:val="auto"/>
        </w:rPr>
      </w:pPr>
    </w:p>
    <w:p>
      <w:pPr>
        <w:ind w:right="120" w:firstLine="551"/>
        <w:spacing w:after="0" w:line="300" w:lineRule="auto"/>
        <w:rPr>
          <w:sz w:val="20"/>
          <w:szCs w:val="20"/>
          <w:color w:val="auto"/>
        </w:rPr>
      </w:pPr>
      <w:r>
        <w:rPr>
          <w:rFonts w:ascii="Arial" w:cs="Arial" w:eastAsia="Arial" w:hAnsi="Arial"/>
          <w:sz w:val="19"/>
          <w:szCs w:val="19"/>
          <w:b w:val="1"/>
          <w:bCs w:val="1"/>
          <w:color w:val="auto"/>
        </w:rPr>
        <w:t>5.11 Late Payments</w:t>
      </w:r>
      <w:r>
        <w:rPr>
          <w:rFonts w:ascii="Arial" w:cs="Arial" w:eastAsia="Arial" w:hAnsi="Arial"/>
          <w:sz w:val="19"/>
          <w:szCs w:val="19"/>
          <w:color w:val="auto"/>
        </w:rPr>
        <w:t>. If Licensor does not receive payment of any sum due to it on or before the due date therefor,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simple interest shall thereafter accrue on the sum due from the due date until the date of payment at a per-annum rate of prime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(U.S., Eastern Edition)) plus [***] or the maximum rate allowable by [***].</w:t>
      </w:r>
    </w:p>
    <w:p>
      <w:pPr>
        <w:spacing w:after="0" w:line="234"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18"/>
          <w:szCs w:val="18"/>
          <w:b w:val="1"/>
          <w:bCs w:val="1"/>
          <w:color w:val="auto"/>
        </w:rPr>
        <w:t>Taxes.</w:t>
      </w:r>
    </w:p>
    <w:p>
      <w:pPr>
        <w:spacing w:after="0" w:line="98" w:lineRule="exact"/>
        <w:rPr>
          <w:sz w:val="20"/>
          <w:szCs w:val="20"/>
          <w:color w:val="auto"/>
        </w:rPr>
      </w:pPr>
    </w:p>
    <w:p>
      <w:pPr>
        <w:ind w:right="700" w:firstLine="1208"/>
        <w:spacing w:after="0" w:line="256" w:lineRule="auto"/>
        <w:tabs>
          <w:tab w:leader="none" w:pos="1679" w:val="left"/>
        </w:tabs>
        <w:numPr>
          <w:ilvl w:val="0"/>
          <w:numId w:val="531"/>
        </w:numPr>
        <w:rPr>
          <w:rFonts w:ascii="Arial" w:cs="Arial" w:eastAsia="Arial" w:hAnsi="Arial"/>
          <w:sz w:val="22"/>
          <w:szCs w:val="22"/>
          <w:b w:val="1"/>
          <w:bCs w:val="1"/>
          <w:color w:val="auto"/>
        </w:rPr>
      </w:pPr>
      <w:r>
        <w:rPr>
          <w:rFonts w:ascii="Arial" w:cs="Arial" w:eastAsia="Arial" w:hAnsi="Arial"/>
          <w:sz w:val="22"/>
          <w:szCs w:val="22"/>
          <w:b w:val="1"/>
          <w:bCs w:val="1"/>
          <w:color w:val="auto"/>
        </w:rPr>
        <w:t>Taxes on Income</w:t>
      </w:r>
      <w:r>
        <w:rPr>
          <w:rFonts w:ascii="Arial" w:cs="Arial" w:eastAsia="Arial" w:hAnsi="Arial"/>
          <w:sz w:val="22"/>
          <w:szCs w:val="22"/>
          <w:color w:val="auto"/>
        </w:rPr>
        <w:t>. Each Party shall be solely responsible for all income taxes imposed on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from the other Party under this Agreement.</w:t>
      </w:r>
    </w:p>
    <w:p>
      <w:pPr>
        <w:spacing w:after="0" w:line="162" w:lineRule="exact"/>
        <w:rPr>
          <w:rFonts w:ascii="Arial" w:cs="Arial" w:eastAsia="Arial" w:hAnsi="Arial"/>
          <w:sz w:val="22"/>
          <w:szCs w:val="22"/>
          <w:b w:val="1"/>
          <w:bCs w:val="1"/>
          <w:color w:val="auto"/>
        </w:rPr>
      </w:pPr>
    </w:p>
    <w:p>
      <w:pPr>
        <w:ind w:right="20" w:firstLine="1208"/>
        <w:spacing w:after="0" w:line="243" w:lineRule="auto"/>
        <w:tabs>
          <w:tab w:leader="none" w:pos="1692" w:val="left"/>
        </w:tabs>
        <w:numPr>
          <w:ilvl w:val="0"/>
          <w:numId w:val="531"/>
        </w:numPr>
        <w:rPr>
          <w:rFonts w:ascii="Arial" w:cs="Arial" w:eastAsia="Arial" w:hAnsi="Arial"/>
          <w:sz w:val="22"/>
          <w:szCs w:val="22"/>
          <w:b w:val="1"/>
          <w:bCs w:val="1"/>
          <w:color w:val="auto"/>
        </w:rPr>
      </w:pPr>
      <w:r>
        <w:rPr>
          <w:rFonts w:ascii="Arial" w:cs="Arial" w:eastAsia="Arial" w:hAnsi="Arial"/>
          <w:sz w:val="22"/>
          <w:szCs w:val="22"/>
          <w:b w:val="1"/>
          <w:bCs w:val="1"/>
          <w:color w:val="auto"/>
        </w:rPr>
        <w:t>Indirect Taxes</w:t>
      </w:r>
      <w:r>
        <w:rPr>
          <w:rFonts w:ascii="Arial" w:cs="Arial" w:eastAsia="Arial" w:hAnsi="Arial"/>
          <w:sz w:val="22"/>
          <w:szCs w:val="22"/>
          <w:color w:val="auto"/>
        </w:rPr>
        <w:t>. All payments in this Article 5 are exclusive of indirect taxes (such as value added tax, sales</w:t>
      </w:r>
      <w:r>
        <w:rPr>
          <w:rFonts w:ascii="Arial" w:cs="Arial" w:eastAsia="Arial" w:hAnsi="Arial"/>
          <w:sz w:val="22"/>
          <w:szCs w:val="22"/>
          <w:b w:val="1"/>
          <w:bCs w:val="1"/>
          <w:color w:val="auto"/>
        </w:rPr>
        <w:t xml:space="preserve"> </w:t>
      </w:r>
      <w:r>
        <w:rPr>
          <w:rFonts w:ascii="Arial" w:cs="Arial" w:eastAsia="Arial" w:hAnsi="Arial"/>
          <w:sz w:val="22"/>
          <w:szCs w:val="22"/>
          <w:color w:val="auto"/>
        </w:rPr>
        <w:t>tax, consumption tax and other similar taxes (“</w:t>
      </w:r>
      <w:r>
        <w:rPr>
          <w:rFonts w:ascii="Arial" w:cs="Arial" w:eastAsia="Arial" w:hAnsi="Arial"/>
          <w:sz w:val="22"/>
          <w:szCs w:val="22"/>
          <w:b w:val="1"/>
          <w:bCs w:val="1"/>
          <w:color w:val="auto"/>
        </w:rPr>
        <w:t>Indirect Taxes</w:t>
      </w:r>
      <w:r>
        <w:rPr>
          <w:rFonts w:ascii="Arial" w:cs="Arial" w:eastAsia="Arial" w:hAnsi="Arial"/>
          <w:sz w:val="22"/>
          <w:szCs w:val="22"/>
          <w:color w:val="auto"/>
        </w:rPr>
        <w:t>”)). The Parties shall cooperate in accordance with applicable Law to minimize Indirect Taxes in connection with this Agreement.</w:t>
      </w:r>
    </w:p>
    <w:p>
      <w:pPr>
        <w:spacing w:after="0" w:line="176" w:lineRule="exact"/>
        <w:rPr>
          <w:rFonts w:ascii="Arial" w:cs="Arial" w:eastAsia="Arial" w:hAnsi="Arial"/>
          <w:sz w:val="22"/>
          <w:szCs w:val="22"/>
          <w:b w:val="1"/>
          <w:bCs w:val="1"/>
          <w:color w:val="auto"/>
        </w:rPr>
      </w:pPr>
    </w:p>
    <w:p>
      <w:pPr>
        <w:ind w:firstLine="1208"/>
        <w:spacing w:after="0" w:line="271" w:lineRule="auto"/>
        <w:tabs>
          <w:tab w:leader="none" w:pos="1667" w:val="left"/>
        </w:tabs>
        <w:numPr>
          <w:ilvl w:val="0"/>
          <w:numId w:val="531"/>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 and Tax Cooperation</w:t>
      </w:r>
      <w:r>
        <w:rPr>
          <w:rFonts w:ascii="Arial" w:cs="Arial" w:eastAsia="Arial" w:hAnsi="Arial"/>
          <w:sz w:val="19"/>
          <w:szCs w:val="19"/>
          <w:color w:val="auto"/>
        </w:rPr>
        <w:t>. Each Party will make all payments to the other Party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without deduction or withholding for taxes except to the extent that such withholding is required by applicable Law at the time of payment. The Parties agree to cooperate with one another and use reasonable efforts to avoid or reduce tax withholding or similar obligations in respect of all payments made under this Agreement to the fullest extent permitted by applicable Laws. To the extent Licensee is required to deduct and withhold taxes on any payment to Licensor under applicable Law, Licensee shall deduct those taxes from the remittable payment, pay the taxes to the proper tax authority in a timely manner, and promptly send proof of payment to Licensor. To the extent permitted by Law, Licensor shall provide Licensee any tax forms that may be reasonably necessary in order for Licensee to not withhold tax or to withhold tax at a reduced rate under an applicable bilateral income tax treaty. Licensor shall use reasonable efforts to provide any such tax forms to Licensee in advance of the due date. At the request and expense of Licensor, Licensee shall provide reasonable assistance to enable the recovery, to the extent permitted by Law, of withholding taxes or similar obligations resulting from payments made under this Agreement. Notwithstanding anything to the contrary in this Agreement, in the event a Party redomiciles, assigns its rights or obligations under this Agreement, or otherwise makes payments from a jurisdiction other than the jurisdiction in which such Party is organized (each, a “</w:t>
      </w:r>
      <w:r>
        <w:rPr>
          <w:rFonts w:ascii="Arial" w:cs="Arial" w:eastAsia="Arial" w:hAnsi="Arial"/>
          <w:sz w:val="19"/>
          <w:szCs w:val="19"/>
          <w:b w:val="1"/>
          <w:bCs w:val="1"/>
          <w:color w:val="auto"/>
        </w:rPr>
        <w:t>Tax Action</w:t>
      </w:r>
      <w:r>
        <w:rPr>
          <w:rFonts w:ascii="Arial" w:cs="Arial" w:eastAsia="Arial" w:hAnsi="Arial"/>
          <w:sz w:val="19"/>
          <w:szCs w:val="19"/>
          <w:color w:val="auto"/>
        </w:rPr>
        <w:t>” and such Party, the “</w:t>
      </w:r>
      <w:r>
        <w:rPr>
          <w:rFonts w:ascii="Arial" w:cs="Arial" w:eastAsia="Arial" w:hAnsi="Arial"/>
          <w:sz w:val="19"/>
          <w:szCs w:val="19"/>
          <w:b w:val="1"/>
          <w:bCs w:val="1"/>
          <w:color w:val="auto"/>
        </w:rPr>
        <w:t>Acting Party</w:t>
      </w:r>
      <w:r>
        <w:rPr>
          <w:rFonts w:ascii="Arial" w:cs="Arial" w:eastAsia="Arial" w:hAnsi="Arial"/>
          <w:sz w:val="19"/>
          <w:szCs w:val="19"/>
          <w:color w:val="auto"/>
        </w:rPr>
        <w:t>”), and as a result of such Tax Action the amount of tax required to be withheld under this Section 5.12(c) in respect of a payment owed to the other Party (the “</w:t>
      </w:r>
      <w:r>
        <w:rPr>
          <w:rFonts w:ascii="Arial" w:cs="Arial" w:eastAsia="Arial" w:hAnsi="Arial"/>
          <w:sz w:val="19"/>
          <w:szCs w:val="19"/>
          <w:b w:val="1"/>
          <w:bCs w:val="1"/>
          <w:color w:val="auto"/>
        </w:rPr>
        <w:t>Non-Acting</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is greater than the amount of such tax that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00"/>
          </w:cols>
          <w:pgMar w:left="440" w:top="260" w:right="459" w:bottom="1440" w:gutter="0" w:footer="0" w:header="0"/>
        </w:sectPr>
      </w:pPr>
    </w:p>
    <w:bookmarkStart w:id="487" w:name="page488"/>
    <w:bookmarkEnd w:id="487"/>
    <w:p>
      <w:pPr>
        <w:ind w:right="80"/>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have been required to have been withheld had such Tax Action not occurred, then any such amount payable to or by the Non-Acting Party shall be adjusted to take into account such withholding taxes or Indirect Taxes as may be necessary so that, after making all required withholdings (including withholdings on the additional amounts payable), the Non-Acting Party receives an amount equal to the sum it would have received had such Tax Action not occurred. The obligation to adjust payments pursuant to the preceding sentence shall not apply, however, to the extent such increased withholding tax (i) would not have been imposed but for a Tax Action taken by the Non-Acting Party if such Tax Action occurs after the Tax Action taken by the original Acting Party referenced in the preceding sentence or (ii) is attributable to the failure by the Non-Acting Party to comply with the requirements of this Section 5.12(c). For purposes of this Section 5.12(c), a “redomiciliation” shall include a reincorporation or other action resulting in a change in tax residence of the applicable Party or its assignee.</w:t>
      </w:r>
    </w:p>
    <w:p>
      <w:pPr>
        <w:spacing w:after="0" w:line="152" w:lineRule="exact"/>
        <w:rPr>
          <w:sz w:val="20"/>
          <w:szCs w:val="20"/>
          <w:color w:val="auto"/>
        </w:rPr>
      </w:pPr>
    </w:p>
    <w:p>
      <w:pPr>
        <w:ind w:right="20" w:firstLine="551"/>
        <w:spacing w:after="0" w:line="272" w:lineRule="auto"/>
        <w:rPr>
          <w:sz w:val="20"/>
          <w:szCs w:val="20"/>
          <w:color w:val="auto"/>
        </w:rPr>
      </w:pPr>
      <w:r>
        <w:rPr>
          <w:rFonts w:ascii="Arial" w:cs="Arial" w:eastAsia="Arial" w:hAnsi="Arial"/>
          <w:sz w:val="19"/>
          <w:szCs w:val="19"/>
          <w:b w:val="1"/>
          <w:bCs w:val="1"/>
          <w:color w:val="auto"/>
        </w:rPr>
        <w:t>5.13 Financial Records and Audit</w:t>
      </w:r>
      <w:r>
        <w:rPr>
          <w:rFonts w:ascii="Arial" w:cs="Arial" w:eastAsia="Arial" w:hAnsi="Arial"/>
          <w:sz w:val="19"/>
          <w:szCs w:val="19"/>
          <w:color w:val="auto"/>
        </w:rPr>
        <w:t>. Licensee shall maintain complete and accurate records in sufficient detail to</w:t>
      </w:r>
      <w:r>
        <w:rPr>
          <w:rFonts w:ascii="Arial" w:cs="Arial" w:eastAsia="Arial" w:hAnsi="Arial"/>
          <w:sz w:val="19"/>
          <w:szCs w:val="19"/>
          <w:b w:val="1"/>
          <w:bCs w:val="1"/>
          <w:color w:val="auto"/>
        </w:rPr>
        <w:t xml:space="preserve"> </w:t>
      </w:r>
      <w:r>
        <w:rPr>
          <w:rFonts w:ascii="Arial" w:cs="Arial" w:eastAsia="Arial" w:hAnsi="Arial"/>
          <w:sz w:val="19"/>
          <w:szCs w:val="19"/>
          <w:color w:val="auto"/>
        </w:rPr>
        <w:t>permit Licensor to confirm the accuracy of Net Sales and Sublicense Revenue reported by Licensee and the achievement of sales milestones under this Agreement. Upon at least [***] days’ written notice, such records shall be open for examination, during regular business hours, for a period of [***] years from the creation of individual records by an independent certified public accountant selected by Licensor and reasonably acceptable to Licensee, for the sole purpose of verifying for Licensor the accuracy of the financial reports provided by Licensee under this Agreement. Such audits shall be limited to once each Calendar Year and once with respect to records covering any specific period of time. Licensor shall bear the cost of such audit unless such audit reveals an underpayment by Licensee of more than [***] percent ([***]%) of the amount actually due for the time period being audited, in which case Licensee shall reimburse Licensor for the costs of such audit. Licensee shall pay to Licensor any underpayment discovered by such audit within [***] days after the accountant’s report, plus interest (as set forth in Section 5.11) from the original due date. If the audit reveals an overpayment by Licensee, then Licensee may take a credit for such overpayment against any future payments due to Licensor (if there will be no future payment due, then Licensor shall promptly refund such amount to Licensee).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RIGHTS</w:t>
      </w:r>
    </w:p>
    <w:p>
      <w:pPr>
        <w:spacing w:after="0" w:line="182" w:lineRule="exact"/>
        <w:rPr>
          <w:sz w:val="20"/>
          <w:szCs w:val="20"/>
          <w:color w:val="auto"/>
        </w:rPr>
      </w:pPr>
    </w:p>
    <w:p>
      <w:pPr>
        <w:ind w:firstLine="551"/>
        <w:spacing w:after="0" w:line="246" w:lineRule="auto"/>
        <w:rPr>
          <w:sz w:val="20"/>
          <w:szCs w:val="20"/>
          <w:color w:val="auto"/>
        </w:rPr>
      </w:pPr>
      <w:r>
        <w:rPr>
          <w:rFonts w:ascii="Arial" w:cs="Arial" w:eastAsia="Arial" w:hAnsi="Arial"/>
          <w:sz w:val="21"/>
          <w:szCs w:val="21"/>
          <w:b w:val="1"/>
          <w:bCs w:val="1"/>
          <w:color w:val="auto"/>
        </w:rPr>
        <w:t>6.1 Inventions</w:t>
      </w:r>
      <w:r>
        <w:rPr>
          <w:rFonts w:ascii="Arial" w:cs="Arial" w:eastAsia="Arial" w:hAnsi="Arial"/>
          <w:sz w:val="21"/>
          <w:szCs w:val="21"/>
          <w:color w:val="auto"/>
        </w:rPr>
        <w:t>. Ownership of all Inventions shall be based on inventorship, as determined in accordance with the rules</w:t>
      </w:r>
      <w:r>
        <w:rPr>
          <w:rFonts w:ascii="Arial" w:cs="Arial" w:eastAsia="Arial" w:hAnsi="Arial"/>
          <w:sz w:val="21"/>
          <w:szCs w:val="21"/>
          <w:b w:val="1"/>
          <w:bCs w:val="1"/>
          <w:color w:val="auto"/>
        </w:rPr>
        <w:t xml:space="preserve"> </w:t>
      </w:r>
      <w:r>
        <w:rPr>
          <w:rFonts w:ascii="Arial" w:cs="Arial" w:eastAsia="Arial" w:hAnsi="Arial"/>
          <w:sz w:val="21"/>
          <w:szCs w:val="21"/>
          <w:color w:val="auto"/>
        </w:rPr>
        <w:t>of inventorship under United States patent laws. Each Party shall solely own all Inventions invented or developed solely by or on behalf of such Party, including its and its Affiliate’s employees, contractors, and/or agents, and all intellectual property rights therein. The Parties shall jointly own all Inventions invented or developed jointly by both Parties and all intellectual property rights therein (“</w:t>
      </w:r>
      <w:r>
        <w:rPr>
          <w:rFonts w:ascii="Arial" w:cs="Arial" w:eastAsia="Arial" w:hAnsi="Arial"/>
          <w:sz w:val="21"/>
          <w:szCs w:val="21"/>
          <w:b w:val="1"/>
          <w:bCs w:val="1"/>
          <w:color w:val="auto"/>
        </w:rPr>
        <w:t>Joint Inventions</w:t>
      </w:r>
      <w:r>
        <w:rPr>
          <w:rFonts w:ascii="Arial" w:cs="Arial" w:eastAsia="Arial" w:hAnsi="Arial"/>
          <w:sz w:val="21"/>
          <w:szCs w:val="21"/>
          <w:color w:val="auto"/>
        </w:rPr>
        <w:t>”). All Patent Rights claiming Joint Inventions will be referred to as “</w:t>
      </w:r>
      <w:r>
        <w:rPr>
          <w:rFonts w:ascii="Arial" w:cs="Arial" w:eastAsia="Arial" w:hAnsi="Arial"/>
          <w:sz w:val="21"/>
          <w:szCs w:val="21"/>
          <w:b w:val="1"/>
          <w:bCs w:val="1"/>
          <w:color w:val="auto"/>
        </w:rPr>
        <w:t>Joint Patents</w:t>
      </w:r>
      <w:r>
        <w:rPr>
          <w:rFonts w:ascii="Arial" w:cs="Arial" w:eastAsia="Arial" w:hAnsi="Arial"/>
          <w:sz w:val="21"/>
          <w:szCs w:val="21"/>
          <w:color w:val="auto"/>
        </w:rPr>
        <w:t>”. Except to the extent restricted by the licenses and other rights granted to other Party under this Agreement or any other agreement between the Parties, each Party, as joint owners, shall be entitled to practice, license, assign, and otherwise exploit its interest in the Joint Inventions and to grant rights to others to practice such Joint Inventions, without the duty of accounting or requirement to seek consent from the other Party.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00"/>
          </w:cols>
          <w:pgMar w:left="440" w:top="266" w:right="459" w:bottom="1440" w:gutter="0" w:footer="0" w:header="0"/>
        </w:sectPr>
      </w:pPr>
    </w:p>
    <w:bookmarkStart w:id="488" w:name="page489"/>
    <w:bookmarkEnd w:id="488"/>
    <w:p>
      <w:pPr>
        <w:ind w:left="520"/>
        <w:spacing w:after="0"/>
        <w:tabs>
          <w:tab w:leader="none" w:pos="100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w:t>
      </w:r>
      <w:r>
        <w:rPr>
          <w:sz w:val="20"/>
          <w:szCs w:val="20"/>
          <w:color w:val="auto"/>
        </w:rPr>
        <w:tab/>
      </w:r>
      <w:r>
        <w:rPr>
          <w:rFonts w:ascii="Arial" w:cs="Arial" w:eastAsia="Arial" w:hAnsi="Arial"/>
          <w:sz w:val="18"/>
          <w:szCs w:val="18"/>
          <w:b w:val="1"/>
          <w:bCs w:val="1"/>
          <w:color w:val="auto"/>
        </w:rPr>
        <w:t>Patent Prosecution</w:t>
      </w:r>
      <w:r>
        <w:rPr>
          <w:rFonts w:ascii="Arial" w:cs="Arial" w:eastAsia="Arial" w:hAnsi="Arial"/>
          <w:sz w:val="18"/>
          <w:szCs w:val="18"/>
          <w:color w:val="auto"/>
        </w:rPr>
        <w:t>.</w:t>
      </w:r>
    </w:p>
    <w:p>
      <w:pPr>
        <w:spacing w:after="0" w:line="104" w:lineRule="exact"/>
        <w:rPr>
          <w:sz w:val="20"/>
          <w:szCs w:val="20"/>
          <w:color w:val="auto"/>
        </w:rPr>
      </w:pPr>
    </w:p>
    <w:p>
      <w:pPr>
        <w:ind w:left="-20" w:right="160" w:firstLine="1208"/>
        <w:spacing w:after="0" w:line="275" w:lineRule="auto"/>
        <w:tabs>
          <w:tab w:leader="none" w:pos="1648" w:val="left"/>
        </w:tabs>
        <w:numPr>
          <w:ilvl w:val="0"/>
          <w:numId w:val="532"/>
        </w:numPr>
        <w:rPr>
          <w:rFonts w:ascii="Arial" w:cs="Arial" w:eastAsia="Arial" w:hAnsi="Arial"/>
          <w:sz w:val="19"/>
          <w:szCs w:val="19"/>
          <w:b w:val="1"/>
          <w:bCs w:val="1"/>
          <w:color w:val="auto"/>
        </w:rPr>
      </w:pPr>
      <w:r>
        <w:rPr>
          <w:rFonts w:ascii="Arial" w:cs="Arial" w:eastAsia="Arial" w:hAnsi="Arial"/>
          <w:sz w:val="19"/>
          <w:szCs w:val="19"/>
          <w:color w:val="auto"/>
        </w:rPr>
        <w:t>As between the Parties, Licensee shall have the first right to file, prosecute, and maintain the Licensed Patents that specifically claim inventions directed to the Compound or Products (including for clarity any Joint Patents which are Licensed Patents) in the Territory (“</w:t>
      </w:r>
      <w:r>
        <w:rPr>
          <w:rFonts w:ascii="Arial" w:cs="Arial" w:eastAsia="Arial" w:hAnsi="Arial"/>
          <w:sz w:val="19"/>
          <w:szCs w:val="19"/>
          <w:b w:val="1"/>
          <w:bCs w:val="1"/>
          <w:color w:val="auto"/>
        </w:rPr>
        <w:t>Product-Specific Licensed Patents</w:t>
      </w:r>
      <w:r>
        <w:rPr>
          <w:rFonts w:ascii="Arial" w:cs="Arial" w:eastAsia="Arial" w:hAnsi="Arial"/>
          <w:sz w:val="19"/>
          <w:szCs w:val="19"/>
          <w:color w:val="auto"/>
        </w:rPr>
        <w:t xml:space="preserve">”), at Licensee’s cost and expense. As of the Effective Date, the Product-Specific Licensed Patents are expressly designated as such on </w:t>
      </w:r>
      <w:r>
        <w:rPr>
          <w:rFonts w:ascii="Arial" w:cs="Arial" w:eastAsia="Arial" w:hAnsi="Arial"/>
          <w:sz w:val="19"/>
          <w:szCs w:val="19"/>
          <w:b w:val="1"/>
          <w:bCs w:val="1"/>
          <w:color w:val="auto"/>
        </w:rPr>
        <w:t>Exhibit B</w:t>
      </w:r>
      <w:r>
        <w:rPr>
          <w:rFonts w:ascii="Arial" w:cs="Arial" w:eastAsia="Arial" w:hAnsi="Arial"/>
          <w:sz w:val="19"/>
          <w:szCs w:val="19"/>
          <w:u w:val="single" w:color="auto"/>
          <w:color w:val="auto"/>
        </w:rPr>
        <w:t>.</w:t>
      </w:r>
      <w:r>
        <w:rPr>
          <w:rFonts w:ascii="Arial" w:cs="Arial" w:eastAsia="Arial" w:hAnsi="Arial"/>
          <w:sz w:val="19"/>
          <w:szCs w:val="19"/>
          <w:color w:val="auto"/>
        </w:rPr>
        <w:t xml:space="preserve"> Promptly after the Effective Date, Licensor shall transfer the prosecution and maintenance of the Product-Specific Licensed Patents to Licensee or its counsel. As between the Parties, Licensor shall have first right to file, prosecute, and maintain the Licensed Patents (including for clarity any Joint Patents which are Licensed Patents) that are not Product-Specific Licensed Patents (“</w:t>
      </w:r>
      <w:r>
        <w:rPr>
          <w:rFonts w:ascii="Arial" w:cs="Arial" w:eastAsia="Arial" w:hAnsi="Arial"/>
          <w:sz w:val="19"/>
          <w:szCs w:val="19"/>
          <w:b w:val="1"/>
          <w:bCs w:val="1"/>
          <w:color w:val="auto"/>
        </w:rPr>
        <w:t>Non-Product-Specific Licensed Patents</w:t>
      </w:r>
      <w:r>
        <w:rPr>
          <w:rFonts w:ascii="Arial" w:cs="Arial" w:eastAsia="Arial" w:hAnsi="Arial"/>
          <w:sz w:val="19"/>
          <w:szCs w:val="19"/>
          <w:color w:val="auto"/>
        </w:rPr>
        <w:t>”) in the Territory at Licensor’s cost and expense.</w:t>
      </w:r>
    </w:p>
    <w:p>
      <w:pPr>
        <w:spacing w:after="0" w:line="157" w:lineRule="exact"/>
        <w:rPr>
          <w:rFonts w:ascii="Arial" w:cs="Arial" w:eastAsia="Arial" w:hAnsi="Arial"/>
          <w:sz w:val="19"/>
          <w:szCs w:val="19"/>
          <w:b w:val="1"/>
          <w:bCs w:val="1"/>
          <w:color w:val="auto"/>
        </w:rPr>
      </w:pPr>
    </w:p>
    <w:p>
      <w:pPr>
        <w:ind w:left="-20" w:right="120" w:firstLine="1208"/>
        <w:spacing w:after="0" w:line="246" w:lineRule="auto"/>
        <w:tabs>
          <w:tab w:leader="none" w:pos="1672" w:val="left"/>
        </w:tabs>
        <w:numPr>
          <w:ilvl w:val="0"/>
          <w:numId w:val="532"/>
        </w:numPr>
        <w:rPr>
          <w:rFonts w:ascii="Arial" w:cs="Arial" w:eastAsia="Arial" w:hAnsi="Arial"/>
          <w:sz w:val="21"/>
          <w:szCs w:val="21"/>
          <w:b w:val="1"/>
          <w:bCs w:val="1"/>
          <w:color w:val="auto"/>
        </w:rPr>
      </w:pPr>
      <w:r>
        <w:rPr>
          <w:rFonts w:ascii="Arial" w:cs="Arial" w:eastAsia="Arial" w:hAnsi="Arial"/>
          <w:sz w:val="21"/>
          <w:szCs w:val="21"/>
          <w:color w:val="auto"/>
        </w:rPr>
        <w:t>Licensee shall consult with Licensor and keep Licensor reasonably informed of the status of the Product-Specific Licensed Patents and shall promptly provide Licensor with a copy of any material correspondence received from any patent authority in the Territory in connection therewith. In addition, Licensee shall provide Licensor with drafts of proposed material filings and correspondence to any patent authority in the Territory with respect to the Product-Specific Licensed Patents for Licensor’s review and comment at least [***] business days prior to the anticipated submission date or due date (whichever is earlier), and Licensee shall reasonably consider all comments provided to Licensee by Licensor within [***] business days of Licensor receiving such draft.</w:t>
      </w:r>
    </w:p>
    <w:p>
      <w:pPr>
        <w:spacing w:after="0" w:line="184" w:lineRule="exact"/>
        <w:rPr>
          <w:rFonts w:ascii="Arial" w:cs="Arial" w:eastAsia="Arial" w:hAnsi="Arial"/>
          <w:sz w:val="21"/>
          <w:szCs w:val="21"/>
          <w:b w:val="1"/>
          <w:bCs w:val="1"/>
          <w:color w:val="auto"/>
        </w:rPr>
      </w:pPr>
    </w:p>
    <w:p>
      <w:pPr>
        <w:ind w:left="-20" w:firstLine="1208"/>
        <w:spacing w:after="0" w:line="272" w:lineRule="auto"/>
        <w:tabs>
          <w:tab w:leader="none" w:pos="1647" w:val="left"/>
        </w:tabs>
        <w:numPr>
          <w:ilvl w:val="0"/>
          <w:numId w:val="532"/>
        </w:numPr>
        <w:rPr>
          <w:rFonts w:ascii="Arial" w:cs="Arial" w:eastAsia="Arial" w:hAnsi="Arial"/>
          <w:sz w:val="19"/>
          <w:szCs w:val="19"/>
          <w:b w:val="1"/>
          <w:bCs w:val="1"/>
          <w:color w:val="auto"/>
        </w:rPr>
      </w:pPr>
      <w:r>
        <w:rPr>
          <w:rFonts w:ascii="Arial" w:cs="Arial" w:eastAsia="Arial" w:hAnsi="Arial"/>
          <w:sz w:val="19"/>
          <w:szCs w:val="19"/>
          <w:color w:val="auto"/>
        </w:rPr>
        <w:t>Licensee shall notify Licensor of any decision to cease prosecution or maintenance of any Product-Specific Licensed Patents in any country in the Territory. Licensee shall provide such notice at least [***] days prior to any filing or payment due date, or any other due date that requires action, in connection with such Product-Specific Licensed Patent. In such event, upon Licensor’s request, Licensee shall transfer all files and documents in Licensee’s possession and Control necessary for the prosecution and maintenance of such Product-Specific Licensed Patent in such country to Licensor, and thereafter Licensor shall have the right to continue prosecution or maintenance of such Product-Specific Licensed Patent in such country at Licensor’s cost and expense. Licensor shall notify Licensee of any decision to cease prosecution or maintenance of any Licensed Patents that is not a Product-Specific Licensed Patent in any country in the Territory. Licensor shall provide such notice at least [***] days prior to any filing or payment due date, or any other due date that requires action, in connection with such Licensed Patent. In such event, upon Licensee’s request, Licensor shall transfer all files and documents in Licensor’s possession and Control necessary for the prosecution and maintenance of such Licensed Patent in such country to Licensee, and thereafter Licensee shall have the right to continue prosecution or maintenance of such Licensed Patent in such country at Licensee’s cost and expense.</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ind w:left="-20" w:right="400" w:firstLine="1208"/>
        <w:spacing w:after="0" w:line="328" w:lineRule="auto"/>
        <w:tabs>
          <w:tab w:leader="none" w:pos="1672" w:val="left"/>
        </w:tabs>
        <w:numPr>
          <w:ilvl w:val="0"/>
          <w:numId w:val="532"/>
        </w:numPr>
        <w:rPr>
          <w:rFonts w:ascii="Arial" w:cs="Arial" w:eastAsia="Arial" w:hAnsi="Arial"/>
          <w:sz w:val="19"/>
          <w:szCs w:val="19"/>
          <w:b w:val="1"/>
          <w:bCs w:val="1"/>
          <w:color w:val="auto"/>
        </w:rPr>
      </w:pPr>
      <w:r>
        <w:rPr>
          <w:rFonts w:ascii="Arial" w:cs="Arial" w:eastAsia="Arial" w:hAnsi="Arial"/>
          <w:sz w:val="19"/>
          <w:szCs w:val="19"/>
          <w:color w:val="auto"/>
        </w:rPr>
        <w:t xml:space="preserve">Section 6.2(b) above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as if Licensee were Licensor and as if Licensor were Licensee with respect to the prosecution and maintenance of the Non-Product-Specific Licensed Patents.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980"/>
          </w:cols>
          <w:pgMar w:left="460" w:top="260" w:right="459" w:bottom="1440" w:gutter="0" w:footer="0" w:header="0"/>
        </w:sectPr>
      </w:pPr>
    </w:p>
    <w:bookmarkStart w:id="489" w:name="page490"/>
    <w:bookmarkEnd w:id="489"/>
    <w:p>
      <w:pPr>
        <w:ind w:firstLine="1208"/>
        <w:spacing w:after="0"/>
        <w:tabs>
          <w:tab w:leader="none" w:pos="1663" w:val="left"/>
        </w:tabs>
        <w:numPr>
          <w:ilvl w:val="0"/>
          <w:numId w:val="533"/>
        </w:numPr>
        <w:rPr>
          <w:rFonts w:ascii="Arial" w:cs="Arial" w:eastAsia="Arial" w:hAnsi="Arial"/>
          <w:sz w:val="22"/>
          <w:szCs w:val="22"/>
          <w:b w:val="1"/>
          <w:bCs w:val="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shall mutually agree on which Party will prosecute Joint Patents which are not Licensed Patents based on the contribution of each Party to such Joint Invention and each Party’s potential interest in products based upon such Joint Invention.</w:t>
      </w:r>
    </w:p>
    <w:p>
      <w:pPr>
        <w:spacing w:after="0" w:line="186" w:lineRule="exact"/>
        <w:rPr>
          <w:rFonts w:ascii="Arial" w:cs="Arial" w:eastAsia="Arial" w:hAnsi="Arial"/>
          <w:sz w:val="22"/>
          <w:szCs w:val="22"/>
          <w:b w:val="1"/>
          <w:bCs w:val="1"/>
          <w:color w:val="auto"/>
        </w:rPr>
      </w:pPr>
    </w:p>
    <w:p>
      <w:pPr>
        <w:ind w:right="100" w:firstLine="1208"/>
        <w:spacing w:after="0"/>
        <w:tabs>
          <w:tab w:leader="none" w:pos="1643" w:val="left"/>
        </w:tabs>
        <w:numPr>
          <w:ilvl w:val="0"/>
          <w:numId w:val="533"/>
        </w:numPr>
        <w:rPr>
          <w:rFonts w:ascii="Arial" w:cs="Arial" w:eastAsia="Arial" w:hAnsi="Arial"/>
          <w:sz w:val="22"/>
          <w:szCs w:val="22"/>
          <w:b w:val="1"/>
          <w:bCs w:val="1"/>
          <w:color w:val="auto"/>
        </w:rPr>
      </w:pPr>
      <w:r>
        <w:rPr>
          <w:rFonts w:ascii="Arial" w:cs="Arial" w:eastAsia="Arial" w:hAnsi="Arial"/>
          <w:sz w:val="22"/>
          <w:szCs w:val="22"/>
          <w:color w:val="auto"/>
        </w:rPr>
        <w:t>Each Party shall provide the other Party all reasonable assistance and cooperation in the patent prosecution efforts under this Section 6.2, including providing any necessary powers of attorney and executing any other required documents or instruments for such prosecution.</w:t>
      </w:r>
    </w:p>
    <w:p>
      <w:pPr>
        <w:spacing w:after="0" w:line="288"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Patent Enforcement</w:t>
      </w:r>
      <w:r>
        <w:rPr>
          <w:rFonts w:ascii="Arial" w:cs="Arial" w:eastAsia="Arial" w:hAnsi="Arial"/>
          <w:sz w:val="19"/>
          <w:szCs w:val="19"/>
          <w:color w:val="auto"/>
        </w:rPr>
        <w:t>.</w:t>
      </w:r>
    </w:p>
    <w:p>
      <w:pPr>
        <w:spacing w:after="0" w:line="98" w:lineRule="exact"/>
        <w:rPr>
          <w:sz w:val="20"/>
          <w:szCs w:val="20"/>
          <w:color w:val="auto"/>
        </w:rPr>
      </w:pPr>
    </w:p>
    <w:p>
      <w:pPr>
        <w:jc w:val="both"/>
        <w:ind w:right="200" w:firstLine="1208"/>
        <w:spacing w:after="0" w:line="300" w:lineRule="auto"/>
        <w:tabs>
          <w:tab w:leader="none" w:pos="1679" w:val="left"/>
        </w:tabs>
        <w:numPr>
          <w:ilvl w:val="0"/>
          <w:numId w:val="534"/>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Each Party shall promptly notify the other Party if it becomes aware of any alleged or threatened</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by a Third Party of any Licensed Patent (including any Joint Patents which are Licensed Patents) arising by the manufacture, use, import, or sale of a Product in the Field in the Territory (the “</w:t>
      </w:r>
      <w:r>
        <w:rPr>
          <w:rFonts w:ascii="Arial" w:cs="Arial" w:eastAsia="Arial" w:hAnsi="Arial"/>
          <w:sz w:val="19"/>
          <w:szCs w:val="19"/>
          <w:b w:val="1"/>
          <w:bCs w:val="1"/>
          <w:color w:val="auto"/>
        </w:rPr>
        <w:t>Field Infringement</w:t>
      </w:r>
      <w:r>
        <w:rPr>
          <w:rFonts w:ascii="Arial" w:cs="Arial" w:eastAsia="Arial" w:hAnsi="Arial"/>
          <w:sz w:val="19"/>
          <w:szCs w:val="19"/>
          <w:color w:val="auto"/>
        </w:rPr>
        <w:t>”).</w:t>
      </w:r>
    </w:p>
    <w:p>
      <w:pPr>
        <w:spacing w:after="0" w:line="125" w:lineRule="exact"/>
        <w:rPr>
          <w:rFonts w:ascii="Arial" w:cs="Arial" w:eastAsia="Arial" w:hAnsi="Arial"/>
          <w:sz w:val="19"/>
          <w:szCs w:val="19"/>
          <w:b w:val="1"/>
          <w:bCs w:val="1"/>
          <w:color w:val="auto"/>
        </w:rPr>
      </w:pPr>
    </w:p>
    <w:p>
      <w:pPr>
        <w:ind w:left="1680" w:hanging="472"/>
        <w:spacing w:after="0"/>
        <w:tabs>
          <w:tab w:leader="none" w:pos="1680" w:val="left"/>
        </w:tabs>
        <w:numPr>
          <w:ilvl w:val="0"/>
          <w:numId w:val="534"/>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r>
        <w:rPr>
          <w:rFonts w:ascii="Arial" w:cs="Arial" w:eastAsia="Arial" w:hAnsi="Arial"/>
          <w:sz w:val="22"/>
          <w:szCs w:val="22"/>
          <w:color w:val="auto"/>
        </w:rPr>
        <w:t>. [***].</w:t>
      </w:r>
    </w:p>
    <w:p>
      <w:pPr>
        <w:spacing w:after="0" w:line="206"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34"/>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w:t>
      </w:r>
    </w:p>
    <w:p>
      <w:pPr>
        <w:spacing w:after="0" w:line="206"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34"/>
        </w:numPr>
        <w:rPr>
          <w:rFonts w:ascii="Arial" w:cs="Arial" w:eastAsia="Arial" w:hAnsi="Arial"/>
          <w:sz w:val="22"/>
          <w:szCs w:val="22"/>
          <w:b w:val="1"/>
          <w:bCs w:val="1"/>
          <w:color w:val="auto"/>
        </w:rPr>
      </w:pPr>
      <w:r>
        <w:rPr>
          <w:rFonts w:ascii="Arial" w:cs="Arial" w:eastAsia="Arial" w:hAnsi="Arial"/>
          <w:sz w:val="22"/>
          <w:szCs w:val="22"/>
          <w:b w:val="1"/>
          <w:bCs w:val="1"/>
          <w:color w:val="auto"/>
        </w:rPr>
        <w:t>Recovery</w:t>
      </w:r>
      <w:r>
        <w:rPr>
          <w:rFonts w:ascii="Arial" w:cs="Arial" w:eastAsia="Arial" w:hAnsi="Arial"/>
          <w:sz w:val="22"/>
          <w:szCs w:val="22"/>
          <w:color w:val="auto"/>
        </w:rPr>
        <w:t>. [***].</w:t>
      </w:r>
    </w:p>
    <w:p>
      <w:pPr>
        <w:spacing w:after="0" w:line="206" w:lineRule="exact"/>
        <w:rPr>
          <w:sz w:val="20"/>
          <w:szCs w:val="20"/>
          <w:color w:val="auto"/>
        </w:rPr>
      </w:pPr>
    </w:p>
    <w:p>
      <w:pPr>
        <w:ind w:right="60" w:firstLine="551"/>
        <w:spacing w:after="0" w:line="278" w:lineRule="auto"/>
        <w:rPr>
          <w:sz w:val="20"/>
          <w:szCs w:val="20"/>
          <w:color w:val="auto"/>
        </w:rPr>
      </w:pPr>
      <w:r>
        <w:rPr>
          <w:rFonts w:ascii="Arial" w:cs="Arial" w:eastAsia="Arial" w:hAnsi="Arial"/>
          <w:sz w:val="19"/>
          <w:szCs w:val="19"/>
          <w:b w:val="1"/>
          <w:bCs w:val="1"/>
          <w:color w:val="auto"/>
        </w:rPr>
        <w:t>6.4 Defense of Licensed Patents</w:t>
      </w:r>
      <w:r>
        <w:rPr>
          <w:rFonts w:ascii="Arial" w:cs="Arial" w:eastAsia="Arial" w:hAnsi="Arial"/>
          <w:sz w:val="19"/>
          <w:szCs w:val="19"/>
          <w:color w:val="auto"/>
        </w:rPr>
        <w:t>. In the event that a Party receives notice of any claim alleging the invalidity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unenforceability of any Licensed Patent, such Party shall bring such claim to the attention of the other Party, including all relevant information related to such claim. The Parties, through the JSC, shall discuss such claim. Where such allegation is made in an opposition, reexamination, interference, or other patent office proceeding or a declaratory judgement action, then the provisions of Section 6.2 shall apply to determine the Parties’ respective rights and obligations with respect to such allegation; provided however that if a Party wishes to bring an infringement claim to enforce the Licensed Patent, then the provisions of Section 6.3 shall apply to determine the Parties’ respective rights and obligations with respect to such allegation.</w:t>
      </w:r>
    </w:p>
    <w:p>
      <w:pPr>
        <w:spacing w:after="0" w:line="151" w:lineRule="exact"/>
        <w:rPr>
          <w:sz w:val="20"/>
          <w:szCs w:val="20"/>
          <w:color w:val="auto"/>
        </w:rPr>
      </w:pPr>
    </w:p>
    <w:p>
      <w:pPr>
        <w:ind w:firstLine="1212"/>
        <w:spacing w:after="0" w:line="279" w:lineRule="auto"/>
        <w:rPr>
          <w:sz w:val="20"/>
          <w:szCs w:val="20"/>
          <w:color w:val="auto"/>
        </w:rPr>
      </w:pPr>
      <w:r>
        <w:rPr>
          <w:rFonts w:ascii="Arial" w:cs="Arial" w:eastAsia="Arial" w:hAnsi="Arial"/>
          <w:sz w:val="19"/>
          <w:szCs w:val="19"/>
          <w:color w:val="auto"/>
        </w:rPr>
        <w:t>Each Party shall provide to the Party defending any such rights under this Section 6.4 all reasonable assistance in such enforcement, at such defending Party’s request and expense. The defending Party shall keep the other Party reasonably informed of the status and progress of such efforts, and shall reasonably consider the other Party’s comments on any such efforts. Without the prior written consent of the other Party (not to be unreasonably withheld), neither Party shall enter into any settlement of any claim, suit, or action that it defended under this Section 6.4 that admits the invalidity or unenforceability of any Licensed Patent or otherwise adversely impacts the other Party’s interest therein.</w:t>
      </w:r>
    </w:p>
    <w:p>
      <w:pPr>
        <w:spacing w:after="0" w:line="144" w:lineRule="exact"/>
        <w:rPr>
          <w:sz w:val="20"/>
          <w:szCs w:val="20"/>
          <w:color w:val="auto"/>
        </w:rPr>
      </w:pPr>
    </w:p>
    <w:p>
      <w:pPr>
        <w:jc w:val="both"/>
        <w:ind w:right="140" w:firstLine="551"/>
        <w:spacing w:after="0" w:line="243" w:lineRule="auto"/>
        <w:rPr>
          <w:sz w:val="20"/>
          <w:szCs w:val="20"/>
          <w:color w:val="auto"/>
        </w:rPr>
      </w:pPr>
      <w:r>
        <w:rPr>
          <w:rFonts w:ascii="Arial" w:cs="Arial" w:eastAsia="Arial" w:hAnsi="Arial"/>
          <w:sz w:val="22"/>
          <w:szCs w:val="22"/>
          <w:b w:val="1"/>
          <w:bCs w:val="1"/>
          <w:color w:val="auto"/>
        </w:rPr>
        <w:t>6.5 Defense of Third Party Claims</w:t>
      </w:r>
      <w:r>
        <w:rPr>
          <w:rFonts w:ascii="Arial" w:cs="Arial" w:eastAsia="Arial" w:hAnsi="Arial"/>
          <w:sz w:val="22"/>
          <w:szCs w:val="22"/>
          <w:color w:val="auto"/>
        </w:rPr>
        <w:t>. If a claim is brought by a Third Party alleging infringement of a Patent Right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Third Party by the Development, manufacture, or Commercialization of the Product, the Party first having notice of the claim or assertion shall promptly notify the other Party, [***].</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980"/>
          </w:cols>
          <w:pgMar w:left="440" w:top="266" w:right="479" w:bottom="1440" w:gutter="0" w:footer="0" w:header="0"/>
        </w:sectPr>
      </w:pPr>
    </w:p>
    <w:bookmarkStart w:id="490" w:name="page491"/>
    <w:bookmarkEnd w:id="490"/>
    <w:p>
      <w:pPr>
        <w:ind w:left="540"/>
        <w:spacing w:after="0"/>
        <w:tabs>
          <w:tab w:leader="none" w:pos="1020" w:val="left"/>
        </w:tabs>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6.6</w:t>
      </w:r>
      <w:r>
        <w:rPr>
          <w:sz w:val="20"/>
          <w:szCs w:val="20"/>
          <w:color w:val="auto"/>
        </w:rPr>
        <w:tab/>
      </w:r>
      <w:r>
        <w:rPr>
          <w:rFonts w:ascii="Arial" w:cs="Arial" w:eastAsia="Arial" w:hAnsi="Arial"/>
          <w:sz w:val="19"/>
          <w:szCs w:val="19"/>
          <w:b w:val="1"/>
          <w:bCs w:val="1"/>
          <w:color w:val="auto"/>
        </w:rPr>
        <w:t>Bankruptcy Protection</w:t>
      </w:r>
      <w:r>
        <w:rPr>
          <w:rFonts w:ascii="Arial" w:cs="Arial" w:eastAsia="Arial" w:hAnsi="Arial"/>
          <w:sz w:val="19"/>
          <w:szCs w:val="19"/>
          <w:color w:val="auto"/>
        </w:rPr>
        <w:t>. All licenses granted by Licensor to Licensee under this Agreement are and shall</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otherwise be deemed to be, for purposes of Section 365(n) of Title 11, United States Code or foreign equivalent laws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licenses of rights to “intellectual property” as defined in Section 101 of the Bankruptcy Code. Licensee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shall retain and may fully exercise all of its rights and elections under the Bankruptcy Code. Upon the bankruptcy of Licensor,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Licensee shall further be entitled to a complete duplicate of, or complete access to, any such intellectual property, and such, if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 already in its possession, shall be promptly delivered to Licensee, unless Licensor elects to continue, and continues,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perform all of its obligations under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ind w:right="160" w:firstLine="551"/>
        <w:spacing w:after="0" w:line="237" w:lineRule="auto"/>
        <w:rPr>
          <w:sz w:val="20"/>
          <w:szCs w:val="20"/>
          <w:color w:val="auto"/>
        </w:rPr>
      </w:pPr>
      <w:r>
        <w:rPr>
          <w:rFonts w:ascii="Arial" w:cs="Arial" w:eastAsia="Arial" w:hAnsi="Arial"/>
          <w:sz w:val="22"/>
          <w:szCs w:val="22"/>
          <w:b w:val="1"/>
          <w:bCs w:val="1"/>
          <w:color w:val="auto"/>
        </w:rPr>
        <w:t>7.1 Confidentiality Obligations</w:t>
      </w:r>
      <w:r>
        <w:rPr>
          <w:rFonts w:ascii="Arial" w:cs="Arial" w:eastAsia="Arial" w:hAnsi="Arial"/>
          <w:sz w:val="22"/>
          <w:szCs w:val="22"/>
          <w:color w:val="auto"/>
        </w:rPr>
        <w:t>. Except to the extent expressly authorized by this Agreement or otherwise agreed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by the Parties, each Party agrees that, during the Term of this Agreement and ten (10) years thereafter, it shall keep confidential and shall not publish or otherwise disclose and shall not use for any purpose other than as provided for in this Agreement (which includes the exercise of any rights or the performance of any obligations hereunder) any Confidential Information of the other Party.</w:t>
      </w:r>
    </w:p>
    <w:p>
      <w:pPr>
        <w:spacing w:after="0" w:line="182" w:lineRule="exact"/>
        <w:rPr>
          <w:sz w:val="20"/>
          <w:szCs w:val="20"/>
          <w:color w:val="auto"/>
        </w:rPr>
      </w:pPr>
    </w:p>
    <w:p>
      <w:pPr>
        <w:ind w:right="80" w:firstLine="551"/>
        <w:spacing w:after="0" w:line="256" w:lineRule="auto"/>
        <w:rPr>
          <w:sz w:val="20"/>
          <w:szCs w:val="20"/>
          <w:color w:val="auto"/>
        </w:rPr>
      </w:pPr>
      <w:r>
        <w:rPr>
          <w:rFonts w:ascii="Arial" w:cs="Arial" w:eastAsia="Arial" w:hAnsi="Arial"/>
          <w:sz w:val="22"/>
          <w:szCs w:val="22"/>
          <w:b w:val="1"/>
          <w:bCs w:val="1"/>
          <w:color w:val="auto"/>
        </w:rPr>
        <w:t>7.2 Exceptions</w:t>
      </w:r>
      <w:r>
        <w:rPr>
          <w:rFonts w:ascii="Arial" w:cs="Arial" w:eastAsia="Arial" w:hAnsi="Arial"/>
          <w:sz w:val="22"/>
          <w:szCs w:val="22"/>
          <w:color w:val="auto"/>
        </w:rPr>
        <w:t>. The obligations set forth in Section 7.1 shall not apply to any information that the receiving Party can</w:t>
      </w:r>
      <w:r>
        <w:rPr>
          <w:rFonts w:ascii="Arial" w:cs="Arial" w:eastAsia="Arial" w:hAnsi="Arial"/>
          <w:sz w:val="22"/>
          <w:szCs w:val="22"/>
          <w:b w:val="1"/>
          <w:bCs w:val="1"/>
          <w:color w:val="auto"/>
        </w:rPr>
        <w:t xml:space="preserve"> </w:t>
      </w:r>
      <w:r>
        <w:rPr>
          <w:rFonts w:ascii="Arial" w:cs="Arial" w:eastAsia="Arial" w:hAnsi="Arial"/>
          <w:sz w:val="22"/>
          <w:szCs w:val="22"/>
          <w:color w:val="auto"/>
        </w:rPr>
        <w:t>demonstrate that such information:</w:t>
      </w:r>
    </w:p>
    <w:p>
      <w:pPr>
        <w:spacing w:after="0" w:line="168" w:lineRule="exact"/>
        <w:rPr>
          <w:sz w:val="20"/>
          <w:szCs w:val="20"/>
          <w:color w:val="auto"/>
        </w:rPr>
      </w:pPr>
    </w:p>
    <w:p>
      <w:pPr>
        <w:ind w:right="300" w:firstLine="1208"/>
        <w:spacing w:after="0" w:line="328" w:lineRule="auto"/>
        <w:tabs>
          <w:tab w:leader="none" w:pos="1679" w:val="left"/>
        </w:tabs>
        <w:numPr>
          <w:ilvl w:val="0"/>
          <w:numId w:val="535"/>
        </w:numPr>
        <w:rPr>
          <w:rFonts w:ascii="Arial" w:cs="Arial" w:eastAsia="Arial" w:hAnsi="Arial"/>
          <w:sz w:val="19"/>
          <w:szCs w:val="19"/>
          <w:b w:val="1"/>
          <w:bCs w:val="1"/>
          <w:color w:val="auto"/>
        </w:rPr>
      </w:pPr>
      <w:r>
        <w:rPr>
          <w:rFonts w:ascii="Arial" w:cs="Arial" w:eastAsia="Arial" w:hAnsi="Arial"/>
          <w:sz w:val="19"/>
          <w:szCs w:val="19"/>
          <w:color w:val="auto"/>
        </w:rPr>
        <w:t>is known by the receiving Party at the time of its receipt without an obligation of confidentiality, and not through a prior disclosure by the disclosing Party, as documented by the receiving Party’s business records;</w:t>
      </w:r>
    </w:p>
    <w:p>
      <w:pPr>
        <w:spacing w:after="0" w:line="104" w:lineRule="exact"/>
        <w:rPr>
          <w:rFonts w:ascii="Arial" w:cs="Arial" w:eastAsia="Arial" w:hAnsi="Arial"/>
          <w:sz w:val="19"/>
          <w:szCs w:val="19"/>
          <w:b w:val="1"/>
          <w:bCs w:val="1"/>
          <w:color w:val="auto"/>
        </w:rPr>
      </w:pPr>
    </w:p>
    <w:p>
      <w:pPr>
        <w:ind w:right="260" w:firstLine="1208"/>
        <w:spacing w:after="0" w:line="250" w:lineRule="auto"/>
        <w:tabs>
          <w:tab w:leader="none" w:pos="1692" w:val="left"/>
        </w:tabs>
        <w:numPr>
          <w:ilvl w:val="0"/>
          <w:numId w:val="535"/>
        </w:numPr>
        <w:rPr>
          <w:rFonts w:ascii="Arial" w:cs="Arial" w:eastAsia="Arial" w:hAnsi="Arial"/>
          <w:sz w:val="22"/>
          <w:szCs w:val="22"/>
          <w:b w:val="1"/>
          <w:bCs w:val="1"/>
          <w:color w:val="auto"/>
        </w:rPr>
      </w:pPr>
      <w:r>
        <w:rPr>
          <w:rFonts w:ascii="Arial" w:cs="Arial" w:eastAsia="Arial" w:hAnsi="Arial"/>
          <w:sz w:val="22"/>
          <w:szCs w:val="22"/>
          <w:color w:val="auto"/>
        </w:rPr>
        <w:t>is in the public domain before its receipt from the disclosing Party, or thereafter enters the public domain other than through the receiving Party’s breach of the confidentiality obligations set forth herein;</w:t>
      </w:r>
    </w:p>
    <w:p>
      <w:pPr>
        <w:spacing w:after="0" w:line="174" w:lineRule="exact"/>
        <w:rPr>
          <w:rFonts w:ascii="Arial" w:cs="Arial" w:eastAsia="Arial" w:hAnsi="Arial"/>
          <w:sz w:val="22"/>
          <w:szCs w:val="22"/>
          <w:b w:val="1"/>
          <w:bCs w:val="1"/>
          <w:color w:val="auto"/>
        </w:rPr>
      </w:pPr>
    </w:p>
    <w:p>
      <w:pPr>
        <w:ind w:right="200" w:firstLine="1208"/>
        <w:spacing w:after="0" w:line="250" w:lineRule="auto"/>
        <w:tabs>
          <w:tab w:leader="none" w:pos="1667" w:val="left"/>
        </w:tabs>
        <w:numPr>
          <w:ilvl w:val="0"/>
          <w:numId w:val="535"/>
        </w:numPr>
        <w:rPr>
          <w:rFonts w:ascii="Arial" w:cs="Arial" w:eastAsia="Arial" w:hAnsi="Arial"/>
          <w:sz w:val="22"/>
          <w:szCs w:val="22"/>
          <w:b w:val="1"/>
          <w:bCs w:val="1"/>
          <w:color w:val="auto"/>
        </w:rPr>
      </w:pPr>
      <w:r>
        <w:rPr>
          <w:rFonts w:ascii="Arial" w:cs="Arial" w:eastAsia="Arial" w:hAnsi="Arial"/>
          <w:sz w:val="22"/>
          <w:szCs w:val="22"/>
          <w:color w:val="auto"/>
        </w:rPr>
        <w:t>is subsequently disclosed to the receiving Party by a Third Party who may lawfully do so and is not under an obligation of confidentiality to the disclosing Party; or</w:t>
      </w:r>
    </w:p>
    <w:p>
      <w:pPr>
        <w:spacing w:after="0" w:line="174" w:lineRule="exact"/>
        <w:rPr>
          <w:rFonts w:ascii="Arial" w:cs="Arial" w:eastAsia="Arial" w:hAnsi="Arial"/>
          <w:sz w:val="22"/>
          <w:szCs w:val="22"/>
          <w:b w:val="1"/>
          <w:bCs w:val="1"/>
          <w:color w:val="auto"/>
        </w:rPr>
      </w:pPr>
    </w:p>
    <w:p>
      <w:pPr>
        <w:ind w:right="420" w:firstLine="1208"/>
        <w:spacing w:after="0" w:line="250" w:lineRule="auto"/>
        <w:tabs>
          <w:tab w:leader="none" w:pos="1692" w:val="left"/>
        </w:tabs>
        <w:numPr>
          <w:ilvl w:val="0"/>
          <w:numId w:val="535"/>
        </w:numPr>
        <w:rPr>
          <w:rFonts w:ascii="Arial" w:cs="Arial" w:eastAsia="Arial" w:hAnsi="Arial"/>
          <w:sz w:val="22"/>
          <w:szCs w:val="22"/>
          <w:b w:val="1"/>
          <w:bCs w:val="1"/>
          <w:color w:val="auto"/>
        </w:rPr>
      </w:pPr>
      <w:r>
        <w:rPr>
          <w:rFonts w:ascii="Arial" w:cs="Arial" w:eastAsia="Arial" w:hAnsi="Arial"/>
          <w:sz w:val="22"/>
          <w:szCs w:val="22"/>
          <w:color w:val="auto"/>
        </w:rPr>
        <w:t>is developed by the receiving Party independently and without use of, or reference to, any Confidential Information of the disclosing Party, as documented by the receiving Party’s business records.</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79" w:lineRule="exact"/>
        <w:rPr>
          <w:sz w:val="20"/>
          <w:szCs w:val="20"/>
          <w:color w:val="auto"/>
        </w:rPr>
      </w:pPr>
    </w:p>
    <w:p>
      <w:pPr>
        <w:ind w:right="260" w:firstLine="551"/>
        <w:spacing w:after="0" w:line="256" w:lineRule="auto"/>
        <w:rPr>
          <w:sz w:val="20"/>
          <w:szCs w:val="20"/>
          <w:color w:val="auto"/>
        </w:rPr>
      </w:pPr>
      <w:r>
        <w:rPr>
          <w:rFonts w:ascii="Arial" w:cs="Arial" w:eastAsia="Arial" w:hAnsi="Arial"/>
          <w:sz w:val="22"/>
          <w:szCs w:val="22"/>
          <w:b w:val="1"/>
          <w:bCs w:val="1"/>
          <w:color w:val="auto"/>
        </w:rPr>
        <w:t>7.3 Authorized Disclosures</w:t>
      </w:r>
      <w:r>
        <w:rPr>
          <w:rFonts w:ascii="Arial" w:cs="Arial" w:eastAsia="Arial" w:hAnsi="Arial"/>
          <w:sz w:val="22"/>
          <w:szCs w:val="22"/>
          <w:color w:val="auto"/>
        </w:rPr>
        <w:t>. Notwithstanding the obligations set forth in Sections 7.1 and 7.5, a Party may disclose</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Party’s Confidential Information to the extent:</w:t>
      </w:r>
    </w:p>
    <w:p>
      <w:pPr>
        <w:spacing w:after="0" w:line="168" w:lineRule="exact"/>
        <w:rPr>
          <w:sz w:val="20"/>
          <w:szCs w:val="20"/>
          <w:color w:val="auto"/>
        </w:rPr>
      </w:pPr>
    </w:p>
    <w:p>
      <w:pPr>
        <w:ind w:right="100" w:firstLine="1208"/>
        <w:spacing w:after="0"/>
        <w:tabs>
          <w:tab w:leader="none" w:pos="1679" w:val="left"/>
        </w:tabs>
        <w:numPr>
          <w:ilvl w:val="0"/>
          <w:numId w:val="536"/>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(i) for the filing, prosecution, and enforcement of Patent Rights as contemplated by this Agreement in Article 6; (ii) in connection with regulatory filings for a Product; or (iii) disclosure to its and its Affiliates’ employees,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00"/>
          </w:cols>
          <w:pgMar w:left="440" w:top="260" w:right="459" w:bottom="1440" w:gutter="0" w:footer="0" w:header="0"/>
        </w:sectPr>
      </w:pPr>
    </w:p>
    <w:bookmarkStart w:id="491" w:name="page492"/>
    <w:bookmarkEnd w:id="491"/>
    <w:p>
      <w:pPr>
        <w:jc w:val="both"/>
        <w:ind w:right="2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consultants, contractors, and agents, in each case on a need-to-know basis in connection with the exercise of its rights or the performance of its obligations under this Agreement, including the Development, manufacture, or Commercialization of any Product in accordance with the terms of this Agreement;</w:t>
      </w:r>
    </w:p>
    <w:p>
      <w:pPr>
        <w:spacing w:after="0" w:line="186" w:lineRule="exact"/>
        <w:rPr>
          <w:sz w:val="20"/>
          <w:szCs w:val="20"/>
          <w:color w:val="auto"/>
        </w:rPr>
      </w:pPr>
    </w:p>
    <w:p>
      <w:pPr>
        <w:ind w:firstLine="1208"/>
        <w:spacing w:after="0" w:line="279" w:lineRule="auto"/>
        <w:tabs>
          <w:tab w:leader="none" w:pos="1692" w:val="left"/>
        </w:tabs>
        <w:numPr>
          <w:ilvl w:val="0"/>
          <w:numId w:val="537"/>
        </w:numPr>
        <w:rPr>
          <w:rFonts w:ascii="Arial" w:cs="Arial" w:eastAsia="Arial" w:hAnsi="Arial"/>
          <w:sz w:val="19"/>
          <w:szCs w:val="19"/>
          <w:b w:val="1"/>
          <w:bCs w:val="1"/>
          <w:color w:val="auto"/>
        </w:rPr>
      </w:pPr>
      <w:r>
        <w:rPr>
          <w:rFonts w:ascii="Arial" w:cs="Arial" w:eastAsia="Arial" w:hAnsi="Arial"/>
          <w:sz w:val="19"/>
          <w:szCs w:val="19"/>
          <w:color w:val="auto"/>
        </w:rPr>
        <w:t>such disclosure is reasonably necessary: (i) to such Party’s directors, attorneys, independent accountants, or financial advisors for the purpose of enabling such directors, attorneys, independent accountants, or financial advisors to provide advice to such Party; or (ii) to actual or potential investors, acquirors, sublicensees, and other financial or business partners for the purpose of evaluating or carrying out an actual or potential investment, acquisition, collaboration, or other business relationship; provided that in each such case on the condition that such recipients are bound by confidentiality and non-use obligations substantially consistent with those contained in this Agreement prior to such disclosure;</w:t>
      </w:r>
    </w:p>
    <w:p>
      <w:pPr>
        <w:spacing w:after="0" w:line="150" w:lineRule="exact"/>
        <w:rPr>
          <w:rFonts w:ascii="Arial" w:cs="Arial" w:eastAsia="Arial" w:hAnsi="Arial"/>
          <w:sz w:val="19"/>
          <w:szCs w:val="19"/>
          <w:b w:val="1"/>
          <w:bCs w:val="1"/>
          <w:color w:val="auto"/>
        </w:rPr>
      </w:pPr>
    </w:p>
    <w:p>
      <w:pPr>
        <w:ind w:right="160" w:firstLine="1208"/>
        <w:spacing w:after="0" w:line="246" w:lineRule="auto"/>
        <w:tabs>
          <w:tab w:leader="none" w:pos="1667" w:val="left"/>
        </w:tabs>
        <w:numPr>
          <w:ilvl w:val="0"/>
          <w:numId w:val="537"/>
        </w:numPr>
        <w:rPr>
          <w:rFonts w:ascii="Arial" w:cs="Arial" w:eastAsia="Arial" w:hAnsi="Arial"/>
          <w:sz w:val="21"/>
          <w:szCs w:val="21"/>
          <w:b w:val="1"/>
          <w:bCs w:val="1"/>
          <w:color w:val="auto"/>
        </w:rPr>
      </w:pPr>
      <w:r>
        <w:rPr>
          <w:rFonts w:ascii="Arial" w:cs="Arial" w:eastAsia="Arial" w:hAnsi="Arial"/>
          <w:sz w:val="21"/>
          <w:szCs w:val="21"/>
          <w:color w:val="auto"/>
        </w:rPr>
        <w:t>such disclosure is required by applicable Laws or judicial or administrative process (including regulations promulgated by securities exchanges), provided that in such event such Party shall promptly inform the other Party of such required disclosure and provide the other Party an opportunity to challenge or limit the disclosure obligations. Confidential Information that is disclosed pursuant to this Section 7.3(c) shall remain otherwise subject to the confidentiality and non-use provisions of this Article 7, and the Party disclosing Confidential Information pursuant to Law or court order shall take steps reasonably necessary, including seeking to obtain confidential treatment or a protective order, to ensure the continued confidential treatment of such Confidential Information.</w:t>
      </w:r>
    </w:p>
    <w:p>
      <w:pPr>
        <w:spacing w:after="0" w:line="178" w:lineRule="exact"/>
        <w:rPr>
          <w:sz w:val="20"/>
          <w:szCs w:val="20"/>
          <w:color w:val="auto"/>
        </w:rPr>
      </w:pPr>
    </w:p>
    <w:p>
      <w:pPr>
        <w:ind w:right="360" w:firstLine="551"/>
        <w:spacing w:after="0" w:line="237" w:lineRule="auto"/>
        <w:rPr>
          <w:sz w:val="20"/>
          <w:szCs w:val="20"/>
          <w:color w:val="auto"/>
        </w:rPr>
      </w:pPr>
      <w:r>
        <w:rPr>
          <w:rFonts w:ascii="Arial" w:cs="Arial" w:eastAsia="Arial" w:hAnsi="Arial"/>
          <w:sz w:val="22"/>
          <w:szCs w:val="22"/>
          <w:b w:val="1"/>
          <w:bCs w:val="1"/>
          <w:color w:val="auto"/>
        </w:rPr>
        <w:t>7.4 Technical Publication</w:t>
      </w:r>
      <w:r>
        <w:rPr>
          <w:rFonts w:ascii="Arial" w:cs="Arial" w:eastAsia="Arial" w:hAnsi="Arial"/>
          <w:sz w:val="22"/>
          <w:szCs w:val="22"/>
          <w:color w:val="auto"/>
        </w:rPr>
        <w:t>. Licensee shall have the sole right, in its discretion, to publish or otherwise disclose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of and other information regarding any Development activities performed under this Agreement by or on behalf of Licensee with respect to the Compound and Product. Licensor shall not publish or otherwise disclose any information regarding the Compound or Product without Licensee’s prior written consent (not to be unreasonably withheld, delayed, or conditioned), to be given on a case-by-case basis.</w:t>
      </w:r>
    </w:p>
    <w:p>
      <w:pPr>
        <w:spacing w:after="0" w:line="290"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w:t>
      </w:r>
    </w:p>
    <w:p>
      <w:pPr>
        <w:spacing w:after="0" w:line="104" w:lineRule="exact"/>
        <w:rPr>
          <w:sz w:val="20"/>
          <w:szCs w:val="20"/>
          <w:color w:val="auto"/>
        </w:rPr>
      </w:pPr>
    </w:p>
    <w:p>
      <w:pPr>
        <w:ind w:firstLine="1208"/>
        <w:spacing w:after="0" w:line="274" w:lineRule="auto"/>
        <w:tabs>
          <w:tab w:leader="none" w:pos="1676" w:val="left"/>
        </w:tabs>
        <w:numPr>
          <w:ilvl w:val="0"/>
          <w:numId w:val="538"/>
        </w:numPr>
        <w:rPr>
          <w:rFonts w:ascii="Arial" w:cs="Arial" w:eastAsia="Arial" w:hAnsi="Arial"/>
          <w:sz w:val="19"/>
          <w:szCs w:val="19"/>
          <w:b w:val="1"/>
          <w:bCs w:val="1"/>
          <w:color w:val="auto"/>
        </w:rPr>
      </w:pPr>
      <w:r>
        <w:rPr>
          <w:rFonts w:ascii="Arial" w:cs="Arial" w:eastAsia="Arial" w:hAnsi="Arial"/>
          <w:sz w:val="19"/>
          <w:szCs w:val="19"/>
          <w:color w:val="auto"/>
        </w:rPr>
        <w:t xml:space="preserve">The Parties have agreed on language of a joint press release announcing this Agreement, which is attached hereto as </w:t>
      </w:r>
      <w:r>
        <w:rPr>
          <w:rFonts w:ascii="Arial" w:cs="Arial" w:eastAsia="Arial" w:hAnsi="Arial"/>
          <w:sz w:val="19"/>
          <w:szCs w:val="19"/>
          <w:b w:val="1"/>
          <w:bCs w:val="1"/>
          <w:color w:val="auto"/>
        </w:rPr>
        <w:t>Exhibit F</w:t>
      </w:r>
      <w:r>
        <w:rPr>
          <w:rFonts w:ascii="Arial" w:cs="Arial" w:eastAsia="Arial" w:hAnsi="Arial"/>
          <w:sz w:val="19"/>
          <w:szCs w:val="19"/>
          <w:color w:val="auto"/>
        </w:rPr>
        <w:t>, to be issued by the Parties promptly after the Effective Date. Subject to the rest of this Section 7.5, no disclosure of the terms of this Agreement may be made by either Party, and neither Party shall use the name, trademark, trade name, or logo of the other Party, its Affiliates, or their respective employee(s) in any publicity, promotion, news release, or disclosure relating to this Agreement or its subject matter, without the prior express written permission of the other Party, except that is, in the opinion of the disclosing Party’s counsel, required by Law or rules of a securities exchange. Following the initial joint press release announcing this Agreement, either Party shall be free to disclose or publicize, without the other Party’s prior written consent, the existence of this Agreement, the identity of the other Party, and those terms of the Agreement which have already been publicly disclosed in accordance herewith.</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980"/>
          </w:cols>
          <w:pgMar w:left="440" w:top="266" w:right="479" w:bottom="1440" w:gutter="0" w:footer="0" w:header="0"/>
        </w:sectPr>
      </w:pPr>
    </w:p>
    <w:bookmarkStart w:id="492" w:name="page493"/>
    <w:bookmarkEnd w:id="492"/>
    <w:p>
      <w:pPr>
        <w:ind w:firstLine="1208"/>
        <w:spacing w:after="0" w:line="246" w:lineRule="auto"/>
        <w:tabs>
          <w:tab w:leader="none" w:pos="1680" w:val="left"/>
        </w:tabs>
        <w:numPr>
          <w:ilvl w:val="0"/>
          <w:numId w:val="539"/>
        </w:numPr>
        <w:rPr>
          <w:rFonts w:ascii="Arial" w:cs="Arial" w:eastAsia="Arial" w:hAnsi="Arial"/>
          <w:sz w:val="21"/>
          <w:szCs w:val="21"/>
          <w:b w:val="1"/>
          <w:bCs w:val="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Party may disclose this Agreement and its terms in securities filings with the Securities Exchange Commission or other Government Authorities to the extent, in the opinion of the disclosing Party’s counsel, is required by Law or rules of a securities exchange after complying with the procedure set forth in this Section 7.5. In such event, the Party seeking such disclosure will provide a copy of the proposed disclosure to the other Party, and the other Party agrees to promptly (and in any event, no less than seven (7) days after receipt of such proposed disclosure) give its input in a reasonable manner in order to allow the Party seeking disclosure to make such required disclosure within the time lines proscribed by applicable Laws or rules of a securities exchange.</w:t>
      </w:r>
    </w:p>
    <w:p>
      <w:pPr>
        <w:spacing w:after="0" w:line="184" w:lineRule="exact"/>
        <w:rPr>
          <w:rFonts w:ascii="Arial" w:cs="Arial" w:eastAsia="Arial" w:hAnsi="Arial"/>
          <w:sz w:val="21"/>
          <w:szCs w:val="21"/>
          <w:b w:val="1"/>
          <w:bCs w:val="1"/>
          <w:color w:val="auto"/>
        </w:rPr>
      </w:pPr>
    </w:p>
    <w:p>
      <w:pPr>
        <w:jc w:val="both"/>
        <w:ind w:right="20" w:firstLine="1208"/>
        <w:spacing w:after="0" w:line="297" w:lineRule="auto"/>
        <w:tabs>
          <w:tab w:leader="none" w:pos="1667" w:val="left"/>
        </w:tabs>
        <w:numPr>
          <w:ilvl w:val="0"/>
          <w:numId w:val="539"/>
        </w:numPr>
        <w:rPr>
          <w:rFonts w:ascii="Arial" w:cs="Arial" w:eastAsia="Arial" w:hAnsi="Arial"/>
          <w:sz w:val="19"/>
          <w:szCs w:val="19"/>
          <w:b w:val="1"/>
          <w:bCs w:val="1"/>
          <w:color w:val="auto"/>
        </w:rPr>
      </w:pPr>
      <w:r>
        <w:rPr>
          <w:rFonts w:ascii="Arial" w:cs="Arial" w:eastAsia="Arial" w:hAnsi="Arial"/>
          <w:sz w:val="19"/>
          <w:szCs w:val="19"/>
          <w:color w:val="auto"/>
        </w:rPr>
        <w:t>Each Party acknowledges that the other Party may be legally required to make public disclosures (including in filings with the Securities Exchange Commission) of certain material developments or material information generated under this Agreement and agrees that each Party may make such disclosures as required by Law or rules of a securities exchange.</w:t>
      </w:r>
    </w:p>
    <w:p>
      <w:pPr>
        <w:spacing w:after="0" w:line="128"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7.6</w:t>
        <w:tab/>
        <w:t>Prior CDA</w:t>
      </w:r>
      <w:r>
        <w:rPr>
          <w:rFonts w:ascii="Arial" w:cs="Arial" w:eastAsia="Arial" w:hAnsi="Arial"/>
          <w:sz w:val="22"/>
          <w:szCs w:val="22"/>
          <w:color w:val="auto"/>
        </w:rPr>
        <w:t>. [***].</w:t>
      </w:r>
    </w:p>
    <w:p>
      <w:pPr>
        <w:spacing w:after="0" w:line="206" w:lineRule="exact"/>
        <w:rPr>
          <w:sz w:val="20"/>
          <w:szCs w:val="20"/>
          <w:color w:val="auto"/>
        </w:rPr>
      </w:pPr>
    </w:p>
    <w:p>
      <w:pPr>
        <w:ind w:right="120" w:firstLine="551"/>
        <w:spacing w:after="0" w:line="283" w:lineRule="auto"/>
        <w:rPr>
          <w:sz w:val="20"/>
          <w:szCs w:val="20"/>
          <w:color w:val="auto"/>
        </w:rPr>
      </w:pPr>
      <w:r>
        <w:rPr>
          <w:rFonts w:ascii="Arial" w:cs="Arial" w:eastAsia="Arial" w:hAnsi="Arial"/>
          <w:sz w:val="19"/>
          <w:szCs w:val="19"/>
          <w:b w:val="1"/>
          <w:bCs w:val="1"/>
          <w:color w:val="auto"/>
        </w:rPr>
        <w:t>7.7 Equitable Relief</w:t>
      </w:r>
      <w:r>
        <w:rPr>
          <w:rFonts w:ascii="Arial" w:cs="Arial" w:eastAsia="Arial" w:hAnsi="Arial"/>
          <w:sz w:val="19"/>
          <w:szCs w:val="19"/>
          <w:color w:val="auto"/>
        </w:rPr>
        <w:t>. Each Party acknowledges that a breach of this Article 7 may not reasonably or adequately be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compensated in damages in an action at law and that such a breach may cause the other Party irreparable injury and damage. Therefore each Party agrees that the other Party shall be entitled, in addition to any other remedies it may have under this Agreement or otherwise, to preliminary and permanent injunctive and other equitable relief to prevent or curtail any breach of the obligations relating to Confidential Information set forth in this Agreement.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w:t>
      </w:r>
    </w:p>
    <w:p>
      <w:pPr>
        <w:spacing w:after="0" w:line="182"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Mutual Representations and Warranties</w:t>
      </w:r>
      <w:r>
        <w:rPr>
          <w:rFonts w:ascii="Arial" w:cs="Arial" w:eastAsia="Arial" w:hAnsi="Arial"/>
          <w:sz w:val="19"/>
          <w:szCs w:val="19"/>
          <w:color w:val="auto"/>
        </w:rPr>
        <w:t>. Each Party hereby represents, warrants, and covenants (as applicable)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to the other Party, as of the Effective Date, as follows:</w:t>
      </w:r>
    </w:p>
    <w:p>
      <w:pPr>
        <w:spacing w:after="0" w:line="188" w:lineRule="exact"/>
        <w:rPr>
          <w:sz w:val="20"/>
          <w:szCs w:val="20"/>
          <w:color w:val="auto"/>
        </w:rPr>
      </w:pPr>
    </w:p>
    <w:p>
      <w:pPr>
        <w:ind w:right="40" w:firstLine="1208"/>
        <w:spacing w:after="0" w:line="252" w:lineRule="auto"/>
        <w:tabs>
          <w:tab w:leader="none" w:pos="1679" w:val="left"/>
        </w:tabs>
        <w:numPr>
          <w:ilvl w:val="0"/>
          <w:numId w:val="540"/>
        </w:numPr>
        <w:rPr>
          <w:rFonts w:ascii="Arial" w:cs="Arial" w:eastAsia="Arial" w:hAnsi="Arial"/>
          <w:sz w:val="21"/>
          <w:szCs w:val="21"/>
          <w:b w:val="1"/>
          <w:bCs w:val="1"/>
          <w:color w:val="auto"/>
        </w:rPr>
      </w:pPr>
      <w:r>
        <w:rPr>
          <w:rFonts w:ascii="Arial" w:cs="Arial" w:eastAsia="Arial" w:hAnsi="Arial"/>
          <w:sz w:val="21"/>
          <w:szCs w:val="21"/>
          <w:color w:val="auto"/>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73" w:lineRule="exact"/>
        <w:rPr>
          <w:rFonts w:ascii="Arial" w:cs="Arial" w:eastAsia="Arial" w:hAnsi="Arial"/>
          <w:sz w:val="21"/>
          <w:szCs w:val="21"/>
          <w:b w:val="1"/>
          <w:bCs w:val="1"/>
          <w:color w:val="auto"/>
        </w:rPr>
      </w:pPr>
    </w:p>
    <w:p>
      <w:pPr>
        <w:ind w:right="140" w:firstLine="1208"/>
        <w:spacing w:after="0" w:line="236" w:lineRule="auto"/>
        <w:tabs>
          <w:tab w:leader="none" w:pos="1692" w:val="left"/>
        </w:tabs>
        <w:numPr>
          <w:ilvl w:val="0"/>
          <w:numId w:val="540"/>
        </w:numPr>
        <w:rPr>
          <w:rFonts w:ascii="Arial" w:cs="Arial" w:eastAsia="Arial" w:hAnsi="Arial"/>
          <w:sz w:val="22"/>
          <w:szCs w:val="22"/>
          <w:b w:val="1"/>
          <w:bCs w:val="1"/>
          <w:color w:val="auto"/>
        </w:rPr>
      </w:pPr>
      <w:r>
        <w:rPr>
          <w:rFonts w:ascii="Arial" w:cs="Arial" w:eastAsia="Arial" w:hAnsi="Arial"/>
          <w:sz w:val="22"/>
          <w:szCs w:val="22"/>
          <w:color w:val="auto"/>
        </w:rPr>
        <w:t>(i) it has the corporate power and authority and the legal right to enter into 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w:t>
      </w:r>
    </w:p>
    <w:p>
      <w:pPr>
        <w:spacing w:after="0" w:line="187" w:lineRule="exact"/>
        <w:rPr>
          <w:rFonts w:ascii="Arial" w:cs="Arial" w:eastAsia="Arial" w:hAnsi="Arial"/>
          <w:sz w:val="22"/>
          <w:szCs w:val="22"/>
          <w:b w:val="1"/>
          <w:bCs w:val="1"/>
          <w:color w:val="auto"/>
        </w:rPr>
      </w:pPr>
    </w:p>
    <w:p>
      <w:pPr>
        <w:ind w:right="360" w:firstLine="1208"/>
        <w:spacing w:after="0" w:line="250" w:lineRule="auto"/>
        <w:tabs>
          <w:tab w:leader="none" w:pos="1667" w:val="left"/>
        </w:tabs>
        <w:numPr>
          <w:ilvl w:val="0"/>
          <w:numId w:val="540"/>
        </w:numPr>
        <w:rPr>
          <w:rFonts w:ascii="Arial" w:cs="Arial" w:eastAsia="Arial" w:hAnsi="Arial"/>
          <w:sz w:val="22"/>
          <w:szCs w:val="22"/>
          <w:b w:val="1"/>
          <w:bCs w:val="1"/>
          <w:color w:val="auto"/>
        </w:rPr>
      </w:pPr>
      <w:r>
        <w:rPr>
          <w:rFonts w:ascii="Arial" w:cs="Arial" w:eastAsia="Arial" w:hAnsi="Arial"/>
          <w:sz w:val="22"/>
          <w:szCs w:val="22"/>
          <w:color w:val="auto"/>
        </w:rPr>
        <w:t>it is not a party to any agreement that would materially prevent it from granting the rights granted to the other Party under this Agreement or performing its obligations under the Agreement; and</w:t>
      </w:r>
    </w:p>
    <w:p>
      <w:pPr>
        <w:spacing w:after="0" w:line="174" w:lineRule="exact"/>
        <w:rPr>
          <w:rFonts w:ascii="Arial" w:cs="Arial" w:eastAsia="Arial" w:hAnsi="Arial"/>
          <w:sz w:val="22"/>
          <w:szCs w:val="22"/>
          <w:b w:val="1"/>
          <w:bCs w:val="1"/>
          <w:color w:val="auto"/>
        </w:rPr>
      </w:pPr>
    </w:p>
    <w:p>
      <w:pPr>
        <w:ind w:right="240" w:firstLine="1208"/>
        <w:spacing w:after="0" w:line="250" w:lineRule="auto"/>
        <w:tabs>
          <w:tab w:leader="none" w:pos="1692" w:val="left"/>
        </w:tabs>
        <w:numPr>
          <w:ilvl w:val="0"/>
          <w:numId w:val="540"/>
        </w:numPr>
        <w:rPr>
          <w:rFonts w:ascii="Arial" w:cs="Arial" w:eastAsia="Arial" w:hAnsi="Arial"/>
          <w:sz w:val="22"/>
          <w:szCs w:val="22"/>
          <w:b w:val="1"/>
          <w:bCs w:val="1"/>
          <w:color w:val="auto"/>
        </w:rPr>
      </w:pPr>
      <w:r>
        <w:rPr>
          <w:rFonts w:ascii="Arial" w:cs="Arial" w:eastAsia="Arial" w:hAnsi="Arial"/>
          <w:sz w:val="22"/>
          <w:szCs w:val="22"/>
          <w:color w:val="auto"/>
        </w:rPr>
        <w:t>it shall comply in all material aspects with all applicable Laws in the course of performing its obligations and exercising its rights under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00"/>
          </w:cols>
          <w:pgMar w:left="440" w:top="266" w:right="459" w:bottom="1440" w:gutter="0" w:footer="0" w:header="0"/>
        </w:sectPr>
      </w:pPr>
    </w:p>
    <w:bookmarkStart w:id="493" w:name="page494"/>
    <w:bookmarkEnd w:id="493"/>
    <w:p>
      <w:pPr>
        <w:ind w:right="220" w:firstLine="55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 Additional Representations and Warranties of Licensor</w:t>
      </w:r>
      <w:r>
        <w:rPr>
          <w:rFonts w:ascii="Arial" w:cs="Arial" w:eastAsia="Arial" w:hAnsi="Arial"/>
          <w:sz w:val="22"/>
          <w:szCs w:val="22"/>
          <w:color w:val="auto"/>
        </w:rPr>
        <w:t>. Licensor hereby represents, warrants, and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(as applicable) to Licensee that as of the Effective Date:</w:t>
      </w:r>
    </w:p>
    <w:p>
      <w:pPr>
        <w:spacing w:after="0" w:line="168" w:lineRule="exact"/>
        <w:rPr>
          <w:sz w:val="20"/>
          <w:szCs w:val="20"/>
          <w:color w:val="auto"/>
        </w:rPr>
      </w:pPr>
    </w:p>
    <w:p>
      <w:pPr>
        <w:ind w:left="1680" w:hanging="472"/>
        <w:spacing w:after="0"/>
        <w:tabs>
          <w:tab w:leader="none" w:pos="1680" w:val="left"/>
        </w:tabs>
        <w:numPr>
          <w:ilvl w:val="0"/>
          <w:numId w:val="54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right="960" w:firstLine="1208"/>
        <w:spacing w:after="0" w:line="328" w:lineRule="auto"/>
        <w:tabs>
          <w:tab w:leader="none" w:pos="1692" w:val="left"/>
        </w:tabs>
        <w:numPr>
          <w:ilvl w:val="0"/>
          <w:numId w:val="541"/>
        </w:numPr>
        <w:rPr>
          <w:rFonts w:ascii="Arial" w:cs="Arial" w:eastAsia="Arial" w:hAnsi="Arial"/>
          <w:sz w:val="19"/>
          <w:szCs w:val="19"/>
          <w:b w:val="1"/>
          <w:bCs w:val="1"/>
          <w:color w:val="auto"/>
        </w:rPr>
      </w:pPr>
      <w:r>
        <w:rPr>
          <w:rFonts w:ascii="Arial" w:cs="Arial" w:eastAsia="Arial" w:hAnsi="Arial"/>
          <w:sz w:val="19"/>
          <w:szCs w:val="19"/>
          <w:color w:val="auto"/>
        </w:rPr>
        <w:t>Licensor has not granted, and will not grant during the Term, any license or right in the Licensed Technology that are inconsistent with the licenses and rights granted to Licensee under this Agreement;</w:t>
      </w:r>
    </w:p>
    <w:p>
      <w:pPr>
        <w:spacing w:after="0" w:line="104" w:lineRule="exact"/>
        <w:rPr>
          <w:rFonts w:ascii="Arial" w:cs="Arial" w:eastAsia="Arial" w:hAnsi="Arial"/>
          <w:sz w:val="19"/>
          <w:szCs w:val="19"/>
          <w:b w:val="1"/>
          <w:bCs w:val="1"/>
          <w:color w:val="auto"/>
        </w:rPr>
      </w:pPr>
    </w:p>
    <w:p>
      <w:pPr>
        <w:ind w:right="220" w:firstLine="1208"/>
        <w:spacing w:after="0"/>
        <w:tabs>
          <w:tab w:leader="none" w:pos="1667" w:val="left"/>
        </w:tabs>
        <w:numPr>
          <w:ilvl w:val="0"/>
          <w:numId w:val="541"/>
        </w:numPr>
        <w:rPr>
          <w:rFonts w:ascii="Arial" w:cs="Arial" w:eastAsia="Arial" w:hAnsi="Arial"/>
          <w:sz w:val="22"/>
          <w:szCs w:val="22"/>
          <w:b w:val="1"/>
          <w:bCs w:val="1"/>
          <w:color w:val="auto"/>
        </w:rPr>
      </w:pPr>
      <w:r>
        <w:rPr>
          <w:rFonts w:ascii="Arial" w:cs="Arial" w:eastAsia="Arial" w:hAnsi="Arial"/>
          <w:sz w:val="22"/>
          <w:szCs w:val="22"/>
          <w:color w:val="auto"/>
        </w:rPr>
        <w:t>Licensor and its Affiliates have not received any written notice from any Third Party asserting or alleging that the research, Development, or manufacture of the Compound or Product infringed or misappropriated the intellectual property rights of such Third Party;</w:t>
      </w:r>
    </w:p>
    <w:p>
      <w:pPr>
        <w:spacing w:after="0" w:line="186"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41"/>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right="520" w:firstLine="1208"/>
        <w:spacing w:after="0"/>
        <w:tabs>
          <w:tab w:leader="none" w:pos="1667" w:val="left"/>
        </w:tabs>
        <w:numPr>
          <w:ilvl w:val="0"/>
          <w:numId w:val="541"/>
        </w:numPr>
        <w:rPr>
          <w:rFonts w:ascii="Arial" w:cs="Arial" w:eastAsia="Arial" w:hAnsi="Arial"/>
          <w:sz w:val="22"/>
          <w:szCs w:val="22"/>
          <w:b w:val="1"/>
          <w:bCs w:val="1"/>
          <w:color w:val="auto"/>
        </w:rPr>
      </w:pPr>
      <w:r>
        <w:rPr>
          <w:rFonts w:ascii="Arial" w:cs="Arial" w:eastAsia="Arial" w:hAnsi="Arial"/>
          <w:sz w:val="22"/>
          <w:szCs w:val="22"/>
          <w:color w:val="auto"/>
        </w:rPr>
        <w:t>there are no pending or, to the knowledge of Licensor and its Affiliates, alleged or threatened, adverse actions, suits, proceedings, or claims against Licensor or its Affiliates involving the Licensed Technology, Compound, or Product;</w:t>
      </w:r>
    </w:p>
    <w:p>
      <w:pPr>
        <w:spacing w:after="0" w:line="186" w:lineRule="exact"/>
        <w:rPr>
          <w:rFonts w:ascii="Arial" w:cs="Arial" w:eastAsia="Arial" w:hAnsi="Arial"/>
          <w:sz w:val="22"/>
          <w:szCs w:val="22"/>
          <w:b w:val="1"/>
          <w:bCs w:val="1"/>
          <w:color w:val="auto"/>
        </w:rPr>
      </w:pPr>
    </w:p>
    <w:p>
      <w:pPr>
        <w:ind w:right="940" w:firstLine="1208"/>
        <w:spacing w:after="0" w:line="250" w:lineRule="auto"/>
        <w:tabs>
          <w:tab w:leader="none" w:pos="1643" w:val="left"/>
        </w:tabs>
        <w:numPr>
          <w:ilvl w:val="0"/>
          <w:numId w:val="541"/>
        </w:numPr>
        <w:rPr>
          <w:rFonts w:ascii="Arial" w:cs="Arial" w:eastAsia="Arial" w:hAnsi="Arial"/>
          <w:sz w:val="22"/>
          <w:szCs w:val="22"/>
          <w:b w:val="1"/>
          <w:bCs w:val="1"/>
          <w:color w:val="auto"/>
        </w:rPr>
      </w:pPr>
      <w:r>
        <w:rPr>
          <w:rFonts w:ascii="Arial" w:cs="Arial" w:eastAsia="Arial" w:hAnsi="Arial"/>
          <w:sz w:val="22"/>
          <w:szCs w:val="22"/>
          <w:color w:val="auto"/>
        </w:rPr>
        <w:t>Licensor and its Affiliates are not aware of any infringement or misappropriation of any Licensed Technology by any Third Party;</w:t>
      </w:r>
    </w:p>
    <w:p>
      <w:pPr>
        <w:spacing w:after="0" w:line="168" w:lineRule="exact"/>
        <w:rPr>
          <w:rFonts w:ascii="Arial" w:cs="Arial" w:eastAsia="Arial" w:hAnsi="Arial"/>
          <w:sz w:val="22"/>
          <w:szCs w:val="22"/>
          <w:b w:val="1"/>
          <w:bCs w:val="1"/>
          <w:color w:val="auto"/>
        </w:rPr>
      </w:pPr>
    </w:p>
    <w:p>
      <w:pPr>
        <w:ind w:right="180" w:firstLine="1208"/>
        <w:spacing w:after="0" w:line="243" w:lineRule="auto"/>
        <w:tabs>
          <w:tab w:leader="none" w:pos="1679" w:val="left"/>
        </w:tabs>
        <w:numPr>
          <w:ilvl w:val="0"/>
          <w:numId w:val="5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Exhibit B </w:t>
      </w:r>
      <w:r>
        <w:rPr>
          <w:rFonts w:ascii="Arial" w:cs="Arial" w:eastAsia="Arial" w:hAnsi="Arial"/>
          <w:sz w:val="22"/>
          <w:szCs w:val="22"/>
          <w:color w:val="auto"/>
        </w:rPr>
        <w:t>includes all Patent Rights Controlled by Licensor and its Affiliates as of the Effective Date that</w:t>
      </w:r>
      <w:r>
        <w:rPr>
          <w:rFonts w:ascii="Arial" w:cs="Arial" w:eastAsia="Arial" w:hAnsi="Arial"/>
          <w:sz w:val="22"/>
          <w:szCs w:val="22"/>
          <w:b w:val="1"/>
          <w:bCs w:val="1"/>
          <w:color w:val="auto"/>
        </w:rPr>
        <w:t xml:space="preserve"> </w:t>
      </w:r>
      <w:r>
        <w:rPr>
          <w:rFonts w:ascii="Arial" w:cs="Arial" w:eastAsia="Arial" w:hAnsi="Arial"/>
          <w:sz w:val="22"/>
          <w:szCs w:val="22"/>
          <w:color w:val="auto"/>
        </w:rPr>
        <w:t>claim or cover the Compound or Product (including composition of matter and methods of making and using the Compound and Product) as they exist as of the Effective Date;</w:t>
      </w:r>
    </w:p>
    <w:p>
      <w:pPr>
        <w:spacing w:after="0" w:line="182"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41"/>
        </w:numPr>
        <w:rPr>
          <w:rFonts w:ascii="Arial" w:cs="Arial" w:eastAsia="Arial" w:hAnsi="Arial"/>
          <w:sz w:val="22"/>
          <w:szCs w:val="22"/>
          <w:b w:val="1"/>
          <w:bCs w:val="1"/>
          <w:color w:val="auto"/>
        </w:rPr>
      </w:pPr>
      <w:r>
        <w:rPr>
          <w:rFonts w:ascii="Arial" w:cs="Arial" w:eastAsia="Arial" w:hAnsi="Arial"/>
          <w:sz w:val="22"/>
          <w:szCs w:val="22"/>
          <w:color w:val="auto"/>
        </w:rPr>
        <w:t>there is no pending or, or to the knowledge of Licensor and its Affiliates, alleged or threatened,</w:t>
      </w:r>
    </w:p>
    <w:p>
      <w:pPr>
        <w:spacing w:after="0" w:line="8" w:lineRule="exact"/>
        <w:rPr>
          <w:sz w:val="20"/>
          <w:szCs w:val="20"/>
          <w:color w:val="auto"/>
        </w:rPr>
      </w:pPr>
    </w:p>
    <w:p>
      <w:pPr>
        <w:ind w:right="580"/>
        <w:spacing w:after="0" w:line="236" w:lineRule="auto"/>
        <w:rPr>
          <w:sz w:val="20"/>
          <w:szCs w:val="20"/>
          <w:color w:val="auto"/>
        </w:rPr>
      </w:pPr>
      <w:r>
        <w:rPr>
          <w:rFonts w:ascii="Arial" w:cs="Arial" w:eastAsia="Arial" w:hAnsi="Arial"/>
          <w:sz w:val="22"/>
          <w:szCs w:val="22"/>
          <w:color w:val="auto"/>
        </w:rPr>
        <w:t>re-examination, opposition, interference, or litigation, or any written communication alleging that any Licensed Patent is invalid or unenforceable anywhere in the world;</w:t>
      </w:r>
    </w:p>
    <w:p>
      <w:pPr>
        <w:spacing w:after="0" w:line="187" w:lineRule="exact"/>
        <w:rPr>
          <w:sz w:val="20"/>
          <w:szCs w:val="20"/>
          <w:color w:val="auto"/>
        </w:rPr>
      </w:pPr>
    </w:p>
    <w:p>
      <w:pPr>
        <w:ind w:firstLine="1208"/>
        <w:spacing w:after="0"/>
        <w:tabs>
          <w:tab w:leader="none" w:pos="1631" w:val="left"/>
        </w:tabs>
        <w:numPr>
          <w:ilvl w:val="0"/>
          <w:numId w:val="542"/>
        </w:numPr>
        <w:rPr>
          <w:rFonts w:ascii="Arial" w:cs="Arial" w:eastAsia="Arial" w:hAnsi="Arial"/>
          <w:sz w:val="22"/>
          <w:szCs w:val="22"/>
          <w:b w:val="1"/>
          <w:bCs w:val="1"/>
          <w:color w:val="auto"/>
        </w:rPr>
      </w:pPr>
      <w:r>
        <w:rPr>
          <w:rFonts w:ascii="Arial" w:cs="Arial" w:eastAsia="Arial" w:hAnsi="Arial"/>
          <w:sz w:val="22"/>
          <w:szCs w:val="22"/>
          <w:color w:val="auto"/>
        </w:rPr>
        <w:t>all application, registration, maintenance, and renewal fees in respect of the Licensed Patents have been paid and all necessary documents and certificates for the purpose of maintaining the Licensed Patents have been filed with the applicable Government Authority, except as would not have an adverse effect;</w:t>
      </w:r>
    </w:p>
    <w:p>
      <w:pPr>
        <w:spacing w:after="0" w:line="186" w:lineRule="exact"/>
        <w:rPr>
          <w:rFonts w:ascii="Arial" w:cs="Arial" w:eastAsia="Arial" w:hAnsi="Arial"/>
          <w:sz w:val="22"/>
          <w:szCs w:val="22"/>
          <w:b w:val="1"/>
          <w:bCs w:val="1"/>
          <w:color w:val="auto"/>
        </w:rPr>
      </w:pPr>
    </w:p>
    <w:p>
      <w:pPr>
        <w:ind w:right="220" w:firstLine="1208"/>
        <w:spacing w:after="0" w:line="238" w:lineRule="auto"/>
        <w:tabs>
          <w:tab w:leader="none" w:pos="1643" w:val="left"/>
        </w:tabs>
        <w:numPr>
          <w:ilvl w:val="0"/>
          <w:numId w:val="542"/>
        </w:numPr>
        <w:rPr>
          <w:rFonts w:ascii="Arial" w:cs="Arial" w:eastAsia="Arial" w:hAnsi="Arial"/>
          <w:sz w:val="22"/>
          <w:szCs w:val="22"/>
          <w:b w:val="1"/>
          <w:bCs w:val="1"/>
          <w:color w:val="auto"/>
        </w:rPr>
      </w:pPr>
      <w:r>
        <w:rPr>
          <w:rFonts w:ascii="Arial" w:cs="Arial" w:eastAsia="Arial" w:hAnsi="Arial"/>
          <w:sz w:val="22"/>
          <w:szCs w:val="22"/>
          <w:color w:val="auto"/>
        </w:rPr>
        <w:t>Licensor and its Affiliates (including their contractors) have complied with all applicable Laws in connection with the Development of the Compound and Product, except as would not have an adverse effect, and have not used any employee, consultant, or contractor who has been debarred by any Regulatory Authority, or to its knowledge, is the subject of a debarment proceeding by any Regulatory Authority; and</w:t>
      </w:r>
    </w:p>
    <w:p>
      <w:pPr>
        <w:spacing w:after="0" w:line="184"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42"/>
        </w:numPr>
        <w:rPr>
          <w:rFonts w:ascii="Arial" w:cs="Arial" w:eastAsia="Arial" w:hAnsi="Arial"/>
          <w:sz w:val="19"/>
          <w:szCs w:val="19"/>
          <w:b w:val="1"/>
          <w:bCs w:val="1"/>
          <w:color w:val="auto"/>
        </w:rPr>
      </w:pPr>
      <w:r>
        <w:rPr>
          <w:rFonts w:ascii="Arial" w:cs="Arial" w:eastAsia="Arial" w:hAnsi="Arial"/>
          <w:sz w:val="19"/>
          <w:szCs w:val="19"/>
          <w:color w:val="auto"/>
        </w:rPr>
        <w:t>Licensor has provided Licensee with complete and accurate copies of all INDs held by Licensor for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Product;</w:t>
      </w:r>
    </w:p>
    <w:p>
      <w:pPr>
        <w:spacing w:after="0" w:line="188" w:lineRule="exact"/>
        <w:rPr>
          <w:rFonts w:ascii="Arial" w:cs="Arial" w:eastAsia="Arial" w:hAnsi="Arial"/>
          <w:sz w:val="19"/>
          <w:szCs w:val="19"/>
          <w:b w:val="1"/>
          <w:bCs w:val="1"/>
          <w:color w:val="auto"/>
        </w:rPr>
      </w:pPr>
    </w:p>
    <w:p>
      <w:pPr>
        <w:ind w:right="620" w:firstLine="1208"/>
        <w:spacing w:after="0" w:line="250" w:lineRule="auto"/>
        <w:tabs>
          <w:tab w:leader="none" w:pos="1631" w:val="left"/>
        </w:tabs>
        <w:numPr>
          <w:ilvl w:val="0"/>
          <w:numId w:val="542"/>
        </w:numPr>
        <w:rPr>
          <w:rFonts w:ascii="Arial" w:cs="Arial" w:eastAsia="Arial" w:hAnsi="Arial"/>
          <w:sz w:val="22"/>
          <w:szCs w:val="22"/>
          <w:b w:val="1"/>
          <w:bCs w:val="1"/>
          <w:color w:val="auto"/>
        </w:rPr>
      </w:pPr>
      <w:r>
        <w:rPr>
          <w:rFonts w:ascii="Arial" w:cs="Arial" w:eastAsia="Arial" w:hAnsi="Arial"/>
          <w:sz w:val="22"/>
          <w:szCs w:val="22"/>
          <w:color w:val="auto"/>
        </w:rPr>
        <w:t>all Regulatory Materials filed by Licensor with respect to the Product were, at the time of filing, true, complete and accurate, except as would not have an adverse effect;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00"/>
          </w:cols>
          <w:pgMar w:left="440" w:top="260" w:right="459" w:bottom="1440" w:gutter="0" w:footer="0" w:header="0"/>
        </w:sectPr>
      </w:pPr>
    </w:p>
    <w:bookmarkStart w:id="494" w:name="page495"/>
    <w:bookmarkEnd w:id="494"/>
    <w:p>
      <w:pPr>
        <w:ind w:right="320" w:firstLine="1208"/>
        <w:spacing w:after="0" w:line="297" w:lineRule="auto"/>
        <w:tabs>
          <w:tab w:leader="none" w:pos="1751" w:val="left"/>
        </w:tabs>
        <w:numPr>
          <w:ilvl w:val="0"/>
          <w:numId w:val="543"/>
        </w:numPr>
        <w:rPr>
          <w:rFonts w:ascii="Arial" w:cs="Arial" w:eastAsia="Arial" w:hAnsi="Arial"/>
          <w:sz w:val="19"/>
          <w:szCs w:val="19"/>
          <w:b w:val="1"/>
          <w:bCs w:val="1"/>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Licensor has disclosed all material facts required to be disclosed with respect to the Product to each applicable Regulatory Authority, and Licensor has filed with the applicable Regulatory Authority all material and required notices, and all required reports and other Regulatory Materials with respect to each IND held by Licensor for the Product;</w:t>
      </w:r>
    </w:p>
    <w:p>
      <w:pPr>
        <w:spacing w:after="0" w:line="133" w:lineRule="exact"/>
        <w:rPr>
          <w:rFonts w:ascii="Arial" w:cs="Arial" w:eastAsia="Arial" w:hAnsi="Arial"/>
          <w:sz w:val="19"/>
          <w:szCs w:val="19"/>
          <w:b w:val="1"/>
          <w:bCs w:val="1"/>
          <w:color w:val="auto"/>
        </w:rPr>
      </w:pPr>
    </w:p>
    <w:p>
      <w:pPr>
        <w:ind w:right="640" w:firstLine="1208"/>
        <w:spacing w:after="0" w:line="328" w:lineRule="auto"/>
        <w:tabs>
          <w:tab w:leader="none" w:pos="1692" w:val="left"/>
        </w:tabs>
        <w:numPr>
          <w:ilvl w:val="0"/>
          <w:numId w:val="543"/>
        </w:numPr>
        <w:rPr>
          <w:rFonts w:ascii="Arial" w:cs="Arial" w:eastAsia="Arial" w:hAnsi="Arial"/>
          <w:sz w:val="19"/>
          <w:szCs w:val="19"/>
          <w:b w:val="1"/>
          <w:bCs w:val="1"/>
          <w:color w:val="auto"/>
        </w:rPr>
      </w:pPr>
      <w:r>
        <w:rPr>
          <w:rFonts w:ascii="Arial" w:cs="Arial" w:eastAsia="Arial" w:hAnsi="Arial"/>
          <w:sz w:val="19"/>
          <w:szCs w:val="19"/>
          <w:color w:val="auto"/>
        </w:rPr>
        <w:t>Licensor has not received any written notice from any Regulatory Authority or other Governmental Authority commencing or threatening withdrawal of any active IND for the Product held by Licensor;</w:t>
      </w:r>
    </w:p>
    <w:p>
      <w:pPr>
        <w:spacing w:after="0" w:line="104" w:lineRule="exact"/>
        <w:rPr>
          <w:rFonts w:ascii="Arial" w:cs="Arial" w:eastAsia="Arial" w:hAnsi="Arial"/>
          <w:sz w:val="19"/>
          <w:szCs w:val="19"/>
          <w:b w:val="1"/>
          <w:bCs w:val="1"/>
          <w:color w:val="auto"/>
        </w:rPr>
      </w:pPr>
    </w:p>
    <w:p>
      <w:pPr>
        <w:ind w:right="400" w:firstLine="1208"/>
        <w:spacing w:after="0" w:line="250" w:lineRule="auto"/>
        <w:tabs>
          <w:tab w:leader="none" w:pos="1679" w:val="left"/>
        </w:tabs>
        <w:numPr>
          <w:ilvl w:val="0"/>
          <w:numId w:val="543"/>
        </w:numPr>
        <w:rPr>
          <w:rFonts w:ascii="Arial" w:cs="Arial" w:eastAsia="Arial" w:hAnsi="Arial"/>
          <w:sz w:val="22"/>
          <w:szCs w:val="22"/>
          <w:b w:val="1"/>
          <w:bCs w:val="1"/>
          <w:color w:val="auto"/>
        </w:rPr>
      </w:pPr>
      <w:r>
        <w:rPr>
          <w:rFonts w:ascii="Arial" w:cs="Arial" w:eastAsia="Arial" w:hAnsi="Arial"/>
          <w:sz w:val="22"/>
          <w:szCs w:val="22"/>
          <w:color w:val="auto"/>
        </w:rPr>
        <w:t>all Product manufactured by Licensor for use in clinical trials of the Product has been manufactured in accordance with cGMPs; and</w:t>
      </w:r>
    </w:p>
    <w:p>
      <w:pPr>
        <w:spacing w:after="0" w:line="174" w:lineRule="exact"/>
        <w:rPr>
          <w:rFonts w:ascii="Arial" w:cs="Arial" w:eastAsia="Arial" w:hAnsi="Arial"/>
          <w:sz w:val="22"/>
          <w:szCs w:val="22"/>
          <w:b w:val="1"/>
          <w:bCs w:val="1"/>
          <w:color w:val="auto"/>
        </w:rPr>
      </w:pPr>
    </w:p>
    <w:p>
      <w:pPr>
        <w:ind w:firstLine="1208"/>
        <w:spacing w:after="0" w:line="282" w:lineRule="auto"/>
        <w:tabs>
          <w:tab w:leader="none" w:pos="1692" w:val="left"/>
        </w:tabs>
        <w:numPr>
          <w:ilvl w:val="0"/>
          <w:numId w:val="543"/>
        </w:numPr>
        <w:rPr>
          <w:rFonts w:ascii="Arial" w:cs="Arial" w:eastAsia="Arial" w:hAnsi="Arial"/>
          <w:sz w:val="19"/>
          <w:szCs w:val="19"/>
          <w:b w:val="1"/>
          <w:bCs w:val="1"/>
          <w:color w:val="auto"/>
        </w:rPr>
      </w:pPr>
      <w:r>
        <w:rPr>
          <w:rFonts w:ascii="Arial" w:cs="Arial" w:eastAsia="Arial" w:hAnsi="Arial"/>
          <w:sz w:val="19"/>
          <w:szCs w:val="19"/>
          <w:color w:val="auto"/>
        </w:rPr>
        <w:t>all information provided by Licensor or its Affiliates to Licensee for due diligence purposes in relation to this Agreement is complete and accurate in all material respects. Without limiting the foregoing, Licensor and its Affiliates have disclosed to Licensee, and made available to Licensee for review, all material data for the Compound and Product and all other material information (including relevant correspondence with Regulatory Authorities) relating to the Compound and Product, in each case that would be material for Licensee to assess the safety and efficacy of the Compound and Product.</w:t>
      </w:r>
    </w:p>
    <w:p>
      <w:pPr>
        <w:spacing w:after="0" w:line="141"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22"/>
          <w:szCs w:val="22"/>
          <w:color w:val="auto"/>
        </w:rPr>
        <w:t>[***].</w:t>
      </w:r>
    </w:p>
    <w:p>
      <w:pPr>
        <w:spacing w:after="0" w:line="212" w:lineRule="exact"/>
        <w:rPr>
          <w:sz w:val="20"/>
          <w:szCs w:val="20"/>
          <w:color w:val="auto"/>
        </w:rPr>
      </w:pPr>
    </w:p>
    <w:p>
      <w:pPr>
        <w:ind w:left="1680" w:hanging="472"/>
        <w:spacing w:after="0"/>
        <w:tabs>
          <w:tab w:leader="none" w:pos="1680" w:val="left"/>
        </w:tabs>
        <w:numPr>
          <w:ilvl w:val="0"/>
          <w:numId w:val="54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80" w:hanging="472"/>
        <w:spacing w:after="0"/>
        <w:tabs>
          <w:tab w:leader="none" w:pos="1680" w:val="left"/>
        </w:tabs>
        <w:numPr>
          <w:ilvl w:val="0"/>
          <w:numId w:val="54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4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ind w:right="240" w:firstLine="551"/>
        <w:spacing w:after="0" w:line="235" w:lineRule="auto"/>
        <w:rPr>
          <w:sz w:val="20"/>
          <w:szCs w:val="20"/>
          <w:color w:val="auto"/>
        </w:rPr>
      </w:pPr>
      <w:r>
        <w:rPr>
          <w:rFonts w:ascii="Arial" w:cs="Arial" w:eastAsia="Arial" w:hAnsi="Arial"/>
          <w:sz w:val="22"/>
          <w:szCs w:val="22"/>
          <w:b w:val="1"/>
          <w:bCs w:val="1"/>
          <w:color w:val="auto"/>
        </w:rPr>
        <w:t>8.4 Disclaimer</w:t>
      </w:r>
      <w:r>
        <w:rPr>
          <w:rFonts w:ascii="Arial" w:cs="Arial" w:eastAsia="Arial" w:hAnsi="Arial"/>
          <w:sz w:val="22"/>
          <w:szCs w:val="22"/>
          <w:color w:val="auto"/>
        </w:rPr>
        <w:t>. EXCEPT AS EXPRESSLY STATED HEREIN, NO OTHER REPRESENTATIONS OR</w:t>
      </w:r>
      <w:r>
        <w:rPr>
          <w:rFonts w:ascii="Arial" w:cs="Arial" w:eastAsia="Arial" w:hAnsi="Arial"/>
          <w:sz w:val="22"/>
          <w:szCs w:val="22"/>
          <w:b w:val="1"/>
          <w:bCs w:val="1"/>
          <w:color w:val="auto"/>
        </w:rPr>
        <w:t xml:space="preserve"> </w:t>
      </w:r>
      <w:r>
        <w:rPr>
          <w:rFonts w:ascii="Arial" w:cs="Arial" w:eastAsia="Arial" w:hAnsi="Arial"/>
          <w:sz w:val="22"/>
          <w:szCs w:val="22"/>
          <w:color w:val="auto"/>
        </w:rPr>
        <w:t>WARRANTIES WHATSOEVER, INCLUDING WARRANTIES OF MERCHANTABILITY, FITNESS FOR A PARTICULAR PURPOSE, IS MADE OR GIVEN BY OR ON BEHALF OF A PARTY. ALL SUCH OTHER REPRESENTATIONS AND WARRANTIES, WHETHER ARISING BY OPERATION OF LAW OR OTHERWISE, ARE HEREBY EXPRESSLY EXCLUDED. Both Parties understand that the Compound and Product are the subject of ongoing research and development and neither Party can assure that any Compound or Product can be successfully developed and commercialized.</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INDEMNIFICATION; LIABILITY</w:t>
      </w:r>
    </w:p>
    <w:p>
      <w:pPr>
        <w:spacing w:after="0" w:line="74" w:lineRule="exact"/>
        <w:rPr>
          <w:sz w:val="20"/>
          <w:szCs w:val="20"/>
          <w:color w:val="auto"/>
        </w:rPr>
      </w:pPr>
    </w:p>
    <w:p>
      <w:pPr>
        <w:jc w:val="both"/>
        <w:ind w:right="80" w:firstLine="551"/>
        <w:spacing w:after="0" w:line="243" w:lineRule="auto"/>
        <w:rPr>
          <w:sz w:val="20"/>
          <w:szCs w:val="20"/>
          <w:color w:val="auto"/>
        </w:rPr>
      </w:pPr>
      <w:r>
        <w:rPr>
          <w:rFonts w:ascii="Arial" w:cs="Arial" w:eastAsia="Arial" w:hAnsi="Arial"/>
          <w:sz w:val="22"/>
          <w:szCs w:val="22"/>
          <w:b w:val="1"/>
          <w:bCs w:val="1"/>
          <w:color w:val="auto"/>
        </w:rPr>
        <w:t>9.1 Indemnification by Licensor</w:t>
      </w:r>
      <w:r>
        <w:rPr>
          <w:rFonts w:ascii="Arial" w:cs="Arial" w:eastAsia="Arial" w:hAnsi="Arial"/>
          <w:sz w:val="22"/>
          <w:szCs w:val="22"/>
          <w:color w:val="auto"/>
        </w:rPr>
        <w:t>. Licensor shall indemnify and hold Licensee, its Affiliates, Sublicensees,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officers, directors, agents and employees (“</w:t>
      </w:r>
      <w:r>
        <w:rPr>
          <w:rFonts w:ascii="Arial" w:cs="Arial" w:eastAsia="Arial" w:hAnsi="Arial"/>
          <w:sz w:val="22"/>
          <w:szCs w:val="22"/>
          <w:b w:val="1"/>
          <w:bCs w:val="1"/>
          <w:color w:val="auto"/>
        </w:rPr>
        <w:t>Licensee Indemnitees</w:t>
      </w:r>
      <w:r>
        <w:rPr>
          <w:rFonts w:ascii="Arial" w:cs="Arial" w:eastAsia="Arial" w:hAnsi="Arial"/>
          <w:sz w:val="22"/>
          <w:szCs w:val="22"/>
          <w:color w:val="auto"/>
        </w:rPr>
        <w:t>”) harmless from and against any Claims against them to the extent arising or resulting from:</w:t>
      </w:r>
    </w:p>
    <w:p>
      <w:pPr>
        <w:spacing w:after="0" w:line="183" w:lineRule="exact"/>
        <w:rPr>
          <w:sz w:val="20"/>
          <w:szCs w:val="20"/>
          <w:color w:val="auto"/>
        </w:rPr>
      </w:pPr>
    </w:p>
    <w:p>
      <w:pPr>
        <w:ind w:left="5400" w:right="440" w:hanging="4192"/>
        <w:spacing w:after="0" w:line="391" w:lineRule="auto"/>
        <w:tabs>
          <w:tab w:leader="none" w:pos="1679" w:val="left"/>
        </w:tabs>
        <w:numPr>
          <w:ilvl w:val="0"/>
          <w:numId w:val="545"/>
        </w:numPr>
        <w:rPr>
          <w:rFonts w:ascii="Arial" w:cs="Arial" w:eastAsia="Arial" w:hAnsi="Arial"/>
          <w:sz w:val="22"/>
          <w:szCs w:val="22"/>
          <w:b w:val="1"/>
          <w:bCs w:val="1"/>
          <w:color w:val="auto"/>
        </w:rPr>
      </w:pPr>
      <w:r>
        <w:rPr>
          <w:rFonts w:ascii="Arial" w:cs="Arial" w:eastAsia="Arial" w:hAnsi="Arial"/>
          <w:sz w:val="22"/>
          <w:szCs w:val="22"/>
          <w:color w:val="auto"/>
        </w:rPr>
        <w:t>the negligence or willful misconduct or breach of this Agreement by any of the Licensor Indemnitees; 23</w:t>
      </w:r>
    </w:p>
    <w:p>
      <w:pPr>
        <w:sectPr>
          <w:pgSz w:w="11900" w:h="16838" w:orient="portrait"/>
          <w:cols w:equalWidth="0" w:num="1">
            <w:col w:w="10920"/>
          </w:cols>
          <w:pgMar w:left="440" w:top="266" w:right="539" w:bottom="1440" w:gutter="0" w:footer="0" w:header="0"/>
        </w:sectPr>
      </w:pPr>
    </w:p>
    <w:bookmarkStart w:id="495" w:name="page496"/>
    <w:bookmarkEnd w:id="495"/>
    <w:p>
      <w:pPr>
        <w:ind w:left="1680" w:hanging="472"/>
        <w:spacing w:after="0"/>
        <w:tabs>
          <w:tab w:leader="none" w:pos="1680" w:val="left"/>
        </w:tabs>
        <w:numPr>
          <w:ilvl w:val="0"/>
          <w:numId w:val="546"/>
        </w:numPr>
        <w:rPr>
          <w:rFonts w:ascii="Arial" w:cs="Arial" w:eastAsia="Arial" w:hAnsi="Arial"/>
          <w:sz w:val="21"/>
          <w:szCs w:val="21"/>
          <w:b w:val="1"/>
          <w:bCs w:val="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Licensor’s breach of this Agreement, including any representation or warranty made by Licensor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hereunder; or</w:t>
      </w:r>
    </w:p>
    <w:p>
      <w:pPr>
        <w:spacing w:after="0" w:line="188" w:lineRule="exact"/>
        <w:rPr>
          <w:sz w:val="20"/>
          <w:szCs w:val="20"/>
          <w:color w:val="auto"/>
        </w:rPr>
      </w:pPr>
    </w:p>
    <w:p>
      <w:pPr>
        <w:ind w:right="60" w:firstLine="1208"/>
        <w:spacing w:after="0" w:line="250" w:lineRule="auto"/>
        <w:tabs>
          <w:tab w:leader="none" w:pos="1667" w:val="left"/>
        </w:tabs>
        <w:numPr>
          <w:ilvl w:val="0"/>
          <w:numId w:val="547"/>
        </w:numPr>
        <w:rPr>
          <w:rFonts w:ascii="Arial" w:cs="Arial" w:eastAsia="Arial" w:hAnsi="Arial"/>
          <w:sz w:val="22"/>
          <w:szCs w:val="22"/>
          <w:b w:val="1"/>
          <w:bCs w:val="1"/>
          <w:color w:val="auto"/>
        </w:rPr>
      </w:pPr>
      <w:r>
        <w:rPr>
          <w:rFonts w:ascii="Arial" w:cs="Arial" w:eastAsia="Arial" w:hAnsi="Arial"/>
          <w:sz w:val="22"/>
          <w:szCs w:val="22"/>
          <w:color w:val="auto"/>
        </w:rPr>
        <w:t>the Development or manufacture of the Compound and Product by or on behalf of Licensor or its Affiliates before the Effective Date;</w:t>
      </w:r>
    </w:p>
    <w:p>
      <w:pPr>
        <w:spacing w:after="0" w:line="17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i w:val="1"/>
          <w:iCs w:val="1"/>
          <w:color w:val="auto"/>
        </w:rPr>
        <w:t xml:space="preserve">except </w:t>
      </w:r>
      <w:r>
        <w:rPr>
          <w:rFonts w:ascii="Arial" w:cs="Arial" w:eastAsia="Arial" w:hAnsi="Arial"/>
          <w:sz w:val="22"/>
          <w:szCs w:val="22"/>
          <w:color w:val="auto"/>
        </w:rPr>
        <w:t>in each case to the extent such Claims result from any activities set forth in Section 9.2 for which Licensee is obligated</w:t>
      </w:r>
      <w:r>
        <w:rPr>
          <w:rFonts w:ascii="Arial" w:cs="Arial" w:eastAsia="Arial" w:hAnsi="Arial"/>
          <w:sz w:val="22"/>
          <w:szCs w:val="22"/>
          <w:i w:val="1"/>
          <w:iCs w:val="1"/>
          <w:color w:val="auto"/>
        </w:rPr>
        <w:t xml:space="preserve"> </w:t>
      </w:r>
      <w:r>
        <w:rPr>
          <w:rFonts w:ascii="Arial" w:cs="Arial" w:eastAsia="Arial" w:hAnsi="Arial"/>
          <w:sz w:val="22"/>
          <w:szCs w:val="22"/>
          <w:color w:val="auto"/>
        </w:rPr>
        <w:t>to indemnify the Licensor Indemnitee.</w:t>
      </w:r>
    </w:p>
    <w:p>
      <w:pPr>
        <w:spacing w:after="0" w:line="169" w:lineRule="exact"/>
        <w:rPr>
          <w:sz w:val="20"/>
          <w:szCs w:val="20"/>
          <w:color w:val="auto"/>
        </w:rPr>
      </w:pPr>
    </w:p>
    <w:p>
      <w:pPr>
        <w:ind w:right="60" w:firstLine="551"/>
        <w:spacing w:after="0" w:line="243" w:lineRule="auto"/>
        <w:rPr>
          <w:sz w:val="20"/>
          <w:szCs w:val="20"/>
          <w:color w:val="auto"/>
        </w:rPr>
      </w:pPr>
      <w:r>
        <w:rPr>
          <w:rFonts w:ascii="Arial" w:cs="Arial" w:eastAsia="Arial" w:hAnsi="Arial"/>
          <w:sz w:val="22"/>
          <w:szCs w:val="22"/>
          <w:b w:val="1"/>
          <w:bCs w:val="1"/>
          <w:color w:val="auto"/>
        </w:rPr>
        <w:t>9.2 Indemnification by Licensee</w:t>
      </w:r>
      <w:r>
        <w:rPr>
          <w:rFonts w:ascii="Arial" w:cs="Arial" w:eastAsia="Arial" w:hAnsi="Arial"/>
          <w:sz w:val="22"/>
          <w:szCs w:val="22"/>
          <w:color w:val="auto"/>
        </w:rPr>
        <w:t>. Licensee shall indemnify and hold Licensor, its Affiliates, and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directors, agents and employees (“</w:t>
      </w:r>
      <w:r>
        <w:rPr>
          <w:rFonts w:ascii="Arial" w:cs="Arial" w:eastAsia="Arial" w:hAnsi="Arial"/>
          <w:sz w:val="22"/>
          <w:szCs w:val="22"/>
          <w:b w:val="1"/>
          <w:bCs w:val="1"/>
          <w:color w:val="auto"/>
        </w:rPr>
        <w:t>Licensor Indemnitees</w:t>
      </w:r>
      <w:r>
        <w:rPr>
          <w:rFonts w:ascii="Arial" w:cs="Arial" w:eastAsia="Arial" w:hAnsi="Arial"/>
          <w:sz w:val="22"/>
          <w:szCs w:val="22"/>
          <w:color w:val="auto"/>
        </w:rPr>
        <w:t>”) harmless from and against any Claims against them to the extent arising or resulting from:</w:t>
      </w:r>
    </w:p>
    <w:p>
      <w:pPr>
        <w:spacing w:after="0" w:line="183" w:lineRule="exact"/>
        <w:rPr>
          <w:sz w:val="20"/>
          <w:szCs w:val="20"/>
          <w:color w:val="auto"/>
        </w:rPr>
      </w:pPr>
    </w:p>
    <w:p>
      <w:pPr>
        <w:ind w:left="1680" w:hanging="472"/>
        <w:spacing w:after="0"/>
        <w:tabs>
          <w:tab w:leader="none" w:pos="1680" w:val="left"/>
        </w:tabs>
        <w:numPr>
          <w:ilvl w:val="0"/>
          <w:numId w:val="548"/>
        </w:numPr>
        <w:rPr>
          <w:rFonts w:ascii="Arial" w:cs="Arial" w:eastAsia="Arial" w:hAnsi="Arial"/>
          <w:sz w:val="19"/>
          <w:szCs w:val="19"/>
          <w:b w:val="1"/>
          <w:bCs w:val="1"/>
          <w:color w:val="auto"/>
        </w:rPr>
      </w:pPr>
      <w:r>
        <w:rPr>
          <w:rFonts w:ascii="Arial" w:cs="Arial" w:eastAsia="Arial" w:hAnsi="Arial"/>
          <w:sz w:val="19"/>
          <w:szCs w:val="19"/>
          <w:color w:val="auto"/>
        </w:rPr>
        <w:t>the negligence or willful misconduct or breach of this Agreement by any of the Licensee Indemnitees;</w:t>
      </w:r>
    </w:p>
    <w:p>
      <w:pPr>
        <w:spacing w:after="0" w:line="240" w:lineRule="exact"/>
        <w:rPr>
          <w:rFonts w:ascii="Arial" w:cs="Arial" w:eastAsia="Arial" w:hAnsi="Arial"/>
          <w:sz w:val="19"/>
          <w:szCs w:val="19"/>
          <w:b w:val="1"/>
          <w:bCs w:val="1"/>
          <w:color w:val="auto"/>
        </w:rPr>
      </w:pPr>
    </w:p>
    <w:p>
      <w:pPr>
        <w:ind w:left="1680" w:hanging="472"/>
        <w:spacing w:after="0"/>
        <w:tabs>
          <w:tab w:leader="none" w:pos="1680" w:val="left"/>
        </w:tabs>
        <w:numPr>
          <w:ilvl w:val="0"/>
          <w:numId w:val="548"/>
        </w:numPr>
        <w:rPr>
          <w:rFonts w:ascii="Arial" w:cs="Arial" w:eastAsia="Arial" w:hAnsi="Arial"/>
          <w:sz w:val="21"/>
          <w:szCs w:val="21"/>
          <w:b w:val="1"/>
          <w:bCs w:val="1"/>
          <w:color w:val="auto"/>
        </w:rPr>
      </w:pPr>
      <w:r>
        <w:rPr>
          <w:rFonts w:ascii="Arial" w:cs="Arial" w:eastAsia="Arial" w:hAnsi="Arial"/>
          <w:sz w:val="21"/>
          <w:szCs w:val="21"/>
          <w:color w:val="auto"/>
        </w:rPr>
        <w:t>Licensee’s breach of this Agreement, including any representation or warranty made by Licensee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hereunder; or</w:t>
      </w:r>
    </w:p>
    <w:p>
      <w:pPr>
        <w:spacing w:after="0" w:line="188" w:lineRule="exact"/>
        <w:rPr>
          <w:sz w:val="20"/>
          <w:szCs w:val="20"/>
          <w:color w:val="auto"/>
        </w:rPr>
      </w:pPr>
    </w:p>
    <w:p>
      <w:pPr>
        <w:ind w:right="420" w:firstLine="1208"/>
        <w:spacing w:after="0" w:line="250" w:lineRule="auto"/>
        <w:tabs>
          <w:tab w:leader="none" w:pos="1667" w:val="left"/>
        </w:tabs>
        <w:numPr>
          <w:ilvl w:val="0"/>
          <w:numId w:val="549"/>
        </w:numPr>
        <w:rPr>
          <w:rFonts w:ascii="Arial" w:cs="Arial" w:eastAsia="Arial" w:hAnsi="Arial"/>
          <w:sz w:val="22"/>
          <w:szCs w:val="22"/>
          <w:b w:val="1"/>
          <w:bCs w:val="1"/>
          <w:color w:val="auto"/>
        </w:rPr>
      </w:pPr>
      <w:r>
        <w:rPr>
          <w:rFonts w:ascii="Arial" w:cs="Arial" w:eastAsia="Arial" w:hAnsi="Arial"/>
          <w:sz w:val="22"/>
          <w:szCs w:val="22"/>
          <w:color w:val="auto"/>
        </w:rPr>
        <w:t>the Development, manufacture, or Commercialization of the Compound and Product by or on behalf of Licensee, its Affiliates, or Sublicensees;</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i w:val="1"/>
          <w:iCs w:val="1"/>
          <w:color w:val="auto"/>
        </w:rPr>
        <w:t xml:space="preserve">except </w:t>
      </w:r>
      <w:r>
        <w:rPr>
          <w:rFonts w:ascii="Arial" w:cs="Arial" w:eastAsia="Arial" w:hAnsi="Arial"/>
          <w:sz w:val="22"/>
          <w:szCs w:val="22"/>
          <w:color w:val="auto"/>
        </w:rPr>
        <w:t>in each case, to the extent such Claims result from any activities set forth in Section 9.1 for which Licensor is obligated</w:t>
      </w:r>
      <w:r>
        <w:rPr>
          <w:rFonts w:ascii="Arial" w:cs="Arial" w:eastAsia="Arial" w:hAnsi="Arial"/>
          <w:sz w:val="22"/>
          <w:szCs w:val="22"/>
          <w:i w:val="1"/>
          <w:iCs w:val="1"/>
          <w:color w:val="auto"/>
        </w:rPr>
        <w:t xml:space="preserve"> </w:t>
      </w:r>
      <w:r>
        <w:rPr>
          <w:rFonts w:ascii="Arial" w:cs="Arial" w:eastAsia="Arial" w:hAnsi="Arial"/>
          <w:sz w:val="22"/>
          <w:szCs w:val="22"/>
          <w:color w:val="auto"/>
        </w:rPr>
        <w:t>to indemnify the Licensee Indemnitee.</w:t>
      </w:r>
    </w:p>
    <w:p>
      <w:pPr>
        <w:spacing w:after="0" w:line="169" w:lineRule="exact"/>
        <w:rPr>
          <w:sz w:val="20"/>
          <w:szCs w:val="20"/>
          <w:color w:val="auto"/>
        </w:rPr>
      </w:pPr>
    </w:p>
    <w:p>
      <w:pPr>
        <w:ind w:left="540"/>
        <w:spacing w:after="0"/>
        <w:tabs>
          <w:tab w:leader="none" w:pos="102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Indemnification Procedure</w:t>
      </w:r>
      <w:r>
        <w:rPr>
          <w:rFonts w:ascii="Arial" w:cs="Arial" w:eastAsia="Arial" w:hAnsi="Arial"/>
          <w:sz w:val="19"/>
          <w:szCs w:val="19"/>
          <w:color w:val="auto"/>
        </w:rPr>
        <w:t>. If either Party is seeking indemnification under Sections 9.1 or 9.2 (the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it shall inform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Claim giving rise to the obligation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indemnify pursuant to such Section as soon as reasonably practicable after receiving notice of the Claim. The Indemnifying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Party shall have the right to assume the defense of any such Claim for which it is obligated to indemnify the Indemnified Party.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Indemnified Party shall cooperate with the Indemnifying Party and the Indemnifying Party’s insurer as the Indemnifying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Party may reasonably request, and at the Indemnifying Party’s cost and expense. The Indemnified Party shall have the right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participate, at its own expense and with counsel of its choice, in the defense of any Claim that has been assumed by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Indemnifying Party. Neither Party shall have the obligation to indemnify the other Party in connection with any settlement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made without the Indemnifying Party’s written consent, which consent shall not be unreasonably withheld or delayed.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Indemnifying Party may not settle any Claim without the prior written consent of the Indemnified Party, such consent shall not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 unreasonably withheld or delayed, provided, however, that the Indemnifying Party shall not be required to obtain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consent if the settlement: (a) involves only the payment of money and does not cause the Indemnified Party to be subject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injunctive or other similar type of relief; (b) does not require an admission by the Indemnified Party; and (c) does not adversely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affect the intellectual property Controlled by, or the rights or licenses granted to the Indemnifying Party (or its Affiliate)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If the Parties cannot agree as to the application of Section 9.1 or 9.2 as to any Claim, pending resolution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dispute pursuant to Section 11.6, the Parties may conduct separate defenses of such Claims, with each Party retaining the right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claim indemnification from the other Party in accordance with Section 9.1 or 9.2 upon resolution of the underlying Claim.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00"/>
          </w:cols>
          <w:pgMar w:left="440" w:top="266" w:right="459" w:bottom="1440" w:gutter="0" w:footer="0" w:header="0"/>
        </w:sectPr>
      </w:pPr>
    </w:p>
    <w:bookmarkStart w:id="496" w:name="page497"/>
    <w:bookmarkEnd w:id="496"/>
    <w:p>
      <w:pPr>
        <w:ind w:firstLine="551"/>
        <w:spacing w:after="0" w:line="254" w:lineRule="auto"/>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9.4 Mitigation of Loss</w:t>
      </w:r>
      <w:r>
        <w:rPr>
          <w:rFonts w:ascii="Arial" w:cs="Arial" w:eastAsia="Arial" w:hAnsi="Arial"/>
          <w:sz w:val="21"/>
          <w:szCs w:val="21"/>
          <w:color w:val="auto"/>
        </w:rPr>
        <w:t>. Each Indemnified Party shall take and shall procure that its Affiliates take all such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steps and action as are reasonably necessary or as the Indemnifying Party may reasonably require in order to mitigate any Claims (or potential losses or damages) under this Article 9. Nothing in this Agreement shall or shall be deemed to relieve any Party of any common law or other duty to mitigate any losses incurred by it.</w:t>
      </w:r>
    </w:p>
    <w:p>
      <w:pPr>
        <w:spacing w:after="0" w:line="166" w:lineRule="exact"/>
        <w:rPr>
          <w:sz w:val="20"/>
          <w:szCs w:val="20"/>
          <w:color w:val="auto"/>
        </w:rPr>
      </w:pPr>
    </w:p>
    <w:p>
      <w:pPr>
        <w:ind w:right="20" w:firstLine="551"/>
        <w:spacing w:after="0" w:line="249" w:lineRule="auto"/>
        <w:rPr>
          <w:sz w:val="20"/>
          <w:szCs w:val="20"/>
          <w:color w:val="auto"/>
        </w:rPr>
      </w:pPr>
      <w:r>
        <w:rPr>
          <w:rFonts w:ascii="Arial" w:cs="Arial" w:eastAsia="Arial" w:hAnsi="Arial"/>
          <w:sz w:val="21"/>
          <w:szCs w:val="21"/>
          <w:b w:val="1"/>
          <w:bCs w:val="1"/>
          <w:color w:val="auto"/>
        </w:rPr>
        <w:t>9.5 Limitation of Liability</w:t>
      </w:r>
      <w:r>
        <w:rPr>
          <w:rFonts w:ascii="Arial" w:cs="Arial" w:eastAsia="Arial" w:hAnsi="Arial"/>
          <w:sz w:val="21"/>
          <w:szCs w:val="21"/>
          <w:color w:val="auto"/>
        </w:rPr>
        <w:t>. NEITHER PARTY SHALL BE LIABLE TO THE OTHER FOR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CONSEQUENTIAL, INCIDENTAL, PUNITIVE, OR INDIRECT DAMAGES ARISING FROM OR RELATING TO ANY BREACH OF THIS AGREEMENT, REGARDLESS OF ANY NOTICE OF THE POSSIBILITY OF SUCH DAMAGES. NOTWITHSTANDING THE FOREGOING, NOTHING IN THIS SECTION 9.5 IS INTENDED TO OR SHALL LIMIT OR RESTRICT THE INDEMNIFICATION RIGHTS OR OBLIGATIONS OF ANY PARTY UNDER SECTION 9.1 OR 9.2, OR DAMAGES AVAILABLE FOR A PARTY’S BREACH OF CONFIDENTIALITY OBLIGATIONS IN ARTICLE 7.</w:t>
      </w:r>
    </w:p>
    <w:p>
      <w:pPr>
        <w:spacing w:after="0" w:line="171" w:lineRule="exact"/>
        <w:rPr>
          <w:sz w:val="20"/>
          <w:szCs w:val="20"/>
          <w:color w:val="auto"/>
        </w:rPr>
      </w:pPr>
    </w:p>
    <w:p>
      <w:pPr>
        <w:ind w:firstLine="551"/>
        <w:spacing w:after="0" w:line="236" w:lineRule="auto"/>
        <w:rPr>
          <w:sz w:val="20"/>
          <w:szCs w:val="20"/>
          <w:color w:val="auto"/>
        </w:rPr>
      </w:pPr>
      <w:r>
        <w:rPr>
          <w:rFonts w:ascii="Arial" w:cs="Arial" w:eastAsia="Arial" w:hAnsi="Arial"/>
          <w:sz w:val="22"/>
          <w:szCs w:val="22"/>
          <w:b w:val="1"/>
          <w:bCs w:val="1"/>
          <w:color w:val="auto"/>
        </w:rPr>
        <w:t>9.6 Insurance</w:t>
      </w:r>
      <w:r>
        <w:rPr>
          <w:rFonts w:ascii="Arial" w:cs="Arial" w:eastAsia="Arial" w:hAnsi="Arial"/>
          <w:sz w:val="22"/>
          <w:szCs w:val="22"/>
          <w:color w:val="auto"/>
        </w:rPr>
        <w:t>. Each Party, at its own expense, shall maintain commercial general liability insurance and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and other appropriate insurance, in amounts consistent with sound business practice and reasonable in light of its obligations under this Agreement. Each Party shall maintain such insurance for the period [***]. Each Party shall provide a certificate of insurance evidencing such coverage to the other Party upon request. It is understood that such insurance shall not be construed to create any limit of either Party’s obligations or liabilities with respect to its indemnification obligations under this Agreement.</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Term</w:t>
      </w:r>
      <w:r>
        <w:rPr>
          <w:rFonts w:ascii="Arial" w:cs="Arial" w:eastAsia="Arial" w:hAnsi="Arial"/>
          <w:sz w:val="19"/>
          <w:szCs w:val="19"/>
          <w:color w:val="auto"/>
        </w:rPr>
        <w:t>. The term of this Agreement (“</w:t>
      </w:r>
      <w:r>
        <w:rPr>
          <w:rFonts w:ascii="Arial" w:cs="Arial" w:eastAsia="Arial" w:hAnsi="Arial"/>
          <w:sz w:val="19"/>
          <w:szCs w:val="19"/>
          <w:b w:val="1"/>
          <w:bCs w:val="1"/>
          <w:color w:val="auto"/>
        </w:rPr>
        <w:t>Term</w:t>
      </w:r>
      <w:r>
        <w:rPr>
          <w:rFonts w:ascii="Arial" w:cs="Arial" w:eastAsia="Arial" w:hAnsi="Arial"/>
          <w:sz w:val="19"/>
          <w:szCs w:val="19"/>
          <w:color w:val="auto"/>
        </w:rPr>
        <w:t>”) shall commence upon the Effective Date [***].</w:t>
      </w:r>
    </w:p>
    <w:p>
      <w:pPr>
        <w:spacing w:after="0" w:line="314"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Termination</w:t>
      </w:r>
      <w:r>
        <w:rPr>
          <w:rFonts w:ascii="Arial" w:cs="Arial" w:eastAsia="Arial" w:hAnsi="Arial"/>
          <w:sz w:val="19"/>
          <w:szCs w:val="19"/>
          <w:color w:val="auto"/>
        </w:rPr>
        <w:t>.</w:t>
      </w:r>
    </w:p>
    <w:p>
      <w:pPr>
        <w:spacing w:after="0" w:line="98" w:lineRule="exact"/>
        <w:rPr>
          <w:sz w:val="20"/>
          <w:szCs w:val="20"/>
          <w:color w:val="auto"/>
        </w:rPr>
      </w:pPr>
    </w:p>
    <w:p>
      <w:pPr>
        <w:ind w:right="140" w:firstLine="1208"/>
        <w:spacing w:after="0" w:line="334" w:lineRule="auto"/>
        <w:tabs>
          <w:tab w:leader="none" w:pos="1679" w:val="left"/>
        </w:tabs>
        <w:numPr>
          <w:ilvl w:val="0"/>
          <w:numId w:val="550"/>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by Licensee for Convenience</w:t>
      </w:r>
      <w:r>
        <w:rPr>
          <w:rFonts w:ascii="Arial" w:cs="Arial" w:eastAsia="Arial" w:hAnsi="Arial"/>
          <w:sz w:val="19"/>
          <w:szCs w:val="19"/>
          <w:color w:val="auto"/>
        </w:rPr>
        <w:t>. At any time during the Term, Licensee may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 its entirety or on a country-by-country basis, for any or no reason, upon [***] days’ written notice to Licensor.</w:t>
      </w:r>
    </w:p>
    <w:p>
      <w:pPr>
        <w:spacing w:after="0" w:line="99" w:lineRule="exact"/>
        <w:rPr>
          <w:rFonts w:ascii="Arial" w:cs="Arial" w:eastAsia="Arial" w:hAnsi="Arial"/>
          <w:sz w:val="19"/>
          <w:szCs w:val="19"/>
          <w:b w:val="1"/>
          <w:bCs w:val="1"/>
          <w:color w:val="auto"/>
        </w:rPr>
      </w:pPr>
    </w:p>
    <w:p>
      <w:pPr>
        <w:ind w:left="1680" w:hanging="472"/>
        <w:spacing w:after="0"/>
        <w:tabs>
          <w:tab w:leader="none" w:pos="1680" w:val="left"/>
        </w:tabs>
        <w:numPr>
          <w:ilvl w:val="0"/>
          <w:numId w:val="550"/>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ind w:left="1660" w:hanging="452"/>
        <w:spacing w:after="0"/>
        <w:tabs>
          <w:tab w:leader="none" w:pos="1660" w:val="left"/>
        </w:tabs>
        <w:numPr>
          <w:ilvl w:val="0"/>
          <w:numId w:val="55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for Material Breach</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firstLine="1758"/>
        <w:spacing w:after="0" w:line="252" w:lineRule="auto"/>
        <w:tabs>
          <w:tab w:leader="none" w:pos="2182" w:val="left"/>
        </w:tabs>
        <w:numPr>
          <w:ilvl w:val="1"/>
          <w:numId w:val="550"/>
        </w:numPr>
        <w:rPr>
          <w:rFonts w:ascii="Arial" w:cs="Arial" w:eastAsia="Arial" w:hAnsi="Arial"/>
          <w:sz w:val="21"/>
          <w:szCs w:val="21"/>
          <w:b w:val="1"/>
          <w:bCs w:val="1"/>
          <w:color w:val="auto"/>
        </w:rPr>
      </w:pPr>
      <w:r>
        <w:rPr>
          <w:rFonts w:ascii="Arial" w:cs="Arial" w:eastAsia="Arial" w:hAnsi="Arial"/>
          <w:sz w:val="21"/>
          <w:szCs w:val="21"/>
          <w:color w:val="auto"/>
        </w:rPr>
        <w:t>Each Party shall have the right to terminate this Agreement immediately upon written notice to the other Party if such other Party materially breaches this Agreement and has not cured such breach within [***] days after receipt from the non-breaching Party of written notice specifying the breach and requesting its cure; provided, however, that if such breach cannot be cured within such [***]-day period, a Party will not have the right to</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920"/>
          </w:cols>
          <w:pgMar w:left="440" w:top="260" w:right="539" w:bottom="1440" w:gutter="0" w:footer="0" w:header="0"/>
        </w:sectPr>
      </w:pPr>
    </w:p>
    <w:bookmarkStart w:id="497" w:name="page498"/>
    <w:bookmarkEnd w:id="497"/>
    <w:p>
      <w:pPr>
        <w:ind w:right="80"/>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terminate pursuant to this Section 10.2(c)(i) if the breaching Party commences actions to cure such breach within such [***]-day period and thereafter diligently continues such actions; and provided further that in the event of a breach of Section 4.2 by Licensee with respect to (A) any of France, Germany, Italy, Spain, and the United Kingdom, then Licensor shall only have the right to terminate this Agreement with respect to the EU and not in its entirety, (B) one or more countries in the Territory outside the EU, Licensor shall only have the right to terminate this Agreement pursuant to this Section 10.2(c)(i) with respect to such country(ies) and not in its entirety.</w:t>
      </w:r>
    </w:p>
    <w:p>
      <w:pPr>
        <w:spacing w:after="0" w:line="177" w:lineRule="exact"/>
        <w:rPr>
          <w:sz w:val="20"/>
          <w:szCs w:val="20"/>
          <w:color w:val="auto"/>
        </w:rPr>
      </w:pPr>
    </w:p>
    <w:p>
      <w:pPr>
        <w:ind w:right="60" w:firstLine="2309"/>
        <w:spacing w:after="0" w:line="248" w:lineRule="auto"/>
        <w:tabs>
          <w:tab w:leader="none" w:pos="2793" w:val="left"/>
        </w:tabs>
        <w:numPr>
          <w:ilvl w:val="1"/>
          <w:numId w:val="551"/>
        </w:numPr>
        <w:rPr>
          <w:rFonts w:ascii="Arial" w:cs="Arial" w:eastAsia="Arial" w:hAnsi="Arial"/>
          <w:sz w:val="21"/>
          <w:szCs w:val="21"/>
          <w:b w:val="1"/>
          <w:bCs w:val="1"/>
          <w:color w:val="auto"/>
        </w:rPr>
      </w:pPr>
      <w:r>
        <w:rPr>
          <w:rFonts w:ascii="Arial" w:cs="Arial" w:eastAsia="Arial" w:hAnsi="Arial"/>
          <w:sz w:val="21"/>
          <w:szCs w:val="21"/>
          <w:color w:val="auto"/>
        </w:rPr>
        <w:t>If the alleged breaching Party disputes in good faith the existence or materiality of a breach specified in a notice provided by the other Party, and such alleged breaching Party provides the other Party notice of such dispute within [***] days, then the other Party shall not have the right to terminate this Agreement under this Section 10.2(c) unless and until an arbitral tribunal, in accordance with Section 11.6, has determined that the alleged breaching Party has materially breached the Agreement and, if the breach is then curable, such Party fails to cure such breach within the applicable cure period set forth above following such decision.</w:t>
      </w:r>
    </w:p>
    <w:p>
      <w:pPr>
        <w:spacing w:after="0" w:line="170" w:lineRule="exact"/>
        <w:rPr>
          <w:rFonts w:ascii="Arial" w:cs="Arial" w:eastAsia="Arial" w:hAnsi="Arial"/>
          <w:sz w:val="21"/>
          <w:szCs w:val="21"/>
          <w:b w:val="1"/>
          <w:bCs w:val="1"/>
          <w:color w:val="auto"/>
        </w:rPr>
      </w:pPr>
    </w:p>
    <w:p>
      <w:pPr>
        <w:ind w:right="180" w:firstLine="1758"/>
        <w:spacing w:after="0" w:line="234" w:lineRule="auto"/>
        <w:tabs>
          <w:tab w:leader="none" w:pos="2242" w:val="left"/>
        </w:tabs>
        <w:numPr>
          <w:ilvl w:val="0"/>
          <w:numId w:val="55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for Insolvency</w:t>
      </w:r>
      <w:r>
        <w:rPr>
          <w:rFonts w:ascii="Arial" w:cs="Arial" w:eastAsia="Arial" w:hAnsi="Arial"/>
          <w:sz w:val="22"/>
          <w:szCs w:val="22"/>
          <w:color w:val="auto"/>
        </w:rPr>
        <w:t>. In the event that either Party (i) files for protection under bankruptcy</w:t>
      </w:r>
      <w:r>
        <w:rPr>
          <w:rFonts w:ascii="Arial" w:cs="Arial" w:eastAsia="Arial" w:hAnsi="Arial"/>
          <w:sz w:val="22"/>
          <w:szCs w:val="22"/>
          <w:b w:val="1"/>
          <w:bCs w:val="1"/>
          <w:color w:val="auto"/>
        </w:rPr>
        <w:t xml:space="preserve"> </w:t>
      </w:r>
      <w:r>
        <w:rPr>
          <w:rFonts w:ascii="Arial" w:cs="Arial" w:eastAsia="Arial" w:hAnsi="Arial"/>
          <w:sz w:val="22"/>
          <w:szCs w:val="22"/>
          <w:color w:val="auto"/>
        </w:rPr>
        <w:t>or insolvency laws, (ii) makes an assignment for the benefit of creditors, (iii) appoints or suffers appointment of a receiver or trustee over substantially all of its property that is not discharged within [***] days after such filing, (iv) proposes a written agreement of composition or extension of its debts, (v) proposes or is a party to any dissolution or liquidation, (vi) files a petition under any bankruptcy or insolvency act or has any such petition filed against that is not discharged within [***] days of the filing thereof, or (vii) admits in writing its inability generally to meet its obligations as they fall due in the general course, then the other Party may terminate this Agreement in its entirety effective immediately upon written notice to such Party.</w:t>
      </w:r>
    </w:p>
    <w:p>
      <w:pPr>
        <w:spacing w:after="0" w:line="187" w:lineRule="exact"/>
        <w:rPr>
          <w:sz w:val="20"/>
          <w:szCs w:val="20"/>
          <w:color w:val="auto"/>
        </w:rPr>
      </w:pPr>
    </w:p>
    <w:p>
      <w:pPr>
        <w:ind w:right="40" w:firstLine="551"/>
        <w:spacing w:after="0" w:line="243" w:lineRule="auto"/>
        <w:rPr>
          <w:sz w:val="20"/>
          <w:szCs w:val="20"/>
          <w:color w:val="auto"/>
        </w:rPr>
      </w:pPr>
      <w:r>
        <w:rPr>
          <w:rFonts w:ascii="Arial" w:cs="Arial" w:eastAsia="Arial" w:hAnsi="Arial"/>
          <w:sz w:val="22"/>
          <w:szCs w:val="22"/>
          <w:b w:val="1"/>
          <w:bCs w:val="1"/>
          <w:color w:val="auto"/>
        </w:rPr>
        <w:t>10.3 Effect of Termination</w:t>
      </w:r>
      <w:r>
        <w:rPr>
          <w:rFonts w:ascii="Arial" w:cs="Arial" w:eastAsia="Arial" w:hAnsi="Arial"/>
          <w:sz w:val="22"/>
          <w:szCs w:val="22"/>
          <w:color w:val="auto"/>
        </w:rPr>
        <w:t>. Upon termination of this Agreement in its entirety for any reason, the following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 (and upon termination of this Agreement with respect to a given jurisdiction, the below shall apply solely with respect to the relevant terminated jurisdiction(s)):</w:t>
      </w:r>
    </w:p>
    <w:p>
      <w:pPr>
        <w:spacing w:after="0" w:line="177" w:lineRule="exact"/>
        <w:rPr>
          <w:sz w:val="20"/>
          <w:szCs w:val="20"/>
          <w:color w:val="auto"/>
        </w:rPr>
      </w:pPr>
    </w:p>
    <w:p>
      <w:pPr>
        <w:ind w:right="480" w:firstLine="1758"/>
        <w:spacing w:after="0" w:line="256" w:lineRule="auto"/>
        <w:tabs>
          <w:tab w:leader="none" w:pos="2230" w:val="left"/>
        </w:tabs>
        <w:numPr>
          <w:ilvl w:val="0"/>
          <w:numId w:val="553"/>
        </w:numPr>
        <w:rPr>
          <w:rFonts w:ascii="Arial" w:cs="Arial" w:eastAsia="Arial" w:hAnsi="Arial"/>
          <w:sz w:val="22"/>
          <w:szCs w:val="22"/>
          <w:b w:val="1"/>
          <w:bCs w:val="1"/>
          <w:color w:val="auto"/>
        </w:rPr>
      </w:pPr>
      <w:r>
        <w:rPr>
          <w:rFonts w:ascii="Arial" w:cs="Arial" w:eastAsia="Arial" w:hAnsi="Arial"/>
          <w:sz w:val="22"/>
          <w:szCs w:val="22"/>
          <w:b w:val="1"/>
          <w:bCs w:val="1"/>
          <w:color w:val="auto"/>
        </w:rPr>
        <w:t>License Termination</w:t>
      </w:r>
      <w:r>
        <w:rPr>
          <w:rFonts w:ascii="Arial" w:cs="Arial" w:eastAsia="Arial" w:hAnsi="Arial"/>
          <w:sz w:val="22"/>
          <w:szCs w:val="22"/>
          <w:color w:val="auto"/>
        </w:rPr>
        <w:t>. The licenses granted by Licensor to Licensee under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and all sublicenses thereunder shall also terminate.</w:t>
      </w:r>
    </w:p>
    <w:p>
      <w:pPr>
        <w:spacing w:after="0" w:line="168" w:lineRule="exact"/>
        <w:rPr>
          <w:rFonts w:ascii="Arial" w:cs="Arial" w:eastAsia="Arial" w:hAnsi="Arial"/>
          <w:sz w:val="22"/>
          <w:szCs w:val="22"/>
          <w:b w:val="1"/>
          <w:bCs w:val="1"/>
          <w:color w:val="auto"/>
        </w:rPr>
      </w:pPr>
    </w:p>
    <w:p>
      <w:pPr>
        <w:ind w:left="2240" w:hanging="482"/>
        <w:spacing w:after="0"/>
        <w:tabs>
          <w:tab w:leader="none" w:pos="2240" w:val="left"/>
        </w:tabs>
        <w:numPr>
          <w:ilvl w:val="0"/>
          <w:numId w:val="553"/>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ind w:firstLine="1758"/>
        <w:spacing w:after="0" w:line="246" w:lineRule="auto"/>
        <w:tabs>
          <w:tab w:leader="none" w:pos="2218" w:val="left"/>
        </w:tabs>
        <w:numPr>
          <w:ilvl w:val="0"/>
          <w:numId w:val="553"/>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Wind-Down or Transition</w:t>
      </w:r>
      <w:r>
        <w:rPr>
          <w:rFonts w:ascii="Arial" w:cs="Arial" w:eastAsia="Arial" w:hAnsi="Arial"/>
          <w:sz w:val="21"/>
          <w:szCs w:val="21"/>
          <w:color w:val="auto"/>
        </w:rPr>
        <w:t>. If any clinical trials that were initiated by or on behalf of</w:t>
      </w:r>
      <w:r>
        <w:rPr>
          <w:rFonts w:ascii="Arial" w:cs="Arial" w:eastAsia="Arial" w:hAnsi="Arial"/>
          <w:sz w:val="21"/>
          <w:szCs w:val="21"/>
          <w:b w:val="1"/>
          <w:bCs w:val="1"/>
          <w:color w:val="auto"/>
        </w:rPr>
        <w:t xml:space="preserve"> </w:t>
      </w:r>
      <w:r>
        <w:rPr>
          <w:rFonts w:ascii="Arial" w:cs="Arial" w:eastAsia="Arial" w:hAnsi="Arial"/>
          <w:sz w:val="21"/>
          <w:szCs w:val="21"/>
          <w:color w:val="auto"/>
        </w:rPr>
        <w:t>Licensee prior to the termination of this Agreement are on-going as of the effective date of such termination, Licensee shall cooperate with Licensor to wind-down such clinical trial(s) in an orderly fashion; provided, however, that Licensee shall consider in good faith any request by Licensor to transition the sponsorship of any such ongoing clinical trial to Licensor. If the Parties agree to transition sponsorship of any clinical trial of the Product to Licensor, Licensee shall provide reasonable cooperation to Licensor and its designee(s) to facilitate, and the Parties shall use reasonable efforts to effect, a reasonable, orderly, and prompt transition of the Development activities relating to the Products to Licensor and/or its designee(s) so that Licensor is able to assume responsibility for same as of the effective date of termination. For clarity, the foregoing shall not require Licensee to create any new Know-How.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00"/>
          </w:cols>
          <w:pgMar w:left="440" w:top="266" w:right="459" w:bottom="1440" w:gutter="0" w:footer="0" w:header="0"/>
        </w:sectPr>
      </w:pPr>
    </w:p>
    <w:bookmarkStart w:id="498" w:name="page499"/>
    <w:bookmarkEnd w:id="498"/>
    <w:p>
      <w:pPr>
        <w:ind w:left="1680" w:hanging="472"/>
        <w:spacing w:after="0"/>
        <w:tabs>
          <w:tab w:leader="none" w:pos="1680" w:val="left"/>
        </w:tabs>
        <w:numPr>
          <w:ilvl w:val="0"/>
          <w:numId w:val="554"/>
        </w:numPr>
        <w:rPr>
          <w:rFonts w:ascii="Arial" w:cs="Arial" w:eastAsia="Arial" w:hAnsi="Arial"/>
          <w:sz w:val="22"/>
          <w:szCs w:val="22"/>
          <w:b w:val="1"/>
          <w:bCs w:val="1"/>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33" w:lineRule="exact"/>
        <w:rPr>
          <w:rFonts w:ascii="Arial" w:cs="Arial" w:eastAsia="Arial" w:hAnsi="Arial"/>
          <w:sz w:val="22"/>
          <w:szCs w:val="22"/>
          <w:b w:val="1"/>
          <w:bCs w:val="1"/>
          <w:color w:val="auto"/>
        </w:rPr>
      </w:pPr>
    </w:p>
    <w:p>
      <w:pPr>
        <w:ind w:left="2300" w:hanging="549"/>
        <w:spacing w:after="0"/>
        <w:tabs>
          <w:tab w:leader="none" w:pos="2300" w:val="left"/>
        </w:tabs>
        <w:numPr>
          <w:ilvl w:val="1"/>
          <w:numId w:val="55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2300" w:hanging="549"/>
        <w:spacing w:after="0"/>
        <w:tabs>
          <w:tab w:leader="none" w:pos="2300" w:val="left"/>
        </w:tabs>
        <w:numPr>
          <w:ilvl w:val="1"/>
          <w:numId w:val="55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2300" w:hanging="549"/>
        <w:spacing w:after="0"/>
        <w:tabs>
          <w:tab w:leader="none" w:pos="2300" w:val="left"/>
        </w:tabs>
        <w:numPr>
          <w:ilvl w:val="1"/>
          <w:numId w:val="55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2300" w:hanging="549"/>
        <w:spacing w:after="0"/>
        <w:tabs>
          <w:tab w:leader="none" w:pos="2300" w:val="left"/>
        </w:tabs>
        <w:numPr>
          <w:ilvl w:val="1"/>
          <w:numId w:val="55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2300" w:hanging="549"/>
        <w:spacing w:after="0"/>
        <w:tabs>
          <w:tab w:leader="none" w:pos="2300" w:val="left"/>
        </w:tabs>
        <w:numPr>
          <w:ilvl w:val="1"/>
          <w:numId w:val="55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2300" w:hanging="549"/>
        <w:spacing w:after="0"/>
        <w:tabs>
          <w:tab w:leader="none" w:pos="2300" w:val="left"/>
        </w:tabs>
        <w:numPr>
          <w:ilvl w:val="1"/>
          <w:numId w:val="554"/>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ind w:left="540"/>
        <w:spacing w:after="0"/>
        <w:tabs>
          <w:tab w:leader="none" w:pos="112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right="20" w:firstLine="551"/>
        <w:spacing w:after="0" w:line="280" w:lineRule="auto"/>
        <w:rPr>
          <w:sz w:val="20"/>
          <w:szCs w:val="20"/>
          <w:color w:val="auto"/>
        </w:rPr>
      </w:pPr>
      <w:r>
        <w:rPr>
          <w:rFonts w:ascii="Arial" w:cs="Arial" w:eastAsia="Arial" w:hAnsi="Arial"/>
          <w:sz w:val="19"/>
          <w:szCs w:val="19"/>
          <w:b w:val="1"/>
          <w:bCs w:val="1"/>
          <w:color w:val="auto"/>
        </w:rPr>
        <w:t>10.5 Return of Confidential Information</w:t>
      </w:r>
      <w:r>
        <w:rPr>
          <w:rFonts w:ascii="Arial" w:cs="Arial" w:eastAsia="Arial" w:hAnsi="Arial"/>
          <w:sz w:val="19"/>
          <w:szCs w:val="19"/>
          <w:color w:val="auto"/>
        </w:rPr>
        <w:t>. Upon expiration or termination of this Agreement for any reason, except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a Party obtains or retains the right to use the other Party’s Confidential Information, each Party shall return or cause to be returned to the other Party or destroy (and certify such destruction to such other Party) all Confidential Information and all substances or compositions of the other Party or its Affiliates delivered or provided by or on behalf of such other Party, as well as any other material provided by or on behalf of such other Party in any medium, in connection with this Agreement, except that each Party may retain one (1) copy of all Confidential Information for its legal records.</w:t>
      </w:r>
    </w:p>
    <w:p>
      <w:pPr>
        <w:spacing w:after="0" w:line="145" w:lineRule="exact"/>
        <w:rPr>
          <w:sz w:val="20"/>
          <w:szCs w:val="20"/>
          <w:color w:val="auto"/>
        </w:rPr>
      </w:pPr>
    </w:p>
    <w:p>
      <w:pPr>
        <w:ind w:right="60" w:firstLine="551"/>
        <w:spacing w:after="0" w:line="243" w:lineRule="auto"/>
        <w:rPr>
          <w:sz w:val="20"/>
          <w:szCs w:val="20"/>
          <w:color w:val="auto"/>
        </w:rPr>
      </w:pPr>
      <w:r>
        <w:rPr>
          <w:rFonts w:ascii="Arial" w:cs="Arial" w:eastAsia="Arial" w:hAnsi="Arial"/>
          <w:sz w:val="22"/>
          <w:szCs w:val="22"/>
          <w:b w:val="1"/>
          <w:bCs w:val="1"/>
          <w:color w:val="auto"/>
        </w:rPr>
        <w:t>10.6 Survival</w:t>
      </w:r>
      <w:r>
        <w:rPr>
          <w:rFonts w:ascii="Arial" w:cs="Arial" w:eastAsia="Arial" w:hAnsi="Arial"/>
          <w:sz w:val="22"/>
          <w:szCs w:val="22"/>
          <w:color w:val="auto"/>
        </w:rPr>
        <w:t>. Expiration or termination of this Agreement shall not relieve the Parties of any obligation accruing</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such expiration or termination. Without limiting the foregoing, the following provisions shall survive the expiration or termination of this Agreement: [***].</w:t>
      </w:r>
    </w:p>
    <w:p>
      <w:pPr>
        <w:spacing w:after="0" w:line="177" w:lineRule="exact"/>
        <w:rPr>
          <w:sz w:val="20"/>
          <w:szCs w:val="20"/>
          <w:color w:val="auto"/>
        </w:rPr>
      </w:pPr>
    </w:p>
    <w:p>
      <w:pPr>
        <w:ind w:right="280" w:firstLine="551"/>
        <w:spacing w:after="0" w:line="243" w:lineRule="auto"/>
        <w:rPr>
          <w:sz w:val="20"/>
          <w:szCs w:val="20"/>
          <w:color w:val="auto"/>
        </w:rPr>
      </w:pPr>
      <w:r>
        <w:rPr>
          <w:rFonts w:ascii="Arial" w:cs="Arial" w:eastAsia="Arial" w:hAnsi="Arial"/>
          <w:sz w:val="22"/>
          <w:szCs w:val="22"/>
          <w:b w:val="1"/>
          <w:bCs w:val="1"/>
          <w:color w:val="auto"/>
        </w:rPr>
        <w:t>10.7 Termination Not Sole Remedy</w:t>
      </w:r>
      <w:r>
        <w:rPr>
          <w:rFonts w:ascii="Arial" w:cs="Arial" w:eastAsia="Arial" w:hAnsi="Arial"/>
          <w:sz w:val="22"/>
          <w:szCs w:val="22"/>
          <w:color w:val="auto"/>
        </w:rPr>
        <w:t>. Termination is not the sole remedy under this Agreement and, whether or not</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is effected and notwithstanding anything contained in this Agreement to the contrary, all other remedies shall remain available except as agreed to otherwise herein.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182" w:lineRule="exact"/>
        <w:rPr>
          <w:sz w:val="20"/>
          <w:szCs w:val="20"/>
          <w:color w:val="auto"/>
        </w:rPr>
      </w:pPr>
    </w:p>
    <w:p>
      <w:pPr>
        <w:ind w:firstLine="551"/>
        <w:spacing w:after="0" w:line="275" w:lineRule="auto"/>
        <w:rPr>
          <w:sz w:val="20"/>
          <w:szCs w:val="20"/>
          <w:color w:val="auto"/>
        </w:rPr>
      </w:pPr>
      <w:r>
        <w:rPr>
          <w:rFonts w:ascii="Arial" w:cs="Arial" w:eastAsia="Arial" w:hAnsi="Arial"/>
          <w:sz w:val="19"/>
          <w:szCs w:val="19"/>
          <w:b w:val="1"/>
          <w:bCs w:val="1"/>
          <w:color w:val="auto"/>
        </w:rPr>
        <w:t>11.1 Force Majeure</w:t>
      </w:r>
      <w:r>
        <w:rPr>
          <w:rFonts w:ascii="Arial" w:cs="Arial" w:eastAsia="Arial" w:hAnsi="Arial"/>
          <w:sz w:val="19"/>
          <w:szCs w:val="19"/>
          <w:color w:val="auto"/>
        </w:rPr>
        <w:t>. Neither Party shall be held liable to the other Party nor be deemed to have defaulted under or</w:t>
      </w:r>
      <w:r>
        <w:rPr>
          <w:rFonts w:ascii="Arial" w:cs="Arial" w:eastAsia="Arial" w:hAnsi="Arial"/>
          <w:sz w:val="19"/>
          <w:szCs w:val="19"/>
          <w:b w:val="1"/>
          <w:bCs w:val="1"/>
          <w:color w:val="auto"/>
        </w:rPr>
        <w:t xml:space="preserve"> </w:t>
      </w:r>
      <w:r>
        <w:rPr>
          <w:rFonts w:ascii="Arial" w:cs="Arial" w:eastAsia="Arial" w:hAnsi="Arial"/>
          <w:sz w:val="19"/>
          <w:szCs w:val="19"/>
          <w:color w:val="auto"/>
        </w:rPr>
        <w:t>breached this Agreement for failure or delay in performing any obligation under this Agreement to the extent such failure or delay is caused by or results from causes beyond the reasonable control of the affected Party, including embargoes, war, acts of war (whether war be declared or not), acts of terrorism, insurrections, riots, civil commotions, strikes, lockouts or other labor disturbances, fire, floods, earthquakes or other acts of God, or acts, omissions or delays in acting by any governmental authority or the other Party. The affected Party shall notify the other Party in writing of such force majeure circumstances as soon as reasonably practical, and shall promptly undertake and continue diligently all reasonable efforts necessary to cure such force majeure circumstances or to perform its obligations in spite of the ongoing circumstances; provided that if the force majeure circumstances continue despite such efforts and</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980"/>
          </w:cols>
          <w:pgMar w:left="440" w:top="266" w:right="479" w:bottom="1440" w:gutter="0" w:footer="0" w:header="0"/>
        </w:sectPr>
      </w:pPr>
    </w:p>
    <w:bookmarkStart w:id="499" w:name="page500"/>
    <w:bookmarkEnd w:id="499"/>
    <w:p>
      <w:pPr>
        <w:jc w:val="both"/>
        <w:ind w:righ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prevent the affected Party from performing its obligations hereunder for more than [***] days, the other Party may request that the Parties meet to discuss the anticipated duration of any further delay and any amendments to this Agreement proposed by a Party in good faith in light of the anticipated duration of any further delay.</w:t>
      </w:r>
    </w:p>
    <w:p>
      <w:pPr>
        <w:spacing w:after="0" w:line="180" w:lineRule="exact"/>
        <w:rPr>
          <w:sz w:val="20"/>
          <w:szCs w:val="20"/>
          <w:color w:val="auto"/>
        </w:rPr>
      </w:pPr>
    </w:p>
    <w:p>
      <w:pPr>
        <w:ind w:right="100" w:firstLine="551"/>
        <w:spacing w:after="0" w:line="289" w:lineRule="auto"/>
        <w:rPr>
          <w:sz w:val="20"/>
          <w:szCs w:val="20"/>
          <w:color w:val="auto"/>
        </w:rPr>
      </w:pPr>
      <w:r>
        <w:rPr>
          <w:rFonts w:ascii="Arial" w:cs="Arial" w:eastAsia="Arial" w:hAnsi="Arial"/>
          <w:sz w:val="19"/>
          <w:szCs w:val="19"/>
          <w:b w:val="1"/>
          <w:bCs w:val="1"/>
          <w:color w:val="auto"/>
        </w:rPr>
        <w:t>11.2 Assignment</w:t>
      </w:r>
      <w:r>
        <w:rPr>
          <w:rFonts w:ascii="Arial" w:cs="Arial" w:eastAsia="Arial" w:hAnsi="Arial"/>
          <w:sz w:val="19"/>
          <w:szCs w:val="19"/>
          <w:color w:val="auto"/>
        </w:rPr>
        <w:t>. Except as expressly provided hereunder, neither this Agreement nor any rights or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may be assigned or otherwise transferred by either Party without the prior written consent of the other Party (which consent shall not be unreasonably withheld, conditioned, or delayed); provided, however, that either Party may assign or otherwise transfer this Agreement and its rights and obligations hereunder without the other Party’s consent:</w:t>
      </w:r>
    </w:p>
    <w:p>
      <w:pPr>
        <w:spacing w:after="0" w:line="142" w:lineRule="exact"/>
        <w:rPr>
          <w:sz w:val="20"/>
          <w:szCs w:val="20"/>
          <w:color w:val="auto"/>
        </w:rPr>
      </w:pPr>
    </w:p>
    <w:p>
      <w:pPr>
        <w:jc w:val="both"/>
        <w:ind w:right="520" w:firstLine="1208"/>
        <w:spacing w:after="0"/>
        <w:tabs>
          <w:tab w:leader="none" w:pos="1679" w:val="left"/>
        </w:tabs>
        <w:numPr>
          <w:ilvl w:val="0"/>
          <w:numId w:val="555"/>
        </w:numPr>
        <w:rPr>
          <w:rFonts w:ascii="Arial" w:cs="Arial" w:eastAsia="Arial" w:hAnsi="Arial"/>
          <w:sz w:val="22"/>
          <w:szCs w:val="22"/>
          <w:b w:val="1"/>
          <w:bCs w:val="1"/>
          <w:color w:val="auto"/>
        </w:rPr>
      </w:pPr>
      <w:r>
        <w:rPr>
          <w:rFonts w:ascii="Arial" w:cs="Arial" w:eastAsia="Arial" w:hAnsi="Arial"/>
          <w:sz w:val="22"/>
          <w:szCs w:val="22"/>
          <w:color w:val="auto"/>
        </w:rPr>
        <w:t>in connection with the transfer or sale of all or substantially all of the business or assets of such Party relating to this Agreement to a Third Party, whether by merger, consolidation, divesture, restructure, sale of stock, sale of assets, or otherwise; or</w:t>
      </w:r>
    </w:p>
    <w:p>
      <w:pPr>
        <w:spacing w:after="0" w:line="186" w:lineRule="exact"/>
        <w:rPr>
          <w:rFonts w:ascii="Arial" w:cs="Arial" w:eastAsia="Arial" w:hAnsi="Arial"/>
          <w:sz w:val="22"/>
          <w:szCs w:val="22"/>
          <w:b w:val="1"/>
          <w:bCs w:val="1"/>
          <w:color w:val="auto"/>
        </w:rPr>
      </w:pPr>
    </w:p>
    <w:p>
      <w:pPr>
        <w:ind w:right="240" w:firstLine="1208"/>
        <w:spacing w:after="0" w:line="328" w:lineRule="auto"/>
        <w:tabs>
          <w:tab w:leader="none" w:pos="1692" w:val="left"/>
        </w:tabs>
        <w:numPr>
          <w:ilvl w:val="0"/>
          <w:numId w:val="555"/>
        </w:numPr>
        <w:rPr>
          <w:rFonts w:ascii="Arial" w:cs="Arial" w:eastAsia="Arial" w:hAnsi="Arial"/>
          <w:sz w:val="19"/>
          <w:szCs w:val="19"/>
          <w:b w:val="1"/>
          <w:bCs w:val="1"/>
          <w:color w:val="auto"/>
        </w:rPr>
      </w:pPr>
      <w:r>
        <w:rPr>
          <w:rFonts w:ascii="Arial" w:cs="Arial" w:eastAsia="Arial" w:hAnsi="Arial"/>
          <w:sz w:val="19"/>
          <w:szCs w:val="19"/>
          <w:color w:val="auto"/>
        </w:rPr>
        <w:t>to an Affiliate, provided that if the entity to which this Agreement is assigned ceases to be an Affiliate of the assigning Party, the Agreement shall be automatically assigned back to the assigning Party or its successor.</w:t>
      </w:r>
    </w:p>
    <w:p>
      <w:pPr>
        <w:spacing w:after="0" w:line="10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Notwithstanding anything to the contrary in this Agreement, if a Party is acquired by a Third Party after the Effective Date, then with respect to any intellectual property rights controlled by the acquiring entity or its affiliates (other than one of the Parties to this Agreement or its Affiliates immediately prior to such acquisition), such intellectual property rights of the acquiring entity and its affiliates shall not be included in the technology and intellectual property rights licensed to the other Party hereunder to the extent held immediately prior to the closing of such transaction by such acquirer entity or its affiliate.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11.2. Any assignment not in accordance with this Section 11.2 shall be null and void and of no legal effect.</w:t>
      </w:r>
    </w:p>
    <w:p>
      <w:pPr>
        <w:spacing w:after="0" w:line="152" w:lineRule="exact"/>
        <w:rPr>
          <w:sz w:val="20"/>
          <w:szCs w:val="20"/>
          <w:color w:val="auto"/>
        </w:rPr>
      </w:pPr>
    </w:p>
    <w:p>
      <w:pPr>
        <w:ind w:right="80" w:firstLine="551"/>
        <w:spacing w:after="0" w:line="236" w:lineRule="auto"/>
        <w:rPr>
          <w:sz w:val="20"/>
          <w:szCs w:val="20"/>
          <w:color w:val="auto"/>
        </w:rPr>
      </w:pPr>
      <w:r>
        <w:rPr>
          <w:rFonts w:ascii="Arial" w:cs="Arial" w:eastAsia="Arial" w:hAnsi="Arial"/>
          <w:sz w:val="22"/>
          <w:szCs w:val="22"/>
          <w:b w:val="1"/>
          <w:bCs w:val="1"/>
          <w:color w:val="auto"/>
        </w:rPr>
        <w:t>11.3 Severability</w:t>
      </w:r>
      <w:r>
        <w:rPr>
          <w:rFonts w:ascii="Arial" w:cs="Arial" w:eastAsia="Arial" w:hAnsi="Arial"/>
          <w:sz w:val="22"/>
          <w:szCs w:val="22"/>
          <w:color w:val="auto"/>
        </w:rPr>
        <w:t>. If any one or more of the provisions contained in this Agreement is held invalid,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negotiate in good faith to promptly replace the invalid, illegal, or unenforceable provision(s) with valid, legal, and enforceable provision(s) which, insofar as practical, implement the original intent of the Parties.</w:t>
      </w:r>
    </w:p>
    <w:p>
      <w:pPr>
        <w:spacing w:after="0" w:line="182" w:lineRule="exact"/>
        <w:rPr>
          <w:sz w:val="20"/>
          <w:szCs w:val="20"/>
          <w:color w:val="auto"/>
        </w:rPr>
      </w:pPr>
    </w:p>
    <w:p>
      <w:pPr>
        <w:ind w:right="140" w:firstLine="551"/>
        <w:spacing w:after="0" w:line="260" w:lineRule="auto"/>
        <w:rPr>
          <w:sz w:val="20"/>
          <w:szCs w:val="20"/>
          <w:color w:val="auto"/>
        </w:rPr>
      </w:pPr>
      <w:r>
        <w:rPr>
          <w:rFonts w:ascii="Arial" w:cs="Arial" w:eastAsia="Arial" w:hAnsi="Arial"/>
          <w:sz w:val="21"/>
          <w:szCs w:val="21"/>
          <w:b w:val="1"/>
          <w:bCs w:val="1"/>
          <w:color w:val="auto"/>
        </w:rPr>
        <w:t>11.4 Notices</w:t>
      </w:r>
      <w:r>
        <w:rPr>
          <w:rFonts w:ascii="Arial" w:cs="Arial" w:eastAsia="Arial" w:hAnsi="Arial"/>
          <w:sz w:val="21"/>
          <w:szCs w:val="21"/>
          <w:color w:val="auto"/>
        </w:rPr>
        <w:t>. All notices which are required or permitted hereunder shall be in writing and sufficient if delivered</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personally, sent by registered or certified mail or overnight courier, sent by nationally-recognized overnight courier or sent by registered or certified mail, postage prepaid, return receipt requested, addressed as follows: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980"/>
          </w:cols>
          <w:pgMar w:left="440" w:top="266" w:right="479" w:bottom="1440" w:gutter="0" w:footer="0" w:header="0"/>
        </w:sectPr>
      </w:pPr>
    </w:p>
    <w:bookmarkStart w:id="500" w:name="page501"/>
    <w:bookmarkEnd w:id="500"/>
    <w:p>
      <w:pPr>
        <w:ind w:left="17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Licensor:</w:t>
      </w:r>
    </w:p>
    <w:p>
      <w:pPr>
        <w:spacing w:after="0" w:line="9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t>
      </w:r>
    </w:p>
    <w:p>
      <w:pPr>
        <w:spacing w:after="0" w:line="9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and</w:t>
      </w:r>
    </w:p>
    <w:p>
      <w:pPr>
        <w:spacing w:after="0" w:line="9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t>
      </w:r>
    </w:p>
    <w:p>
      <w:pPr>
        <w:spacing w:after="0" w:line="9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with a copy (which shall not constitute notice) to:</w:t>
      </w:r>
    </w:p>
    <w:p>
      <w:pPr>
        <w:spacing w:after="0" w:line="9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t>
      </w:r>
    </w:p>
    <w:p>
      <w:pPr>
        <w:spacing w:after="0" w:line="9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If to Licensee:</w:t>
      </w:r>
    </w:p>
    <w:p>
      <w:pPr>
        <w:spacing w:after="0" w:line="10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with a copy (which shall not constitute notice) to:</w:t>
      </w:r>
    </w:p>
    <w:p>
      <w:pPr>
        <w:spacing w:after="0" w:line="9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right="160" w:firstLine="551"/>
        <w:spacing w:after="0" w:line="236" w:lineRule="auto"/>
        <w:rPr>
          <w:sz w:val="20"/>
          <w:szCs w:val="20"/>
          <w:color w:val="auto"/>
        </w:rPr>
      </w:pPr>
      <w:r>
        <w:rPr>
          <w:rFonts w:ascii="Arial" w:cs="Arial" w:eastAsia="Arial" w:hAnsi="Arial"/>
          <w:sz w:val="22"/>
          <w:szCs w:val="22"/>
          <w:color w:val="auto"/>
        </w:rPr>
        <w:t>or to such other address(es) as the Party to whom notice is to be given may have furnished to the other Party in writing in accordance herewith. Any such notice shall be deemed to have been given: (a) when delivered if personally delivered on a business day (or if delivered on a non-business day, then on the next business day); (b) on the business day after dispatch if sent by nationally-recognized overnight courier; or (c) on the fifth (5th) business day following the date of mailing, if sent by mail.</w:t>
      </w:r>
    </w:p>
    <w:p>
      <w:pPr>
        <w:spacing w:after="0" w:line="181" w:lineRule="exact"/>
        <w:rPr>
          <w:sz w:val="20"/>
          <w:szCs w:val="20"/>
          <w:color w:val="auto"/>
        </w:rPr>
      </w:pPr>
    </w:p>
    <w:p>
      <w:pPr>
        <w:ind w:right="60" w:firstLine="551"/>
        <w:spacing w:after="0" w:line="243" w:lineRule="auto"/>
        <w:rPr>
          <w:sz w:val="20"/>
          <w:szCs w:val="20"/>
          <w:color w:val="auto"/>
        </w:rPr>
      </w:pPr>
      <w:r>
        <w:rPr>
          <w:rFonts w:ascii="Arial" w:cs="Arial" w:eastAsia="Arial" w:hAnsi="Arial"/>
          <w:sz w:val="22"/>
          <w:szCs w:val="22"/>
          <w:b w:val="1"/>
          <w:bCs w:val="1"/>
          <w:color w:val="auto"/>
        </w:rPr>
        <w:t>11.5 Governing Law</w:t>
      </w:r>
      <w:r>
        <w:rPr>
          <w:rFonts w:ascii="Arial" w:cs="Arial" w:eastAsia="Arial" w:hAnsi="Arial"/>
          <w:sz w:val="22"/>
          <w:szCs w:val="22"/>
          <w:color w:val="auto"/>
        </w:rPr>
        <w:t>. This Agreement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USA, without reference to any rules of conflict of laws that may require the application of the laws of a different jurisdiction.</w:t>
      </w:r>
    </w:p>
    <w:p>
      <w:pPr>
        <w:spacing w:after="0" w:line="285"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Dispute Resolution</w:t>
      </w:r>
      <w:r>
        <w:rPr>
          <w:rFonts w:ascii="Arial" w:cs="Arial" w:eastAsia="Arial" w:hAnsi="Arial"/>
          <w:sz w:val="19"/>
          <w:szCs w:val="19"/>
          <w:color w:val="auto"/>
        </w:rPr>
        <w:t>.</w:t>
      </w:r>
    </w:p>
    <w:p>
      <w:pPr>
        <w:spacing w:after="0" w:line="98" w:lineRule="exact"/>
        <w:rPr>
          <w:sz w:val="20"/>
          <w:szCs w:val="20"/>
          <w:color w:val="auto"/>
        </w:rPr>
      </w:pPr>
    </w:p>
    <w:p>
      <w:pPr>
        <w:jc w:val="both"/>
        <w:ind w:firstLine="1208"/>
        <w:spacing w:after="0" w:line="243" w:lineRule="auto"/>
        <w:tabs>
          <w:tab w:leader="none" w:pos="1679" w:val="left"/>
        </w:tabs>
        <w:numPr>
          <w:ilvl w:val="0"/>
          <w:numId w:val="556"/>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Except as provided in Section 5.11, any dispute between the Parties in connection with or relating</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Agreement or any document or instrument delivered in connection herewith (a “</w:t>
      </w:r>
      <w:r>
        <w:rPr>
          <w:rFonts w:ascii="Arial" w:cs="Arial" w:eastAsia="Arial" w:hAnsi="Arial"/>
          <w:sz w:val="22"/>
          <w:szCs w:val="22"/>
          <w:b w:val="1"/>
          <w:bCs w:val="1"/>
          <w:color w:val="auto"/>
        </w:rPr>
        <w:t>Dispute</w:t>
      </w:r>
      <w:r>
        <w:rPr>
          <w:rFonts w:ascii="Arial" w:cs="Arial" w:eastAsia="Arial" w:hAnsi="Arial"/>
          <w:sz w:val="22"/>
          <w:szCs w:val="22"/>
          <w:color w:val="auto"/>
        </w:rPr>
        <w:t>”) shall be resolved pursuant to this Section 11.6.</w:t>
      </w:r>
    </w:p>
    <w:p>
      <w:pPr>
        <w:spacing w:after="0" w:line="176" w:lineRule="exact"/>
        <w:rPr>
          <w:rFonts w:ascii="Arial" w:cs="Arial" w:eastAsia="Arial" w:hAnsi="Arial"/>
          <w:sz w:val="22"/>
          <w:szCs w:val="22"/>
          <w:b w:val="1"/>
          <w:bCs w:val="1"/>
          <w:color w:val="auto"/>
        </w:rPr>
      </w:pPr>
    </w:p>
    <w:p>
      <w:pPr>
        <w:ind w:right="180" w:firstLine="1208"/>
        <w:spacing w:after="0" w:line="243" w:lineRule="auto"/>
        <w:tabs>
          <w:tab w:leader="none" w:pos="1692" w:val="left"/>
        </w:tabs>
        <w:numPr>
          <w:ilvl w:val="0"/>
          <w:numId w:val="556"/>
        </w:numPr>
        <w:rPr>
          <w:rFonts w:ascii="Arial" w:cs="Arial" w:eastAsia="Arial" w:hAnsi="Arial"/>
          <w:sz w:val="22"/>
          <w:szCs w:val="22"/>
          <w:b w:val="1"/>
          <w:bCs w:val="1"/>
          <w:color w:val="auto"/>
        </w:rPr>
      </w:pPr>
      <w:r>
        <w:rPr>
          <w:rFonts w:ascii="Arial" w:cs="Arial" w:eastAsia="Arial" w:hAnsi="Arial"/>
          <w:sz w:val="22"/>
          <w:szCs w:val="22"/>
          <w:b w:val="1"/>
          <w:bCs w:val="1"/>
          <w:color w:val="auto"/>
        </w:rPr>
        <w:t>Senior Officers</w:t>
      </w:r>
      <w:r>
        <w:rPr>
          <w:rFonts w:ascii="Arial" w:cs="Arial" w:eastAsia="Arial" w:hAnsi="Arial"/>
          <w:sz w:val="22"/>
          <w:szCs w:val="22"/>
          <w:color w:val="auto"/>
        </w:rPr>
        <w:t>. Any Dispute shall first be referred to the Senior Officers of the Parties, who shall confer</w:t>
      </w:r>
      <w:r>
        <w:rPr>
          <w:rFonts w:ascii="Arial" w:cs="Arial" w:eastAsia="Arial" w:hAnsi="Arial"/>
          <w:sz w:val="22"/>
          <w:szCs w:val="22"/>
          <w:b w:val="1"/>
          <w:bCs w:val="1"/>
          <w:color w:val="auto"/>
        </w:rPr>
        <w:t xml:space="preserve"> </w:t>
      </w:r>
      <w:r>
        <w:rPr>
          <w:rFonts w:ascii="Arial" w:cs="Arial" w:eastAsia="Arial" w:hAnsi="Arial"/>
          <w:sz w:val="22"/>
          <w:szCs w:val="22"/>
          <w:color w:val="auto"/>
        </w:rPr>
        <w:t>in good faith on the resolution of the issue. Any final decision mutually agreed to by the Senior Officers shall be conclusive and binding on the Parties.</w:t>
      </w:r>
    </w:p>
    <w:p>
      <w:pPr>
        <w:spacing w:after="0" w:line="176" w:lineRule="exact"/>
        <w:rPr>
          <w:rFonts w:ascii="Arial" w:cs="Arial" w:eastAsia="Arial" w:hAnsi="Arial"/>
          <w:sz w:val="22"/>
          <w:szCs w:val="22"/>
          <w:b w:val="1"/>
          <w:bCs w:val="1"/>
          <w:color w:val="auto"/>
        </w:rPr>
      </w:pPr>
    </w:p>
    <w:p>
      <w:pPr>
        <w:ind w:right="60" w:firstLine="1208"/>
        <w:spacing w:after="0" w:line="249" w:lineRule="auto"/>
        <w:tabs>
          <w:tab w:leader="none" w:pos="1667" w:val="left"/>
        </w:tabs>
        <w:numPr>
          <w:ilvl w:val="0"/>
          <w:numId w:val="556"/>
        </w:numPr>
        <w:rPr>
          <w:rFonts w:ascii="Arial" w:cs="Arial" w:eastAsia="Arial" w:hAnsi="Arial"/>
          <w:sz w:val="21"/>
          <w:szCs w:val="21"/>
          <w:b w:val="1"/>
          <w:bCs w:val="1"/>
          <w:color w:val="auto"/>
        </w:rPr>
      </w:pPr>
      <w:r>
        <w:rPr>
          <w:rFonts w:ascii="Arial" w:cs="Arial" w:eastAsia="Arial" w:hAnsi="Arial"/>
          <w:sz w:val="21"/>
          <w:szCs w:val="21"/>
          <w:b w:val="1"/>
          <w:bCs w:val="1"/>
          <w:color w:val="auto"/>
        </w:rPr>
        <w:t>Intellectual Property Disputes</w:t>
      </w:r>
      <w:r>
        <w:rPr>
          <w:rFonts w:ascii="Arial" w:cs="Arial" w:eastAsia="Arial" w:hAnsi="Arial"/>
          <w:sz w:val="21"/>
          <w:szCs w:val="21"/>
          <w:color w:val="auto"/>
        </w:rPr>
        <w:t>. If the Senior Officers are not able to agree on the resolution of a Dispute</w:t>
      </w:r>
      <w:r>
        <w:rPr>
          <w:rFonts w:ascii="Arial" w:cs="Arial" w:eastAsia="Arial" w:hAnsi="Arial"/>
          <w:sz w:val="21"/>
          <w:szCs w:val="21"/>
          <w:b w:val="1"/>
          <w:bCs w:val="1"/>
          <w:color w:val="auto"/>
        </w:rPr>
        <w:t xml:space="preserve"> </w:t>
      </w:r>
      <w:r>
        <w:rPr>
          <w:rFonts w:ascii="Arial" w:cs="Arial" w:eastAsia="Arial" w:hAnsi="Arial"/>
          <w:sz w:val="21"/>
          <w:szCs w:val="21"/>
          <w:color w:val="auto"/>
        </w:rPr>
        <w:t>within [***] days (or such other period of time as mutually agreed by the Senior Officers) after such Dispute was first referred to them and such Dispute is with respect to the validity, scope, enforceability, inventorship, or ownership of any Patent Right, or trademark right (“</w:t>
      </w:r>
      <w:r>
        <w:rPr>
          <w:rFonts w:ascii="Arial" w:cs="Arial" w:eastAsia="Arial" w:hAnsi="Arial"/>
          <w:sz w:val="21"/>
          <w:szCs w:val="21"/>
          <w:b w:val="1"/>
          <w:bCs w:val="1"/>
          <w:color w:val="auto"/>
        </w:rPr>
        <w:t>IP Dispute</w:t>
      </w:r>
      <w:r>
        <w:rPr>
          <w:rFonts w:ascii="Arial" w:cs="Arial" w:eastAsia="Arial" w:hAnsi="Arial"/>
          <w:sz w:val="21"/>
          <w:szCs w:val="21"/>
          <w:color w:val="auto"/>
        </w:rPr>
        <w:t>”), then, if a Party wishes to pursue further resolution of such IP Dispute, an action, claim, or proceeding to resolve such IP Dispute shall be brought in any court of competent jurisdiction in any country or jurisdiction in which such intellectual property rights apply.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980"/>
          </w:cols>
          <w:pgMar w:left="440" w:top="266" w:right="479" w:bottom="1440" w:gutter="0" w:footer="0" w:header="0"/>
        </w:sectPr>
      </w:pPr>
    </w:p>
    <w:bookmarkStart w:id="501" w:name="page502"/>
    <w:bookmarkEnd w:id="501"/>
    <w:p>
      <w:pPr>
        <w:ind w:left="4" w:firstLine="1208"/>
        <w:spacing w:after="0" w:line="269" w:lineRule="auto"/>
        <w:tabs>
          <w:tab w:leader="none" w:pos="1696" w:val="left"/>
        </w:tabs>
        <w:numPr>
          <w:ilvl w:val="1"/>
          <w:numId w:val="557"/>
        </w:numPr>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Arbitration</w:t>
      </w:r>
      <w:r>
        <w:rPr>
          <w:rFonts w:ascii="Arial" w:cs="Arial" w:eastAsia="Arial" w:hAnsi="Arial"/>
          <w:sz w:val="19"/>
          <w:szCs w:val="19"/>
          <w:color w:val="auto"/>
        </w:rPr>
        <w:t>. If the Senior Officers are not able to agree on the resolution of a Dispute within [***] days (or</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period of time as mutually agreed by the Senior Officers) after such Dispute was first referred to them, then, except as otherwise set forth in subsection (c) above, if a Party wishes to pursue further resolution of such Dispute, such Dispute shall be finally resolved by binding arbitration in accordance with this Section 11.6(d). Such Dispute shall be referred to and finally resolved by arbitration administered by JAMS pursuant to its Streamlined Arbitration Rules then in effect, except as otherwise provided herein and applying the substantive law specified in Section 11.5, by a tribunal of three (3) arbitrators. The seat and legal place of the arbitration shall be New York City, New York. Each Party shall nominate one arbitrator and the third arbitrator shall be nominated by the two Party-nominated arbitrators within [***] days after the second arbitrator’s appointment. If a Party does not nominate its arbitrator within [***] days following the expiry of the allotted period, then such arbitrator shall be appointed by JAMS in accordance with its rules. Any arbitrator appointed by JAMS shall have at least ten</w:t>
      </w:r>
    </w:p>
    <w:p>
      <w:pPr>
        <w:spacing w:after="0" w:line="5" w:lineRule="exact"/>
        <w:rPr>
          <w:rFonts w:ascii="Arial" w:cs="Arial" w:eastAsia="Arial" w:hAnsi="Arial"/>
          <w:sz w:val="19"/>
          <w:szCs w:val="19"/>
          <w:b w:val="1"/>
          <w:bCs w:val="1"/>
          <w:color w:val="auto"/>
        </w:rPr>
      </w:pPr>
    </w:p>
    <w:p>
      <w:pPr>
        <w:ind w:left="4" w:hanging="4"/>
        <w:spacing w:after="0" w:line="270" w:lineRule="auto"/>
        <w:tabs>
          <w:tab w:leader="none" w:pos="418" w:val="left"/>
        </w:tabs>
        <w:numPr>
          <w:ilvl w:val="0"/>
          <w:numId w:val="558"/>
        </w:numPr>
        <w:rPr>
          <w:rFonts w:ascii="Arial" w:cs="Arial" w:eastAsia="Arial" w:hAnsi="Arial"/>
          <w:sz w:val="19"/>
          <w:szCs w:val="19"/>
          <w:color w:val="auto"/>
        </w:rPr>
      </w:pPr>
      <w:r>
        <w:rPr>
          <w:rFonts w:ascii="Arial" w:cs="Arial" w:eastAsia="Arial" w:hAnsi="Arial"/>
          <w:sz w:val="19"/>
          <w:szCs w:val="19"/>
          <w:color w:val="auto"/>
        </w:rPr>
        <w:t>years’ experience in the pharmaceutical industry. The arbitration shall be conducted, and all documents submitted to the arbitrators shall be, in English. Each Party shall bear its own legal costs for its counsel and other expenses, and the Parties shall equally share the costs of the arbitration; provided that the arbitral tribunal shall have the discretion to provide that the losing party is responsible for all or a portion of such arbitration and legal costs, in such case the arbitral award will so provide. The arbitrators shall have no power to award punitive, special, incidental, or consequential damages. In no event shall the arbitrators assign a value to any issue greater than the greatest value for such issue claimed by either Party or less than the smallest value for such issue for such item claimed by either Party. The award shall be final and binding upon the Parties and the Parties undertake to carry out any award without delay. Judgment on the award may be entered in any court of competent jurisdiction. Except to the extent necessary to confirm, enforce, or challenge an award of the arbitration, to protect or pursue a legal right, or as otherwise required by applicable Law or regulation or securities exchange, neither Party nor any arbitrator may disclose the existence, content, or results of any arbitration hereunder without the prior written consent of both Parties. Notwithstanding anything to the contrary in the foregoing, in no event shall an arbitration be initiated after the date when commencement of a legal or equitable proceeding based on the dispute, controversy, or claim would be barred by the applicable Delaware statute of limitations. Any disputes concerning the propriety of the commencement of the arbitration shall be finally settled by the arbitral tribunal.</w:t>
      </w:r>
    </w:p>
    <w:p>
      <w:pPr>
        <w:spacing w:after="0" w:line="395" w:lineRule="exact"/>
        <w:rPr>
          <w:rFonts w:ascii="Arial" w:cs="Arial" w:eastAsia="Arial" w:hAnsi="Arial"/>
          <w:sz w:val="19"/>
          <w:szCs w:val="19"/>
          <w:color w:val="auto"/>
        </w:rPr>
      </w:pPr>
    </w:p>
    <w:p>
      <w:pPr>
        <w:ind w:left="4" w:right="40" w:firstLine="1208"/>
        <w:spacing w:after="0" w:line="237" w:lineRule="auto"/>
        <w:tabs>
          <w:tab w:leader="none" w:pos="1671" w:val="left"/>
        </w:tabs>
        <w:numPr>
          <w:ilvl w:val="1"/>
          <w:numId w:val="558"/>
        </w:numPr>
        <w:rPr>
          <w:rFonts w:ascii="Arial" w:cs="Arial" w:eastAsia="Arial" w:hAnsi="Arial"/>
          <w:sz w:val="22"/>
          <w:szCs w:val="22"/>
          <w:b w:val="1"/>
          <w:bCs w:val="1"/>
          <w:color w:val="auto"/>
        </w:rPr>
      </w:pPr>
      <w:r>
        <w:rPr>
          <w:rFonts w:ascii="Arial" w:cs="Arial" w:eastAsia="Arial" w:hAnsi="Arial"/>
          <w:sz w:val="22"/>
          <w:szCs w:val="22"/>
          <w:b w:val="1"/>
          <w:bCs w:val="1"/>
          <w:color w:val="auto"/>
        </w:rPr>
        <w:t>Interim Relief</w:t>
      </w:r>
      <w:r>
        <w:rPr>
          <w:rFonts w:ascii="Arial" w:cs="Arial" w:eastAsia="Arial" w:hAnsi="Arial"/>
          <w:sz w:val="22"/>
          <w:szCs w:val="22"/>
          <w:color w:val="auto"/>
        </w:rPr>
        <w:t>. Notwithstanding anything herein to the contrary, nothing in this Section 11.6 shall preclude</w:t>
      </w:r>
      <w:r>
        <w:rPr>
          <w:rFonts w:ascii="Arial" w:cs="Arial" w:eastAsia="Arial" w:hAnsi="Arial"/>
          <w:sz w:val="22"/>
          <w:szCs w:val="22"/>
          <w:b w:val="1"/>
          <w:bCs w:val="1"/>
          <w:color w:val="auto"/>
        </w:rPr>
        <w:t xml:space="preserve"> </w:t>
      </w:r>
      <w:r>
        <w:rPr>
          <w:rFonts w:ascii="Arial" w:cs="Arial" w:eastAsia="Arial" w:hAnsi="Arial"/>
          <w:sz w:val="22"/>
          <w:szCs w:val="22"/>
          <w:color w:val="auto"/>
        </w:rPr>
        <w:t>either Party from seeking interim or provisional relief, including a temporary restraining order, preliminary injunction, or other interim equitable relief concerning a Dispute in any court of competent jurisdiction before or after the initiation of an arbitration as set forth in Section 11.6(d), if necessary to protect the interests of such Party. This Section shall be specifically enforceable.</w:t>
      </w:r>
    </w:p>
    <w:p>
      <w:pPr>
        <w:spacing w:after="0" w:line="182" w:lineRule="exact"/>
        <w:rPr>
          <w:sz w:val="20"/>
          <w:szCs w:val="20"/>
          <w:color w:val="auto"/>
        </w:rPr>
      </w:pPr>
    </w:p>
    <w:p>
      <w:pPr>
        <w:ind w:left="4" w:right="340" w:firstLine="551"/>
        <w:spacing w:after="0" w:line="239" w:lineRule="auto"/>
        <w:rPr>
          <w:sz w:val="20"/>
          <w:szCs w:val="20"/>
          <w:color w:val="auto"/>
        </w:rPr>
      </w:pPr>
      <w:r>
        <w:rPr>
          <w:rFonts w:ascii="Arial" w:cs="Arial" w:eastAsia="Arial" w:hAnsi="Arial"/>
          <w:sz w:val="22"/>
          <w:szCs w:val="22"/>
          <w:b w:val="1"/>
          <w:bCs w:val="1"/>
          <w:color w:val="auto"/>
        </w:rPr>
        <w:t>11.7 Entire Agreement; Amendments</w:t>
      </w:r>
      <w:r>
        <w:rPr>
          <w:rFonts w:ascii="Arial" w:cs="Arial" w:eastAsia="Arial" w:hAnsi="Arial"/>
          <w:sz w:val="22"/>
          <w:szCs w:val="22"/>
          <w:color w:val="auto"/>
        </w:rPr>
        <w:t>. This Agreement, together with the Exhibits hereto, contains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of the Parties with respect to the subject matter hereof. Any other express or implied agreements and understandings, negotiations, writings and commitments, either oral or written, with respect to the subject matter hereof are superseded by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04"/>
          </w:cols>
          <w:pgMar w:left="436" w:top="260" w:right="459" w:bottom="1440" w:gutter="0" w:footer="0" w:header="0"/>
        </w:sectPr>
      </w:pPr>
    </w:p>
    <w:bookmarkStart w:id="502" w:name="page503"/>
    <w:bookmarkEnd w:id="502"/>
    <w:p>
      <w:pPr>
        <w:jc w:val="both"/>
        <w:ind w:righ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of this Agreement. The Exhibits to this Agreement are incorporated herein by reference and shall be deemed a part of this Agreement. This Agreement may be amended, or any term hereof modified, only by a written instrument duly executed by authorized representative(s) of both Parties.</w:t>
      </w:r>
    </w:p>
    <w:p>
      <w:pPr>
        <w:spacing w:after="0" w:line="180" w:lineRule="exact"/>
        <w:rPr>
          <w:sz w:val="20"/>
          <w:szCs w:val="20"/>
          <w:color w:val="auto"/>
        </w:rPr>
      </w:pPr>
    </w:p>
    <w:p>
      <w:pPr>
        <w:ind w:right="20" w:firstLine="551"/>
        <w:spacing w:after="0" w:line="239" w:lineRule="auto"/>
        <w:rPr>
          <w:sz w:val="20"/>
          <w:szCs w:val="20"/>
          <w:color w:val="auto"/>
        </w:rPr>
      </w:pPr>
      <w:r>
        <w:rPr>
          <w:rFonts w:ascii="Arial" w:cs="Arial" w:eastAsia="Arial" w:hAnsi="Arial"/>
          <w:sz w:val="22"/>
          <w:szCs w:val="22"/>
          <w:b w:val="1"/>
          <w:bCs w:val="1"/>
          <w:color w:val="auto"/>
        </w:rPr>
        <w:t>11.8 Headings; Language</w:t>
      </w:r>
      <w:r>
        <w:rPr>
          <w:rFonts w:ascii="Arial" w:cs="Arial" w:eastAsia="Arial" w:hAnsi="Arial"/>
          <w:sz w:val="22"/>
          <w:szCs w:val="22"/>
          <w:color w:val="auto"/>
        </w:rPr>
        <w:t>. The captions to the several Articles, Sections, and subsections hereof are not a part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but are merely for convenience to assist in locating and reading the several Articles and Sections hereof. This Agreement was prepared in the English language, which language shall govern the interpretation of, and any dispute regarding, the terms of this Agreement.</w:t>
      </w:r>
    </w:p>
    <w:p>
      <w:pPr>
        <w:spacing w:after="0" w:line="180" w:lineRule="exact"/>
        <w:rPr>
          <w:sz w:val="20"/>
          <w:szCs w:val="20"/>
          <w:color w:val="auto"/>
        </w:rPr>
      </w:pPr>
    </w:p>
    <w:p>
      <w:pPr>
        <w:ind w:firstLine="551"/>
        <w:spacing w:after="0" w:line="237" w:lineRule="auto"/>
        <w:rPr>
          <w:sz w:val="20"/>
          <w:szCs w:val="20"/>
          <w:color w:val="auto"/>
        </w:rPr>
      </w:pPr>
      <w:r>
        <w:rPr>
          <w:rFonts w:ascii="Arial" w:cs="Arial" w:eastAsia="Arial" w:hAnsi="Arial"/>
          <w:sz w:val="22"/>
          <w:szCs w:val="22"/>
          <w:b w:val="1"/>
          <w:bCs w:val="1"/>
          <w:color w:val="auto"/>
        </w:rPr>
        <w:t>11.9 Independent Contractors</w:t>
      </w:r>
      <w:r>
        <w:rPr>
          <w:rFonts w:ascii="Arial" w:cs="Arial" w:eastAsia="Arial" w:hAnsi="Arial"/>
          <w:sz w:val="22"/>
          <w:szCs w:val="22"/>
          <w:color w:val="auto"/>
        </w:rPr>
        <w:t>. It is expressly agreed that Licensor and Licensee shall be independent contractors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relationship between the two Parties shall not constitute a partnership, joint venture, agency, employer-employee or similar business relationship, including for all tax purposes. Neither Licensor nor Licensee shall have the authority to make any statements, representations, or commitments of any kind, or to take any action, which shall be binding on the other Party, without the prior written consent of the other Party.</w:t>
      </w:r>
    </w:p>
    <w:p>
      <w:pPr>
        <w:spacing w:after="0" w:line="182" w:lineRule="exact"/>
        <w:rPr>
          <w:sz w:val="20"/>
          <w:szCs w:val="20"/>
          <w:color w:val="auto"/>
        </w:rPr>
      </w:pPr>
    </w:p>
    <w:p>
      <w:pPr>
        <w:jc w:val="both"/>
        <w:ind w:right="80" w:firstLine="551"/>
        <w:spacing w:after="0" w:line="243" w:lineRule="auto"/>
        <w:rPr>
          <w:sz w:val="20"/>
          <w:szCs w:val="20"/>
          <w:color w:val="auto"/>
        </w:rPr>
      </w:pPr>
      <w:r>
        <w:rPr>
          <w:rFonts w:ascii="Arial" w:cs="Arial" w:eastAsia="Arial" w:hAnsi="Arial"/>
          <w:sz w:val="22"/>
          <w:szCs w:val="22"/>
          <w:b w:val="1"/>
          <w:bCs w:val="1"/>
          <w:color w:val="auto"/>
        </w:rPr>
        <w:t>11.10 Waiver</w:t>
      </w:r>
      <w:r>
        <w:rPr>
          <w:rFonts w:ascii="Arial" w:cs="Arial" w:eastAsia="Arial" w:hAnsi="Arial"/>
          <w:sz w:val="22"/>
          <w:szCs w:val="22"/>
          <w:color w:val="auto"/>
        </w:rPr>
        <w:t>. The waiver by either Party of any right hereunder, or of any failure of the other Party to perform, or of</w:t>
      </w:r>
      <w:r>
        <w:rPr>
          <w:rFonts w:ascii="Arial" w:cs="Arial" w:eastAsia="Arial" w:hAnsi="Arial"/>
          <w:sz w:val="22"/>
          <w:szCs w:val="22"/>
          <w:b w:val="1"/>
          <w:bCs w:val="1"/>
          <w:color w:val="auto"/>
        </w:rPr>
        <w:t xml:space="preserve"> </w:t>
      </w:r>
      <w:r>
        <w:rPr>
          <w:rFonts w:ascii="Arial" w:cs="Arial" w:eastAsia="Arial" w:hAnsi="Arial"/>
          <w:sz w:val="22"/>
          <w:szCs w:val="22"/>
          <w:color w:val="auto"/>
        </w:rPr>
        <w:t>any breach by the other Party, shall not be deemed a waiver of any other right hereunder or of any other breach by or failure of such other Party whether of a similar nature or otherwise.</w:t>
      </w:r>
    </w:p>
    <w:p>
      <w:pPr>
        <w:spacing w:after="0" w:line="177" w:lineRule="exact"/>
        <w:rPr>
          <w:sz w:val="20"/>
          <w:szCs w:val="20"/>
          <w:color w:val="auto"/>
        </w:rPr>
      </w:pPr>
    </w:p>
    <w:p>
      <w:pPr>
        <w:ind w:right="240" w:firstLine="551"/>
        <w:spacing w:after="0" w:line="334" w:lineRule="auto"/>
        <w:rPr>
          <w:sz w:val="20"/>
          <w:szCs w:val="20"/>
          <w:color w:val="auto"/>
        </w:rPr>
      </w:pPr>
      <w:r>
        <w:rPr>
          <w:rFonts w:ascii="Arial" w:cs="Arial" w:eastAsia="Arial" w:hAnsi="Arial"/>
          <w:sz w:val="19"/>
          <w:szCs w:val="19"/>
          <w:b w:val="1"/>
          <w:bCs w:val="1"/>
          <w:color w:val="auto"/>
        </w:rPr>
        <w:t>11.11 Cumulative Remedies</w:t>
      </w:r>
      <w:r>
        <w:rPr>
          <w:rFonts w:ascii="Arial" w:cs="Arial" w:eastAsia="Arial" w:hAnsi="Arial"/>
          <w:sz w:val="19"/>
          <w:szCs w:val="19"/>
          <w:color w:val="auto"/>
        </w:rPr>
        <w:t>. No remedy referred to in this Agreement is intended to be exclusive, but each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cumulative and in addition to any other remedy referred to in this Agreement or otherwise available under law.</w:t>
      </w:r>
    </w:p>
    <w:p>
      <w:pPr>
        <w:spacing w:after="0" w:line="94" w:lineRule="exact"/>
        <w:rPr>
          <w:sz w:val="20"/>
          <w:szCs w:val="20"/>
          <w:color w:val="auto"/>
        </w:rPr>
      </w:pPr>
    </w:p>
    <w:p>
      <w:pPr>
        <w:ind w:right="80" w:firstLine="551"/>
        <w:spacing w:after="0" w:line="251" w:lineRule="auto"/>
        <w:rPr>
          <w:sz w:val="20"/>
          <w:szCs w:val="20"/>
          <w:color w:val="auto"/>
        </w:rPr>
      </w:pPr>
      <w:r>
        <w:rPr>
          <w:rFonts w:ascii="Arial" w:cs="Arial" w:eastAsia="Arial" w:hAnsi="Arial"/>
          <w:sz w:val="21"/>
          <w:szCs w:val="21"/>
          <w:b w:val="1"/>
          <w:bCs w:val="1"/>
          <w:color w:val="auto"/>
        </w:rPr>
        <w:t>11.12 Further Assurance</w:t>
      </w:r>
      <w:r>
        <w:rPr>
          <w:rFonts w:ascii="Arial" w:cs="Arial" w:eastAsia="Arial" w:hAnsi="Arial"/>
          <w:sz w:val="21"/>
          <w:szCs w:val="21"/>
          <w:color w:val="auto"/>
        </w:rPr>
        <w:t>. Each Party shall duly execute and deliver, or cause to be duly executed and delivered, such</w:t>
      </w:r>
      <w:r>
        <w:rPr>
          <w:rFonts w:ascii="Arial" w:cs="Arial" w:eastAsia="Arial" w:hAnsi="Arial"/>
          <w:sz w:val="21"/>
          <w:szCs w:val="21"/>
          <w:b w:val="1"/>
          <w:bCs w:val="1"/>
          <w:color w:val="auto"/>
        </w:rPr>
        <w:t xml:space="preserve"> </w:t>
      </w:r>
      <w:r>
        <w:rPr>
          <w:rFonts w:ascii="Arial" w:cs="Arial" w:eastAsia="Arial" w:hAnsi="Arial"/>
          <w:sz w:val="21"/>
          <w:szCs w:val="21"/>
          <w:color w:val="auto"/>
        </w:rPr>
        <w:t>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68" w:lineRule="exact"/>
        <w:rPr>
          <w:sz w:val="20"/>
          <w:szCs w:val="20"/>
          <w:color w:val="auto"/>
        </w:rPr>
      </w:pPr>
    </w:p>
    <w:p>
      <w:pPr>
        <w:ind w:right="60" w:firstLine="551"/>
        <w:spacing w:after="0" w:line="254" w:lineRule="auto"/>
        <w:rPr>
          <w:sz w:val="20"/>
          <w:szCs w:val="20"/>
          <w:color w:val="auto"/>
        </w:rPr>
      </w:pPr>
      <w:r>
        <w:rPr>
          <w:rFonts w:ascii="Arial" w:cs="Arial" w:eastAsia="Arial" w:hAnsi="Arial"/>
          <w:sz w:val="21"/>
          <w:szCs w:val="21"/>
          <w:b w:val="1"/>
          <w:bCs w:val="1"/>
          <w:color w:val="auto"/>
        </w:rPr>
        <w:t>11.13 Performance Guarantee</w:t>
      </w:r>
      <w:r>
        <w:rPr>
          <w:rFonts w:ascii="Arial" w:cs="Arial" w:eastAsia="Arial" w:hAnsi="Arial"/>
          <w:sz w:val="21"/>
          <w:szCs w:val="21"/>
          <w:color w:val="auto"/>
        </w:rPr>
        <w:t>. Mereo hereby guarantees all obligations of Licensor under this Agreement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and payment obligations), and shall cause Licensor to comply with the provisions of this Agreement in connection with such performance and payments. Licensor and Mereo will be jointly and severally liable for all obligations of the Licensor under this Agreement and any breach of those obligations.</w:t>
      </w:r>
    </w:p>
    <w:p>
      <w:pPr>
        <w:spacing w:after="0" w:line="166" w:lineRule="exact"/>
        <w:rPr>
          <w:sz w:val="20"/>
          <w:szCs w:val="20"/>
          <w:color w:val="auto"/>
        </w:rPr>
      </w:pPr>
    </w:p>
    <w:p>
      <w:pPr>
        <w:ind w:right="40" w:firstLine="551"/>
        <w:spacing w:after="0" w:line="243" w:lineRule="auto"/>
        <w:rPr>
          <w:sz w:val="20"/>
          <w:szCs w:val="20"/>
          <w:color w:val="auto"/>
        </w:rPr>
      </w:pPr>
      <w:r>
        <w:rPr>
          <w:rFonts w:ascii="Arial" w:cs="Arial" w:eastAsia="Arial" w:hAnsi="Arial"/>
          <w:sz w:val="22"/>
          <w:szCs w:val="22"/>
          <w:b w:val="1"/>
          <w:bCs w:val="1"/>
          <w:color w:val="auto"/>
        </w:rPr>
        <w:t>11.14 Waiver of Rule of Construction</w:t>
      </w:r>
      <w:r>
        <w:rPr>
          <w:rFonts w:ascii="Arial" w:cs="Arial" w:eastAsia="Arial" w:hAnsi="Arial"/>
          <w:sz w:val="22"/>
          <w:szCs w:val="22"/>
          <w:color w:val="auto"/>
        </w:rPr>
        <w:t>. Each Party has had the opportunity to consult with counsel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review, drafting, and negotiation of this Agreement. Accordingly, the rule of construction that any ambiguity in this Agreement shall be construed against the drafting Party shall not apply.</w:t>
      </w:r>
    </w:p>
    <w:p>
      <w:pPr>
        <w:spacing w:after="0" w:line="177" w:lineRule="exact"/>
        <w:rPr>
          <w:sz w:val="20"/>
          <w:szCs w:val="20"/>
          <w:color w:val="auto"/>
        </w:rPr>
      </w:pPr>
    </w:p>
    <w:p>
      <w:pPr>
        <w:ind w:right="100" w:firstLine="551"/>
        <w:spacing w:after="0" w:line="334" w:lineRule="auto"/>
        <w:rPr>
          <w:sz w:val="20"/>
          <w:szCs w:val="20"/>
          <w:color w:val="auto"/>
        </w:rPr>
      </w:pPr>
      <w:r>
        <w:rPr>
          <w:rFonts w:ascii="Arial" w:cs="Arial" w:eastAsia="Arial" w:hAnsi="Arial"/>
          <w:sz w:val="19"/>
          <w:szCs w:val="19"/>
          <w:b w:val="1"/>
          <w:bCs w:val="1"/>
          <w:color w:val="auto"/>
        </w:rPr>
        <w:t>11.15 Counterparts</w:t>
      </w:r>
      <w:r>
        <w:rPr>
          <w:rFonts w:ascii="Arial" w:cs="Arial" w:eastAsia="Arial" w:hAnsi="Arial"/>
          <w:sz w:val="19"/>
          <w:szCs w:val="19"/>
          <w:color w:val="auto"/>
        </w:rPr>
        <w:t>. This Agreement may be executed in two or more counterparts by original signature, facsimile or</w:t>
      </w:r>
      <w:r>
        <w:rPr>
          <w:rFonts w:ascii="Arial" w:cs="Arial" w:eastAsia="Arial" w:hAnsi="Arial"/>
          <w:sz w:val="19"/>
          <w:szCs w:val="19"/>
          <w:b w:val="1"/>
          <w:bCs w:val="1"/>
          <w:color w:val="auto"/>
        </w:rPr>
        <w:t xml:space="preserve"> </w:t>
      </w:r>
      <w:r>
        <w:rPr>
          <w:rFonts w:ascii="Arial" w:cs="Arial" w:eastAsia="Arial" w:hAnsi="Arial"/>
          <w:sz w:val="19"/>
          <w:szCs w:val="19"/>
          <w:color w:val="auto"/>
        </w:rPr>
        <w:t>PDF files, each of which shall be deemed an original, but all of which together shall constitute one and the same instrument.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20"/>
          </w:cols>
          <w:pgMar w:left="440" w:top="266" w:right="439" w:bottom="1440" w:gutter="0" w:footer="0" w:header="0"/>
        </w:sectPr>
      </w:pPr>
    </w:p>
    <w:bookmarkStart w:id="503" w:name="page504"/>
    <w:bookmarkEnd w:id="503"/>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Follows}</w:t>
      </w:r>
    </w:p>
    <w:p>
      <w:pPr>
        <w:sectPr>
          <w:pgSz w:w="11900" w:h="16838" w:orient="portrait"/>
          <w:cols w:equalWidth="0" w:num="1">
            <w:col w:w="9019"/>
          </w:cols>
          <w:pgMar w:left="1440" w:top="266"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9019"/>
          </w:cols>
          <w:pgMar w:left="1440" w:top="266" w:right="1440" w:bottom="1440" w:gutter="0" w:footer="0" w:header="0"/>
          <w:type w:val="continuous"/>
        </w:sectPr>
      </w:pPr>
    </w:p>
    <w:bookmarkStart w:id="504" w:name="page505"/>
    <w:bookmarkEnd w:id="504"/>
    <w:p>
      <w:pPr>
        <w:ind w:firstLine="55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22"/>
          <w:szCs w:val="22"/>
          <w:color w:val="auto"/>
        </w:rPr>
        <w:t>, the Parties intending to be bound have caused this</w:t>
      </w:r>
      <w:r>
        <w:rPr>
          <w:rFonts w:ascii="Arial" w:cs="Arial" w:eastAsia="Arial" w:hAnsi="Arial"/>
          <w:sz w:val="22"/>
          <w:szCs w:val="22"/>
          <w:b w:val="1"/>
          <w:bCs w:val="1"/>
          <w:color w:val="auto"/>
        </w:rPr>
        <w:t xml:space="preserve"> License Agreement </w:t>
      </w:r>
      <w:r>
        <w:rPr>
          <w:rFonts w:ascii="Arial" w:cs="Arial" w:eastAsia="Arial" w:hAnsi="Arial"/>
          <w:sz w:val="22"/>
          <w:szCs w:val="22"/>
          <w:color w:val="auto"/>
        </w:rPr>
        <w:t>to be executed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their duly authorized representatives as of the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7"/>
          <w:szCs w:val="17"/>
          <w:b w:val="1"/>
          <w:bCs w:val="1"/>
          <w:color w:val="auto"/>
        </w:rPr>
        <w:t>NCO</w:t>
      </w:r>
      <w:r>
        <w:rPr>
          <w:rFonts w:ascii="Arial" w:cs="Arial" w:eastAsia="Arial" w:hAnsi="Arial"/>
          <w:sz w:val="22"/>
          <w:szCs w:val="22"/>
          <w:b w:val="1"/>
          <w:bCs w:val="1"/>
          <w:color w:val="auto"/>
        </w:rPr>
        <w:t>M</w:t>
      </w:r>
      <w:r>
        <w:rPr>
          <w:rFonts w:ascii="Arial" w:cs="Arial" w:eastAsia="Arial" w:hAnsi="Arial"/>
          <w:sz w:val="17"/>
          <w:szCs w:val="17"/>
          <w:b w:val="1"/>
          <w:bCs w:val="1"/>
          <w:color w:val="auto"/>
        </w:rPr>
        <w:t>ED</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HARMACEUTICALS</w:t>
      </w:r>
      <w:r>
        <w:rPr>
          <w:rFonts w:ascii="Arial" w:cs="Arial" w:eastAsia="Arial" w:hAnsi="Arial"/>
          <w:sz w:val="22"/>
          <w:szCs w:val="22"/>
          <w:b w:val="1"/>
          <w:bCs w:val="1"/>
          <w:color w:val="auto"/>
        </w:rPr>
        <w:t>, I</w:t>
      </w:r>
      <w:r>
        <w:rPr>
          <w:rFonts w:ascii="Arial" w:cs="Arial" w:eastAsia="Arial" w:hAnsi="Arial"/>
          <w:sz w:val="17"/>
          <w:szCs w:val="17"/>
          <w:b w:val="1"/>
          <w:bCs w:val="1"/>
          <w:color w:val="auto"/>
        </w:rPr>
        <w:t>NC</w:t>
      </w:r>
      <w:r>
        <w:rPr>
          <w:rFonts w:ascii="Arial" w:cs="Arial" w:eastAsia="Arial" w:hAnsi="Arial"/>
          <w:sz w:val="22"/>
          <w:szCs w:val="22"/>
          <w:b w:val="1"/>
          <w:bCs w:val="1"/>
          <w:color w:val="auto"/>
        </w:rPr>
        <w:t>.</w:t>
      </w:r>
    </w:p>
    <w:p>
      <w:pPr>
        <w:spacing w:after="0" w:line="2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5"/>
          <w:szCs w:val="15"/>
          <w:b w:val="1"/>
          <w:bCs w:val="1"/>
          <w:color w:val="auto"/>
        </w:rPr>
        <w:t>Richard Jones</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tab/>
        <w:t>Director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820"/>
          </w:cols>
          <w:pgMar w:left="440" w:top="260" w:right="639" w:bottom="1440" w:gutter="0" w:footer="0" w:header="0"/>
        </w:sectPr>
      </w:pPr>
    </w:p>
    <w:bookmarkStart w:id="505" w:name="page506"/>
    <w:bookmarkEnd w:id="505"/>
    <w:p>
      <w:pPr>
        <w:ind w:firstLine="55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22"/>
          <w:szCs w:val="22"/>
          <w:color w:val="auto"/>
        </w:rPr>
        <w:t>, the Parties intending to be bound have caused this</w:t>
      </w:r>
      <w:r>
        <w:rPr>
          <w:rFonts w:ascii="Arial" w:cs="Arial" w:eastAsia="Arial" w:hAnsi="Arial"/>
          <w:sz w:val="22"/>
          <w:szCs w:val="22"/>
          <w:b w:val="1"/>
          <w:bCs w:val="1"/>
          <w:color w:val="auto"/>
        </w:rPr>
        <w:t xml:space="preserve"> License Agreement </w:t>
      </w:r>
      <w:r>
        <w:rPr>
          <w:rFonts w:ascii="Arial" w:cs="Arial" w:eastAsia="Arial" w:hAnsi="Arial"/>
          <w:sz w:val="22"/>
          <w:szCs w:val="22"/>
          <w:color w:val="auto"/>
        </w:rPr>
        <w:t>to be executed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their duly authorized representatives as of the Effective Date.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7"/>
          <w:szCs w:val="17"/>
          <w:b w:val="1"/>
          <w:bCs w:val="1"/>
          <w:color w:val="auto"/>
        </w:rPr>
        <w:t>EREO</w:t>
      </w:r>
      <w:r>
        <w:rPr>
          <w:rFonts w:ascii="Arial" w:cs="Arial" w:eastAsia="Arial" w:hAnsi="Arial"/>
          <w:sz w:val="22"/>
          <w:szCs w:val="22"/>
          <w:b w:val="1"/>
          <w:bCs w:val="1"/>
          <w:color w:val="auto"/>
        </w:rPr>
        <w:t xml:space="preserve"> B</w:t>
      </w:r>
      <w:r>
        <w:rPr>
          <w:rFonts w:ascii="Arial" w:cs="Arial" w:eastAsia="Arial" w:hAnsi="Arial"/>
          <w:sz w:val="17"/>
          <w:szCs w:val="17"/>
          <w:b w:val="1"/>
          <w:bCs w:val="1"/>
          <w:color w:val="auto"/>
        </w:rPr>
        <w:t>IO</w:t>
      </w:r>
      <w:r>
        <w:rPr>
          <w:rFonts w:ascii="Arial" w:cs="Arial" w:eastAsia="Arial" w:hAnsi="Arial"/>
          <w:sz w:val="22"/>
          <w:szCs w:val="22"/>
          <w:b w:val="1"/>
          <w:bCs w:val="1"/>
          <w:color w:val="auto"/>
        </w:rPr>
        <w:t>P</w:t>
      </w:r>
      <w:r>
        <w:rPr>
          <w:rFonts w:ascii="Arial" w:cs="Arial" w:eastAsia="Arial" w:hAnsi="Arial"/>
          <w:sz w:val="17"/>
          <w:szCs w:val="17"/>
          <w:b w:val="1"/>
          <w:bCs w:val="1"/>
          <w:color w:val="auto"/>
        </w:rPr>
        <w:t>HARMA</w:t>
      </w:r>
      <w:r>
        <w:rPr>
          <w:rFonts w:ascii="Arial" w:cs="Arial" w:eastAsia="Arial" w:hAnsi="Arial"/>
          <w:sz w:val="22"/>
          <w:szCs w:val="22"/>
          <w:b w:val="1"/>
          <w:bCs w:val="1"/>
          <w:color w:val="auto"/>
        </w:rPr>
        <w:t xml:space="preserve"> G</w:t>
      </w:r>
      <w:r>
        <w:rPr>
          <w:rFonts w:ascii="Arial" w:cs="Arial" w:eastAsia="Arial" w:hAnsi="Arial"/>
          <w:sz w:val="17"/>
          <w:szCs w:val="17"/>
          <w:b w:val="1"/>
          <w:bCs w:val="1"/>
          <w:color w:val="auto"/>
        </w:rPr>
        <w:t>ROUP PLC</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5"/>
          <w:szCs w:val="15"/>
          <w:b w:val="1"/>
          <w:bCs w:val="1"/>
          <w:color w:val="auto"/>
        </w:rPr>
        <w:t>Denise Scots-Knight</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tab/>
        <w:t>Chief Executive Officer</w:t>
      </w:r>
    </w:p>
    <w:p>
      <w:pPr>
        <w:sectPr>
          <w:pgSz w:w="11900" w:h="16838" w:orient="portrait"/>
          <w:cols w:equalWidth="0" w:num="1">
            <w:col w:w="10820"/>
          </w:cols>
          <w:pgMar w:left="440" w:top="260" w:right="639" w:bottom="1440" w:gutter="0" w:footer="0" w:header="0"/>
        </w:sectPr>
      </w:pPr>
    </w:p>
    <w:bookmarkStart w:id="506" w:name="page507"/>
    <w:bookmarkEnd w:id="506"/>
    <w:p>
      <w:pPr>
        <w:ind w:firstLine="55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22"/>
          <w:szCs w:val="22"/>
          <w:color w:val="auto"/>
        </w:rPr>
        <w:t>, the Parties intending to be bound have caused this</w:t>
      </w:r>
      <w:r>
        <w:rPr>
          <w:rFonts w:ascii="Arial" w:cs="Arial" w:eastAsia="Arial" w:hAnsi="Arial"/>
          <w:sz w:val="22"/>
          <w:szCs w:val="22"/>
          <w:b w:val="1"/>
          <w:bCs w:val="1"/>
          <w:color w:val="auto"/>
        </w:rPr>
        <w:t xml:space="preserve"> License Agreement </w:t>
      </w:r>
      <w:r>
        <w:rPr>
          <w:rFonts w:ascii="Arial" w:cs="Arial" w:eastAsia="Arial" w:hAnsi="Arial"/>
          <w:sz w:val="22"/>
          <w:szCs w:val="22"/>
          <w:color w:val="auto"/>
        </w:rPr>
        <w:t>to be executed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their duly authorized representatives as of the Effective Date.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7"/>
          <w:szCs w:val="17"/>
          <w:b w:val="1"/>
          <w:bCs w:val="1"/>
          <w:color w:val="auto"/>
        </w:rPr>
        <w:t>NCOLOGIE</w:t>
      </w:r>
      <w:r>
        <w:rPr>
          <w:rFonts w:ascii="Arial" w:cs="Arial" w:eastAsia="Arial" w:hAnsi="Arial"/>
          <w:sz w:val="22"/>
          <w:szCs w:val="22"/>
          <w:b w:val="1"/>
          <w:bCs w:val="1"/>
          <w:color w:val="auto"/>
        </w:rPr>
        <w:t>, I</w:t>
      </w:r>
      <w:r>
        <w:rPr>
          <w:rFonts w:ascii="Arial" w:cs="Arial" w:eastAsia="Arial" w:hAnsi="Arial"/>
          <w:sz w:val="17"/>
          <w:szCs w:val="17"/>
          <w:b w:val="1"/>
          <w:bCs w:val="1"/>
          <w:color w:val="auto"/>
        </w:rPr>
        <w:t>NC</w:t>
      </w:r>
      <w:r>
        <w:rPr>
          <w:rFonts w:ascii="Arial" w:cs="Arial" w:eastAsia="Arial" w:hAnsi="Arial"/>
          <w:sz w:val="22"/>
          <w:szCs w:val="22"/>
          <w:b w:val="1"/>
          <w:bCs w:val="1"/>
          <w:color w:val="auto"/>
        </w:rPr>
        <w: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Laura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b w:val="1"/>
          <w:bCs w:val="1"/>
          <w:color w:val="auto"/>
        </w:rPr>
        <w:t>Laura Benjamin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ectPr>
          <w:pgSz w:w="11900" w:h="16838" w:orient="portrait"/>
          <w:cols w:equalWidth="0" w:num="1">
            <w:col w:w="10820"/>
          </w:cols>
          <w:pgMar w:left="440" w:top="260" w:right="639" w:bottom="1440" w:gutter="0" w:footer="0" w:header="0"/>
        </w:sectPr>
      </w:pPr>
    </w:p>
    <w:bookmarkStart w:id="507" w:name="page508"/>
    <w:bookmarkEnd w:id="50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ectPr>
          <w:pgSz w:w="11900" w:h="16838" w:orient="portrait"/>
          <w:cols w:equalWidth="0" w:num="1">
            <w:col w:w="9479"/>
          </w:cols>
          <w:pgMar w:left="980" w:top="266" w:right="1440" w:bottom="1440" w:gutter="0" w:footer="0" w:header="0"/>
        </w:sectPr>
      </w:pPr>
    </w:p>
    <w:bookmarkStart w:id="508" w:name="page509"/>
    <w:bookmarkEnd w:id="508"/>
    <w:p>
      <w:pPr>
        <w:jc w:val="center"/>
        <w:ind w:right="-29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[THIS PAGE HAS BEEN EXCLUDED FROM THIS EXHIBIT BECAUSE IT IS BOTH NOT MATERIAL AND IS THE TYPE THAT THE REGISTRANT TREATS AS PRIVATE OR CONFIDENTIAL]</w:t>
      </w:r>
    </w:p>
    <w:p>
      <w:pPr>
        <w:sectPr>
          <w:pgSz w:w="11900" w:h="16838" w:orient="portrait"/>
          <w:cols w:equalWidth="0" w:num="1">
            <w:col w:w="10700"/>
          </w:cols>
          <w:pgMar w:left="440" w:top="266" w:right="759" w:bottom="1440" w:gutter="0" w:footer="0" w:header="0"/>
        </w:sectPr>
      </w:pPr>
    </w:p>
    <w:bookmarkStart w:id="509" w:name="page510"/>
    <w:bookmarkEnd w:id="509"/>
    <w:p>
      <w:pPr>
        <w:jc w:val="center"/>
        <w:ind w:right="-2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[THIS PAGE AND THE FOLLOWING 5 PAGES OF THIS EXHIBIT HAVE BEEN EXCLUDED FROM THIS EXHIBIT BECAUSE IT IS BOTH NOT MATERIAL AND IS THE TYPE THAT THE REGISTRANT TREATS AS PRIVATE OR CONFIDENTIAL]</w:t>
      </w:r>
    </w:p>
    <w:p>
      <w:pPr>
        <w:sectPr>
          <w:pgSz w:w="11900" w:h="16838" w:orient="portrait"/>
          <w:cols w:equalWidth="0" w:num="1">
            <w:col w:w="10760"/>
          </w:cols>
          <w:pgMar w:left="440" w:top="266" w:right="699" w:bottom="1440" w:gutter="0" w:footer="0" w:header="0"/>
        </w:sectPr>
      </w:pPr>
    </w:p>
    <w:bookmarkStart w:id="510" w:name="page511"/>
    <w:bookmarkEnd w:id="510"/>
    <w:p>
      <w:pPr>
        <w:jc w:val="center"/>
        <w:ind w:right="-2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[THIS PAGE AND THE FOLLOWING 5 PAGES OF THIS EXHIBIT HAVE BEEN EXCLUDED FROM THIS EXHIBIT BECAUSE IT IS BOTH NOT MATERIAL AND IS THE TYPE THAT THE REGISTRANT TREATS AS PRIVATE OR CONFIDENTIAL]</w:t>
      </w:r>
    </w:p>
    <w:p>
      <w:pPr>
        <w:sectPr>
          <w:pgSz w:w="11900" w:h="16838" w:orient="portrait"/>
          <w:cols w:equalWidth="0" w:num="1">
            <w:col w:w="10760"/>
          </w:cols>
          <w:pgMar w:left="440" w:top="266" w:right="699" w:bottom="1440" w:gutter="0" w:footer="0" w:header="0"/>
        </w:sectPr>
      </w:pPr>
    </w:p>
    <w:bookmarkStart w:id="511" w:name="page512"/>
    <w:bookmarkEnd w:id="511"/>
    <w:p>
      <w:pPr>
        <w:jc w:val="center"/>
        <w:ind w:right="-2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[THIS PAGE AND THE FOLLOWING 3 PAGES OF THIS EXHIBIT HAVE BEEN EXCLUDED FROM THIS EXHIBIT BECAUSE IT IS BOTH NOT MATERIAL AND IS THE TYPE THAT THE REGISTRANT TREATS AS PRIVATE OR CONFIDENTIAL]</w:t>
      </w:r>
    </w:p>
    <w:p>
      <w:pPr>
        <w:sectPr>
          <w:pgSz w:w="11900" w:h="16838" w:orient="portrait"/>
          <w:cols w:equalWidth="0" w:num="1">
            <w:col w:w="10760"/>
          </w:cols>
          <w:pgMar w:left="440" w:top="266" w:right="699" w:bottom="1440" w:gutter="0" w:footer="0" w:header="0"/>
        </w:sectPr>
      </w:pPr>
    </w:p>
    <w:bookmarkStart w:id="512" w:name="page513"/>
    <w:bookmarkEnd w:id="512"/>
    <w:p>
      <w:pPr>
        <w:jc w:val="center"/>
        <w:ind w:right="-2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[THIS PAGE AND THE FOLLOWING PAGE OF THIS EXHIBIT HAVE BEEN EXCLUDED FROM THIS EXHIBIT BECAUSE IT IS BOTH NOT MATERIAL AND IS THE TYPE THAT THE REGISTRANT TREATS AS PRIVATE OR CONFIDENTIAL]</w:t>
      </w:r>
    </w:p>
    <w:p>
      <w:pPr>
        <w:sectPr>
          <w:pgSz w:w="11900" w:h="16838" w:orient="portrait"/>
          <w:cols w:equalWidth="0" w:num="1">
            <w:col w:w="10760"/>
          </w:cols>
          <w:pgMar w:left="440" w:top="266" w:right="699" w:bottom="1440" w:gutter="0" w:footer="0" w:header="0"/>
        </w:sectPr>
      </w:pPr>
    </w:p>
    <w:bookmarkStart w:id="513" w:name="page514"/>
    <w:bookmarkEnd w:id="513"/>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Joint Press Release</w:t>
      </w:r>
    </w:p>
    <w:p>
      <w:pPr>
        <w:spacing w:after="0" w:line="182" w:lineRule="exact"/>
        <w:rPr>
          <w:sz w:val="20"/>
          <w:szCs w:val="20"/>
          <w:color w:val="auto"/>
        </w:rPr>
      </w:pPr>
    </w:p>
    <w:p>
      <w:pPr>
        <w:jc w:val="center"/>
        <w:ind w:left="500"/>
        <w:spacing w:after="0" w:line="243" w:lineRule="auto"/>
        <w:rPr>
          <w:sz w:val="20"/>
          <w:szCs w:val="20"/>
          <w:color w:val="auto"/>
        </w:rPr>
      </w:pPr>
      <w:r>
        <w:rPr>
          <w:rFonts w:ascii="Arial" w:cs="Arial" w:eastAsia="Arial" w:hAnsi="Arial"/>
          <w:sz w:val="22"/>
          <w:szCs w:val="22"/>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Mereo BioPharma and Oncologie Enter into Global Licensing Agreement for Navicixizumab</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Oncologie receives exclusive global license to develop and commercialize navicixizumab</w:t>
      </w:r>
    </w:p>
    <w:p>
      <w:pPr>
        <w:spacing w:after="0" w:line="200" w:lineRule="exact"/>
        <w:rPr>
          <w:sz w:val="20"/>
          <w:szCs w:val="20"/>
          <w:color w:val="auto"/>
        </w:rPr>
      </w:pPr>
    </w:p>
    <w:p>
      <w:pPr>
        <w:spacing w:after="0" w:line="275" w:lineRule="auto"/>
        <w:rPr>
          <w:sz w:val="20"/>
          <w:szCs w:val="20"/>
          <w:color w:val="auto"/>
        </w:rPr>
      </w:pPr>
      <w:r>
        <w:rPr>
          <w:rFonts w:ascii="Arial" w:cs="Arial" w:eastAsia="Arial" w:hAnsi="Arial"/>
          <w:sz w:val="19"/>
          <w:szCs w:val="19"/>
          <w:b w:val="1"/>
          <w:bCs w:val="1"/>
          <w:color w:val="auto"/>
        </w:rPr>
        <w:t xml:space="preserve">London, Redwood City, Calif., and Boston, January 13, 2020 </w:t>
      </w:r>
      <w:r>
        <w:rPr>
          <w:rFonts w:ascii="Arial" w:cs="Arial" w:eastAsia="Arial" w:hAnsi="Arial"/>
          <w:sz w:val="19"/>
          <w:szCs w:val="19"/>
          <w:color w:val="auto"/>
        </w:rPr>
        <w:t>- Mereo BioPharma Group plc (NASDAQ: MREO, AIM:</w:t>
      </w:r>
      <w:r>
        <w:rPr>
          <w:rFonts w:ascii="Arial" w:cs="Arial" w:eastAsia="Arial" w:hAnsi="Arial"/>
          <w:sz w:val="19"/>
          <w:szCs w:val="19"/>
          <w:b w:val="1"/>
          <w:bCs w:val="1"/>
          <w:color w:val="auto"/>
        </w:rPr>
        <w:t xml:space="preserve"> </w:t>
      </w:r>
      <w:r>
        <w:rPr>
          <w:rFonts w:ascii="Arial" w:cs="Arial" w:eastAsia="Arial" w:hAnsi="Arial"/>
          <w:sz w:val="19"/>
          <w:szCs w:val="19"/>
          <w:color w:val="auto"/>
        </w:rPr>
        <w:t>MPH), “Mereo” or the “Company,” and Oncologie, Inc. (“Oncologie”) today announced a global license agreement (the “License Agreement”) for the development and commercialization of navicixizumab, an anti-DLL4/VEGF bispecific antibody currently being evaluated in an ongoing Phase 1b study in combination with paclitaxel in patients with advanced heavily pretreated ovarian cancer. Navicixizumab previously completed a Phase 1a monotherapy study in patients with various types of refractory solid tumors and is one of two product candidates Mereo acquired through its 2019 merger with OncoMed Pharmaceuticals, Inc. In October 2019, the U.S. Food and Drug Administration (“FDA”) granted Fast Track designation to navicixizumab and has agreed in principle on the design of a study that could potentially support accelerated approval for navicixizumab in a heavily pretreated, platinum-resistant ovarian cancer patient population.</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Under the terms of the License Agreement, Oncologie will receive an exclusive worldwide license to develop and commercialize navicixizumab. Mereo will receive an upfront payment of $4 million with an additional payment of $2 million conditional on a CMC (Chemistry, Manufacturing and Controls) milestone. Oncologie will be responsible for all future research, development and commercialization of navicixizumab. Additionally, Mereo will be eligible to receive up to</w:t>
      </w:r>
    </w:p>
    <w:p>
      <w:pPr>
        <w:spacing w:after="0" w:line="3"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$300 million in future clinical, regulatory and commercial milestones, tiered royalties ranging from the mid-single-digit to sub-teen percentages on global annual net sales of navicixizumab, as well as a negotiated percentage of sublicensing revenues from certain sublicensees.</w:t>
      </w:r>
    </w:p>
    <w:p>
      <w:pPr>
        <w:spacing w:after="0" w:line="187"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“We believe Oncologie is expertly positioned to further advance navicixizumab through clinical development and towards potential commercialization,” said Dr. Denise Scots-Knight, Chief Executive Officer of Mereo. “While we believe navicixizumab is an exciting oncology asset, we continue to focus our primary efforts on the development of our innovative rare disease portfolio including our lead product candidate setrusumab for the treatment of osteogenesis imperfecta, which continues to advance towards a pivotal Phase 3 pediatric study.”</w:t>
      </w:r>
    </w:p>
    <w:p>
      <w:pPr>
        <w:sectPr>
          <w:pgSz w:w="11900" w:h="16838" w:orient="portrait"/>
          <w:cols w:equalWidth="0" w:num="1">
            <w:col w:w="10940"/>
          </w:cols>
          <w:pgMar w:left="440" w:top="260" w:right="519" w:bottom="1440" w:gutter="0" w:footer="0" w:header="0"/>
        </w:sectPr>
      </w:pPr>
    </w:p>
    <w:bookmarkStart w:id="514" w:name="page515"/>
    <w:bookmarkEnd w:id="514"/>
    <w:p>
      <w:pPr>
        <w:ind w:right="2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believe navicixizumab is a strong strategic fit with our portfolio of innovative oncology assets, and we are excited to enter into this agreement with Mereo,” said Laura E. Benjamin, Ph.D., Chief Executive Officer of Oncologie. “Navicixizumab has demonstrated robust activity when combined with paclitaxel in a Phase 1b study in platinum-resistant ovarian cancer patients including those who received prior bevacizumab. Navicixizumab has also demonstrated promising activity in a Phase 1b monotherapy study of heavily pretreated ovarian cancer patients, as well as in other tumor types. We seek to leverage the strong development and regulatory progress Mereo has already made to continue its development and ultimately make this investigational therapy available to patients as quickly as possible.”</w:t>
      </w:r>
    </w:p>
    <w:p>
      <w:pPr>
        <w:spacing w:after="0" w:line="152"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As a consequence of the License Agreement with Oncologie, and in accordance with the terms and conditions of the Contingent Value Rights Agreement for former stockholders of OncoMed Pharmaceuticals, Inc. (“OncoMed”), dated April 23, 2019, by and among Mereo and Computershare Inc., as rights agent, (the “Mereo CVR Agreement”), holders of contingent value rights (“CVRs”) pursuant to the Mereo CVR Agreement will be entitled to receive certain eligible cash milestone payments made to Mereo under the License Agreement relating to navicixizumab. Details of the amount payable to holders of CVRs from the upfront payment will be announced within thirty days of the effective date of the License Agreement. Pursuant to the terms of the Mereo CVR Agreement, if a milestone occurs prior to the fifth anniversary of the closing of Mereo’s merger with OncoMed, then holders of CVRs will be entitled to receive an amount in cash equal to 70% of the aggregate principal amount received by Mereo after deduction of costs, charges and expenditures set out in detail in the Mereo CVR Agreement. Such milestone payments are also subject to a cash consideration cap, pursuant to which the aggregate principal amount of all cash payments made to holders of CVRs under the Mereo CVR Agreement shall in no case exceed $79.7 million.</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Navicixizumab</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Navicixizumab is an anti-DLL4/VEGF bispecific antibody designed to inhibit both Delta-like ligand 4 (“DLL4”) in the Notch cancer stem cell pathway as well as vascular endothelial growth factor (“VEGF”) and thereby induce potent anti-tumor responses while mitigating certain angiogenic-related toxicities. In preclinical studies, navicixizumab demonstrated robust in vivo anti-tumor activity across a range of solid tumor xenografts, including colon, ovarian, lung and pancreatic cancers, among others. In a Phase 1a study with single-agent navicixizumab, 19 of 66 patients with various types of refractory solid tumors had tumor shrinkage following treatment with navicixizumab. Notably, 3 of the 12 (25%) ovarian cancer patients treated in the trial achieved an unconfirmed partial response with single-agent navicixizumab therapy.</w:t>
      </w:r>
    </w:p>
    <w:p>
      <w:pPr>
        <w:spacing w:after="0" w:line="152" w:lineRule="exact"/>
        <w:rPr>
          <w:sz w:val="20"/>
          <w:szCs w:val="20"/>
          <w:color w:val="auto"/>
        </w:rPr>
      </w:pPr>
    </w:p>
    <w:p>
      <w:pPr>
        <w:jc w:val="both"/>
        <w:ind w:right="260"/>
        <w:spacing w:after="0" w:line="236" w:lineRule="auto"/>
        <w:rPr>
          <w:sz w:val="20"/>
          <w:szCs w:val="20"/>
          <w:color w:val="auto"/>
        </w:rPr>
      </w:pPr>
      <w:r>
        <w:rPr>
          <w:rFonts w:ascii="Arial" w:cs="Arial" w:eastAsia="Arial" w:hAnsi="Arial"/>
          <w:sz w:val="22"/>
          <w:szCs w:val="22"/>
          <w:color w:val="auto"/>
        </w:rPr>
        <w:t>A Phase 1b dose escalation and expansion study of navicixizumab plus paclitaxel has completed enrollment of 44 platinum resistant ovarian cancer patients who had failed &gt;2 prior therapies and/or received prior bevacizumab. As of the last interim data analysis at the end of Q1 2019, the unconfirmed response rate was 41%. The unconfirmed ORR for bevacizumab-naïve patients was 64% and 30% for bevacizumab pre-treated patients. The median PFS for all patients was 7.3 months. The most common related adverse events of any</w:t>
      </w:r>
    </w:p>
    <w:p>
      <w:pPr>
        <w:sectPr>
          <w:pgSz w:w="11900" w:h="16838" w:orient="portrait"/>
          <w:cols w:equalWidth="0" w:num="1">
            <w:col w:w="11000"/>
          </w:cols>
          <w:pgMar w:left="440" w:top="266" w:right="459" w:bottom="1440" w:gutter="0" w:footer="0" w:header="0"/>
        </w:sectPr>
      </w:pPr>
    </w:p>
    <w:bookmarkStart w:id="515" w:name="page516"/>
    <w:bookmarkEnd w:id="515"/>
    <w:p>
      <w:pPr>
        <w:jc w:val="both"/>
        <w:ind w:right="100"/>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grade were hypertension (68%), fatigue (46%), headache (25%), neutropenia (21%), diarrhea (18%), pulmonary hypertension (14%), dyspnea (14%) and peripheral edema (14%). Other related adverse events of special interest were one Grade 1 related heart failure, one Grade 3 and one Grade 4 related thrombocytopenia, and one Grade 4 related gastrointestinal perforation.</w:t>
      </w:r>
    </w:p>
    <w:p>
      <w:pPr>
        <w:spacing w:after="0" w:line="134"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FDA has granted Fast Track designation to navicixizumab for the treatment of high grade ovarian, primary peritoneal or fallopian tube cancer in patients who have received at least 3 prior therapies and/or prior bevacizumab. Following a Type B End of Phase 1 meeting with the FDA held in July 2019, the FDA agreed in principle on an outline for a Phase 2 clinical trial that could potentially support accelerated approval of navicixizumab in this ovarian cancer patient population.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Oncologie</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Oncologie is a next generation, oncology therapeutics company. Oncologie leverages its unique biomarker platform to develop targeted therapies that are matched to individual tumors based on the dominant biology of the tumor microenvironment. The current pipeline is focused on mid-stage clinical programs that modify the immune system to enhance efficacy of current standards of care and emerging immunotherapy agents. Headquartered in Boston, Massachusetts and Shanghai, China, Oncologie is working with global partners to acquire and develop innovative drugs for cancer patients around the world. For more information on Oncologie, Inc., please visit WWW.ONCOLOGIE.INTERNATIONAL.</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Mereo BioPharma</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u w:val="single" w:color="auto"/>
          <w:color w:val="auto"/>
        </w:rPr>
        <w:t>Mereo BioPharma</w:t>
      </w:r>
      <w:r>
        <w:rPr>
          <w:rFonts w:ascii="Arial" w:cs="Arial" w:eastAsia="Arial" w:hAnsi="Arial"/>
          <w:sz w:val="19"/>
          <w:szCs w:val="19"/>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has completed a Phase 2b dose ranging study in adult patients with osteogenesis imperfecta (“OI”). Mereo’s second lead product candidate, alvelestat, is being investigated in a Phase 2 proof-of-concept clinical trial in patients with alpha-1 antitrypsin deficiency (“AATD”) with topline data expected in mid-2020.</w:t>
      </w:r>
    </w:p>
    <w:p>
      <w:pPr>
        <w:spacing w:after="0" w:line="15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Mereo’s broader pipeline consists of four additional clinical-stage product candidates; acumapimod for the treatment of acute exacerbations of chronic obstructive pulmonary disease (“AECOPD”), leflutrozole for the treatment of hypogonadotropic hypogonadism (“HH”) in obese men, navicixizumab for the treatment of platinum-resistant ovarian cancer, and etigilimab for patients with advanced or metastatic solid tumors.</w:t>
      </w:r>
    </w:p>
    <w:p>
      <w:pPr>
        <w:sectPr>
          <w:pgSz w:w="11900" w:h="16838" w:orient="portrait"/>
          <w:cols w:equalWidth="0" w:num="1">
            <w:col w:w="10960"/>
          </w:cols>
          <w:pgMar w:left="440" w:top="266" w:right="499" w:bottom="1440" w:gutter="0" w:footer="0" w:header="0"/>
        </w:sectPr>
      </w:pPr>
    </w:p>
    <w:bookmarkStart w:id="516" w:name="page517"/>
    <w:bookmarkEnd w:id="51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Mereo BioPharma Forward-Looking Statements</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This document contains “forward-looking statements.” All statements other than statements of historical fact contained in this presentation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5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Factors that could cause actual results to differ materially from those in the forward-looking statements include, among others, risks relating to unanticipated costs, liabilities or delays in connection with the License Agreement and the development and commercialization of navicixizumab; failure to realize anticipated benefits of the License Agreement; failure or delays in research and development programs; unanticipated changes relating to competitive factors in the Company’s industry; the potential failure to achieve any of the applicable milestones and/ or royalties under the License Agreement; the outcome of any legal proceedings related to the License Agreement; risks related to the ability to correctly estimate operating expenses associated with the License Agreement; the potential impact of announcement of the License Agreement on relationships with third parties; changes in law or regulations affecting the Company; international, national or local economic, social or political conditions that could adversely affect the Company and its business; and risks associated with assumptions the Company makes in connection with its critical accounting estimates and other judgments.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All of the Company’s forward-looking statements involve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0980"/>
          </w:cols>
          <w:pgMar w:left="440" w:top="260" w:right="479" w:bottom="1440" w:gutter="0" w:footer="0" w:header="0"/>
        </w:sectPr>
      </w:pPr>
    </w:p>
    <w:bookmarkStart w:id="517" w:name="page518"/>
    <w:bookmarkEnd w:id="517"/>
    <w:tbl>
      <w:tblPr>
        <w:tblLayout w:type="fixed"/>
        <w:tblInd w:w="0" w:type="dxa"/>
        <w:tblCellMar>
          <w:top w:w="0" w:type="dxa"/>
          <w:left w:w="0" w:type="dxa"/>
          <w:bottom w:w="0" w:type="dxa"/>
          <w:right w:w="0" w:type="dxa"/>
        </w:tblCellMar>
      </w:tblPr>
      <w:tr>
        <w:trPr>
          <w:trHeight w:val="280"/>
        </w:trPr>
        <w:tc>
          <w:tcPr>
            <w:tcW w:w="6420" w:type="dxa"/>
            <w:vAlign w:val="bottom"/>
          </w:tcPr>
          <w:p>
            <w:pPr>
              <w:spacing w:after="0"/>
              <w:rPr>
                <w:sz w:val="20"/>
                <w:szCs w:val="20"/>
                <w:color w:val="auto"/>
              </w:rPr>
            </w:pPr>
            <w:r>
              <w:rPr>
                <w:rFonts w:ascii="Arial" w:cs="Arial" w:eastAsia="Arial" w:hAnsi="Arial"/>
                <w:sz w:val="22"/>
                <w:szCs w:val="22"/>
                <w:b w:val="1"/>
                <w:bCs w:val="1"/>
                <w:color w:val="auto"/>
              </w:rPr>
              <w:t>Mereo BioPharma Contacts:</w:t>
            </w:r>
          </w:p>
        </w:tc>
        <w:tc>
          <w:tcPr>
            <w:tcW w:w="2900" w:type="dxa"/>
            <w:vAlign w:val="bottom"/>
          </w:tcPr>
          <w:p>
            <w:pPr>
              <w:spacing w:after="0"/>
              <w:rPr>
                <w:sz w:val="24"/>
                <w:szCs w:val="24"/>
                <w:color w:val="auto"/>
              </w:rPr>
            </w:pPr>
          </w:p>
        </w:tc>
      </w:tr>
      <w:tr>
        <w:trPr>
          <w:trHeight w:val="365"/>
        </w:trPr>
        <w:tc>
          <w:tcPr>
            <w:tcW w:w="6420" w:type="dxa"/>
            <w:vAlign w:val="bottom"/>
          </w:tcPr>
          <w:p>
            <w:pPr>
              <w:spacing w:after="0"/>
              <w:rPr>
                <w:sz w:val="20"/>
                <w:szCs w:val="20"/>
                <w:color w:val="auto"/>
              </w:rPr>
            </w:pPr>
            <w:r>
              <w:rPr>
                <w:rFonts w:ascii="Arial" w:cs="Arial" w:eastAsia="Arial" w:hAnsi="Arial"/>
                <w:sz w:val="22"/>
                <w:szCs w:val="22"/>
                <w:b w:val="1"/>
                <w:bCs w:val="1"/>
                <w:color w:val="auto"/>
              </w:rPr>
              <w:t>Mereo</w:t>
            </w:r>
          </w:p>
        </w:tc>
        <w:tc>
          <w:tcPr>
            <w:tcW w:w="2900" w:type="dxa"/>
            <w:vAlign w:val="bottom"/>
          </w:tcPr>
          <w:p>
            <w:pPr>
              <w:jc w:val="center"/>
              <w:ind w:left="892"/>
              <w:spacing w:after="0"/>
              <w:rPr>
                <w:sz w:val="20"/>
                <w:szCs w:val="20"/>
                <w:color w:val="auto"/>
              </w:rPr>
            </w:pPr>
            <w:r>
              <w:rPr>
                <w:rFonts w:ascii="Arial" w:cs="Arial" w:eastAsia="Arial" w:hAnsi="Arial"/>
                <w:sz w:val="22"/>
                <w:szCs w:val="22"/>
                <w:b w:val="1"/>
                <w:bCs w:val="1"/>
                <w:color w:val="auto"/>
                <w:w w:val="88"/>
              </w:rPr>
              <w:t>+44 (0)333 023 7300</w:t>
            </w: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Denise Scots-Knight, Chief Executive Officer</w:t>
            </w:r>
          </w:p>
        </w:tc>
        <w:tc>
          <w:tcPr>
            <w:tcW w:w="2900" w:type="dxa"/>
            <w:vAlign w:val="bottom"/>
          </w:tcPr>
          <w:p>
            <w:pPr>
              <w:spacing w:after="0"/>
              <w:rPr>
                <w:sz w:val="24"/>
                <w:szCs w:val="24"/>
                <w:color w:val="auto"/>
              </w:rPr>
            </w:pP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Richard Jones, Chief Financial Officer</w:t>
            </w:r>
          </w:p>
        </w:tc>
        <w:tc>
          <w:tcPr>
            <w:tcW w:w="2900" w:type="dxa"/>
            <w:vAlign w:val="bottom"/>
          </w:tcPr>
          <w:p>
            <w:pPr>
              <w:spacing w:after="0"/>
              <w:rPr>
                <w:sz w:val="24"/>
                <w:szCs w:val="24"/>
                <w:color w:val="auto"/>
              </w:rPr>
            </w:pPr>
          </w:p>
        </w:tc>
      </w:tr>
      <w:tr>
        <w:trPr>
          <w:trHeight w:val="422"/>
        </w:trPr>
        <w:tc>
          <w:tcPr>
            <w:tcW w:w="6420" w:type="dxa"/>
            <w:vAlign w:val="bottom"/>
          </w:tcPr>
          <w:p>
            <w:pPr>
              <w:spacing w:after="0"/>
              <w:rPr>
                <w:sz w:val="20"/>
                <w:szCs w:val="20"/>
                <w:color w:val="auto"/>
              </w:rPr>
            </w:pPr>
            <w:r>
              <w:rPr>
                <w:rFonts w:ascii="Arial" w:cs="Arial" w:eastAsia="Arial" w:hAnsi="Arial"/>
                <w:sz w:val="22"/>
                <w:szCs w:val="22"/>
                <w:b w:val="1"/>
                <w:bCs w:val="1"/>
                <w:color w:val="auto"/>
              </w:rPr>
              <w:t>Cantor Fitzgerald Europe (Nominated Adviser and Broker</w:t>
            </w:r>
          </w:p>
        </w:tc>
        <w:tc>
          <w:tcPr>
            <w:tcW w:w="2900" w:type="dxa"/>
            <w:vAlign w:val="bottom"/>
          </w:tcPr>
          <w:p>
            <w:pPr>
              <w:spacing w:after="0"/>
              <w:rPr>
                <w:sz w:val="24"/>
                <w:szCs w:val="24"/>
                <w:color w:val="auto"/>
              </w:rPr>
            </w:pPr>
          </w:p>
        </w:tc>
      </w:tr>
      <w:tr>
        <w:trPr>
          <w:trHeight w:val="280"/>
        </w:trPr>
        <w:tc>
          <w:tcPr>
            <w:tcW w:w="6420" w:type="dxa"/>
            <w:vAlign w:val="bottom"/>
          </w:tcPr>
          <w:p>
            <w:pPr>
              <w:spacing w:after="0"/>
              <w:rPr>
                <w:sz w:val="20"/>
                <w:szCs w:val="20"/>
                <w:color w:val="auto"/>
              </w:rPr>
            </w:pPr>
            <w:r>
              <w:rPr>
                <w:rFonts w:ascii="Arial" w:cs="Arial" w:eastAsia="Arial" w:hAnsi="Arial"/>
                <w:sz w:val="22"/>
                <w:szCs w:val="22"/>
                <w:b w:val="1"/>
                <w:bCs w:val="1"/>
                <w:color w:val="auto"/>
              </w:rPr>
              <w:t>to Mereo)</w:t>
            </w:r>
          </w:p>
        </w:tc>
        <w:tc>
          <w:tcPr>
            <w:tcW w:w="2900" w:type="dxa"/>
            <w:vAlign w:val="bottom"/>
          </w:tcPr>
          <w:p>
            <w:pPr>
              <w:jc w:val="center"/>
              <w:ind w:left="892"/>
              <w:spacing w:after="0"/>
              <w:rPr>
                <w:sz w:val="20"/>
                <w:szCs w:val="20"/>
                <w:color w:val="auto"/>
              </w:rPr>
            </w:pPr>
            <w:r>
              <w:rPr>
                <w:rFonts w:ascii="Arial" w:cs="Arial" w:eastAsia="Arial" w:hAnsi="Arial"/>
                <w:sz w:val="22"/>
                <w:szCs w:val="22"/>
                <w:b w:val="1"/>
                <w:bCs w:val="1"/>
                <w:color w:val="auto"/>
                <w:w w:val="88"/>
              </w:rPr>
              <w:t>+44 (0)20 7894 7000</w:t>
            </w: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Phil Davies</w:t>
            </w:r>
          </w:p>
        </w:tc>
        <w:tc>
          <w:tcPr>
            <w:tcW w:w="2900" w:type="dxa"/>
            <w:vAlign w:val="bottom"/>
          </w:tcPr>
          <w:p>
            <w:pPr>
              <w:spacing w:after="0"/>
              <w:rPr>
                <w:sz w:val="24"/>
                <w:szCs w:val="24"/>
                <w:color w:val="auto"/>
              </w:rPr>
            </w:pP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Will Goode</w:t>
            </w:r>
          </w:p>
        </w:tc>
        <w:tc>
          <w:tcPr>
            <w:tcW w:w="2900" w:type="dxa"/>
            <w:vAlign w:val="bottom"/>
          </w:tcPr>
          <w:p>
            <w:pPr>
              <w:spacing w:after="0"/>
              <w:rPr>
                <w:sz w:val="24"/>
                <w:szCs w:val="24"/>
                <w:color w:val="auto"/>
              </w:rPr>
            </w:pPr>
          </w:p>
        </w:tc>
      </w:tr>
      <w:tr>
        <w:trPr>
          <w:trHeight w:val="459"/>
        </w:trPr>
        <w:tc>
          <w:tcPr>
            <w:tcW w:w="6420" w:type="dxa"/>
            <w:vAlign w:val="bottom"/>
          </w:tcPr>
          <w:p>
            <w:pPr>
              <w:spacing w:after="0"/>
              <w:rPr>
                <w:sz w:val="20"/>
                <w:szCs w:val="20"/>
                <w:color w:val="auto"/>
              </w:rPr>
            </w:pPr>
            <w:r>
              <w:rPr>
                <w:rFonts w:ascii="Arial" w:cs="Arial" w:eastAsia="Arial" w:hAnsi="Arial"/>
                <w:sz w:val="22"/>
                <w:szCs w:val="22"/>
                <w:b w:val="1"/>
                <w:bCs w:val="1"/>
                <w:color w:val="auto"/>
              </w:rPr>
              <w:t>Burns McClellan (US Public Relations Adviser to Mereo)</w:t>
            </w:r>
          </w:p>
        </w:tc>
        <w:tc>
          <w:tcPr>
            <w:tcW w:w="2900" w:type="dxa"/>
            <w:vAlign w:val="bottom"/>
          </w:tcPr>
          <w:p>
            <w:pPr>
              <w:spacing w:after="0"/>
              <w:rPr>
                <w:sz w:val="24"/>
                <w:szCs w:val="24"/>
                <w:color w:val="auto"/>
              </w:rPr>
            </w:pP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Lisa Burns</w:t>
            </w:r>
          </w:p>
        </w:tc>
        <w:tc>
          <w:tcPr>
            <w:tcW w:w="2900" w:type="dxa"/>
            <w:vAlign w:val="bottom"/>
          </w:tcPr>
          <w:p>
            <w:pPr>
              <w:jc w:val="center"/>
              <w:ind w:left="892"/>
              <w:spacing w:after="0"/>
              <w:rPr>
                <w:sz w:val="20"/>
                <w:szCs w:val="20"/>
                <w:color w:val="auto"/>
              </w:rPr>
            </w:pPr>
            <w:r>
              <w:rPr>
                <w:rFonts w:ascii="Arial" w:cs="Arial" w:eastAsia="Arial" w:hAnsi="Arial"/>
                <w:sz w:val="22"/>
                <w:szCs w:val="22"/>
                <w:b w:val="1"/>
                <w:bCs w:val="1"/>
                <w:color w:val="auto"/>
                <w:w w:val="90"/>
              </w:rPr>
              <w:t>+01 (0) 212 213 0006</w:t>
            </w: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Steve Klass</w:t>
            </w:r>
          </w:p>
        </w:tc>
        <w:tc>
          <w:tcPr>
            <w:tcW w:w="2900" w:type="dxa"/>
            <w:vAlign w:val="bottom"/>
          </w:tcPr>
          <w:p>
            <w:pPr>
              <w:spacing w:after="0"/>
              <w:rPr>
                <w:sz w:val="24"/>
                <w:szCs w:val="24"/>
                <w:color w:val="auto"/>
              </w:rPr>
            </w:pPr>
          </w:p>
        </w:tc>
      </w:tr>
      <w:tr>
        <w:trPr>
          <w:trHeight w:val="459"/>
        </w:trPr>
        <w:tc>
          <w:tcPr>
            <w:tcW w:w="6420" w:type="dxa"/>
            <w:vAlign w:val="bottom"/>
          </w:tcPr>
          <w:p>
            <w:pPr>
              <w:spacing w:after="0"/>
              <w:rPr>
                <w:sz w:val="20"/>
                <w:szCs w:val="20"/>
                <w:color w:val="auto"/>
              </w:rPr>
            </w:pPr>
            <w:r>
              <w:rPr>
                <w:rFonts w:ascii="Arial" w:cs="Arial" w:eastAsia="Arial" w:hAnsi="Arial"/>
                <w:sz w:val="22"/>
                <w:szCs w:val="22"/>
                <w:b w:val="1"/>
                <w:bCs w:val="1"/>
                <w:color w:val="auto"/>
              </w:rPr>
              <w:t>FTI Consulting (UK Public Relations Adviser to Mereo)</w:t>
            </w:r>
          </w:p>
        </w:tc>
        <w:tc>
          <w:tcPr>
            <w:tcW w:w="2900" w:type="dxa"/>
            <w:vAlign w:val="bottom"/>
          </w:tcPr>
          <w:p>
            <w:pPr>
              <w:spacing w:after="0"/>
              <w:rPr>
                <w:sz w:val="24"/>
                <w:szCs w:val="24"/>
                <w:color w:val="auto"/>
              </w:rPr>
            </w:pP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Simon Conway</w:t>
            </w:r>
          </w:p>
        </w:tc>
        <w:tc>
          <w:tcPr>
            <w:tcW w:w="2900" w:type="dxa"/>
            <w:vAlign w:val="bottom"/>
          </w:tcPr>
          <w:p>
            <w:pPr>
              <w:spacing w:after="0"/>
              <w:rPr>
                <w:sz w:val="24"/>
                <w:szCs w:val="24"/>
                <w:color w:val="auto"/>
              </w:rPr>
            </w:pP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Brett Pollard</w:t>
            </w:r>
          </w:p>
        </w:tc>
        <w:tc>
          <w:tcPr>
            <w:tcW w:w="2900" w:type="dxa"/>
            <w:vAlign w:val="bottom"/>
          </w:tcPr>
          <w:p>
            <w:pPr>
              <w:jc w:val="center"/>
              <w:ind w:left="892"/>
              <w:spacing w:after="0"/>
              <w:rPr>
                <w:sz w:val="20"/>
                <w:szCs w:val="20"/>
                <w:color w:val="auto"/>
              </w:rPr>
            </w:pPr>
            <w:r>
              <w:rPr>
                <w:rFonts w:ascii="Arial" w:cs="Arial" w:eastAsia="Arial" w:hAnsi="Arial"/>
                <w:sz w:val="22"/>
                <w:szCs w:val="22"/>
                <w:b w:val="1"/>
                <w:bCs w:val="1"/>
                <w:color w:val="auto"/>
                <w:w w:val="88"/>
              </w:rPr>
              <w:t>+44 (0)20 3727 1000</w:t>
            </w:r>
          </w:p>
        </w:tc>
      </w:tr>
      <w:tr>
        <w:trPr>
          <w:trHeight w:val="351"/>
        </w:trPr>
        <w:tc>
          <w:tcPr>
            <w:tcW w:w="6420" w:type="dxa"/>
            <w:vAlign w:val="bottom"/>
          </w:tcPr>
          <w:p>
            <w:pPr>
              <w:spacing w:after="0"/>
              <w:rPr>
                <w:sz w:val="20"/>
                <w:szCs w:val="20"/>
                <w:color w:val="auto"/>
              </w:rPr>
            </w:pPr>
            <w:r>
              <w:rPr>
                <w:rFonts w:ascii="Arial" w:cs="Arial" w:eastAsia="Arial" w:hAnsi="Arial"/>
                <w:sz w:val="22"/>
                <w:szCs w:val="22"/>
                <w:color w:val="auto"/>
              </w:rPr>
              <w:t>Ciara Martin</w:t>
            </w:r>
          </w:p>
        </w:tc>
        <w:tc>
          <w:tcPr>
            <w:tcW w:w="2900" w:type="dxa"/>
            <w:vAlign w:val="bottom"/>
          </w:tcPr>
          <w:p>
            <w:pPr>
              <w:spacing w:after="0"/>
              <w:rPr>
                <w:sz w:val="24"/>
                <w:szCs w:val="24"/>
                <w:color w:val="auto"/>
              </w:rPr>
            </w:pPr>
          </w:p>
        </w:tc>
      </w:tr>
    </w:tbl>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Investors: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investors@mereobiopharma.com</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Oncologie Contacts: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Heather Savelle or Ryan Baker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Argot Partners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212.600.1902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oncologie@argotpartners.com</w:t>
      </w:r>
    </w:p>
    <w:p>
      <w:pPr>
        <w:sectPr>
          <w:pgSz w:w="11900" w:h="16838" w:orient="portrait"/>
          <w:cols w:equalWidth="0" w:num="1">
            <w:col w:w="10019"/>
          </w:cols>
          <w:pgMar w:left="440" w:top="260" w:right="1440" w:bottom="1440" w:gutter="0" w:footer="0" w:header="0"/>
        </w:sectPr>
      </w:pPr>
    </w:p>
    <w:bookmarkStart w:id="518" w:name="page519"/>
    <w:bookmarkEnd w:id="51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Denise Scots-Knight, certify that:</w:t>
      </w:r>
    </w:p>
    <w:p>
      <w:pPr>
        <w:spacing w:after="0" w:line="131" w:lineRule="exact"/>
        <w:rPr>
          <w:sz w:val="20"/>
          <w:szCs w:val="20"/>
          <w:color w:val="auto"/>
        </w:rPr>
      </w:pPr>
    </w:p>
    <w:p>
      <w:pPr>
        <w:ind w:left="424" w:hanging="424"/>
        <w:spacing w:after="0"/>
        <w:tabs>
          <w:tab w:leader="none" w:pos="42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Mereo BioPharma Group plc (the “Company”);</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00" w:hanging="424"/>
        <w:spacing w:after="0" w:line="291" w:lineRule="auto"/>
        <w:tabs>
          <w:tab w:leader="none" w:pos="424" w:val="left"/>
        </w:tabs>
        <w:numPr>
          <w:ilvl w:val="0"/>
          <w:numId w:val="559"/>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5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0" w:hanging="532"/>
        <w:spacing w:after="0" w:line="263" w:lineRule="auto"/>
        <w:tabs>
          <w:tab w:leader="none" w:pos="964" w:val="left"/>
        </w:tabs>
        <w:numPr>
          <w:ilvl w:val="1"/>
          <w:numId w:val="55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60" w:hanging="424"/>
        <w:spacing w:after="0" w:line="342" w:lineRule="auto"/>
        <w:tabs>
          <w:tab w:leader="none" w:pos="424" w:val="left"/>
        </w:tabs>
        <w:numPr>
          <w:ilvl w:val="0"/>
          <w:numId w:val="55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5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40" w:hanging="532"/>
        <w:spacing w:after="0" w:line="277" w:lineRule="auto"/>
        <w:tabs>
          <w:tab w:leader="none" w:pos="964" w:val="left"/>
        </w:tabs>
        <w:numPr>
          <w:ilvl w:val="1"/>
          <w:numId w:val="5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4"/>
          </w:cols>
          <w:pgMar w:left="436" w:top="121" w:right="43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Christine Fox, certify that:</w:t>
      </w:r>
    </w:p>
    <w:p>
      <w:pPr>
        <w:spacing w:after="0" w:line="131" w:lineRule="exact"/>
        <w:rPr>
          <w:sz w:val="20"/>
          <w:szCs w:val="20"/>
          <w:color w:val="auto"/>
        </w:rPr>
      </w:pPr>
    </w:p>
    <w:p>
      <w:pPr>
        <w:ind w:left="424" w:hanging="424"/>
        <w:spacing w:after="0"/>
        <w:tabs>
          <w:tab w:leader="none" w:pos="4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Mereo BioPharma Group plc (the “Company”);</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00" w:hanging="424"/>
        <w:spacing w:after="0" w:line="291" w:lineRule="auto"/>
        <w:tabs>
          <w:tab w:leader="none" w:pos="424" w:val="left"/>
        </w:tabs>
        <w:numPr>
          <w:ilvl w:val="0"/>
          <w:numId w:val="560"/>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6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0" w:hanging="532"/>
        <w:spacing w:after="0" w:line="263" w:lineRule="auto"/>
        <w:tabs>
          <w:tab w:leader="none" w:pos="96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60" w:hanging="424"/>
        <w:spacing w:after="0" w:line="342" w:lineRule="auto"/>
        <w:tabs>
          <w:tab w:leader="none" w:pos="424" w:val="left"/>
        </w:tabs>
        <w:numPr>
          <w:ilvl w:val="0"/>
          <w:numId w:val="56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5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40" w:hanging="532"/>
        <w:spacing w:after="0" w:line="277" w:lineRule="auto"/>
        <w:tabs>
          <w:tab w:leader="none" w:pos="96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024"/>
          </w:cols>
          <w:pgMar w:left="436" w:top="121" w:right="439" w:bottom="1440" w:gutter="0" w:footer="0" w:header="0"/>
        </w:sectPr>
      </w:pPr>
    </w:p>
    <w:bookmarkStart w:id="520" w:name="page521"/>
    <w:bookmarkEnd w:id="520"/>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360"/>
        <w:spacing w:after="0" w:line="311" w:lineRule="auto"/>
        <w:rPr>
          <w:sz w:val="20"/>
          <w:szCs w:val="20"/>
          <w:color w:val="auto"/>
        </w:rPr>
      </w:pPr>
      <w:r>
        <w:rPr>
          <w:rFonts w:ascii="Arial" w:cs="Arial" w:eastAsia="Arial" w:hAnsi="Arial"/>
          <w:sz w:val="16"/>
          <w:szCs w:val="16"/>
          <w:color w:val="auto"/>
        </w:rPr>
        <w:t>In connection with the annual report of Mereo BioPharma Group plc (the “Company”) on Form 20-F for the year ended December 31, 2021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264" w:hanging="264"/>
        <w:spacing w:after="0"/>
        <w:tabs>
          <w:tab w:leader="none" w:pos="26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 w:right="320" w:hanging="4"/>
        <w:spacing w:after="0" w:line="516" w:lineRule="auto"/>
        <w:tabs>
          <w:tab w:leader="none" w:pos="259"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31, 2022</w:t>
      </w:r>
    </w:p>
    <w:p>
      <w:pPr>
        <w:spacing w:after="0" w:line="1"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Denise Scots-Knight, Ph.D.</w:t>
      </w:r>
    </w:p>
    <w:p>
      <w:pPr>
        <w:spacing w:after="0" w:line="23"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4"/>
          </w:cols>
          <w:pgMar w:left="436" w:top="121" w:right="439" w:bottom="1440" w:gutter="0" w:footer="0" w:header="0"/>
        </w:sectPr>
      </w:pPr>
    </w:p>
    <w:bookmarkStart w:id="521" w:name="page522"/>
    <w:bookmarkEnd w:id="521"/>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360"/>
        <w:spacing w:after="0" w:line="286" w:lineRule="auto"/>
        <w:rPr>
          <w:sz w:val="20"/>
          <w:szCs w:val="20"/>
          <w:color w:val="auto"/>
        </w:rPr>
      </w:pPr>
      <w:r>
        <w:rPr>
          <w:rFonts w:ascii="Arial" w:cs="Arial" w:eastAsia="Arial" w:hAnsi="Arial"/>
          <w:sz w:val="17"/>
          <w:szCs w:val="17"/>
          <w:color w:val="auto"/>
        </w:rPr>
        <w:t>In connection with the annual report of Mereo BioPharma Group plc (the “Company”) on Form 20-F for the year ended December 31, 2021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264" w:hanging="264"/>
        <w:spacing w:after="0"/>
        <w:tabs>
          <w:tab w:leader="none" w:pos="26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 w:right="320" w:hanging="4"/>
        <w:spacing w:after="0" w:line="516" w:lineRule="auto"/>
        <w:tabs>
          <w:tab w:leader="none" w:pos="25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31, 2022</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Fox</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Christine Fox</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4"/>
          </w:cols>
          <w:pgMar w:left="436" w:top="121" w:right="439" w:bottom="1440" w:gutter="0" w:footer="0" w:header="0"/>
        </w:sectPr>
      </w:pPr>
    </w:p>
    <w:bookmarkStart w:id="522" w:name="page523"/>
    <w:bookmarkEnd w:id="522"/>
    <w:p>
      <w:pPr>
        <w:jc w:val="right"/>
        <w:spacing w:after="0"/>
        <w:rPr>
          <w:sz w:val="20"/>
          <w:szCs w:val="20"/>
          <w:color w:val="auto"/>
        </w:rPr>
      </w:pPr>
      <w:r>
        <w:rPr>
          <w:rFonts w:ascii="Arial" w:cs="Arial" w:eastAsia="Arial" w:hAnsi="Arial"/>
          <w:sz w:val="18"/>
          <w:szCs w:val="18"/>
          <w:b w:val="1"/>
          <w:bCs w:val="1"/>
          <w:color w:val="auto"/>
        </w:rPr>
        <w:t>Exhibit 15.1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F-3 (No. 333-249341 and No. 333-239708 and No. 333-258495) and Form S-8 (No. 333-231636 and No. 333-236498 and No. 333-252147 and No. 333-262151) of Mereo BioPharma Group plc of our report dated March 31, 2022, relating to the consolidated financial statements which appears in this Annual Report on Form 20-F.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BDO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BDO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ectPr>
          <w:pgSz w:w="11900" w:h="16838" w:orient="portrait"/>
          <w:cols w:equalWidth="0" w:num="1">
            <w:col w:w="11020"/>
          </w:cols>
          <w:pgMar w:left="440" w:top="121" w:right="439" w:bottom="1440" w:gutter="0" w:footer="0" w:header="0"/>
        </w:sectPr>
      </w:pPr>
    </w:p>
    <w:bookmarkStart w:id="523" w:name="page524"/>
    <w:bookmarkEnd w:id="523"/>
    <w:p>
      <w:pPr>
        <w:jc w:val="right"/>
        <w:spacing w:after="0"/>
        <w:rPr>
          <w:sz w:val="20"/>
          <w:szCs w:val="20"/>
          <w:color w:val="auto"/>
        </w:rPr>
      </w:pPr>
      <w:r>
        <w:rPr>
          <w:rFonts w:ascii="Arial" w:cs="Arial" w:eastAsia="Arial" w:hAnsi="Arial"/>
          <w:sz w:val="22"/>
          <w:szCs w:val="22"/>
          <w:color w:val="auto"/>
        </w:rPr>
        <w:t>Exhibit 15.2</w:t>
      </w:r>
    </w:p>
    <w:p>
      <w:pPr>
        <w:spacing w:after="0" w:line="206" w:lineRule="exact"/>
        <w:rPr>
          <w:sz w:val="20"/>
          <w:szCs w:val="20"/>
          <w:color w:val="auto"/>
        </w:rPr>
      </w:pPr>
    </w:p>
    <w:p>
      <w:pPr>
        <w:ind w:right="2920" w:firstLine="2916"/>
        <w:spacing w:after="0" w:line="452" w:lineRule="auto"/>
        <w:rPr>
          <w:sz w:val="20"/>
          <w:szCs w:val="20"/>
          <w:color w:val="auto"/>
        </w:rPr>
      </w:pPr>
      <w:r>
        <w:rPr>
          <w:rFonts w:ascii="Arial" w:cs="Arial" w:eastAsia="Arial" w:hAnsi="Arial"/>
          <w:sz w:val="19"/>
          <w:szCs w:val="19"/>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1180" w:right="140" w:hanging="644"/>
        <w:spacing w:after="0" w:line="328" w:lineRule="auto"/>
        <w:tabs>
          <w:tab w:leader="none" w:pos="1180" w:val="left"/>
        </w:tabs>
        <w:numPr>
          <w:ilvl w:val="0"/>
          <w:numId w:val="563"/>
        </w:numPr>
        <w:rPr>
          <w:rFonts w:ascii="Arial" w:cs="Arial" w:eastAsia="Arial" w:hAnsi="Arial"/>
          <w:sz w:val="19"/>
          <w:szCs w:val="19"/>
          <w:color w:val="auto"/>
        </w:rPr>
      </w:pPr>
      <w:r>
        <w:rPr>
          <w:rFonts w:ascii="Arial" w:cs="Arial" w:eastAsia="Arial" w:hAnsi="Arial"/>
          <w:sz w:val="19"/>
          <w:szCs w:val="19"/>
          <w:color w:val="auto"/>
        </w:rPr>
        <w:t>Registration Statement on Form S-8 (No, 333-231636) pertaining to both the Mereo BioPharma Group plc 2019 Equity Incentive Plan and the Mereo BioPharma Group plc 2019 Non-Employee Equity Incentive Plan; and</w:t>
      </w:r>
    </w:p>
    <w:p>
      <w:pPr>
        <w:spacing w:after="0" w:line="10" w:lineRule="exact"/>
        <w:rPr>
          <w:rFonts w:ascii="Arial" w:cs="Arial" w:eastAsia="Arial" w:hAnsi="Arial"/>
          <w:sz w:val="19"/>
          <w:szCs w:val="19"/>
          <w:color w:val="auto"/>
        </w:rPr>
      </w:pPr>
    </w:p>
    <w:p>
      <w:pPr>
        <w:ind w:left="1180" w:right="140" w:hanging="644"/>
        <w:spacing w:after="0" w:line="328" w:lineRule="auto"/>
        <w:tabs>
          <w:tab w:leader="none" w:pos="1180" w:val="left"/>
        </w:tabs>
        <w:numPr>
          <w:ilvl w:val="0"/>
          <w:numId w:val="563"/>
        </w:numPr>
        <w:rPr>
          <w:rFonts w:ascii="Arial" w:cs="Arial" w:eastAsia="Arial" w:hAnsi="Arial"/>
          <w:sz w:val="19"/>
          <w:szCs w:val="19"/>
          <w:color w:val="auto"/>
        </w:rPr>
      </w:pPr>
      <w:r>
        <w:rPr>
          <w:rFonts w:ascii="Arial" w:cs="Arial" w:eastAsia="Arial" w:hAnsi="Arial"/>
          <w:sz w:val="19"/>
          <w:szCs w:val="19"/>
          <w:color w:val="auto"/>
        </w:rPr>
        <w:t>Registration Statement on Form S-8 (No. 333-236498) pertaining to both the Mereo BioPharma Group plc 2019 Equity Incentive Plan and the Mereo BioPharma Group plc 2019 Non-Employee Equity Incentive Plan; and</w:t>
      </w:r>
    </w:p>
    <w:p>
      <w:pPr>
        <w:spacing w:after="0" w:line="10" w:lineRule="exact"/>
        <w:rPr>
          <w:rFonts w:ascii="Arial" w:cs="Arial" w:eastAsia="Arial" w:hAnsi="Arial"/>
          <w:sz w:val="19"/>
          <w:szCs w:val="19"/>
          <w:color w:val="auto"/>
        </w:rPr>
      </w:pPr>
    </w:p>
    <w:p>
      <w:pPr>
        <w:ind w:left="1180" w:right="80" w:hanging="644"/>
        <w:spacing w:after="0" w:line="282" w:lineRule="auto"/>
        <w:tabs>
          <w:tab w:leader="none" w:pos="1180" w:val="left"/>
        </w:tabs>
        <w:numPr>
          <w:ilvl w:val="0"/>
          <w:numId w:val="563"/>
        </w:numPr>
        <w:rPr>
          <w:rFonts w:ascii="Arial" w:cs="Arial" w:eastAsia="Arial" w:hAnsi="Arial"/>
          <w:sz w:val="19"/>
          <w:szCs w:val="19"/>
          <w:color w:val="auto"/>
        </w:rPr>
      </w:pPr>
      <w:r>
        <w:rPr>
          <w:rFonts w:ascii="Arial" w:cs="Arial" w:eastAsia="Arial" w:hAnsi="Arial"/>
          <w:sz w:val="19"/>
          <w:szCs w:val="19"/>
          <w:color w:val="auto"/>
        </w:rPr>
        <w:t>Registration Statement on Form S-8 (No. 333-252147) pertaining to i) Mereo BioPharma Group plc 2019 Equity Incentive Plan, as amended; ii) Mereo BioPharma Group plc 2019 Non-Employee Equity Incentive Plan, as amended, iii) Mereo BioPharma Group plc Share Option Scheme 2016, as amended; iv) Mereo BioPharma Group plc Deferred Bonus Share Plan 2016, as amended; v) Mereo BioPharma Group plc Long Term Incentive Plan 2016, as amended and vi) Mereo BioPharma Group Share Option Scheme 2015, as amended; and</w:t>
      </w:r>
    </w:p>
    <w:p>
      <w:pPr>
        <w:spacing w:after="0" w:line="52" w:lineRule="exact"/>
        <w:rPr>
          <w:rFonts w:ascii="Arial" w:cs="Arial" w:eastAsia="Arial" w:hAnsi="Arial"/>
          <w:sz w:val="19"/>
          <w:szCs w:val="19"/>
          <w:color w:val="auto"/>
        </w:rPr>
      </w:pPr>
    </w:p>
    <w:p>
      <w:pPr>
        <w:ind w:left="1180" w:right="140" w:hanging="644"/>
        <w:spacing w:after="0" w:line="328" w:lineRule="auto"/>
        <w:tabs>
          <w:tab w:leader="none" w:pos="1180" w:val="left"/>
        </w:tabs>
        <w:numPr>
          <w:ilvl w:val="0"/>
          <w:numId w:val="563"/>
        </w:numPr>
        <w:rPr>
          <w:rFonts w:ascii="Arial" w:cs="Arial" w:eastAsia="Arial" w:hAnsi="Arial"/>
          <w:sz w:val="19"/>
          <w:szCs w:val="19"/>
          <w:color w:val="auto"/>
        </w:rPr>
      </w:pPr>
      <w:r>
        <w:rPr>
          <w:rFonts w:ascii="Arial" w:cs="Arial" w:eastAsia="Arial" w:hAnsi="Arial"/>
          <w:sz w:val="19"/>
          <w:szCs w:val="19"/>
          <w:color w:val="auto"/>
        </w:rPr>
        <w:t>Registration Statement on Form S-8 (No, 333-262151) pertaining to both the Mereo BioPharma Group plc 2019 Equity Incentive Plan and the Mereo BioPharma Group plc 2019 Non-Employee Equity Incentive Plan; and</w:t>
      </w:r>
    </w:p>
    <w:p>
      <w:pPr>
        <w:spacing w:after="0" w:line="10" w:lineRule="exact"/>
        <w:rPr>
          <w:rFonts w:ascii="Arial" w:cs="Arial" w:eastAsia="Arial" w:hAnsi="Arial"/>
          <w:sz w:val="19"/>
          <w:szCs w:val="19"/>
          <w:color w:val="auto"/>
        </w:rPr>
      </w:pPr>
    </w:p>
    <w:p>
      <w:pPr>
        <w:ind w:left="1180" w:right="800" w:hanging="644"/>
        <w:spacing w:after="0" w:line="250" w:lineRule="auto"/>
        <w:tabs>
          <w:tab w:leader="none" w:pos="1180" w:val="left"/>
        </w:tabs>
        <w:numPr>
          <w:ilvl w:val="0"/>
          <w:numId w:val="563"/>
        </w:numPr>
        <w:rPr>
          <w:rFonts w:ascii="Arial" w:cs="Arial" w:eastAsia="Arial" w:hAnsi="Arial"/>
          <w:sz w:val="22"/>
          <w:szCs w:val="22"/>
          <w:color w:val="auto"/>
        </w:rPr>
      </w:pPr>
      <w:r>
        <w:rPr>
          <w:rFonts w:ascii="Arial" w:cs="Arial" w:eastAsia="Arial" w:hAnsi="Arial"/>
          <w:sz w:val="22"/>
          <w:szCs w:val="22"/>
          <w:color w:val="auto"/>
        </w:rPr>
        <w:t>Registration Statements on Form F-3 (No. 333-249341, No. 333-239708 and No. 333-258495) of Mereo BioPharma Group plc and in the related Prospectuses;</w:t>
      </w:r>
    </w:p>
    <w:p>
      <w:pPr>
        <w:spacing w:after="0" w:line="175"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of our report dated March 31, 2021, with respect to the consolidated financial statements of Mereo BioPharma Group plc included in this Annual Report (Form 20-F) for the year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London, United Kingdom</w:t>
      </w:r>
    </w:p>
    <w:p>
      <w:pPr>
        <w:spacing w:after="0"/>
        <w:rPr>
          <w:sz w:val="20"/>
          <w:szCs w:val="20"/>
          <w:color w:val="auto"/>
        </w:rPr>
      </w:pPr>
      <w:r>
        <w:rPr>
          <w:rFonts w:ascii="Arial" w:cs="Arial" w:eastAsia="Arial" w:hAnsi="Arial"/>
          <w:sz w:val="22"/>
          <w:szCs w:val="22"/>
          <w:color w:val="auto"/>
        </w:rPr>
        <w:t>March 31, 2022</w:t>
      </w:r>
    </w:p>
    <w:p>
      <w:pPr>
        <w:sectPr>
          <w:pgSz w:w="11900" w:h="16838" w:orient="portrait"/>
          <w:cols w:equalWidth="0" w:num="1">
            <w:col w:w="11020"/>
          </w:cols>
          <w:pgMar w:left="440" w:top="118" w:right="439" w:bottom="1440" w:gutter="0" w:footer="0" w:header="0"/>
        </w:sectPr>
      </w:pPr>
    </w:p>
    <w:bookmarkStart w:id="524" w:name="page525"/>
    <w:bookmarkEnd w:id="524"/>
    <w:p>
      <w:pPr>
        <w:jc w:val="right"/>
        <w:spacing w:after="0"/>
        <w:rPr>
          <w:sz w:val="20"/>
          <w:szCs w:val="20"/>
          <w:color w:val="auto"/>
        </w:rPr>
      </w:pPr>
      <w:r>
        <w:rPr>
          <w:rFonts w:ascii="Arial" w:cs="Arial" w:eastAsia="Arial" w:hAnsi="Arial"/>
          <w:sz w:val="22"/>
          <w:szCs w:val="22"/>
          <w:b w:val="1"/>
          <w:bCs w:val="1"/>
          <w:color w:val="auto"/>
        </w:rPr>
        <w:t>Exhibit 16.1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31 March 2022</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98"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We have read Item 16F “Change In Registrant’s Certifying Accountant” of Form 20-F dated 31 March 2022, of Mereo BioPharma Group plc and are in agreement with the statements contained in the paragraphs 2, 3, 4 and 5 on page 129 therein. We have no basis to agree or disagree with other statements of the registrant contained therein.</w:t>
      </w:r>
    </w:p>
    <w:p>
      <w:pPr>
        <w:spacing w:after="0" w:line="169"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Regarding the registrant’s statement concerning the material weakness in its internal controls, included in paragraph 5 on page 129 therein, we had considered such matter in determining the nature, timing and extent of procedures performed in our audit of the registrant’s 2020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sectPr>
      <w:pgSz w:w="11900" w:h="16838" w:orient="portrait"/>
      <w:cols w:equalWidth="0" w:num="1">
        <w:col w:w="11020"/>
      </w:cols>
      <w:pgMar w:left="44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A35D4"/>
    <w:multiLevelType w:val="hybridMultilevel"/>
    <w:lvl w:ilvl="0">
      <w:lvlJc w:val="left"/>
      <w:lvlText w:val="☐"/>
      <w:numFmt w:val="bullet"/>
      <w:start w:val="1"/>
    </w:lvl>
  </w:abstractNum>
  <w:abstractNum w:abstractNumId="1">
    <w:nsid w:val="496FB218"/>
    <w:multiLevelType w:val="hybridMultilevel"/>
    <w:lvl w:ilvl="0">
      <w:lvlJc w:val="left"/>
      <w:lvlText w:val="☒"/>
      <w:numFmt w:val="bullet"/>
      <w:start w:val="1"/>
    </w:lvl>
  </w:abstractNum>
  <w:abstractNum w:abstractNumId="2">
    <w:nsid w:val="680EA5D1"/>
    <w:multiLevelType w:val="hybridMultilevel"/>
    <w:lvl w:ilvl="0">
      <w:lvlJc w:val="left"/>
      <w:lvlText w:val="☐"/>
      <w:numFmt w:val="bullet"/>
      <w:start w:val="1"/>
    </w:lvl>
  </w:abstractNum>
  <w:abstractNum w:abstractNumId="3">
    <w:nsid w:val="4A9554FE"/>
    <w:multiLevelType w:val="hybridMultilevel"/>
    <w:lvl w:ilvl="0">
      <w:lvlJc w:val="left"/>
      <w:lvlText w:val="☐"/>
      <w:numFmt w:val="bullet"/>
      <w:start w:val="1"/>
    </w:lvl>
  </w:abstractNum>
  <w:abstractNum w:abstractNumId="4">
    <w:nsid w:val="392EDBE4"/>
    <w:multiLevelType w:val="hybridMultilevel"/>
    <w:lvl w:ilvl="0">
      <w:lvlJc w:val="left"/>
      <w:lvlText w:val="*"/>
      <w:numFmt w:val="bullet"/>
      <w:start w:val="1"/>
    </w:lvl>
  </w:abstractNum>
  <w:abstractNum w:abstractNumId="5">
    <w:nsid w:val="3D1A2DD9"/>
    <w:multiLevelType w:val="hybridMultilevel"/>
    <w:lvl w:ilvl="0">
      <w:lvlJc w:val="left"/>
      <w:lvlText w:val="†"/>
      <w:numFmt w:val="bullet"/>
      <w:start w:val="1"/>
    </w:lvl>
  </w:abstractNum>
  <w:abstractNum w:abstractNumId="6">
    <w:nsid w:val="7F618FCD"/>
    <w:multiLevelType w:val="hybridMultilevel"/>
    <w:lvl w:ilvl="0">
      <w:lvlJc w:val="left"/>
      <w:lvlText w:val="•"/>
      <w:numFmt w:val="bullet"/>
      <w:start w:val="1"/>
    </w:lvl>
  </w:abstractNum>
  <w:abstractNum w:abstractNumId="7">
    <w:nsid w:val="7843E45"/>
    <w:multiLevelType w:val="hybridMultilevel"/>
    <w:lvl w:ilvl="0">
      <w:lvlJc w:val="left"/>
      <w:lvlText w:val="•"/>
      <w:numFmt w:val="bullet"/>
      <w:start w:val="1"/>
    </w:lvl>
  </w:abstractNum>
  <w:abstractNum w:abstractNumId="8">
    <w:nsid w:val="9815DA3"/>
    <w:multiLevelType w:val="hybridMultilevel"/>
    <w:lvl w:ilvl="0">
      <w:lvlJc w:val="left"/>
      <w:lvlText w:val="•"/>
      <w:numFmt w:val="bullet"/>
      <w:start w:val="1"/>
    </w:lvl>
  </w:abstractNum>
  <w:abstractNum w:abstractNumId="9">
    <w:nsid w:val="5204A191"/>
    <w:multiLevelType w:val="hybridMultilevel"/>
    <w:lvl w:ilvl="0">
      <w:lvlJc w:val="left"/>
      <w:lvlText w:val="•"/>
      <w:numFmt w:val="bullet"/>
      <w:start w:val="1"/>
    </w:lvl>
  </w:abstractNum>
  <w:abstractNum w:abstractNumId="10">
    <w:nsid w:val="4C73A9C6"/>
    <w:multiLevelType w:val="hybridMultilevel"/>
    <w:lvl w:ilvl="0">
      <w:lvlJc w:val="left"/>
      <w:lvlText w:val="•"/>
      <w:numFmt w:val="bullet"/>
      <w:start w:val="1"/>
    </w:lvl>
  </w:abstractNum>
  <w:abstractNum w:abstractNumId="11">
    <w:nsid w:val="1C7E3C01"/>
    <w:multiLevelType w:val="hybridMultilevel"/>
    <w:lvl w:ilvl="0">
      <w:lvlJc w:val="left"/>
      <w:lvlText w:val="•"/>
      <w:numFmt w:val="bullet"/>
      <w:start w:val="1"/>
    </w:lvl>
  </w:abstractNum>
  <w:abstractNum w:abstractNumId="12">
    <w:nsid w:val="1C2201FF"/>
    <w:multiLevelType w:val="hybridMultilevel"/>
    <w:lvl w:ilvl="0">
      <w:lvlJc w:val="left"/>
      <w:lvlText w:val="•"/>
      <w:numFmt w:val="bullet"/>
      <w:start w:val="1"/>
    </w:lvl>
  </w:abstractNum>
  <w:abstractNum w:abstractNumId="13">
    <w:nsid w:val="50ABCEC9"/>
    <w:multiLevelType w:val="hybridMultilevel"/>
    <w:lvl w:ilvl="0">
      <w:lvlJc w:val="left"/>
      <w:lvlText w:val="•"/>
      <w:numFmt w:val="bullet"/>
      <w:start w:val="1"/>
    </w:lvl>
  </w:abstractNum>
  <w:abstractNum w:abstractNumId="14">
    <w:nsid w:val="7635AA2A"/>
    <w:multiLevelType w:val="hybridMultilevel"/>
    <w:lvl w:ilvl="0">
      <w:lvlJc w:val="left"/>
      <w:lvlText w:val="•"/>
      <w:numFmt w:val="bullet"/>
      <w:start w:val="1"/>
    </w:lvl>
  </w:abstractNum>
  <w:abstractNum w:abstractNumId="15">
    <w:nsid w:val="5E74C4D9"/>
    <w:multiLevelType w:val="hybridMultilevel"/>
    <w:lvl w:ilvl="0">
      <w:lvlJc w:val="left"/>
      <w:lvlText w:val="•"/>
      <w:numFmt w:val="bullet"/>
      <w:start w:val="1"/>
    </w:lvl>
  </w:abstractNum>
  <w:abstractNum w:abstractNumId="16">
    <w:nsid w:val="3B3EBE15"/>
    <w:multiLevelType w:val="hybridMultilevel"/>
    <w:lvl w:ilvl="0">
      <w:lvlJc w:val="left"/>
      <w:lvlText w:val="•"/>
      <w:numFmt w:val="bullet"/>
      <w:start w:val="1"/>
    </w:lvl>
  </w:abstractNum>
  <w:abstractNum w:abstractNumId="17">
    <w:nsid w:val="3822CB01"/>
    <w:multiLevelType w:val="hybridMultilevel"/>
    <w:lvl w:ilvl="0">
      <w:lvlJc w:val="left"/>
      <w:lvlText w:val="•"/>
      <w:numFmt w:val="bullet"/>
      <w:start w:val="1"/>
    </w:lvl>
  </w:abstractNum>
  <w:abstractNum w:abstractNumId="18">
    <w:nsid w:val="6CE00443"/>
    <w:multiLevelType w:val="hybridMultilevel"/>
    <w:lvl w:ilvl="0">
      <w:lvlJc w:val="left"/>
      <w:lvlText w:val="•"/>
      <w:numFmt w:val="bullet"/>
      <w:start w:val="1"/>
    </w:lvl>
  </w:abstractNum>
  <w:abstractNum w:abstractNumId="19">
    <w:nsid w:val="79F0D62F"/>
    <w:multiLevelType w:val="hybridMultilevel"/>
    <w:lvl w:ilvl="0">
      <w:lvlJc w:val="left"/>
      <w:lvlText w:val="•"/>
      <w:numFmt w:val="bullet"/>
      <w:start w:val="1"/>
    </w:lvl>
  </w:abstractNum>
  <w:abstractNum w:abstractNumId="20">
    <w:nsid w:val="7975E8EE"/>
    <w:multiLevelType w:val="hybridMultilevel"/>
    <w:lvl w:ilvl="0">
      <w:lvlJc w:val="left"/>
      <w:lvlText w:val="•"/>
      <w:numFmt w:val="bullet"/>
      <w:start w:val="1"/>
    </w:lvl>
  </w:abstractNum>
  <w:abstractNum w:abstractNumId="21">
    <w:nsid w:val="73154115"/>
    <w:multiLevelType w:val="hybridMultilevel"/>
    <w:lvl w:ilvl="0">
      <w:lvlJc w:val="left"/>
      <w:lvlText w:val="•"/>
      <w:numFmt w:val="bullet"/>
      <w:start w:val="1"/>
    </w:lvl>
  </w:abstractNum>
  <w:abstractNum w:abstractNumId="22">
    <w:nsid w:val="622D8102"/>
    <w:multiLevelType w:val="hybridMultilevel"/>
    <w:lvl w:ilvl="0">
      <w:lvlJc w:val="left"/>
      <w:lvlText w:val="•"/>
      <w:numFmt w:val="bullet"/>
      <w:start w:val="1"/>
    </w:lvl>
  </w:abstractNum>
  <w:abstractNum w:abstractNumId="23">
    <w:nsid w:val="2AB26587"/>
    <w:multiLevelType w:val="hybridMultilevel"/>
    <w:lvl w:ilvl="0">
      <w:lvlJc w:val="left"/>
      <w:lvlText w:val="•"/>
      <w:numFmt w:val="bullet"/>
      <w:start w:val="1"/>
    </w:lvl>
  </w:abstractNum>
  <w:abstractNum w:abstractNumId="24">
    <w:nsid w:val="44B3FA61"/>
    <w:multiLevelType w:val="hybridMultilevel"/>
    <w:lvl w:ilvl="0">
      <w:lvlJc w:val="left"/>
      <w:lvlText w:val="•"/>
      <w:numFmt w:val="bullet"/>
      <w:start w:val="1"/>
    </w:lvl>
  </w:abstractNum>
  <w:abstractNum w:abstractNumId="25">
    <w:nsid w:val="1C0CA67C"/>
    <w:multiLevelType w:val="hybridMultilevel"/>
    <w:lvl w:ilvl="0">
      <w:lvlJc w:val="left"/>
      <w:lvlText w:val="•"/>
      <w:numFmt w:val="bullet"/>
      <w:start w:val="1"/>
    </w:lvl>
  </w:abstractNum>
  <w:abstractNum w:abstractNumId="26">
    <w:nsid w:val="3D206613"/>
    <w:multiLevelType w:val="hybridMultilevel"/>
    <w:lvl w:ilvl="0">
      <w:lvlJc w:val="left"/>
      <w:lvlText w:val="•"/>
      <w:numFmt w:val="bullet"/>
      <w:start w:val="1"/>
    </w:lvl>
  </w:abstractNum>
  <w:abstractNum w:abstractNumId="27">
    <w:nsid w:val="7993B662"/>
    <w:multiLevelType w:val="hybridMultilevel"/>
    <w:lvl w:ilvl="0">
      <w:lvlJc w:val="left"/>
      <w:lvlText w:val="•"/>
      <w:numFmt w:val="bullet"/>
      <w:start w:val="1"/>
    </w:lvl>
  </w:abstractNum>
  <w:abstractNum w:abstractNumId="28">
    <w:nsid w:val="3BAB699E"/>
    <w:multiLevelType w:val="hybridMultilevel"/>
    <w:lvl w:ilvl="0">
      <w:lvlJc w:val="left"/>
      <w:lvlText w:val="•"/>
      <w:numFmt w:val="bullet"/>
      <w:start w:val="1"/>
    </w:lvl>
  </w:abstractNum>
  <w:abstractNum w:abstractNumId="29">
    <w:nsid w:val="71315369"/>
    <w:multiLevelType w:val="hybridMultilevel"/>
    <w:lvl w:ilvl="0">
      <w:lvlJc w:val="left"/>
      <w:lvlText w:val="•"/>
      <w:numFmt w:val="bullet"/>
      <w:start w:val="1"/>
    </w:lvl>
  </w:abstractNum>
  <w:abstractNum w:abstractNumId="30">
    <w:nsid w:val="7BCFBAFC"/>
    <w:multiLevelType w:val="hybridMultilevel"/>
    <w:lvl w:ilvl="0">
      <w:lvlJc w:val="left"/>
      <w:lvlText w:val="•"/>
      <w:numFmt w:val="bullet"/>
      <w:start w:val="1"/>
    </w:lvl>
  </w:abstractNum>
  <w:abstractNum w:abstractNumId="31">
    <w:nsid w:val="17859F72"/>
    <w:multiLevelType w:val="hybridMultilevel"/>
    <w:lvl w:ilvl="0">
      <w:lvlJc w:val="left"/>
      <w:lvlText w:val="•"/>
      <w:numFmt w:val="bullet"/>
      <w:start w:val="1"/>
    </w:lvl>
  </w:abstractNum>
  <w:abstractNum w:abstractNumId="32">
    <w:nsid w:val="3AA10581"/>
    <w:multiLevelType w:val="hybridMultilevel"/>
    <w:lvl w:ilvl="0">
      <w:lvlJc w:val="left"/>
      <w:lvlText w:val="•"/>
      <w:numFmt w:val="bullet"/>
      <w:start w:val="1"/>
    </w:lvl>
  </w:abstractNum>
  <w:abstractNum w:abstractNumId="33">
    <w:nsid w:val="63DE60CD"/>
    <w:multiLevelType w:val="hybridMultilevel"/>
    <w:lvl w:ilvl="0">
      <w:lvlJc w:val="left"/>
      <w:lvlText w:val="•"/>
      <w:numFmt w:val="bullet"/>
      <w:start w:val="1"/>
    </w:lvl>
  </w:abstractNum>
  <w:abstractNum w:abstractNumId="34">
    <w:nsid w:val="621AF471"/>
    <w:multiLevelType w:val="hybridMultilevel"/>
    <w:lvl w:ilvl="0">
      <w:lvlJc w:val="left"/>
      <w:lvlText w:val="•"/>
      <w:numFmt w:val="bullet"/>
      <w:start w:val="1"/>
    </w:lvl>
  </w:abstractNum>
  <w:abstractNum w:abstractNumId="35">
    <w:nsid w:val="73CFE165"/>
    <w:multiLevelType w:val="hybridMultilevel"/>
    <w:lvl w:ilvl="0">
      <w:lvlJc w:val="left"/>
      <w:lvlText w:val="•"/>
      <w:numFmt w:val="bullet"/>
      <w:start w:val="1"/>
    </w:lvl>
  </w:abstractNum>
  <w:abstractNum w:abstractNumId="36">
    <w:nsid w:val="20F88EA6"/>
    <w:multiLevelType w:val="hybridMultilevel"/>
    <w:lvl w:ilvl="0">
      <w:lvlJc w:val="left"/>
      <w:lvlText w:val="•"/>
      <w:numFmt w:val="bullet"/>
      <w:start w:val="1"/>
    </w:lvl>
  </w:abstractNum>
  <w:abstractNum w:abstractNumId="37">
    <w:nsid w:val="617C843E"/>
    <w:multiLevelType w:val="hybridMultilevel"/>
    <w:lvl w:ilvl="0">
      <w:lvlJc w:val="left"/>
      <w:lvlText w:val="•"/>
      <w:numFmt w:val="bullet"/>
      <w:start w:val="1"/>
    </w:lvl>
  </w:abstractNum>
  <w:abstractNum w:abstractNumId="38">
    <w:nsid w:val="7B541FAB"/>
    <w:multiLevelType w:val="hybridMultilevel"/>
    <w:lvl w:ilvl="0">
      <w:lvlJc w:val="left"/>
      <w:lvlText w:val="•"/>
      <w:numFmt w:val="bullet"/>
      <w:start w:val="1"/>
    </w:lvl>
  </w:abstractNum>
  <w:abstractNum w:abstractNumId="39">
    <w:nsid w:val="2A79EC49"/>
    <w:multiLevelType w:val="hybridMultilevel"/>
    <w:lvl w:ilvl="0">
      <w:lvlJc w:val="left"/>
      <w:lvlText w:val="•"/>
      <w:numFmt w:val="bullet"/>
      <w:start w:val="1"/>
    </w:lvl>
  </w:abstractNum>
  <w:abstractNum w:abstractNumId="40">
    <w:nsid w:val="338125CF"/>
    <w:multiLevelType w:val="hybridMultilevel"/>
    <w:lvl w:ilvl="0">
      <w:lvlJc w:val="left"/>
      <w:lvlText w:val="•"/>
      <w:numFmt w:val="bullet"/>
      <w:start w:val="1"/>
    </w:lvl>
  </w:abstractNum>
  <w:abstractNum w:abstractNumId="41">
    <w:nsid w:val="47C7C971"/>
    <w:multiLevelType w:val="hybridMultilevel"/>
    <w:lvl w:ilvl="0">
      <w:lvlJc w:val="left"/>
      <w:lvlText w:val="•"/>
      <w:numFmt w:val="bullet"/>
      <w:start w:val="1"/>
    </w:lvl>
  </w:abstractNum>
  <w:abstractNum w:abstractNumId="42">
    <w:nsid w:val="46F8284B"/>
    <w:multiLevelType w:val="hybridMultilevel"/>
    <w:lvl w:ilvl="0">
      <w:lvlJc w:val="left"/>
      <w:lvlText w:val="•"/>
      <w:numFmt w:val="bullet"/>
      <w:start w:val="1"/>
    </w:lvl>
  </w:abstractNum>
  <w:abstractNum w:abstractNumId="43">
    <w:nsid w:val="4FA327CE"/>
    <w:multiLevelType w:val="hybridMultilevel"/>
    <w:lvl w:ilvl="0">
      <w:lvlJc w:val="left"/>
      <w:lvlText w:val="•"/>
      <w:numFmt w:val="bullet"/>
      <w:start w:val="1"/>
    </w:lvl>
  </w:abstractNum>
  <w:abstractNum w:abstractNumId="44">
    <w:nsid w:val="1873983A"/>
    <w:multiLevelType w:val="hybridMultilevel"/>
    <w:lvl w:ilvl="0">
      <w:lvlJc w:val="left"/>
      <w:lvlText w:val="•"/>
      <w:numFmt w:val="bullet"/>
      <w:start w:val="1"/>
    </w:lvl>
  </w:abstractNum>
  <w:abstractNum w:abstractNumId="45">
    <w:nsid w:val="3D2DD275"/>
    <w:multiLevelType w:val="hybridMultilevel"/>
    <w:lvl w:ilvl="0">
      <w:lvlJc w:val="left"/>
      <w:lvlText w:val="•"/>
      <w:numFmt w:val="bullet"/>
      <w:start w:val="1"/>
    </w:lvl>
  </w:abstractNum>
  <w:abstractNum w:abstractNumId="46">
    <w:nsid w:val="2E17ECA7"/>
    <w:multiLevelType w:val="hybridMultilevel"/>
    <w:lvl w:ilvl="0">
      <w:lvlJc w:val="left"/>
      <w:lvlText w:val="•"/>
      <w:numFmt w:val="bullet"/>
      <w:start w:val="1"/>
    </w:lvl>
  </w:abstractNum>
  <w:abstractNum w:abstractNumId="47">
    <w:nsid w:val="53B2564F"/>
    <w:multiLevelType w:val="hybridMultilevel"/>
    <w:lvl w:ilvl="0">
      <w:lvlJc w:val="left"/>
      <w:lvlText w:val="•"/>
      <w:numFmt w:val="bullet"/>
      <w:start w:val="1"/>
    </w:lvl>
  </w:abstractNum>
  <w:abstractNum w:abstractNumId="48">
    <w:nsid w:val="75509D76"/>
    <w:multiLevelType w:val="hybridMultilevel"/>
    <w:lvl w:ilvl="0">
      <w:lvlJc w:val="left"/>
      <w:lvlText w:val="•"/>
      <w:numFmt w:val="bullet"/>
      <w:start w:val="1"/>
    </w:lvl>
  </w:abstractNum>
  <w:abstractNum w:abstractNumId="49">
    <w:nsid w:val="1AF7F0EA"/>
    <w:multiLevelType w:val="hybridMultilevel"/>
    <w:lvl w:ilvl="0">
      <w:lvlJc w:val="left"/>
      <w:lvlText w:val="•"/>
      <w:numFmt w:val="bullet"/>
      <w:start w:val="1"/>
    </w:lvl>
  </w:abstractNum>
  <w:abstractNum w:abstractNumId="50">
    <w:nsid w:val="4DA32C7E"/>
    <w:multiLevelType w:val="hybridMultilevel"/>
    <w:lvl w:ilvl="0">
      <w:lvlJc w:val="left"/>
      <w:lvlText w:val="•"/>
      <w:numFmt w:val="bullet"/>
      <w:start w:val="1"/>
    </w:lvl>
  </w:abstractNum>
  <w:abstractNum w:abstractNumId="51">
    <w:nsid w:val="6EC68664"/>
    <w:multiLevelType w:val="hybridMultilevel"/>
    <w:lvl w:ilvl="0">
      <w:lvlJc w:val="left"/>
      <w:lvlText w:val="•"/>
      <w:numFmt w:val="bullet"/>
      <w:start w:val="1"/>
    </w:lvl>
  </w:abstractNum>
  <w:abstractNum w:abstractNumId="52">
    <w:nsid w:val="E0D31FF"/>
    <w:multiLevelType w:val="hybridMultilevel"/>
    <w:lvl w:ilvl="0">
      <w:lvlJc w:val="left"/>
      <w:lvlText w:val="•"/>
      <w:numFmt w:val="bullet"/>
      <w:start w:val="1"/>
    </w:lvl>
  </w:abstractNum>
  <w:abstractNum w:abstractNumId="53">
    <w:nsid w:val="2FD0AD81"/>
    <w:multiLevelType w:val="hybridMultilevel"/>
    <w:lvl w:ilvl="0">
      <w:lvlJc w:val="left"/>
      <w:lvlText w:val="•"/>
      <w:numFmt w:val="bullet"/>
      <w:start w:val="1"/>
    </w:lvl>
  </w:abstractNum>
  <w:abstractNum w:abstractNumId="54">
    <w:nsid w:val="1978EBEB"/>
    <w:multiLevelType w:val="hybridMultilevel"/>
    <w:lvl w:ilvl="0">
      <w:lvlJc w:val="left"/>
      <w:lvlText w:val="•"/>
      <w:numFmt w:val="bullet"/>
      <w:start w:val="1"/>
    </w:lvl>
  </w:abstractNum>
  <w:abstractNum w:abstractNumId="55">
    <w:nsid w:val="52C12C61"/>
    <w:multiLevelType w:val="hybridMultilevel"/>
    <w:lvl w:ilvl="0">
      <w:lvlJc w:val="left"/>
      <w:lvlText w:val="•"/>
      <w:numFmt w:val="bullet"/>
      <w:start w:val="1"/>
    </w:lvl>
  </w:abstractNum>
  <w:abstractNum w:abstractNumId="56">
    <w:nsid w:val="4BDD53FD"/>
    <w:multiLevelType w:val="hybridMultilevel"/>
    <w:lvl w:ilvl="0">
      <w:lvlJc w:val="left"/>
      <w:lvlText w:val="(%1)"/>
      <w:numFmt w:val="lowerRoman"/>
      <w:start w:val="1"/>
    </w:lvl>
  </w:abstractNum>
  <w:abstractNum w:abstractNumId="57">
    <w:nsid w:val="569951FE"/>
    <w:multiLevelType w:val="hybridMultilevel"/>
    <w:lvl w:ilvl="0">
      <w:lvlJc w:val="left"/>
      <w:lvlText w:val="•"/>
      <w:numFmt w:val="bullet"/>
      <w:start w:val="1"/>
    </w:lvl>
  </w:abstractNum>
  <w:abstractNum w:abstractNumId="58">
    <w:nsid w:val="4C54E2C3"/>
    <w:multiLevelType w:val="hybridMultilevel"/>
    <w:lvl w:ilvl="0">
      <w:lvlJc w:val="left"/>
      <w:lvlText w:val="•"/>
      <w:numFmt w:val="bullet"/>
      <w:start w:val="1"/>
    </w:lvl>
  </w:abstractNum>
  <w:abstractNum w:abstractNumId="59">
    <w:nsid w:val="788BD9B"/>
    <w:multiLevelType w:val="hybridMultilevel"/>
    <w:lvl w:ilvl="0">
      <w:lvlJc w:val="left"/>
      <w:lvlText w:val="•"/>
      <w:numFmt w:val="bullet"/>
      <w:start w:val="1"/>
    </w:lvl>
  </w:abstractNum>
  <w:abstractNum w:abstractNumId="60">
    <w:nsid w:val="47CAA567"/>
    <w:multiLevelType w:val="hybridMultilevel"/>
    <w:lvl w:ilvl="0">
      <w:lvlJc w:val="left"/>
      <w:lvlText w:val="(%1)"/>
      <w:numFmt w:val="decimal"/>
      <w:start w:val="1"/>
    </w:lvl>
  </w:abstractNum>
  <w:abstractNum w:abstractNumId="61">
    <w:nsid w:val="48249DBF"/>
    <w:multiLevelType w:val="hybridMultilevel"/>
    <w:lvl w:ilvl="0">
      <w:lvlJc w:val="left"/>
      <w:lvlText w:val="(%1)"/>
      <w:numFmt w:val="decimal"/>
      <w:start w:val="1"/>
    </w:lvl>
  </w:abstractNum>
  <w:abstractNum w:abstractNumId="62">
    <w:nsid w:val="1F0E5D0D"/>
    <w:multiLevelType w:val="hybridMultilevel"/>
    <w:lvl w:ilvl="0">
      <w:lvlJc w:val="left"/>
      <w:lvlText w:val="(%1)"/>
      <w:numFmt w:val="lowerRoman"/>
      <w:start w:val="1"/>
    </w:lvl>
  </w:abstractNum>
  <w:abstractNum w:abstractNumId="63">
    <w:nsid w:val="26BAAE9"/>
    <w:multiLevelType w:val="hybridMultilevel"/>
    <w:lvl w:ilvl="0">
      <w:lvlJc w:val="left"/>
      <w:lvlText w:val="(%1)"/>
      <w:numFmt w:val="lowerRoman"/>
      <w:start w:val="1"/>
    </w:lvl>
  </w:abstractNum>
  <w:abstractNum w:abstractNumId="64">
    <w:nsid w:val="2C02FE8C"/>
    <w:multiLevelType w:val="hybridMultilevel"/>
    <w:lvl w:ilvl="0">
      <w:lvlJc w:val="left"/>
      <w:lvlText w:val="•"/>
      <w:numFmt w:val="bullet"/>
      <w:start w:val="1"/>
    </w:lvl>
  </w:abstractNum>
  <w:abstractNum w:abstractNumId="65">
    <w:nsid w:val="129517E"/>
    <w:multiLevelType w:val="hybridMultilevel"/>
    <w:lvl w:ilvl="0">
      <w:lvlJc w:val="left"/>
      <w:lvlText w:val="•"/>
      <w:numFmt w:val="bullet"/>
      <w:start w:val="1"/>
    </w:lvl>
  </w:abstractNum>
  <w:abstractNum w:abstractNumId="66">
    <w:nsid w:val="763B8C4E"/>
    <w:multiLevelType w:val="hybridMultilevel"/>
    <w:lvl w:ilvl="0">
      <w:lvlJc w:val="left"/>
      <w:lvlText w:val="•"/>
      <w:numFmt w:val="bullet"/>
      <w:start w:val="1"/>
    </w:lvl>
  </w:abstractNum>
  <w:abstractNum w:abstractNumId="67">
    <w:nsid w:val="4CFB8D32"/>
    <w:multiLevelType w:val="hybridMultilevel"/>
    <w:lvl w:ilvl="0">
      <w:lvlJc w:val="left"/>
      <w:lvlText w:val="•"/>
      <w:numFmt w:val="bullet"/>
      <w:start w:val="1"/>
    </w:lvl>
  </w:abstractNum>
  <w:abstractNum w:abstractNumId="68">
    <w:nsid w:val="62A5D5BD"/>
    <w:multiLevelType w:val="hybridMultilevel"/>
    <w:lvl w:ilvl="0">
      <w:lvlJc w:val="left"/>
      <w:lvlText w:val="(%1)"/>
      <w:numFmt w:val="decimal"/>
      <w:start w:val="1"/>
    </w:lvl>
  </w:abstractNum>
  <w:abstractNum w:abstractNumId="69">
    <w:nsid w:val="718FABF9"/>
    <w:multiLevelType w:val="hybridMultilevel"/>
    <w:lvl w:ilvl="0">
      <w:lvlJc w:val="left"/>
      <w:lvlText w:val="•"/>
      <w:numFmt w:val="bullet"/>
      <w:start w:val="1"/>
    </w:lvl>
  </w:abstractNum>
  <w:abstractNum w:abstractNumId="70">
    <w:nsid w:val="7775797C"/>
    <w:multiLevelType w:val="hybridMultilevel"/>
    <w:lvl w:ilvl="0">
      <w:lvlJc w:val="left"/>
      <w:lvlText w:val="•"/>
      <w:numFmt w:val="bullet"/>
      <w:start w:val="1"/>
    </w:lvl>
  </w:abstractNum>
  <w:abstractNum w:abstractNumId="71">
    <w:nsid w:val="1626FB8C"/>
    <w:multiLevelType w:val="hybridMultilevel"/>
    <w:lvl w:ilvl="0">
      <w:lvlJc w:val="left"/>
      <w:lvlText w:val="•"/>
      <w:numFmt w:val="bullet"/>
      <w:start w:val="1"/>
    </w:lvl>
  </w:abstractNum>
  <w:abstractNum w:abstractNumId="72">
    <w:nsid w:val="3957756A"/>
    <w:multiLevelType w:val="hybridMultilevel"/>
    <w:lvl w:ilvl="0">
      <w:lvlJc w:val="left"/>
      <w:lvlText w:val="(%1)"/>
      <w:numFmt w:val="lowerLetter"/>
      <w:start w:val="3"/>
    </w:lvl>
  </w:abstractNum>
  <w:abstractNum w:abstractNumId="73">
    <w:nsid w:val="3E6DA1C7"/>
    <w:multiLevelType w:val="hybridMultilevel"/>
    <w:lvl w:ilvl="0">
      <w:lvlJc w:val="left"/>
      <w:lvlText w:val="(%1)"/>
      <w:numFmt w:val="decimal"/>
      <w:start w:val="1"/>
    </w:lvl>
  </w:abstractNum>
  <w:abstractNum w:abstractNumId="74">
    <w:nsid w:val="65CA235B"/>
    <w:multiLevelType w:val="hybridMultilevel"/>
    <w:lvl w:ilvl="0">
      <w:lvlJc w:val="left"/>
      <w:lvlText w:val="(%1)"/>
      <w:numFmt w:val="decimal"/>
      <w:start w:val="1"/>
    </w:lvl>
  </w:abstractNum>
  <w:abstractNum w:abstractNumId="75">
    <w:nsid w:val="51CB0DA4"/>
    <w:multiLevelType w:val="hybridMultilevel"/>
    <w:lvl w:ilvl="0">
      <w:lvlJc w:val="left"/>
      <w:lvlText w:val="&amp;"/>
      <w:numFmt w:val="bullet"/>
      <w:start w:val="1"/>
    </w:lvl>
  </w:abstractNum>
  <w:abstractNum w:abstractNumId="76">
    <w:nsid w:val="7B9B743C"/>
    <w:multiLevelType w:val="hybridMultilevel"/>
    <w:lvl w:ilvl="0">
      <w:lvlJc w:val="left"/>
      <w:lvlText w:val="•"/>
      <w:numFmt w:val="bullet"/>
      <w:start w:val="1"/>
    </w:lvl>
  </w:abstractNum>
  <w:abstractNum w:abstractNumId="77">
    <w:nsid w:val="13E21002"/>
    <w:multiLevelType w:val="hybridMultilevel"/>
    <w:lvl w:ilvl="0">
      <w:lvlJc w:val="left"/>
      <w:lvlText w:val="(%1)"/>
      <w:numFmt w:val="decimal"/>
      <w:start w:val="2"/>
    </w:lvl>
  </w:abstractNum>
  <w:abstractNum w:abstractNumId="78">
    <w:nsid w:val="257D63F4"/>
    <w:multiLevelType w:val="hybridMultilevel"/>
    <w:lvl w:ilvl="0">
      <w:lvlJc w:val="left"/>
      <w:lvlText w:val="•"/>
      <w:numFmt w:val="bullet"/>
      <w:start w:val="1"/>
    </w:lvl>
  </w:abstractNum>
  <w:abstractNum w:abstractNumId="79">
    <w:nsid w:val="70EC11B2"/>
    <w:multiLevelType w:val="hybridMultilevel"/>
    <w:lvl w:ilvl="0">
      <w:lvlJc w:val="left"/>
      <w:lvlText w:val="•"/>
      <w:numFmt w:val="bullet"/>
      <w:start w:val="1"/>
    </w:lvl>
  </w:abstractNum>
  <w:abstractNum w:abstractNumId="80">
    <w:nsid w:val="2EDA00ED"/>
    <w:multiLevelType w:val="hybridMultilevel"/>
    <w:lvl w:ilvl="0">
      <w:lvlJc w:val="left"/>
      <w:lvlText w:val="%1"/>
      <w:numFmt w:val="decimal"/>
      <w:start w:val="101"/>
    </w:lvl>
  </w:abstractNum>
  <w:abstractNum w:abstractNumId="81">
    <w:nsid w:val="73209072"/>
    <w:multiLevelType w:val="hybridMultilevel"/>
    <w:lvl w:ilvl="0">
      <w:lvlJc w:val="left"/>
      <w:lvlText w:val="*"/>
      <w:numFmt w:val="bullet"/>
      <w:start w:val="1"/>
    </w:lvl>
  </w:abstractNum>
  <w:abstractNum w:abstractNumId="82">
    <w:nsid w:val="5FB29816"/>
    <w:multiLevelType w:val="hybridMultilevel"/>
    <w:lvl w:ilvl="0">
      <w:lvlJc w:val="left"/>
      <w:lvlText w:val="%1."/>
      <w:numFmt w:val="decimal"/>
      <w:start w:val="2"/>
    </w:lvl>
  </w:abstractNum>
  <w:abstractNum w:abstractNumId="83">
    <w:nsid w:val="3CE732EC"/>
    <w:multiLevelType w:val="hybridMultilevel"/>
    <w:lvl w:ilvl="0">
      <w:lvlJc w:val="left"/>
      <w:lvlText w:val="(%1)"/>
      <w:numFmt w:val="lowerRoman"/>
      <w:start w:val="2"/>
    </w:lvl>
  </w:abstractNum>
  <w:abstractNum w:abstractNumId="84">
    <w:nsid w:val="22F13DF3"/>
    <w:multiLevelType w:val="hybridMultilevel"/>
    <w:lvl w:ilvl="0">
      <w:lvlJc w:val="left"/>
      <w:lvlText w:val="•"/>
      <w:numFmt w:val="bullet"/>
      <w:start w:val="1"/>
    </w:lvl>
  </w:abstractNum>
  <w:abstractNum w:abstractNumId="85">
    <w:nsid w:val="792B8401"/>
    <w:multiLevelType w:val="hybridMultilevel"/>
    <w:lvl w:ilvl="0">
      <w:lvlJc w:val="left"/>
      <w:lvlText w:val="•"/>
      <w:numFmt w:val="bullet"/>
      <w:start w:val="1"/>
    </w:lvl>
  </w:abstractNum>
  <w:abstractNum w:abstractNumId="86">
    <w:nsid w:val="FA85F4D"/>
    <w:multiLevelType w:val="hybridMultilevel"/>
    <w:lvl w:ilvl="0">
      <w:lvlJc w:val="left"/>
      <w:lvlText w:val="•"/>
      <w:numFmt w:val="bullet"/>
      <w:start w:val="1"/>
    </w:lvl>
  </w:abstractNum>
  <w:abstractNum w:abstractNumId="87">
    <w:nsid w:val="6ECE91F0"/>
    <w:multiLevelType w:val="hybridMultilevel"/>
    <w:lvl w:ilvl="0">
      <w:lvlJc w:val="left"/>
      <w:lvlText w:val="%1)"/>
      <w:numFmt w:val="lowerLetter"/>
      <w:start w:val="1"/>
    </w:lvl>
    <w:lvl w:ilvl="1">
      <w:lvlJc w:val="left"/>
      <w:lvlText w:val="•"/>
      <w:numFmt w:val="bullet"/>
      <w:start w:val="1"/>
    </w:lvl>
  </w:abstractNum>
  <w:abstractNum w:abstractNumId="88">
    <w:nsid w:val="4FC4D600"/>
    <w:multiLevelType w:val="hybridMultilevel"/>
    <w:lvl w:ilvl="0">
      <w:lvlJc w:val="left"/>
      <w:lvlText w:val="•"/>
      <w:numFmt w:val="bullet"/>
      <w:start w:val="1"/>
    </w:lvl>
  </w:abstractNum>
  <w:abstractNum w:abstractNumId="89">
    <w:nsid w:val="5BFD4210"/>
    <w:multiLevelType w:val="hybridMultilevel"/>
    <w:lvl w:ilvl="0">
      <w:lvlJc w:val="left"/>
      <w:lvlText w:val="•"/>
      <w:numFmt w:val="bullet"/>
      <w:start w:val="1"/>
    </w:lvl>
  </w:abstractNum>
  <w:abstractNum w:abstractNumId="90">
    <w:nsid w:val="76574F8B"/>
    <w:multiLevelType w:val="hybridMultilevel"/>
    <w:lvl w:ilvl="0">
      <w:lvlJc w:val="left"/>
      <w:lvlText w:val="•"/>
      <w:numFmt w:val="bullet"/>
      <w:start w:val="1"/>
    </w:lvl>
  </w:abstractNum>
  <w:abstractNum w:abstractNumId="91">
    <w:nsid w:val="178F7B67"/>
    <w:multiLevelType w:val="hybridMultilevel"/>
    <w:lvl w:ilvl="0">
      <w:lvlJc w:val="left"/>
      <w:lvlText w:val="•"/>
      <w:numFmt w:val="bullet"/>
      <w:start w:val="1"/>
    </w:lvl>
  </w:abstractNum>
  <w:abstractNum w:abstractNumId="92">
    <w:nsid w:val="2421DFCF"/>
    <w:multiLevelType w:val="hybridMultilevel"/>
    <w:lvl w:ilvl="0">
      <w:lvlJc w:val="left"/>
      <w:lvlText w:val="•"/>
      <w:numFmt w:val="bullet"/>
      <w:start w:val="1"/>
    </w:lvl>
  </w:abstractNum>
  <w:abstractNum w:abstractNumId="93">
    <w:nsid w:val="1565AC99"/>
    <w:multiLevelType w:val="hybridMultilevel"/>
    <w:lvl w:ilvl="0">
      <w:lvlJc w:val="left"/>
      <w:lvlText w:val="•"/>
      <w:numFmt w:val="bullet"/>
      <w:start w:val="1"/>
    </w:lvl>
  </w:abstractNum>
  <w:abstractNum w:abstractNumId="94">
    <w:nsid w:val="19FB2650"/>
    <w:multiLevelType w:val="hybridMultilevel"/>
    <w:lvl w:ilvl="0">
      <w:lvlJc w:val="left"/>
      <w:lvlText w:val="•"/>
      <w:numFmt w:val="bullet"/>
      <w:start w:val="1"/>
    </w:lvl>
  </w:abstractNum>
  <w:abstractNum w:abstractNumId="95">
    <w:nsid w:val="5024DE5B"/>
    <w:multiLevelType w:val="hybridMultilevel"/>
    <w:lvl w:ilvl="0">
      <w:lvlJc w:val="left"/>
      <w:lvlText w:val="•"/>
      <w:numFmt w:val="bullet"/>
      <w:start w:val="1"/>
    </w:lvl>
  </w:abstractNum>
  <w:abstractNum w:abstractNumId="96">
    <w:nsid w:val="168EFE17"/>
    <w:multiLevelType w:val="hybridMultilevel"/>
    <w:lvl w:ilvl="0">
      <w:lvlJc w:val="left"/>
      <w:lvlText w:val="%1."/>
      <w:numFmt w:val="decimal"/>
      <w:start w:val="24"/>
    </w:lvl>
  </w:abstractNum>
  <w:abstractNum w:abstractNumId="97">
    <w:nsid w:val="1036B29F"/>
    <w:multiLevelType w:val="hybridMultilevel"/>
    <w:lvl w:ilvl="0">
      <w:lvlJc w:val="left"/>
      <w:lvlText w:val="•"/>
      <w:numFmt w:val="bullet"/>
      <w:start w:val="1"/>
    </w:lvl>
  </w:abstractNum>
  <w:abstractNum w:abstractNumId="98">
    <w:nsid w:val="1D206B8E"/>
    <w:multiLevelType w:val="hybridMultilevel"/>
    <w:lvl w:ilvl="0">
      <w:lvlJc w:val="left"/>
      <w:lvlText w:val="•"/>
      <w:numFmt w:val="bullet"/>
      <w:start w:val="1"/>
    </w:lvl>
  </w:abstractNum>
  <w:abstractNum w:abstractNumId="99">
    <w:nsid w:val="7934D3D4"/>
    <w:multiLevelType w:val="hybridMultilevel"/>
    <w:lvl w:ilvl="0">
      <w:lvlJc w:val="left"/>
      <w:lvlText w:val="%1."/>
      <w:numFmt w:val="decimal"/>
      <w:start w:val="1"/>
    </w:lvl>
  </w:abstractNum>
  <w:abstractNum w:abstractNumId="100">
    <w:nsid w:val="1C65E98"/>
    <w:multiLevelType w:val="hybridMultilevel"/>
    <w:lvl w:ilvl="0">
      <w:lvlJc w:val="left"/>
      <w:lvlText w:val="%1."/>
      <w:numFmt w:val="decimal"/>
      <w:start w:val="2"/>
    </w:lvl>
  </w:abstractNum>
  <w:abstractNum w:abstractNumId="101">
    <w:nsid w:val="1495E50A"/>
    <w:multiLevelType w:val="hybridMultilevel"/>
    <w:lvl w:ilvl="0">
      <w:lvlJc w:val="left"/>
      <w:lvlText w:val="(%1)"/>
      <w:numFmt w:val="lowerLetter"/>
      <w:start w:val="1"/>
    </w:lvl>
  </w:abstractNum>
  <w:abstractNum w:abstractNumId="102">
    <w:nsid w:val="F5BCF61"/>
    <w:multiLevelType w:val="hybridMultilevel"/>
    <w:lvl w:ilvl="0">
      <w:lvlJc w:val="left"/>
      <w:lvlText w:val="(%1)"/>
      <w:numFmt w:val="lowerLetter"/>
      <w:start w:val="3"/>
    </w:lvl>
  </w:abstractNum>
  <w:abstractNum w:abstractNumId="103">
    <w:nsid w:val="3B1DD403"/>
    <w:multiLevelType w:val="hybridMultilevel"/>
    <w:lvl w:ilvl="0">
      <w:lvlJc w:val="left"/>
      <w:lvlText w:val="(%1)"/>
      <w:numFmt w:val="lowerLetter"/>
      <w:start w:val="1"/>
    </w:lvl>
  </w:abstractNum>
  <w:abstractNum w:abstractNumId="104">
    <w:nsid w:val="530386D1"/>
    <w:multiLevelType w:val="hybridMultilevel"/>
    <w:lvl w:ilvl="0">
      <w:lvlJc w:val="left"/>
      <w:lvlText w:val="["/>
      <w:numFmt w:val="bullet"/>
      <w:start w:val="1"/>
    </w:lvl>
    <w:lvl w:ilvl="1">
      <w:lvlJc w:val="left"/>
      <w:lvlText w:val="(%2)"/>
      <w:numFmt w:val="lowerLetter"/>
      <w:start w:val="1"/>
    </w:lvl>
  </w:abstractNum>
  <w:abstractNum w:abstractNumId="105">
    <w:nsid w:val="7525F2BC"/>
    <w:multiLevelType w:val="hybridMultilevel"/>
    <w:lvl w:ilvl="0">
      <w:lvlJc w:val="left"/>
      <w:lvlText w:val="(%1)"/>
      <w:numFmt w:val="lowerLetter"/>
      <w:start w:val="2"/>
    </w:lvl>
  </w:abstractNum>
  <w:abstractNum w:abstractNumId="106">
    <w:nsid w:val="CE8E1A7"/>
    <w:multiLevelType w:val="hybridMultilevel"/>
    <w:lvl w:ilvl="0">
      <w:lvlJc w:val="left"/>
      <w:lvlText w:val="(%1)"/>
      <w:numFmt w:val="lowerLetter"/>
      <w:start w:val="4"/>
    </w:lvl>
  </w:abstractNum>
  <w:abstractNum w:abstractNumId="107">
    <w:nsid w:val="4E9EFB0D"/>
    <w:multiLevelType w:val="hybridMultilevel"/>
    <w:lvl w:ilvl="0">
      <w:lvlJc w:val="left"/>
      <w:lvlText w:val="(%1)"/>
      <w:numFmt w:val="lowerLetter"/>
      <w:start w:val="1"/>
    </w:lvl>
  </w:abstractNum>
  <w:abstractNum w:abstractNumId="108">
    <w:nsid w:val="90802BE"/>
    <w:multiLevelType w:val="hybridMultilevel"/>
    <w:lvl w:ilvl="0">
      <w:lvlJc w:val="left"/>
      <w:lvlText w:val="(%1)"/>
      <w:numFmt w:val="lowerLetter"/>
      <w:start w:val="2"/>
    </w:lvl>
  </w:abstractNum>
  <w:abstractNum w:abstractNumId="109">
    <w:nsid w:val="3266459B"/>
    <w:multiLevelType w:val="hybridMultilevel"/>
    <w:lvl w:ilvl="0">
      <w:lvlJc w:val="left"/>
      <w:lvlText w:val="%1."/>
      <w:numFmt w:val="decimal"/>
      <w:start w:val="3"/>
    </w:lvl>
  </w:abstractNum>
  <w:abstractNum w:abstractNumId="110">
    <w:nsid w:val="3F8B0CBF"/>
    <w:multiLevelType w:val="hybridMultilevel"/>
    <w:lvl w:ilvl="0">
      <w:lvlJc w:val="left"/>
      <w:lvlText w:val="%1."/>
      <w:numFmt w:val="decimal"/>
      <w:start w:val="4"/>
    </w:lvl>
  </w:abstractNum>
  <w:abstractNum w:abstractNumId="111">
    <w:nsid w:val="37E203AB"/>
    <w:multiLevelType w:val="hybridMultilevel"/>
    <w:lvl w:ilvl="0">
      <w:lvlJc w:val="left"/>
      <w:lvlText w:val="%1."/>
      <w:numFmt w:val="decimal"/>
      <w:start w:val="5"/>
    </w:lvl>
  </w:abstractNum>
  <w:abstractNum w:abstractNumId="112">
    <w:nsid w:val="2586D60E"/>
    <w:multiLevelType w:val="hybridMultilevel"/>
    <w:lvl w:ilvl="0">
      <w:lvlJc w:val="left"/>
      <w:lvlText w:val="(%1)"/>
      <w:numFmt w:val="lowerLetter"/>
      <w:start w:val="1"/>
    </w:lvl>
  </w:abstractNum>
  <w:abstractNum w:abstractNumId="113">
    <w:nsid w:val="1F3DA4D5"/>
    <w:multiLevelType w:val="hybridMultilevel"/>
    <w:lvl w:ilvl="0">
      <w:lvlJc w:val="left"/>
      <w:lvlText w:val="%1."/>
      <w:numFmt w:val="decimal"/>
      <w:start w:val="6"/>
    </w:lvl>
  </w:abstractNum>
  <w:abstractNum w:abstractNumId="114">
    <w:nsid w:val="74C93698"/>
    <w:multiLevelType w:val="hybridMultilevel"/>
    <w:lvl w:ilvl="0">
      <w:lvlJc w:val="left"/>
      <w:lvlText w:val="%1."/>
      <w:numFmt w:val="decimal"/>
      <w:start w:val="7"/>
    </w:lvl>
  </w:abstractNum>
  <w:abstractNum w:abstractNumId="115">
    <w:nsid w:val="48781401"/>
    <w:multiLevelType w:val="hybridMultilevel"/>
    <w:lvl w:ilvl="0">
      <w:lvlJc w:val="left"/>
      <w:lvlText w:val="%1."/>
      <w:numFmt w:val="decimal"/>
      <w:start w:val="8"/>
    </w:lvl>
  </w:abstractNum>
  <w:abstractNum w:abstractNumId="116">
    <w:nsid w:val="186928D6"/>
    <w:multiLevelType w:val="hybridMultilevel"/>
    <w:lvl w:ilvl="0">
      <w:lvlJc w:val="left"/>
      <w:lvlText w:val="%1."/>
      <w:numFmt w:val="decimal"/>
      <w:start w:val="9"/>
    </w:lvl>
  </w:abstractNum>
  <w:abstractNum w:abstractNumId="117">
    <w:nsid w:val="47195E5"/>
    <w:multiLevelType w:val="hybridMultilevel"/>
    <w:lvl w:ilvl="0">
      <w:lvlJc w:val="left"/>
      <w:lvlText w:val="%1."/>
      <w:numFmt w:val="decimal"/>
      <w:start w:val="10"/>
    </w:lvl>
  </w:abstractNum>
  <w:abstractNum w:abstractNumId="118">
    <w:nsid w:val="3746A5F2"/>
    <w:multiLevelType w:val="hybridMultilevel"/>
    <w:lvl w:ilvl="0">
      <w:lvlJc w:val="left"/>
      <w:lvlText w:val="%1."/>
      <w:numFmt w:val="decimal"/>
      <w:start w:val="11"/>
    </w:lvl>
  </w:abstractNum>
  <w:abstractNum w:abstractNumId="119">
    <w:nsid w:val="682DFED6"/>
    <w:multiLevelType w:val="hybridMultilevel"/>
    <w:lvl w:ilvl="0">
      <w:lvlJc w:val="left"/>
      <w:lvlText w:val="%1."/>
      <w:numFmt w:val="decimal"/>
      <w:start w:val="12"/>
    </w:lvl>
  </w:abstractNum>
  <w:abstractNum w:abstractNumId="120">
    <w:nsid w:val="606ED7F6"/>
    <w:multiLevelType w:val="hybridMultilevel"/>
    <w:lvl w:ilvl="0">
      <w:lvlJc w:val="left"/>
      <w:lvlText w:val="%1."/>
      <w:numFmt w:val="decimal"/>
      <w:start w:val="13"/>
    </w:lvl>
  </w:abstractNum>
  <w:abstractNum w:abstractNumId="121">
    <w:nsid w:val="2D9DF57D"/>
    <w:multiLevelType w:val="hybridMultilevel"/>
    <w:lvl w:ilvl="0">
      <w:lvlJc w:val="left"/>
      <w:lvlText w:val="%1."/>
      <w:numFmt w:val="decimal"/>
      <w:start w:val="14"/>
    </w:lvl>
  </w:abstractNum>
  <w:abstractNum w:abstractNumId="122">
    <w:nsid w:val="7FBD7A3E"/>
    <w:multiLevelType w:val="hybridMultilevel"/>
    <w:lvl w:ilvl="0">
      <w:lvlJc w:val="left"/>
      <w:lvlText w:val="%1."/>
      <w:numFmt w:val="decimal"/>
      <w:start w:val="15"/>
    </w:lvl>
  </w:abstractNum>
  <w:abstractNum w:abstractNumId="123">
    <w:nsid w:val="490B7C5"/>
    <w:multiLevelType w:val="hybridMultilevel"/>
    <w:lvl w:ilvl="0">
      <w:lvlJc w:val="left"/>
      <w:lvlText w:val="%1."/>
      <w:numFmt w:val="decimal"/>
      <w:start w:val="16"/>
    </w:lvl>
  </w:abstractNum>
  <w:abstractNum w:abstractNumId="124">
    <w:nsid w:val="4303A216"/>
    <w:multiLevelType w:val="hybridMultilevel"/>
    <w:lvl w:ilvl="0">
      <w:lvlJc w:val="left"/>
      <w:lvlText w:val="%1."/>
      <w:numFmt w:val="decimal"/>
      <w:start w:val="17"/>
    </w:lvl>
  </w:abstractNum>
  <w:abstractNum w:abstractNumId="125">
    <w:nsid w:val="19B8A08E"/>
    <w:multiLevelType w:val="hybridMultilevel"/>
    <w:lvl w:ilvl="0">
      <w:lvlJc w:val="left"/>
      <w:lvlText w:val="%1."/>
      <w:numFmt w:val="decimal"/>
      <w:start w:val="18"/>
    </w:lvl>
  </w:abstractNum>
  <w:abstractNum w:abstractNumId="126">
    <w:nsid w:val="54B59621"/>
    <w:multiLevelType w:val="hybridMultilevel"/>
    <w:lvl w:ilvl="0">
      <w:lvlJc w:val="left"/>
      <w:lvlText w:val="%1."/>
      <w:numFmt w:val="decimal"/>
      <w:start w:val="19"/>
    </w:lvl>
  </w:abstractNum>
  <w:abstractNum w:abstractNumId="127">
    <w:nsid w:val="5992A02E"/>
    <w:multiLevelType w:val="hybridMultilevel"/>
    <w:lvl w:ilvl="0">
      <w:lvlJc w:val="left"/>
      <w:lvlText w:val="%1."/>
      <w:numFmt w:val="decimal"/>
      <w:start w:val="1"/>
    </w:lvl>
    <w:lvl w:ilvl="1">
      <w:lvlJc w:val="left"/>
      <w:lvlText w:val="(%2)"/>
      <w:numFmt w:val="lowerLetter"/>
      <w:start w:val="1"/>
    </w:lvl>
  </w:abstractNum>
  <w:abstractNum w:abstractNumId="128">
    <w:nsid w:val="29EF532D"/>
    <w:multiLevelType w:val="hybridMultilevel"/>
    <w:lvl w:ilvl="0">
      <w:lvlJc w:val="left"/>
      <w:lvlText w:val="%1"/>
      <w:numFmt w:val="decimal"/>
      <w:start w:val="1"/>
    </w:lvl>
    <w:lvl w:ilvl="1">
      <w:lvlJc w:val="left"/>
      <w:lvlText w:val="(%2)"/>
      <w:numFmt w:val="lowerLetter"/>
      <w:start w:val="4"/>
    </w:lvl>
  </w:abstractNum>
  <w:abstractNum w:abstractNumId="129">
    <w:nsid w:val="71D601AF"/>
    <w:multiLevelType w:val="hybridMultilevel"/>
    <w:lvl w:ilvl="0">
      <w:lvlJc w:val="left"/>
      <w:lvlText w:val="%1."/>
      <w:numFmt w:val="decimal"/>
      <w:start w:val="4"/>
    </w:lvl>
    <w:lvl w:ilvl="1">
      <w:lvlJc w:val="left"/>
      <w:lvlText w:val="(%2)"/>
      <w:numFmt w:val="lowerLetter"/>
      <w:start w:val="1"/>
    </w:lvl>
  </w:abstractNum>
  <w:abstractNum w:abstractNumId="130">
    <w:nsid w:val="52C7740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1">
    <w:nsid w:val="2BB5B1C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2">
    <w:nsid w:val="66BE6B9"/>
    <w:multiLevelType w:val="hybridMultilevel"/>
    <w:lvl w:ilvl="0">
      <w:lvlJc w:val="left"/>
      <w:lvlText w:val="(%1)"/>
      <w:numFmt w:val="lowerLetter"/>
      <w:start w:val="2"/>
    </w:lvl>
  </w:abstractNum>
  <w:abstractNum w:abstractNumId="133">
    <w:nsid w:val="6223436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34">
    <w:nsid w:val="66D385C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5">
    <w:nsid w:val="596F6D8A"/>
    <w:multiLevelType w:val="hybridMultilevel"/>
    <w:lvl w:ilvl="0">
      <w:lvlJc w:val="left"/>
      <w:lvlText w:val="(%1)"/>
      <w:numFmt w:val="lowerLetter"/>
      <w:start w:val="2"/>
    </w:lvl>
  </w:abstractNum>
  <w:abstractNum w:abstractNumId="136">
    <w:nsid w:val="5749361F"/>
    <w:multiLevelType w:val="hybridMultilevel"/>
    <w:lvl w:ilvl="0">
      <w:lvlJc w:val="left"/>
      <w:lvlText w:val="%1."/>
      <w:numFmt w:val="decimal"/>
      <w:start w:val="7"/>
    </w:lvl>
  </w:abstractNum>
  <w:abstractNum w:abstractNumId="137">
    <w:nsid w:val="73BC6770"/>
    <w:multiLevelType w:val="hybridMultilevel"/>
    <w:lvl w:ilvl="0">
      <w:lvlJc w:val="left"/>
      <w:lvlText w:val="(%1)"/>
      <w:numFmt w:val="lowerLetter"/>
      <w:start w:val="1"/>
    </w:lvl>
  </w:abstractNum>
  <w:abstractNum w:abstractNumId="138">
    <w:nsid w:val="280E6897"/>
    <w:multiLevelType w:val="hybridMultilevel"/>
    <w:lvl w:ilvl="0">
      <w:lvlJc w:val="left"/>
      <w:lvlText w:val="(%1)"/>
      <w:numFmt w:val="lowerRoman"/>
      <w:start w:val="1"/>
    </w:lvl>
  </w:abstractNum>
  <w:abstractNum w:abstractNumId="139">
    <w:nsid w:val="605138DE"/>
    <w:multiLevelType w:val="hybridMultilevel"/>
    <w:lvl w:ilvl="0">
      <w:lvlJc w:val="left"/>
      <w:lvlText w:val="(%1)"/>
      <w:numFmt w:val="lowerRoman"/>
      <w:start w:val="4"/>
    </w:lvl>
  </w:abstractNum>
  <w:abstractNum w:abstractNumId="140">
    <w:nsid w:val="2622AD0C"/>
    <w:multiLevelType w:val="hybridMultilevel"/>
    <w:lvl w:ilvl="0">
      <w:lvlJc w:val="left"/>
      <w:lvlText w:val="(%1)"/>
      <w:numFmt w:val="lowerLetter"/>
      <w:start w:val="3"/>
    </w:lvl>
  </w:abstractNum>
  <w:abstractNum w:abstractNumId="141">
    <w:nsid w:val="67997556"/>
    <w:multiLevelType w:val="hybridMultilevel"/>
    <w:lvl w:ilvl="0">
      <w:lvlJc w:val="left"/>
      <w:lvlText w:val="(%1)"/>
      <w:numFmt w:val="lowerRoman"/>
      <w:start w:val="1"/>
    </w:lvl>
  </w:abstractNum>
  <w:abstractNum w:abstractNumId="142">
    <w:nsid w:val="18333C89"/>
    <w:multiLevelType w:val="hybridMultilevel"/>
    <w:lvl w:ilvl="0">
      <w:lvlJc w:val="left"/>
      <w:lvlText w:val="(%1)"/>
      <w:numFmt w:val="lowerLetter"/>
      <w:start w:val="5"/>
    </w:lvl>
  </w:abstractNum>
  <w:abstractNum w:abstractNumId="143">
    <w:nsid w:val="4BA9831A"/>
    <w:multiLevelType w:val="hybridMultilevel"/>
    <w:lvl w:ilvl="0">
      <w:lvlJc w:val="left"/>
      <w:lvlText w:val="%1."/>
      <w:numFmt w:val="decimal"/>
      <w:start w:val="8"/>
    </w:lvl>
  </w:abstractNum>
  <w:abstractNum w:abstractNumId="144">
    <w:nsid w:val="6D71A2B"/>
    <w:multiLevelType w:val="hybridMultilevel"/>
    <w:lvl w:ilvl="0">
      <w:lvlJc w:val="left"/>
      <w:lvlText w:val="(%1)"/>
      <w:numFmt w:val="lowerLetter"/>
      <w:start w:val="1"/>
    </w:lvl>
  </w:abstractNum>
  <w:abstractNum w:abstractNumId="145">
    <w:nsid w:val="CFC7321"/>
    <w:multiLevelType w:val="hybridMultilevel"/>
    <w:lvl w:ilvl="0">
      <w:lvlJc w:val="left"/>
      <w:lvlText w:val="(%1)"/>
      <w:numFmt w:val="lowerLetter"/>
      <w:start w:val="5"/>
    </w:lvl>
    <w:lvl w:ilvl="1">
      <w:lvlJc w:val="left"/>
      <w:lvlText w:val="(%2)"/>
      <w:numFmt w:val="lowerLetter"/>
      <w:start w:val="9"/>
    </w:lvl>
  </w:abstractNum>
  <w:abstractNum w:abstractNumId="146">
    <w:nsid w:val="1421971B"/>
    <w:multiLevelType w:val="hybridMultilevel"/>
    <w:lvl w:ilvl="0">
      <w:lvlJc w:val="left"/>
      <w:lvlText w:val="%1"/>
      <w:numFmt w:val="lowerLetter"/>
      <w:start w:val="1"/>
    </w:lvl>
    <w:lvl w:ilvl="1">
      <w:lvlJc w:val="left"/>
      <w:lvlText w:val="(%2)"/>
      <w:numFmt w:val="lowerLetter"/>
      <w:start w:val="35"/>
    </w:lvl>
  </w:abstractNum>
  <w:abstractNum w:abstractNumId="147">
    <w:nsid w:val="1F404301"/>
    <w:multiLevelType w:val="hybridMultilevel"/>
    <w:lvl w:ilvl="0">
      <w:lvlJc w:val="left"/>
      <w:lvlText w:val="(%1)"/>
      <w:numFmt w:val="lowerLetter"/>
      <w:start w:val="8"/>
    </w:lvl>
    <w:lvl w:ilvl="1">
      <w:lvlJc w:val="left"/>
      <w:lvlText w:val="%2"/>
      <w:numFmt w:val="lowerLetter"/>
      <w:start w:val="1"/>
    </w:lvl>
  </w:abstractNum>
  <w:abstractNum w:abstractNumId="148">
    <w:nsid w:val="116E0907"/>
    <w:multiLevelType w:val="hybridMultilevel"/>
    <w:lvl w:ilvl="0">
      <w:lvlJc w:val="left"/>
      <w:lvlText w:val="%1"/>
      <w:numFmt w:val="decimal"/>
      <w:start w:val="1"/>
    </w:lvl>
    <w:lvl w:ilvl="1">
      <w:lvlJc w:val="left"/>
      <w:lvlText w:val="(%2)"/>
      <w:numFmt w:val="lowerLetter"/>
      <w:start w:val="11"/>
    </w:lvl>
  </w:abstractNum>
  <w:abstractNum w:abstractNumId="149">
    <w:nsid w:val="4B683D0D"/>
    <w:multiLevelType w:val="hybridMultilevel"/>
    <w:lvl w:ilvl="0">
      <w:lvlJc w:val="left"/>
      <w:lvlText w:val="%1."/>
      <w:numFmt w:val="decimal"/>
      <w:start w:val="9"/>
    </w:lvl>
    <w:lvl w:ilvl="1">
      <w:lvlJc w:val="left"/>
      <w:lvlText w:val="(%2)"/>
      <w:numFmt w:val="lowerLetter"/>
      <w:start w:val="1"/>
    </w:lvl>
  </w:abstractNum>
  <w:abstractNum w:abstractNumId="150">
    <w:nsid w:val="76E41D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1">
    <w:nsid w:val="71DCE0FD"/>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52">
    <w:nsid w:val="7906328B"/>
    <w:multiLevelType w:val="hybridMultilevel"/>
    <w:lvl w:ilvl="0">
      <w:lvlJc w:val="left"/>
      <w:lvlText w:val="(%1)"/>
      <w:numFmt w:val="decimal"/>
      <w:start w:val="30"/>
    </w:lvl>
    <w:lvl w:ilvl="1">
      <w:lvlJc w:val="left"/>
      <w:lvlText w:val="(%2)"/>
      <w:numFmt w:val="lowerLetter"/>
      <w:start w:val="5"/>
    </w:lvl>
    <w:lvl w:ilvl="2">
      <w:lvlJc w:val="left"/>
      <w:lvlText w:val="(%3)"/>
      <w:numFmt w:val="lowerRoman"/>
      <w:start w:val="1"/>
    </w:lvl>
  </w:abstractNum>
  <w:abstractNum w:abstractNumId="153">
    <w:nsid w:val="72BBC16"/>
    <w:multiLevelType w:val="hybridMultilevel"/>
    <w:lvl w:ilvl="0">
      <w:lvlJc w:val="left"/>
      <w:lvlText w:val="(%1)"/>
      <w:numFmt w:val="lowerRoman"/>
      <w:start w:val="2"/>
    </w:lvl>
  </w:abstractNum>
  <w:abstractNum w:abstractNumId="154">
    <w:nsid w:val="766D98C2"/>
    <w:multiLevelType w:val="hybridMultilevel"/>
    <w:lvl w:ilvl="0">
      <w:lvlJc w:val="left"/>
      <w:lvlText w:val="%1"/>
      <w:numFmt w:val="decimal"/>
      <w:start w:val="1"/>
    </w:lvl>
    <w:lvl w:ilvl="1">
      <w:lvlJc w:val="left"/>
      <w:lvlText w:val="(%2)"/>
      <w:numFmt w:val="lowerLetter"/>
      <w:start w:val="11"/>
    </w:lvl>
  </w:abstractNum>
  <w:abstractNum w:abstractNumId="155">
    <w:nsid w:val="3C09D4A1"/>
    <w:multiLevelType w:val="hybridMultilevel"/>
    <w:lvl w:ilvl="0">
      <w:lvlJc w:val="left"/>
      <w:lvlText w:val="%1."/>
      <w:numFmt w:val="decimal"/>
      <w:start w:val="10"/>
    </w:lvl>
    <w:lvl w:ilvl="1">
      <w:lvlJc w:val="left"/>
      <w:lvlText w:val="%2"/>
      <w:numFmt w:val="lowerLetter"/>
      <w:start w:val="1"/>
    </w:lvl>
  </w:abstractNum>
  <w:abstractNum w:abstractNumId="156">
    <w:nsid w:val="20E45CA4"/>
    <w:multiLevelType w:val="hybridMultilevel"/>
    <w:lvl w:ilvl="0">
      <w:lvlJc w:val="left"/>
      <w:lvlText w:val="%1."/>
      <w:numFmt w:val="decimal"/>
      <w:start w:val="13"/>
    </w:lvl>
  </w:abstractNum>
  <w:abstractNum w:abstractNumId="157">
    <w:nsid w:val="4B232EE3"/>
    <w:multiLevelType w:val="hybridMultilevel"/>
    <w:lvl w:ilvl="0">
      <w:lvlJc w:val="left"/>
      <w:lvlText w:val="%1."/>
      <w:numFmt w:val="decimal"/>
      <w:start w:val="16"/>
    </w:lvl>
    <w:lvl w:ilvl="1">
      <w:lvlJc w:val="left"/>
      <w:lvlText w:val="(%2)"/>
      <w:numFmt w:val="lowerLetter"/>
      <w:start w:val="1"/>
    </w:lvl>
  </w:abstractNum>
  <w:abstractNum w:abstractNumId="158">
    <w:nsid w:val="159C74CF"/>
    <w:multiLevelType w:val="hybridMultilevel"/>
    <w:lvl w:ilvl="0">
      <w:lvlJc w:val="left"/>
      <w:lvlText w:val="%1."/>
      <w:numFmt w:val="decimal"/>
      <w:start w:val="20"/>
    </w:lvl>
  </w:abstractNum>
  <w:abstractNum w:abstractNumId="159">
    <w:nsid w:val="4AD3AFD2"/>
    <w:multiLevelType w:val="hybridMultilevel"/>
    <w:lvl w:ilvl="0">
      <w:lvlJc w:val="left"/>
      <w:lvlText w:val="(%1)"/>
      <w:numFmt w:val="lowerLetter"/>
      <w:start w:val="1"/>
    </w:lvl>
  </w:abstractNum>
  <w:abstractNum w:abstractNumId="160">
    <w:nsid w:val="3CF93092"/>
    <w:multiLevelType w:val="hybridMultilevel"/>
    <w:lvl w:ilvl="0">
      <w:lvlJc w:val="left"/>
      <w:lvlText w:val="(%1)"/>
      <w:numFmt w:val="lowerLetter"/>
      <w:start w:val="4"/>
    </w:lvl>
  </w:abstractNum>
  <w:abstractNum w:abstractNumId="161">
    <w:nsid w:val="6863E8D2"/>
    <w:multiLevelType w:val="hybridMultilevel"/>
    <w:lvl w:ilvl="0">
      <w:lvlJc w:val="left"/>
      <w:lvlText w:val="•"/>
      <w:numFmt w:val="bullet"/>
      <w:start w:val="1"/>
    </w:lvl>
  </w:abstractNum>
  <w:abstractNum w:abstractNumId="162">
    <w:nsid w:val="76896198"/>
    <w:multiLevelType w:val="hybridMultilevel"/>
    <w:lvl w:ilvl="0">
      <w:lvlJc w:val="left"/>
      <w:lvlText w:val="(%1)"/>
      <w:numFmt w:val="decimal"/>
      <w:start w:val="1"/>
    </w:lvl>
  </w:abstractNum>
  <w:abstractNum w:abstractNumId="163">
    <w:nsid w:val="4365174B"/>
    <w:multiLevelType w:val="hybridMultilevel"/>
    <w:lvl w:ilvl="0">
      <w:lvlJc w:val="left"/>
      <w:lvlText w:val="%1."/>
      <w:numFmt w:val="decimal"/>
      <w:start w:val="1"/>
    </w:lvl>
  </w:abstractNum>
  <w:abstractNum w:abstractNumId="164">
    <w:nsid w:val="4A872C35"/>
    <w:multiLevelType w:val="hybridMultilevel"/>
    <w:lvl w:ilvl="0">
      <w:lvlJc w:val="left"/>
      <w:lvlText w:val="(%1)"/>
      <w:numFmt w:val="lowerLetter"/>
      <w:start w:val="1"/>
    </w:lvl>
    <w:lvl w:ilvl="1">
      <w:lvlJc w:val="left"/>
      <w:lvlText w:val="-"/>
      <w:numFmt w:val="bullet"/>
      <w:start w:val="1"/>
    </w:lvl>
  </w:abstractNum>
  <w:abstractNum w:abstractNumId="165">
    <w:nsid w:val="5D5CE761"/>
    <w:multiLevelType w:val="hybridMultilevel"/>
    <w:lvl w:ilvl="0">
      <w:lvlJc w:val="left"/>
      <w:lvlText w:val="(%1)"/>
      <w:numFmt w:val="lowerLetter"/>
      <w:start w:val="4"/>
    </w:lvl>
  </w:abstractNum>
  <w:abstractNum w:abstractNumId="166">
    <w:nsid w:val="1CD484D5"/>
    <w:multiLevelType w:val="hybridMultilevel"/>
    <w:lvl w:ilvl="0">
      <w:lvlJc w:val="left"/>
      <w:lvlText w:val="(%1)"/>
      <w:numFmt w:val="lowerLetter"/>
      <w:start w:val="1"/>
    </w:lvl>
  </w:abstractNum>
  <w:abstractNum w:abstractNumId="167">
    <w:nsid w:val="21D06255"/>
    <w:multiLevelType w:val="hybridMultilevel"/>
    <w:lvl w:ilvl="0">
      <w:lvlJc w:val="left"/>
      <w:lvlText w:val="%1."/>
      <w:numFmt w:val="decimal"/>
      <w:start w:val="2"/>
    </w:lvl>
  </w:abstractNum>
  <w:abstractNum w:abstractNumId="168">
    <w:nsid w:val="51194ED1"/>
    <w:multiLevelType w:val="hybridMultilevel"/>
    <w:lvl w:ilvl="0">
      <w:lvlJc w:val="left"/>
      <w:lvlText w:val="%1."/>
      <w:numFmt w:val="decimal"/>
      <w:start w:val="3"/>
    </w:lvl>
  </w:abstractNum>
  <w:abstractNum w:abstractNumId="169">
    <w:nsid w:val="44E2ED6C"/>
    <w:multiLevelType w:val="hybridMultilevel"/>
    <w:lvl w:ilvl="0">
      <w:lvlJc w:val="left"/>
      <w:lvlText w:val="%1."/>
      <w:numFmt w:val="decimal"/>
      <w:start w:val="4"/>
    </w:lvl>
  </w:abstractNum>
  <w:abstractNum w:abstractNumId="170">
    <w:nsid w:val="2219B33"/>
    <w:multiLevelType w:val="hybridMultilevel"/>
    <w:lvl w:ilvl="0">
      <w:lvlJc w:val="left"/>
      <w:lvlText w:val="%1."/>
      <w:numFmt w:val="decimal"/>
      <w:start w:val="5"/>
    </w:lvl>
  </w:abstractNum>
  <w:abstractNum w:abstractNumId="171">
    <w:nsid w:val="773BFBDD"/>
    <w:multiLevelType w:val="hybridMultilevel"/>
    <w:lvl w:ilvl="0">
      <w:lvlJc w:val="left"/>
      <w:lvlText w:val="%1."/>
      <w:numFmt w:val="decimal"/>
      <w:start w:val="6"/>
    </w:lvl>
  </w:abstractNum>
  <w:abstractNum w:abstractNumId="172">
    <w:nsid w:val="2C7C62C2"/>
    <w:multiLevelType w:val="hybridMultilevel"/>
    <w:lvl w:ilvl="0">
      <w:lvlJc w:val="left"/>
      <w:lvlText w:val="%1."/>
      <w:numFmt w:val="decimal"/>
      <w:start w:val="7"/>
    </w:lvl>
  </w:abstractNum>
  <w:abstractNum w:abstractNumId="173">
    <w:nsid w:val="1A54D7BC"/>
    <w:multiLevelType w:val="hybridMultilevel"/>
    <w:lvl w:ilvl="0">
      <w:lvlJc w:val="left"/>
      <w:lvlText w:val="%1."/>
      <w:numFmt w:val="decimal"/>
      <w:start w:val="8"/>
    </w:lvl>
  </w:abstractNum>
  <w:abstractNum w:abstractNumId="174">
    <w:nsid w:val="42E57EF7"/>
    <w:multiLevelType w:val="hybridMultilevel"/>
    <w:lvl w:ilvl="0">
      <w:lvlJc w:val="left"/>
      <w:lvlText w:val="%1."/>
      <w:numFmt w:val="decimal"/>
      <w:start w:val="9"/>
    </w:lvl>
  </w:abstractNum>
  <w:abstractNum w:abstractNumId="175">
    <w:nsid w:val="33537CED"/>
    <w:multiLevelType w:val="hybridMultilevel"/>
    <w:lvl w:ilvl="0">
      <w:lvlJc w:val="left"/>
      <w:lvlText w:val="%1."/>
      <w:numFmt w:val="decimal"/>
      <w:start w:val="10"/>
    </w:lvl>
  </w:abstractNum>
  <w:abstractNum w:abstractNumId="176">
    <w:nsid w:val="27514ADE"/>
    <w:multiLevelType w:val="hybridMultilevel"/>
    <w:lvl w:ilvl="0">
      <w:lvlJc w:val="left"/>
      <w:lvlText w:val="%1."/>
      <w:numFmt w:val="decimal"/>
      <w:start w:val="11"/>
    </w:lvl>
  </w:abstractNum>
  <w:abstractNum w:abstractNumId="177">
    <w:nsid w:val="57071613"/>
    <w:multiLevelType w:val="hybridMultilevel"/>
    <w:lvl w:ilvl="0">
      <w:lvlJc w:val="left"/>
      <w:lvlText w:val="%1."/>
      <w:numFmt w:val="decimal"/>
      <w:start w:val="12"/>
    </w:lvl>
  </w:abstractNum>
  <w:abstractNum w:abstractNumId="178">
    <w:nsid w:val="5293BFEF"/>
    <w:multiLevelType w:val="hybridMultilevel"/>
    <w:lvl w:ilvl="0">
      <w:lvlJc w:val="left"/>
      <w:lvlText w:val="%1."/>
      <w:numFmt w:val="decimal"/>
      <w:start w:val="13"/>
    </w:lvl>
  </w:abstractNum>
  <w:abstractNum w:abstractNumId="179">
    <w:nsid w:val="38BF53E5"/>
    <w:multiLevelType w:val="hybridMultilevel"/>
    <w:lvl w:ilvl="0">
      <w:lvlJc w:val="left"/>
      <w:lvlText w:val="%1."/>
      <w:numFmt w:val="decimal"/>
      <w:start w:val="14"/>
    </w:lvl>
  </w:abstractNum>
  <w:abstractNum w:abstractNumId="180">
    <w:nsid w:val="226F5320"/>
    <w:multiLevelType w:val="hybridMultilevel"/>
    <w:lvl w:ilvl="0">
      <w:lvlJc w:val="left"/>
      <w:lvlText w:val="%1."/>
      <w:numFmt w:val="decimal"/>
      <w:start w:val="15"/>
    </w:lvl>
  </w:abstractNum>
  <w:abstractNum w:abstractNumId="181">
    <w:nsid w:val="5A0201C7"/>
    <w:multiLevelType w:val="hybridMultilevel"/>
    <w:lvl w:ilvl="0">
      <w:lvlJc w:val="left"/>
      <w:lvlText w:val="%1."/>
      <w:numFmt w:val="decimal"/>
      <w:start w:val="16"/>
    </w:lvl>
  </w:abstractNum>
  <w:abstractNum w:abstractNumId="182">
    <w:nsid w:val="2A9C34E2"/>
    <w:multiLevelType w:val="hybridMultilevel"/>
    <w:lvl w:ilvl="0">
      <w:lvlJc w:val="left"/>
      <w:lvlText w:val="%1."/>
      <w:numFmt w:val="decimal"/>
      <w:start w:val="17"/>
    </w:lvl>
  </w:abstractNum>
  <w:abstractNum w:abstractNumId="183">
    <w:nsid w:val="1B7585AB"/>
    <w:multiLevelType w:val="hybridMultilevel"/>
    <w:lvl w:ilvl="0">
      <w:lvlJc w:val="left"/>
      <w:lvlText w:val="%1."/>
      <w:numFmt w:val="decimal"/>
      <w:start w:val="18"/>
    </w:lvl>
  </w:abstractNum>
  <w:abstractNum w:abstractNumId="184">
    <w:nsid w:val="612DBDDD"/>
    <w:multiLevelType w:val="hybridMultilevel"/>
    <w:lvl w:ilvl="0">
      <w:lvlJc w:val="left"/>
      <w:lvlText w:val="%1."/>
      <w:numFmt w:val="decimal"/>
      <w:start w:val="19"/>
    </w:lvl>
  </w:abstractNum>
  <w:abstractNum w:abstractNumId="185">
    <w:nsid w:val="2109CDA4"/>
    <w:multiLevelType w:val="hybridMultilevel"/>
    <w:lvl w:ilvl="0">
      <w:lvlJc w:val="left"/>
      <w:lvlText w:val="%1."/>
      <w:numFmt w:val="decimal"/>
      <w:start w:val="20"/>
    </w:lvl>
  </w:abstractNum>
  <w:abstractNum w:abstractNumId="186">
    <w:nsid w:val="577F5A4D"/>
    <w:multiLevelType w:val="hybridMultilevel"/>
    <w:lvl w:ilvl="0">
      <w:lvlJc w:val="left"/>
      <w:lvlText w:val="%1."/>
      <w:numFmt w:val="decimal"/>
      <w:start w:val="21"/>
    </w:lvl>
  </w:abstractNum>
  <w:abstractNum w:abstractNumId="187">
    <w:nsid w:val="2121A81"/>
    <w:multiLevelType w:val="hybridMultilevel"/>
    <w:lvl w:ilvl="0">
      <w:lvlJc w:val="left"/>
      <w:lvlText w:val="%1."/>
      <w:numFmt w:val="decimal"/>
      <w:start w:val="22"/>
    </w:lvl>
  </w:abstractNum>
  <w:abstractNum w:abstractNumId="188">
    <w:nsid w:val="6C2CFC88"/>
    <w:multiLevelType w:val="hybridMultilevel"/>
    <w:lvl w:ilvl="0">
      <w:lvlJc w:val="left"/>
      <w:lvlText w:val="%1."/>
      <w:numFmt w:val="decimal"/>
      <w:start w:val="23"/>
    </w:lvl>
  </w:abstractNum>
  <w:abstractNum w:abstractNumId="189">
    <w:nsid w:val="6D1BCF1C"/>
    <w:multiLevelType w:val="hybridMultilevel"/>
    <w:lvl w:ilvl="0">
      <w:lvlJc w:val="left"/>
      <w:lvlText w:val="%1."/>
      <w:numFmt w:val="decimal"/>
      <w:start w:val="25"/>
    </w:lvl>
  </w:abstractNum>
  <w:abstractNum w:abstractNumId="190">
    <w:nsid w:val="4CE5CA53"/>
    <w:multiLevelType w:val="hybridMultilevel"/>
    <w:lvl w:ilvl="0">
      <w:lvlJc w:val="left"/>
      <w:lvlText w:val="%1."/>
      <w:numFmt w:val="decimal"/>
      <w:start w:val="27"/>
    </w:lvl>
  </w:abstractNum>
  <w:abstractNum w:abstractNumId="191">
    <w:nsid w:val="29262D1A"/>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192">
    <w:nsid w:val="557FB7EE"/>
    <w:multiLevelType w:val="hybridMultilevel"/>
    <w:lvl w:ilvl="0">
      <w:lvlJc w:val="left"/>
      <w:lvlText w:val="(%1)"/>
      <w:numFmt w:val="lowerLetter"/>
      <w:start w:val="2"/>
    </w:lvl>
  </w:abstractNum>
  <w:abstractNum w:abstractNumId="193">
    <w:nsid w:val="436F2BEB"/>
    <w:multiLevelType w:val="hybridMultilevel"/>
    <w:lvl w:ilvl="0">
      <w:lvlJc w:val="left"/>
      <w:lvlText w:val="%1."/>
      <w:numFmt w:val="decimal"/>
      <w:start w:val="31"/>
    </w:lvl>
  </w:abstractNum>
  <w:abstractNum w:abstractNumId="194">
    <w:nsid w:val="6C8B4466"/>
    <w:multiLevelType w:val="hybridMultilevel"/>
    <w:lvl w:ilvl="0">
      <w:lvlJc w:val="left"/>
      <w:lvlText w:val="%1."/>
      <w:numFmt w:val="decimal"/>
      <w:start w:val="36"/>
    </w:lvl>
  </w:abstractNum>
  <w:abstractNum w:abstractNumId="195">
    <w:nsid w:val="2006E424"/>
    <w:multiLevelType w:val="hybridMultilevel"/>
    <w:lvl w:ilvl="0">
      <w:lvlJc w:val="left"/>
      <w:lvlText w:val="%1."/>
      <w:numFmt w:val="decimal"/>
      <w:start w:val="37"/>
    </w:lvl>
  </w:abstractNum>
  <w:abstractNum w:abstractNumId="196">
    <w:nsid w:val="20CC134C"/>
    <w:multiLevelType w:val="hybridMultilevel"/>
    <w:lvl w:ilvl="0">
      <w:lvlJc w:val="left"/>
      <w:lvlText w:val="%1."/>
      <w:numFmt w:val="decimal"/>
      <w:start w:val="38"/>
    </w:lvl>
  </w:abstractNum>
  <w:abstractNum w:abstractNumId="197">
    <w:nsid w:val="95FC93B"/>
    <w:multiLevelType w:val="hybridMultilevel"/>
    <w:lvl w:ilvl="0">
      <w:lvlJc w:val="left"/>
      <w:lvlText w:val="•"/>
      <w:numFmt w:val="bullet"/>
      <w:start w:val="1"/>
    </w:lvl>
    <w:lvl w:ilvl="1">
      <w:lvlJc w:val="left"/>
      <w:lvlText w:val="-"/>
      <w:numFmt w:val="bullet"/>
      <w:start w:val="1"/>
    </w:lvl>
  </w:abstractNum>
  <w:abstractNum w:abstractNumId="198">
    <w:nsid w:val="41D74679"/>
    <w:multiLevelType w:val="hybridMultilevel"/>
    <w:lvl w:ilvl="0">
      <w:lvlJc w:val="left"/>
      <w:lvlText w:val="%1."/>
      <w:numFmt w:val="decimal"/>
      <w:start w:val="1"/>
    </w:lvl>
  </w:abstractNum>
  <w:abstractNum w:abstractNumId="199">
    <w:nsid w:val="71E5621E"/>
    <w:multiLevelType w:val="hybridMultilevel"/>
    <w:lvl w:ilvl="0">
      <w:lvlJc w:val="left"/>
      <w:lvlText w:val="%1."/>
      <w:numFmt w:val="decimal"/>
      <w:start w:val="2"/>
    </w:lvl>
  </w:abstractNum>
  <w:abstractNum w:abstractNumId="200">
    <w:nsid w:val="4E42B6A8"/>
    <w:multiLevelType w:val="hybridMultilevel"/>
    <w:lvl w:ilvl="0">
      <w:lvlJc w:val="left"/>
      <w:lvlText w:val="(%1)"/>
      <w:numFmt w:val="lowerRoman"/>
      <w:start w:val="2"/>
    </w:lvl>
    <w:lvl w:ilvl="1">
      <w:lvlJc w:val="left"/>
      <w:lvlText w:val="-"/>
      <w:numFmt w:val="bullet"/>
      <w:start w:val="1"/>
    </w:lvl>
  </w:abstractNum>
  <w:abstractNum w:abstractNumId="201">
    <w:nsid w:val="43F8E1AC"/>
    <w:multiLevelType w:val="hybridMultilevel"/>
    <w:lvl w:ilvl="0">
      <w:lvlJc w:val="left"/>
      <w:lvlText w:val="%1."/>
      <w:numFmt w:val="decimal"/>
      <w:start w:val="3"/>
    </w:lvl>
  </w:abstractNum>
  <w:abstractNum w:abstractNumId="202">
    <w:nsid w:val="69215DFB"/>
    <w:multiLevelType w:val="hybridMultilevel"/>
    <w:lvl w:ilvl="0">
      <w:lvlJc w:val="left"/>
      <w:lvlText w:val="%1."/>
      <w:numFmt w:val="decimal"/>
      <w:start w:val="4"/>
    </w:lvl>
  </w:abstractNum>
  <w:abstractNum w:abstractNumId="203">
    <w:nsid w:val="7ABF196A"/>
    <w:multiLevelType w:val="hybridMultilevel"/>
    <w:lvl w:ilvl="0">
      <w:lvlJc w:val="left"/>
      <w:lvlText w:val="%1."/>
      <w:numFmt w:val="decimal"/>
      <w:start w:val="5"/>
    </w:lvl>
  </w:abstractNum>
  <w:abstractNum w:abstractNumId="204">
    <w:nsid w:val="5E4DB968"/>
    <w:multiLevelType w:val="hybridMultilevel"/>
    <w:lvl w:ilvl="0">
      <w:lvlJc w:val="left"/>
      <w:lvlText w:val="(%1)"/>
      <w:numFmt w:val="lowerRoman"/>
      <w:start w:val="3"/>
    </w:lvl>
    <w:lvl w:ilvl="1">
      <w:lvlJc w:val="left"/>
      <w:lvlText w:val="-"/>
      <w:numFmt w:val="bullet"/>
      <w:start w:val="1"/>
    </w:lvl>
  </w:abstractNum>
  <w:abstractNum w:abstractNumId="205">
    <w:nsid w:val="2C06DCF3"/>
    <w:multiLevelType w:val="hybridMultilevel"/>
    <w:lvl w:ilvl="0">
      <w:lvlJc w:val="left"/>
      <w:lvlText w:val="(%1)"/>
      <w:numFmt w:val="decimal"/>
      <w:start w:val="35"/>
    </w:lvl>
  </w:abstractNum>
  <w:abstractNum w:abstractNumId="206">
    <w:nsid w:val="2E129658"/>
    <w:multiLevelType w:val="hybridMultilevel"/>
    <w:lvl w:ilvl="0">
      <w:lvlJc w:val="left"/>
      <w:lvlText w:val="(%1)"/>
      <w:numFmt w:val="decimal"/>
      <w:start w:val="30"/>
    </w:lvl>
  </w:abstractNum>
  <w:abstractNum w:abstractNumId="207">
    <w:nsid w:val="59F0446"/>
    <w:multiLevelType w:val="hybridMultilevel"/>
    <w:lvl w:ilvl="0">
      <w:lvlJc w:val="left"/>
      <w:lvlText w:val="%1."/>
      <w:numFmt w:val="decimal"/>
      <w:start w:val="6"/>
    </w:lvl>
  </w:abstractNum>
  <w:abstractNum w:abstractNumId="208">
    <w:nsid w:val="30DF306"/>
    <w:multiLevelType w:val="hybridMultilevel"/>
    <w:lvl w:ilvl="0">
      <w:lvlJc w:val="left"/>
      <w:lvlText w:val="%1."/>
      <w:numFmt w:val="decimal"/>
      <w:start w:val="7"/>
    </w:lvl>
  </w:abstractNum>
  <w:abstractNum w:abstractNumId="209">
    <w:nsid w:val="A65647"/>
    <w:multiLevelType w:val="hybridMultilevel"/>
    <w:lvl w:ilvl="0">
      <w:lvlJc w:val="left"/>
      <w:lvlText w:val="%1."/>
      <w:numFmt w:val="decimal"/>
      <w:start w:val="8"/>
    </w:lvl>
  </w:abstractNum>
  <w:abstractNum w:abstractNumId="210">
    <w:nsid w:val="3E5E582B"/>
    <w:multiLevelType w:val="hybridMultilevel"/>
    <w:lvl w:ilvl="0">
      <w:lvlJc w:val="left"/>
      <w:lvlText w:val="%1."/>
      <w:numFmt w:val="decimal"/>
      <w:start w:val="9"/>
    </w:lvl>
  </w:abstractNum>
  <w:abstractNum w:abstractNumId="211">
    <w:nsid w:val="257D4626"/>
    <w:multiLevelType w:val="hybridMultilevel"/>
    <w:lvl w:ilvl="0">
      <w:lvlJc w:val="left"/>
      <w:lvlText w:val="%1"/>
      <w:numFmt w:val="upperLetter"/>
      <w:start w:val="35"/>
    </w:lvl>
  </w:abstractNum>
  <w:abstractNum w:abstractNumId="212">
    <w:nsid w:val="5AA8580E"/>
    <w:multiLevelType w:val="hybridMultilevel"/>
    <w:lvl w:ilvl="0">
      <w:lvlJc w:val="left"/>
      <w:lvlText w:val="(%1)"/>
      <w:numFmt w:val="decimal"/>
      <w:start w:val="1"/>
    </w:lvl>
  </w:abstractNum>
  <w:abstractNum w:abstractNumId="213">
    <w:nsid w:val="68FA8D0D"/>
    <w:multiLevelType w:val="hybridMultilevel"/>
    <w:lvl w:ilvl="0">
      <w:lvlJc w:val="left"/>
      <w:lvlText w:val="%1."/>
      <w:numFmt w:val="decimal"/>
      <w:start w:val="1"/>
    </w:lvl>
  </w:abstractNum>
  <w:abstractNum w:abstractNumId="214">
    <w:nsid w:val="40F2CBD2"/>
    <w:multiLevelType w:val="hybridMultilevel"/>
    <w:lvl w:ilvl="0">
      <w:lvlJc w:val="left"/>
      <w:lvlText w:val="(%1)"/>
      <w:numFmt w:val="lowerLetter"/>
      <w:start w:val="1"/>
    </w:lvl>
    <w:lvl w:ilvl="1">
      <w:lvlJc w:val="left"/>
      <w:lvlText w:val="-"/>
      <w:numFmt w:val="bullet"/>
      <w:start w:val="1"/>
    </w:lvl>
  </w:abstractNum>
  <w:abstractNum w:abstractNumId="215">
    <w:nsid w:val="3BD615EB"/>
    <w:multiLevelType w:val="hybridMultilevel"/>
    <w:lvl w:ilvl="0">
      <w:lvlJc w:val="left"/>
      <w:lvlText w:val="(%1)"/>
      <w:numFmt w:val="lowerLetter"/>
      <w:start w:val="4"/>
    </w:lvl>
  </w:abstractNum>
  <w:abstractNum w:abstractNumId="216">
    <w:nsid w:val="A045AB2"/>
    <w:multiLevelType w:val="hybridMultilevel"/>
    <w:lvl w:ilvl="0">
      <w:lvlJc w:val="left"/>
      <w:lvlText w:val="(%1)"/>
      <w:numFmt w:val="lowerLetter"/>
      <w:start w:val="1"/>
    </w:lvl>
  </w:abstractNum>
  <w:abstractNum w:abstractNumId="217">
    <w:nsid w:val="1872261F"/>
    <w:multiLevelType w:val="hybridMultilevel"/>
    <w:lvl w:ilvl="0">
      <w:lvlJc w:val="left"/>
      <w:lvlText w:val="%1."/>
      <w:numFmt w:val="decimal"/>
      <w:start w:val="2"/>
    </w:lvl>
  </w:abstractNum>
  <w:abstractNum w:abstractNumId="218">
    <w:nsid w:val="3DE8306C"/>
    <w:multiLevelType w:val="hybridMultilevel"/>
    <w:lvl w:ilvl="0">
      <w:lvlJc w:val="left"/>
      <w:lvlText w:val="%1."/>
      <w:numFmt w:val="decimal"/>
      <w:start w:val="3"/>
    </w:lvl>
  </w:abstractNum>
  <w:abstractNum w:abstractNumId="219">
    <w:nsid w:val="7631573A"/>
    <w:multiLevelType w:val="hybridMultilevel"/>
    <w:lvl w:ilvl="0">
      <w:lvlJc w:val="left"/>
      <w:lvlText w:val="%1."/>
      <w:numFmt w:val="decimal"/>
      <w:start w:val="4"/>
    </w:lvl>
  </w:abstractNum>
  <w:abstractNum w:abstractNumId="220">
    <w:nsid w:val="58DF53B"/>
    <w:multiLevelType w:val="hybridMultilevel"/>
    <w:lvl w:ilvl="0">
      <w:lvlJc w:val="left"/>
      <w:lvlText w:val="%1."/>
      <w:numFmt w:val="decimal"/>
      <w:start w:val="5"/>
    </w:lvl>
  </w:abstractNum>
  <w:abstractNum w:abstractNumId="221">
    <w:nsid w:val="ACDFAC0"/>
    <w:multiLevelType w:val="hybridMultilevel"/>
    <w:lvl w:ilvl="0">
      <w:lvlJc w:val="left"/>
      <w:lvlText w:val="%1."/>
      <w:numFmt w:val="decimal"/>
      <w:start w:val="6"/>
    </w:lvl>
  </w:abstractNum>
  <w:abstractNum w:abstractNumId="222">
    <w:nsid w:val="1F578454"/>
    <w:multiLevelType w:val="hybridMultilevel"/>
    <w:lvl w:ilvl="0">
      <w:lvlJc w:val="left"/>
      <w:lvlText w:val="%1."/>
      <w:numFmt w:val="decimal"/>
      <w:start w:val="7"/>
    </w:lvl>
  </w:abstractNum>
  <w:abstractNum w:abstractNumId="223">
    <w:nsid w:val="5B0DAD2A"/>
    <w:multiLevelType w:val="hybridMultilevel"/>
    <w:lvl w:ilvl="0">
      <w:lvlJc w:val="left"/>
      <w:lvlText w:val="%1."/>
      <w:numFmt w:val="decimal"/>
      <w:start w:val="8"/>
    </w:lvl>
  </w:abstractNum>
  <w:abstractNum w:abstractNumId="224">
    <w:nsid w:val="4E3D26AB"/>
    <w:multiLevelType w:val="hybridMultilevel"/>
    <w:lvl w:ilvl="0">
      <w:lvlJc w:val="left"/>
      <w:lvlText w:val="%1."/>
      <w:numFmt w:val="decimal"/>
      <w:start w:val="9"/>
    </w:lvl>
  </w:abstractNum>
  <w:abstractNum w:abstractNumId="225">
    <w:nsid w:val="BE2C8BA"/>
    <w:multiLevelType w:val="hybridMultilevel"/>
    <w:lvl w:ilvl="0">
      <w:lvlJc w:val="left"/>
      <w:lvlText w:val="%1."/>
      <w:numFmt w:val="decimal"/>
      <w:start w:val="10"/>
    </w:lvl>
  </w:abstractNum>
  <w:abstractNum w:abstractNumId="226">
    <w:nsid w:val="7B14914E"/>
    <w:multiLevelType w:val="hybridMultilevel"/>
    <w:lvl w:ilvl="0">
      <w:lvlJc w:val="left"/>
      <w:lvlText w:val="%1."/>
      <w:numFmt w:val="decimal"/>
      <w:start w:val="11"/>
    </w:lvl>
  </w:abstractNum>
  <w:abstractNum w:abstractNumId="227">
    <w:nsid w:val="6F0939F8"/>
    <w:multiLevelType w:val="hybridMultilevel"/>
    <w:lvl w:ilvl="0">
      <w:lvlJc w:val="left"/>
      <w:lvlText w:val="%1."/>
      <w:numFmt w:val="decimal"/>
      <w:start w:val="12"/>
    </w:lvl>
  </w:abstractNum>
  <w:abstractNum w:abstractNumId="228">
    <w:nsid w:val="154291F6"/>
    <w:multiLevelType w:val="hybridMultilevel"/>
    <w:lvl w:ilvl="0">
      <w:lvlJc w:val="left"/>
      <w:lvlText w:val="%1."/>
      <w:numFmt w:val="decimal"/>
      <w:start w:val="13"/>
    </w:lvl>
  </w:abstractNum>
  <w:abstractNum w:abstractNumId="229">
    <w:nsid w:val="3CEBD7C7"/>
    <w:multiLevelType w:val="hybridMultilevel"/>
    <w:lvl w:ilvl="0">
      <w:lvlJc w:val="left"/>
      <w:lvlText w:val="%1."/>
      <w:numFmt w:val="decimal"/>
      <w:start w:val="14"/>
    </w:lvl>
  </w:abstractNum>
  <w:abstractNum w:abstractNumId="230">
    <w:nsid w:val="60EE9C16"/>
    <w:multiLevelType w:val="hybridMultilevel"/>
    <w:lvl w:ilvl="0">
      <w:lvlJc w:val="left"/>
      <w:lvlText w:val="%1."/>
      <w:numFmt w:val="decimal"/>
      <w:start w:val="15"/>
    </w:lvl>
  </w:abstractNum>
  <w:abstractNum w:abstractNumId="231">
    <w:nsid w:val="6385489E"/>
    <w:multiLevelType w:val="hybridMultilevel"/>
    <w:lvl w:ilvl="0">
      <w:lvlJc w:val="left"/>
      <w:lvlText w:val="%1."/>
      <w:numFmt w:val="decimal"/>
      <w:start w:val="16"/>
    </w:lvl>
  </w:abstractNum>
  <w:abstractNum w:abstractNumId="232">
    <w:nsid w:val="E4B973"/>
    <w:multiLevelType w:val="hybridMultilevel"/>
    <w:lvl w:ilvl="0">
      <w:lvlJc w:val="left"/>
      <w:lvlText w:val="%1."/>
      <w:numFmt w:val="decimal"/>
      <w:start w:val="17"/>
    </w:lvl>
  </w:abstractNum>
  <w:abstractNum w:abstractNumId="233">
    <w:nsid w:val="4A0FFA11"/>
    <w:multiLevelType w:val="hybridMultilevel"/>
    <w:lvl w:ilvl="0">
      <w:lvlJc w:val="left"/>
      <w:lvlText w:val="%1."/>
      <w:numFmt w:val="decimal"/>
      <w:start w:val="18"/>
    </w:lvl>
  </w:abstractNum>
  <w:abstractNum w:abstractNumId="234">
    <w:nsid w:val="5E446208"/>
    <w:multiLevelType w:val="hybridMultilevel"/>
    <w:lvl w:ilvl="0">
      <w:lvlJc w:val="left"/>
      <w:lvlText w:val="%1."/>
      <w:numFmt w:val="decimal"/>
      <w:start w:val="19"/>
    </w:lvl>
  </w:abstractNum>
  <w:abstractNum w:abstractNumId="235">
    <w:nsid w:val="5F3272DB"/>
    <w:multiLevelType w:val="hybridMultilevel"/>
    <w:lvl w:ilvl="0">
      <w:lvlJc w:val="left"/>
      <w:lvlText w:val="%1."/>
      <w:numFmt w:val="decimal"/>
      <w:start w:val="20"/>
    </w:lvl>
  </w:abstractNum>
  <w:abstractNum w:abstractNumId="236">
    <w:nsid w:val="7616D704"/>
    <w:multiLevelType w:val="hybridMultilevel"/>
    <w:lvl w:ilvl="0">
      <w:lvlJc w:val="left"/>
      <w:lvlText w:val="%1."/>
      <w:numFmt w:val="decimal"/>
      <w:start w:val="21"/>
    </w:lvl>
  </w:abstractNum>
  <w:abstractNum w:abstractNumId="237">
    <w:nsid w:val="C56F860"/>
    <w:multiLevelType w:val="hybridMultilevel"/>
    <w:lvl w:ilvl="0">
      <w:lvlJc w:val="left"/>
      <w:lvlText w:val="%1."/>
      <w:numFmt w:val="decimal"/>
      <w:start w:val="22"/>
    </w:lvl>
  </w:abstractNum>
  <w:abstractNum w:abstractNumId="238">
    <w:nsid w:val="64D17722"/>
    <w:multiLevelType w:val="hybridMultilevel"/>
    <w:lvl w:ilvl="0">
      <w:lvlJc w:val="left"/>
      <w:lvlText w:val="%1."/>
      <w:numFmt w:val="decimal"/>
      <w:start w:val="23"/>
    </w:lvl>
  </w:abstractNum>
  <w:abstractNum w:abstractNumId="239">
    <w:nsid w:val="7924CA0A"/>
    <w:multiLevelType w:val="hybridMultilevel"/>
    <w:lvl w:ilvl="0">
      <w:lvlJc w:val="left"/>
      <w:lvlText w:val="%1."/>
      <w:numFmt w:val="decimal"/>
      <w:start w:val="24"/>
    </w:lvl>
  </w:abstractNum>
  <w:abstractNum w:abstractNumId="240">
    <w:nsid w:val="CFD4EA7"/>
    <w:multiLevelType w:val="hybridMultilevel"/>
    <w:lvl w:ilvl="0">
      <w:lvlJc w:val="left"/>
      <w:lvlText w:val="%1."/>
      <w:numFmt w:val="decimal"/>
      <w:start w:val="25"/>
    </w:lvl>
  </w:abstractNum>
  <w:abstractNum w:abstractNumId="241">
    <w:nsid w:val="232FCF4D"/>
    <w:multiLevelType w:val="hybridMultilevel"/>
    <w:lvl w:ilvl="0">
      <w:lvlJc w:val="left"/>
      <w:lvlText w:val="%1."/>
      <w:numFmt w:val="decimal"/>
      <w:start w:val="26"/>
    </w:lvl>
  </w:abstractNum>
  <w:abstractNum w:abstractNumId="242">
    <w:nsid w:val="1EA21031"/>
    <w:multiLevelType w:val="hybridMultilevel"/>
    <w:lvl w:ilvl="0">
      <w:lvlJc w:val="left"/>
      <w:lvlText w:val="%1."/>
      <w:numFmt w:val="decimal"/>
      <w:start w:val="27"/>
    </w:lvl>
  </w:abstractNum>
  <w:abstractNum w:abstractNumId="243">
    <w:nsid w:val="67A5A6B5"/>
    <w:multiLevelType w:val="hybridMultilevel"/>
    <w:lvl w:ilvl="0">
      <w:lvlJc w:val="left"/>
      <w:lvlText w:val="%1."/>
      <w:numFmt w:val="decimal"/>
      <w:start w:val="28"/>
    </w:lvl>
  </w:abstractNum>
  <w:abstractNum w:abstractNumId="244">
    <w:nsid w:val="C2A5C5B"/>
    <w:multiLevelType w:val="hybridMultilevel"/>
    <w:lvl w:ilvl="0">
      <w:lvlJc w:val="left"/>
      <w:lvlText w:val="%1."/>
      <w:numFmt w:val="decimal"/>
      <w:start w:val="29"/>
    </w:lvl>
  </w:abstractNum>
  <w:abstractNum w:abstractNumId="245">
    <w:nsid w:val="5F94DC03"/>
    <w:multiLevelType w:val="hybridMultilevel"/>
    <w:lvl w:ilvl="0">
      <w:lvlJc w:val="left"/>
      <w:lvlText w:val="%1."/>
      <w:numFmt w:val="decimal"/>
      <w:start w:val="30"/>
    </w:lvl>
  </w:abstractNum>
  <w:abstractNum w:abstractNumId="246">
    <w:nsid w:val="237BBCA0"/>
    <w:multiLevelType w:val="hybridMultilevel"/>
    <w:lvl w:ilvl="0">
      <w:lvlJc w:val="left"/>
      <w:lvlText w:val="(%1)"/>
      <w:numFmt w:val="lowerLetter"/>
      <w:start w:val="1"/>
    </w:lvl>
    <w:lvl w:ilvl="1">
      <w:lvlJc w:val="left"/>
      <w:lvlText w:val="-"/>
      <w:numFmt w:val="bullet"/>
      <w:start w:val="1"/>
    </w:lvl>
  </w:abstractNum>
  <w:abstractNum w:abstractNumId="247">
    <w:nsid w:val="162EB70D"/>
    <w:multiLevelType w:val="hybridMultilevel"/>
    <w:lvl w:ilvl="0">
      <w:lvlJc w:val="left"/>
      <w:lvlText w:val="%1."/>
      <w:numFmt w:val="decimal"/>
      <w:start w:val="31"/>
    </w:lvl>
  </w:abstractNum>
  <w:abstractNum w:abstractNumId="248">
    <w:nsid w:val="78070222"/>
    <w:multiLevelType w:val="hybridMultilevel"/>
    <w:lvl w:ilvl="0">
      <w:lvlJc w:val="left"/>
      <w:lvlText w:val="%1."/>
      <w:numFmt w:val="decimal"/>
      <w:start w:val="32"/>
    </w:lvl>
  </w:abstractNum>
  <w:abstractNum w:abstractNumId="249">
    <w:nsid w:val="6163ED0D"/>
    <w:multiLevelType w:val="hybridMultilevel"/>
    <w:lvl w:ilvl="0">
      <w:lvlJc w:val="left"/>
      <w:lvlText w:val="%1."/>
      <w:numFmt w:val="decimal"/>
      <w:start w:val="33"/>
    </w:lvl>
  </w:abstractNum>
  <w:abstractNum w:abstractNumId="250">
    <w:nsid w:val="C600E47"/>
    <w:multiLevelType w:val="hybridMultilevel"/>
    <w:lvl w:ilvl="0">
      <w:lvlJc w:val="left"/>
      <w:lvlText w:val="%1."/>
      <w:numFmt w:val="decimal"/>
      <w:start w:val="34"/>
    </w:lvl>
  </w:abstractNum>
  <w:abstractNum w:abstractNumId="251">
    <w:nsid w:val="7D94F75D"/>
    <w:multiLevelType w:val="hybridMultilevel"/>
    <w:lvl w:ilvl="0">
      <w:lvlJc w:val="left"/>
      <w:lvlText w:val="%1."/>
      <w:numFmt w:val="decimal"/>
      <w:start w:val="35"/>
    </w:lvl>
  </w:abstractNum>
  <w:abstractNum w:abstractNumId="252">
    <w:nsid w:val="6C31E7CD"/>
    <w:multiLevelType w:val="hybridMultilevel"/>
    <w:lvl w:ilvl="0">
      <w:lvlJc w:val="left"/>
      <w:lvlText w:val="%1."/>
      <w:numFmt w:val="decimal"/>
      <w:start w:val="36"/>
    </w:lvl>
  </w:abstractNum>
  <w:abstractNum w:abstractNumId="253">
    <w:nsid w:val="2BB7929B"/>
    <w:multiLevelType w:val="hybridMultilevel"/>
    <w:lvl w:ilvl="0">
      <w:lvlJc w:val="left"/>
      <w:lvlText w:val="%1."/>
      <w:numFmt w:val="decimal"/>
      <w:start w:val="37"/>
    </w:lvl>
  </w:abstractNum>
  <w:abstractNum w:abstractNumId="254">
    <w:nsid w:val="58A2A487"/>
    <w:multiLevelType w:val="hybridMultilevel"/>
    <w:lvl w:ilvl="0">
      <w:lvlJc w:val="left"/>
      <w:lvlText w:val="%1."/>
      <w:numFmt w:val="decimal"/>
      <w:start w:val="38"/>
    </w:lvl>
  </w:abstractNum>
  <w:abstractNum w:abstractNumId="255">
    <w:nsid w:val="3A6F0E78"/>
    <w:multiLevelType w:val="hybridMultilevel"/>
    <w:lvl w:ilvl="0">
      <w:lvlJc w:val="left"/>
      <w:lvlText w:val="•"/>
      <w:numFmt w:val="bullet"/>
      <w:start w:val="1"/>
    </w:lvl>
    <w:lvl w:ilvl="1">
      <w:lvlJc w:val="left"/>
      <w:lvlText w:val="-"/>
      <w:numFmt w:val="bullet"/>
      <w:start w:val="1"/>
    </w:lvl>
  </w:abstractNum>
  <w:abstractNum w:abstractNumId="256">
    <w:nsid w:val="379A5B56"/>
    <w:multiLevelType w:val="hybridMultilevel"/>
    <w:lvl w:ilvl="0">
      <w:lvlJc w:val="left"/>
      <w:lvlText w:val="%1."/>
      <w:numFmt w:val="decimal"/>
      <w:start w:val="1"/>
    </w:lvl>
  </w:abstractNum>
  <w:abstractNum w:abstractNumId="257">
    <w:nsid w:val="53B735D5"/>
    <w:multiLevelType w:val="hybridMultilevel"/>
    <w:lvl w:ilvl="0">
      <w:lvlJc w:val="left"/>
      <w:lvlText w:val="%1."/>
      <w:numFmt w:val="decimal"/>
      <w:start w:val="2"/>
    </w:lvl>
  </w:abstractNum>
  <w:abstractNum w:abstractNumId="258">
    <w:nsid w:val="29784870"/>
    <w:multiLevelType w:val="hybridMultilevel"/>
    <w:lvl w:ilvl="0">
      <w:lvlJc w:val="left"/>
      <w:lvlText w:val="%1."/>
      <w:numFmt w:val="decimal"/>
      <w:start w:val="3"/>
    </w:lvl>
  </w:abstractNum>
  <w:abstractNum w:abstractNumId="259">
    <w:nsid w:val="4CDCED4C"/>
    <w:multiLevelType w:val="hybridMultilevel"/>
    <w:lvl w:ilvl="0">
      <w:lvlJc w:val="left"/>
      <w:lvlText w:val="%1."/>
      <w:numFmt w:val="decimal"/>
      <w:start w:val="4"/>
    </w:lvl>
  </w:abstractNum>
  <w:abstractNum w:abstractNumId="260">
    <w:nsid w:val="10A30D9C"/>
    <w:multiLevelType w:val="hybridMultilevel"/>
    <w:lvl w:ilvl="0">
      <w:lvlJc w:val="left"/>
      <w:lvlText w:val="%1."/>
      <w:numFmt w:val="decimal"/>
      <w:start w:val="5"/>
    </w:lvl>
  </w:abstractNum>
  <w:abstractNum w:abstractNumId="261">
    <w:nsid w:val="A66E486"/>
    <w:multiLevelType w:val="hybridMultilevel"/>
    <w:lvl w:ilvl="0">
      <w:lvlJc w:val="left"/>
      <w:lvlText w:val="%1."/>
      <w:numFmt w:val="decimal"/>
      <w:start w:val="6"/>
    </w:lvl>
  </w:abstractNum>
  <w:abstractNum w:abstractNumId="262">
    <w:nsid w:val="306235EA"/>
    <w:multiLevelType w:val="hybridMultilevel"/>
    <w:lvl w:ilvl="0">
      <w:lvlJc w:val="left"/>
      <w:lvlText w:val="%1."/>
      <w:numFmt w:val="decimal"/>
      <w:start w:val="7"/>
    </w:lvl>
  </w:abstractNum>
  <w:abstractNum w:abstractNumId="263">
    <w:nsid w:val="1187C70F"/>
    <w:multiLevelType w:val="hybridMultilevel"/>
    <w:lvl w:ilvl="0">
      <w:lvlJc w:val="left"/>
      <w:lvlText w:val="%1."/>
      <w:numFmt w:val="decimal"/>
      <w:start w:val="8"/>
    </w:lvl>
  </w:abstractNum>
  <w:abstractNum w:abstractNumId="264">
    <w:nsid w:val="5476DE98"/>
    <w:multiLevelType w:val="hybridMultilevel"/>
    <w:lvl w:ilvl="0">
      <w:lvlJc w:val="left"/>
      <w:lvlText w:val="%1."/>
      <w:numFmt w:val="decimal"/>
      <w:start w:val="9"/>
    </w:lvl>
  </w:abstractNum>
  <w:abstractNum w:abstractNumId="265">
    <w:nsid w:val="EA697F2"/>
    <w:multiLevelType w:val="hybridMultilevel"/>
    <w:lvl w:ilvl="0">
      <w:lvlJc w:val="left"/>
      <w:lvlText w:val="(%1)"/>
      <w:numFmt w:val="decimal"/>
      <w:start w:val="1"/>
    </w:lvl>
  </w:abstractNum>
  <w:abstractNum w:abstractNumId="266">
    <w:nsid w:val="70BA39EB"/>
    <w:multiLevelType w:val="hybridMultilevel"/>
    <w:lvl w:ilvl="0">
      <w:lvlJc w:val="left"/>
      <w:lvlText w:val="%1."/>
      <w:numFmt w:val="decimal"/>
      <w:start w:val="1"/>
    </w:lvl>
  </w:abstractNum>
  <w:abstractNum w:abstractNumId="267">
    <w:nsid w:val="4A8DB59C"/>
    <w:multiLevelType w:val="hybridMultilevel"/>
    <w:lvl w:ilvl="0">
      <w:lvlJc w:val="left"/>
      <w:lvlText w:val="(%1)"/>
      <w:numFmt w:val="lowerLetter"/>
      <w:start w:val="1"/>
    </w:lvl>
    <w:lvl w:ilvl="1">
      <w:lvlJc w:val="left"/>
      <w:lvlText w:val="-"/>
      <w:numFmt w:val="bullet"/>
      <w:start w:val="1"/>
    </w:lvl>
  </w:abstractNum>
  <w:abstractNum w:abstractNumId="268">
    <w:nsid w:val="1AFD9053"/>
    <w:multiLevelType w:val="hybridMultilevel"/>
    <w:lvl w:ilvl="0">
      <w:lvlJc w:val="left"/>
      <w:lvlText w:val="(%1)"/>
      <w:numFmt w:val="lowerLetter"/>
      <w:start w:val="4"/>
    </w:lvl>
  </w:abstractNum>
  <w:abstractNum w:abstractNumId="269">
    <w:nsid w:val="558BB10D"/>
    <w:multiLevelType w:val="hybridMultilevel"/>
    <w:lvl w:ilvl="0">
      <w:lvlJc w:val="left"/>
      <w:lvlText w:val="(%1)"/>
      <w:numFmt w:val="lowerLetter"/>
      <w:start w:val="1"/>
    </w:lvl>
  </w:abstractNum>
  <w:abstractNum w:abstractNumId="270">
    <w:nsid w:val="43B27FA7"/>
    <w:multiLevelType w:val="hybridMultilevel"/>
    <w:lvl w:ilvl="0">
      <w:lvlJc w:val="left"/>
      <w:lvlText w:val="%1."/>
      <w:numFmt w:val="decimal"/>
      <w:start w:val="2"/>
    </w:lvl>
  </w:abstractNum>
  <w:abstractNum w:abstractNumId="271">
    <w:nsid w:val="27FADEFA"/>
    <w:multiLevelType w:val="hybridMultilevel"/>
    <w:lvl w:ilvl="0">
      <w:lvlJc w:val="left"/>
      <w:lvlText w:val="%1."/>
      <w:numFmt w:val="decimal"/>
      <w:start w:val="3"/>
    </w:lvl>
  </w:abstractNum>
  <w:abstractNum w:abstractNumId="272">
    <w:nsid w:val="78BB805A"/>
    <w:multiLevelType w:val="hybridMultilevel"/>
    <w:lvl w:ilvl="0">
      <w:lvlJc w:val="left"/>
      <w:lvlText w:val="%1."/>
      <w:numFmt w:val="decimal"/>
      <w:start w:val="4"/>
    </w:lvl>
  </w:abstractNum>
  <w:abstractNum w:abstractNumId="273">
    <w:nsid w:val="62548FD8"/>
    <w:multiLevelType w:val="hybridMultilevel"/>
    <w:lvl w:ilvl="0">
      <w:lvlJc w:val="left"/>
      <w:lvlText w:val="%1."/>
      <w:numFmt w:val="decimal"/>
      <w:start w:val="6"/>
    </w:lvl>
  </w:abstractNum>
  <w:abstractNum w:abstractNumId="274">
    <w:nsid w:val="FA085B0"/>
    <w:multiLevelType w:val="hybridMultilevel"/>
    <w:lvl w:ilvl="0">
      <w:lvlJc w:val="left"/>
      <w:lvlText w:val="%1."/>
      <w:numFmt w:val="decimal"/>
      <w:start w:val="7"/>
    </w:lvl>
  </w:abstractNum>
  <w:abstractNum w:abstractNumId="275">
    <w:nsid w:val="4E5DCB5"/>
    <w:multiLevelType w:val="hybridMultilevel"/>
    <w:lvl w:ilvl="0">
      <w:lvlJc w:val="left"/>
      <w:lvlText w:val="%1."/>
      <w:numFmt w:val="decimal"/>
      <w:start w:val="8"/>
    </w:lvl>
  </w:abstractNum>
  <w:abstractNum w:abstractNumId="276">
    <w:nsid w:val="41E96BDB"/>
    <w:multiLevelType w:val="hybridMultilevel"/>
    <w:lvl w:ilvl="0">
      <w:lvlJc w:val="left"/>
      <w:lvlText w:val="%1."/>
      <w:numFmt w:val="decimal"/>
      <w:start w:val="9"/>
    </w:lvl>
  </w:abstractNum>
  <w:abstractNum w:abstractNumId="277">
    <w:nsid w:val="331C4250"/>
    <w:multiLevelType w:val="hybridMultilevel"/>
    <w:lvl w:ilvl="0">
      <w:lvlJc w:val="left"/>
      <w:lvlText w:val="%1."/>
      <w:numFmt w:val="decimal"/>
      <w:start w:val="10"/>
    </w:lvl>
  </w:abstractNum>
  <w:abstractNum w:abstractNumId="278">
    <w:nsid w:val="1B1493C2"/>
    <w:multiLevelType w:val="hybridMultilevel"/>
    <w:lvl w:ilvl="0">
      <w:lvlJc w:val="left"/>
      <w:lvlText w:val="%1."/>
      <w:numFmt w:val="decimal"/>
      <w:start w:val="11"/>
    </w:lvl>
  </w:abstractNum>
  <w:abstractNum w:abstractNumId="279">
    <w:nsid w:val="39F06DFD"/>
    <w:multiLevelType w:val="hybridMultilevel"/>
    <w:lvl w:ilvl="0">
      <w:lvlJc w:val="left"/>
      <w:lvlText w:val="%1."/>
      <w:numFmt w:val="decimal"/>
      <w:start w:val="12"/>
    </w:lvl>
  </w:abstractNum>
  <w:abstractNum w:abstractNumId="280">
    <w:nsid w:val="14802F5D"/>
    <w:multiLevelType w:val="hybridMultilevel"/>
    <w:lvl w:ilvl="0">
      <w:lvlJc w:val="left"/>
      <w:lvlText w:val="%1."/>
      <w:numFmt w:val="decimal"/>
      <w:start w:val="13"/>
    </w:lvl>
  </w:abstractNum>
  <w:abstractNum w:abstractNumId="281">
    <w:nsid w:val="2774A209"/>
    <w:multiLevelType w:val="hybridMultilevel"/>
    <w:lvl w:ilvl="0">
      <w:lvlJc w:val="left"/>
      <w:lvlText w:val="%1."/>
      <w:numFmt w:val="decimal"/>
      <w:start w:val="14"/>
    </w:lvl>
  </w:abstractNum>
  <w:abstractNum w:abstractNumId="282">
    <w:nsid w:val="3785655A"/>
    <w:multiLevelType w:val="hybridMultilevel"/>
    <w:lvl w:ilvl="0">
      <w:lvlJc w:val="left"/>
      <w:lvlText w:val="%1."/>
      <w:numFmt w:val="decimal"/>
      <w:start w:val="15"/>
    </w:lvl>
  </w:abstractNum>
  <w:abstractNum w:abstractNumId="283">
    <w:nsid w:val="B2172A"/>
    <w:multiLevelType w:val="hybridMultilevel"/>
    <w:lvl w:ilvl="0">
      <w:lvlJc w:val="left"/>
      <w:lvlText w:val="%1."/>
      <w:numFmt w:val="decimal"/>
      <w:start w:val="16"/>
    </w:lvl>
  </w:abstractNum>
  <w:abstractNum w:abstractNumId="284">
    <w:nsid w:val="532C34A5"/>
    <w:multiLevelType w:val="hybridMultilevel"/>
    <w:lvl w:ilvl="0">
      <w:lvlJc w:val="left"/>
      <w:lvlText w:val="%1."/>
      <w:numFmt w:val="decimal"/>
      <w:start w:val="17"/>
    </w:lvl>
  </w:abstractNum>
  <w:abstractNum w:abstractNumId="285">
    <w:nsid w:val="102809E2"/>
    <w:multiLevelType w:val="hybridMultilevel"/>
    <w:lvl w:ilvl="0">
      <w:lvlJc w:val="left"/>
      <w:lvlText w:val="%1."/>
      <w:numFmt w:val="decimal"/>
      <w:start w:val="18"/>
    </w:lvl>
  </w:abstractNum>
  <w:abstractNum w:abstractNumId="286">
    <w:nsid w:val="3B2125A3"/>
    <w:multiLevelType w:val="hybridMultilevel"/>
    <w:lvl w:ilvl="0">
      <w:lvlJc w:val="left"/>
      <w:lvlText w:val="%1."/>
      <w:numFmt w:val="decimal"/>
      <w:start w:val="19"/>
    </w:lvl>
  </w:abstractNum>
  <w:abstractNum w:abstractNumId="287">
    <w:nsid w:val="AC68FFB"/>
    <w:multiLevelType w:val="hybridMultilevel"/>
    <w:lvl w:ilvl="0">
      <w:lvlJc w:val="left"/>
      <w:lvlText w:val="%1."/>
      <w:numFmt w:val="decimal"/>
      <w:start w:val="20"/>
    </w:lvl>
  </w:abstractNum>
  <w:abstractNum w:abstractNumId="288">
    <w:nsid w:val="63DF3FB7"/>
    <w:multiLevelType w:val="hybridMultilevel"/>
    <w:lvl w:ilvl="0">
      <w:lvlJc w:val="left"/>
      <w:lvlText w:val="%1."/>
      <w:numFmt w:val="decimal"/>
      <w:start w:val="21"/>
    </w:lvl>
  </w:abstractNum>
  <w:abstractNum w:abstractNumId="289">
    <w:nsid w:val="64996E13"/>
    <w:multiLevelType w:val="hybridMultilevel"/>
    <w:lvl w:ilvl="0">
      <w:lvlJc w:val="left"/>
      <w:lvlText w:val="%1."/>
      <w:numFmt w:val="decimal"/>
      <w:start w:val="22"/>
    </w:lvl>
  </w:abstractNum>
  <w:abstractNum w:abstractNumId="290">
    <w:nsid w:val="57A37D47"/>
    <w:multiLevelType w:val="hybridMultilevel"/>
    <w:lvl w:ilvl="0">
      <w:lvlJc w:val="left"/>
      <w:lvlText w:val="%1."/>
      <w:numFmt w:val="decimal"/>
      <w:start w:val="23"/>
    </w:lvl>
  </w:abstractNum>
  <w:abstractNum w:abstractNumId="291">
    <w:nsid w:val="74824D54"/>
    <w:multiLevelType w:val="hybridMultilevel"/>
    <w:lvl w:ilvl="0">
      <w:lvlJc w:val="left"/>
      <w:lvlText w:val="%1."/>
      <w:numFmt w:val="decimal"/>
      <w:start w:val="25"/>
    </w:lvl>
  </w:abstractNum>
  <w:abstractNum w:abstractNumId="292">
    <w:nsid w:val="6F00529A"/>
    <w:multiLevelType w:val="hybridMultilevel"/>
    <w:lvl w:ilvl="0">
      <w:lvlJc w:val="left"/>
      <w:lvlText w:val="%1."/>
      <w:numFmt w:val="decimal"/>
      <w:start w:val="27"/>
    </w:lvl>
  </w:abstractNum>
  <w:abstractNum w:abstractNumId="293">
    <w:nsid w:val="805B331"/>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294">
    <w:nsid w:val="60A1463"/>
    <w:multiLevelType w:val="hybridMultilevel"/>
    <w:lvl w:ilvl="0">
      <w:lvlJc w:val="left"/>
      <w:lvlText w:val="(%1)"/>
      <w:numFmt w:val="lowerLetter"/>
      <w:start w:val="2"/>
    </w:lvl>
  </w:abstractNum>
  <w:abstractNum w:abstractNumId="295">
    <w:nsid w:val="43773132"/>
    <w:multiLevelType w:val="hybridMultilevel"/>
    <w:lvl w:ilvl="0">
      <w:lvlJc w:val="left"/>
      <w:lvlText w:val="%1."/>
      <w:numFmt w:val="decimal"/>
      <w:start w:val="31"/>
    </w:lvl>
  </w:abstractNum>
  <w:abstractNum w:abstractNumId="296">
    <w:nsid w:val="16AC4B23"/>
    <w:multiLevelType w:val="hybridMultilevel"/>
    <w:lvl w:ilvl="0">
      <w:lvlJc w:val="left"/>
      <w:lvlText w:val="%1."/>
      <w:numFmt w:val="decimal"/>
      <w:start w:val="36"/>
    </w:lvl>
  </w:abstractNum>
  <w:abstractNum w:abstractNumId="297">
    <w:nsid w:val="76C44E4E"/>
    <w:multiLevelType w:val="hybridMultilevel"/>
    <w:lvl w:ilvl="0">
      <w:lvlJc w:val="left"/>
      <w:lvlText w:val="%1."/>
      <w:numFmt w:val="decimal"/>
      <w:start w:val="37"/>
    </w:lvl>
  </w:abstractNum>
  <w:abstractNum w:abstractNumId="298">
    <w:nsid w:val="E04E6CE"/>
    <w:multiLevelType w:val="hybridMultilevel"/>
    <w:lvl w:ilvl="0">
      <w:lvlJc w:val="left"/>
      <w:lvlText w:val="%1."/>
      <w:numFmt w:val="decimal"/>
      <w:start w:val="38"/>
    </w:lvl>
  </w:abstractNum>
  <w:abstractNum w:abstractNumId="299">
    <w:nsid w:val="31A9DB76"/>
    <w:multiLevelType w:val="hybridMultilevel"/>
    <w:lvl w:ilvl="0">
      <w:lvlJc w:val="left"/>
      <w:lvlText w:val="•"/>
      <w:numFmt w:val="bullet"/>
      <w:start w:val="1"/>
    </w:lvl>
    <w:lvl w:ilvl="1">
      <w:lvlJc w:val="left"/>
      <w:lvlText w:val="-"/>
      <w:numFmt w:val="bullet"/>
      <w:start w:val="1"/>
    </w:lvl>
  </w:abstractNum>
  <w:abstractNum w:abstractNumId="300">
    <w:nsid w:val="4C4FFF5B"/>
    <w:multiLevelType w:val="hybridMultilevel"/>
    <w:lvl w:ilvl="0">
      <w:lvlJc w:val="left"/>
      <w:lvlText w:val="%1."/>
      <w:numFmt w:val="decimal"/>
      <w:start w:val="1"/>
    </w:lvl>
  </w:abstractNum>
  <w:abstractNum w:abstractNumId="301">
    <w:nsid w:val="51B76675"/>
    <w:multiLevelType w:val="hybridMultilevel"/>
    <w:lvl w:ilvl="0">
      <w:lvlJc w:val="left"/>
      <w:lvlText w:val="%1."/>
      <w:numFmt w:val="decimal"/>
      <w:start w:val="2"/>
    </w:lvl>
  </w:abstractNum>
  <w:abstractNum w:abstractNumId="302">
    <w:nsid w:val="59A4BA71"/>
    <w:multiLevelType w:val="hybridMultilevel"/>
    <w:lvl w:ilvl="0">
      <w:lvlJc w:val="left"/>
      <w:lvlText w:val="%1."/>
      <w:numFmt w:val="decimal"/>
      <w:start w:val="3"/>
    </w:lvl>
  </w:abstractNum>
  <w:abstractNum w:abstractNumId="303">
    <w:nsid w:val="450B7FB6"/>
    <w:multiLevelType w:val="hybridMultilevel"/>
    <w:lvl w:ilvl="0">
      <w:lvlJc w:val="left"/>
      <w:lvlText w:val="%1."/>
      <w:numFmt w:val="decimal"/>
      <w:start w:val="4"/>
    </w:lvl>
  </w:abstractNum>
  <w:abstractNum w:abstractNumId="304">
    <w:nsid w:val="340BF64D"/>
    <w:multiLevelType w:val="hybridMultilevel"/>
    <w:lvl w:ilvl="0">
      <w:lvlJc w:val="left"/>
      <w:lvlText w:val="%1."/>
      <w:numFmt w:val="decimal"/>
      <w:start w:val="5"/>
    </w:lvl>
  </w:abstractNum>
  <w:abstractNum w:abstractNumId="305">
    <w:nsid w:val="69454021"/>
    <w:multiLevelType w:val="hybridMultilevel"/>
    <w:lvl w:ilvl="0">
      <w:lvlJc w:val="left"/>
      <w:lvlText w:val="(%1)"/>
      <w:numFmt w:val="lowerRoman"/>
      <w:start w:val="3"/>
    </w:lvl>
    <w:lvl w:ilvl="1">
      <w:lvlJc w:val="left"/>
      <w:lvlText w:val="-"/>
      <w:numFmt w:val="bullet"/>
      <w:start w:val="1"/>
    </w:lvl>
  </w:abstractNum>
  <w:abstractNum w:abstractNumId="306">
    <w:nsid w:val="49F15C6B"/>
    <w:multiLevelType w:val="hybridMultilevel"/>
    <w:lvl w:ilvl="0">
      <w:lvlJc w:val="left"/>
      <w:lvlText w:val="(%1)"/>
      <w:numFmt w:val="decimal"/>
      <w:start w:val="35"/>
    </w:lvl>
  </w:abstractNum>
  <w:abstractNum w:abstractNumId="307">
    <w:nsid w:val="75F56228"/>
    <w:multiLevelType w:val="hybridMultilevel"/>
    <w:lvl w:ilvl="0">
      <w:lvlJc w:val="left"/>
      <w:lvlText w:val="(%1)"/>
      <w:numFmt w:val="decimal"/>
      <w:start w:val="30"/>
    </w:lvl>
  </w:abstractNum>
  <w:abstractNum w:abstractNumId="308">
    <w:nsid w:val="1C618271"/>
    <w:multiLevelType w:val="hybridMultilevel"/>
    <w:lvl w:ilvl="0">
      <w:lvlJc w:val="left"/>
      <w:lvlText w:val="%1."/>
      <w:numFmt w:val="decimal"/>
      <w:start w:val="6"/>
    </w:lvl>
  </w:abstractNum>
  <w:abstractNum w:abstractNumId="309">
    <w:nsid w:val="6505F02E"/>
    <w:multiLevelType w:val="hybridMultilevel"/>
    <w:lvl w:ilvl="0">
      <w:lvlJc w:val="left"/>
      <w:lvlText w:val="%1."/>
      <w:numFmt w:val="decimal"/>
      <w:start w:val="7"/>
    </w:lvl>
  </w:abstractNum>
  <w:abstractNum w:abstractNumId="310">
    <w:nsid w:val="2FE5D025"/>
    <w:multiLevelType w:val="hybridMultilevel"/>
    <w:lvl w:ilvl="0">
      <w:lvlJc w:val="left"/>
      <w:lvlText w:val="%1."/>
      <w:numFmt w:val="decimal"/>
      <w:start w:val="8"/>
    </w:lvl>
  </w:abstractNum>
  <w:abstractNum w:abstractNumId="311">
    <w:nsid w:val="30E1B1CF"/>
    <w:multiLevelType w:val="hybridMultilevel"/>
    <w:lvl w:ilvl="0">
      <w:lvlJc w:val="left"/>
      <w:lvlText w:val="%1."/>
      <w:numFmt w:val="decimal"/>
      <w:start w:val="9"/>
    </w:lvl>
  </w:abstractNum>
  <w:abstractNum w:abstractNumId="312">
    <w:nsid w:val="C7A9237"/>
    <w:multiLevelType w:val="hybridMultilevel"/>
    <w:lvl w:ilvl="0">
      <w:lvlJc w:val="left"/>
      <w:lvlText w:val="%1"/>
      <w:numFmt w:val="upperLetter"/>
      <w:start w:val="35"/>
    </w:lvl>
  </w:abstractNum>
  <w:abstractNum w:abstractNumId="313">
    <w:nsid w:val="676B3580"/>
    <w:multiLevelType w:val="hybridMultilevel"/>
    <w:lvl w:ilvl="0">
      <w:lvlJc w:val="left"/>
      <w:lvlText w:val="(%1)"/>
      <w:numFmt w:val="decimal"/>
      <w:start w:val="1"/>
    </w:lvl>
  </w:abstractNum>
  <w:abstractNum w:abstractNumId="314">
    <w:nsid w:val="3193C8F9"/>
    <w:multiLevelType w:val="hybridMultilevel"/>
    <w:lvl w:ilvl="0">
      <w:lvlJc w:val="left"/>
      <w:lvlText w:val="%1."/>
      <w:numFmt w:val="decimal"/>
      <w:start w:val="1"/>
    </w:lvl>
  </w:abstractNum>
  <w:abstractNum w:abstractNumId="315">
    <w:nsid w:val="5FA6C6DC"/>
    <w:multiLevelType w:val="hybridMultilevel"/>
    <w:lvl w:ilvl="0">
      <w:lvlJc w:val="left"/>
      <w:lvlText w:val="(%1)"/>
      <w:numFmt w:val="lowerLetter"/>
      <w:start w:val="1"/>
    </w:lvl>
    <w:lvl w:ilvl="1">
      <w:lvlJc w:val="left"/>
      <w:lvlText w:val="-"/>
      <w:numFmt w:val="bullet"/>
      <w:start w:val="1"/>
    </w:lvl>
  </w:abstractNum>
  <w:abstractNum w:abstractNumId="316">
    <w:nsid w:val="77933F62"/>
    <w:multiLevelType w:val="hybridMultilevel"/>
    <w:lvl w:ilvl="0">
      <w:lvlJc w:val="left"/>
      <w:lvlText w:val="(%1)"/>
      <w:numFmt w:val="lowerLetter"/>
      <w:start w:val="4"/>
    </w:lvl>
  </w:abstractNum>
  <w:abstractNum w:abstractNumId="317">
    <w:nsid w:val="6CB4EE9C"/>
    <w:multiLevelType w:val="hybridMultilevel"/>
    <w:lvl w:ilvl="0">
      <w:lvlJc w:val="left"/>
      <w:lvlText w:val="(%1)"/>
      <w:numFmt w:val="lowerLetter"/>
      <w:start w:val="1"/>
    </w:lvl>
  </w:abstractNum>
  <w:abstractNum w:abstractNumId="318">
    <w:nsid w:val="6A6D56D7"/>
    <w:multiLevelType w:val="hybridMultilevel"/>
    <w:lvl w:ilvl="0">
      <w:lvlJc w:val="left"/>
      <w:lvlText w:val="%1."/>
      <w:numFmt w:val="decimal"/>
      <w:start w:val="2"/>
    </w:lvl>
  </w:abstractNum>
  <w:abstractNum w:abstractNumId="319">
    <w:nsid w:val="5B727F19"/>
    <w:multiLevelType w:val="hybridMultilevel"/>
    <w:lvl w:ilvl="0">
      <w:lvlJc w:val="left"/>
      <w:lvlText w:val="%1."/>
      <w:numFmt w:val="decimal"/>
      <w:start w:val="3"/>
    </w:lvl>
  </w:abstractNum>
  <w:abstractNum w:abstractNumId="320">
    <w:nsid w:val="514E5CB0"/>
    <w:multiLevelType w:val="hybridMultilevel"/>
    <w:lvl w:ilvl="0">
      <w:lvlJc w:val="left"/>
      <w:lvlText w:val="%1."/>
      <w:numFmt w:val="decimal"/>
      <w:start w:val="4"/>
    </w:lvl>
  </w:abstractNum>
  <w:abstractNum w:abstractNumId="321">
    <w:nsid w:val="4210D41E"/>
    <w:multiLevelType w:val="hybridMultilevel"/>
    <w:lvl w:ilvl="0">
      <w:lvlJc w:val="left"/>
      <w:lvlText w:val="%1."/>
      <w:numFmt w:val="decimal"/>
      <w:start w:val="6"/>
    </w:lvl>
  </w:abstractNum>
  <w:abstractNum w:abstractNumId="322">
    <w:nsid w:val="4FF4CC6D"/>
    <w:multiLevelType w:val="hybridMultilevel"/>
    <w:lvl w:ilvl="0">
      <w:lvlJc w:val="left"/>
      <w:lvlText w:val="%1."/>
      <w:numFmt w:val="decimal"/>
      <w:start w:val="7"/>
    </w:lvl>
  </w:abstractNum>
  <w:abstractNum w:abstractNumId="323">
    <w:nsid w:val="404EAF4A"/>
    <w:multiLevelType w:val="hybridMultilevel"/>
    <w:lvl w:ilvl="0">
      <w:lvlJc w:val="left"/>
      <w:lvlText w:val="%1."/>
      <w:numFmt w:val="decimal"/>
      <w:start w:val="8"/>
    </w:lvl>
  </w:abstractNum>
  <w:abstractNum w:abstractNumId="324">
    <w:nsid w:val="4A16874F"/>
    <w:multiLevelType w:val="hybridMultilevel"/>
    <w:lvl w:ilvl="0">
      <w:lvlJc w:val="left"/>
      <w:lvlText w:val="%1."/>
      <w:numFmt w:val="decimal"/>
      <w:start w:val="9"/>
    </w:lvl>
  </w:abstractNum>
  <w:abstractNum w:abstractNumId="325">
    <w:nsid w:val="55FEE0D1"/>
    <w:multiLevelType w:val="hybridMultilevel"/>
    <w:lvl w:ilvl="0">
      <w:lvlJc w:val="left"/>
      <w:lvlText w:val="%1."/>
      <w:numFmt w:val="decimal"/>
      <w:start w:val="10"/>
    </w:lvl>
  </w:abstractNum>
  <w:abstractNum w:abstractNumId="326">
    <w:nsid w:val="3C5E07C"/>
    <w:multiLevelType w:val="hybridMultilevel"/>
    <w:lvl w:ilvl="0">
      <w:lvlJc w:val="left"/>
      <w:lvlText w:val="%1."/>
      <w:numFmt w:val="decimal"/>
      <w:start w:val="11"/>
    </w:lvl>
  </w:abstractNum>
  <w:abstractNum w:abstractNumId="327">
    <w:nsid w:val="60C2D273"/>
    <w:multiLevelType w:val="hybridMultilevel"/>
    <w:lvl w:ilvl="0">
      <w:lvlJc w:val="left"/>
      <w:lvlText w:val="%1."/>
      <w:numFmt w:val="decimal"/>
      <w:start w:val="12"/>
    </w:lvl>
  </w:abstractNum>
  <w:abstractNum w:abstractNumId="328">
    <w:nsid w:val="4CC32F1F"/>
    <w:multiLevelType w:val="hybridMultilevel"/>
    <w:lvl w:ilvl="0">
      <w:lvlJc w:val="left"/>
      <w:lvlText w:val="%1."/>
      <w:numFmt w:val="decimal"/>
      <w:start w:val="13"/>
    </w:lvl>
  </w:abstractNum>
  <w:abstractNum w:abstractNumId="329">
    <w:nsid w:val="11CAC74A"/>
    <w:multiLevelType w:val="hybridMultilevel"/>
    <w:lvl w:ilvl="0">
      <w:lvlJc w:val="left"/>
      <w:lvlText w:val="%1."/>
      <w:numFmt w:val="decimal"/>
      <w:start w:val="14"/>
    </w:lvl>
  </w:abstractNum>
  <w:abstractNum w:abstractNumId="330">
    <w:nsid w:val="126CADE9"/>
    <w:multiLevelType w:val="hybridMultilevel"/>
    <w:lvl w:ilvl="0">
      <w:lvlJc w:val="left"/>
      <w:lvlText w:val="%1."/>
      <w:numFmt w:val="decimal"/>
      <w:start w:val="15"/>
    </w:lvl>
  </w:abstractNum>
  <w:abstractNum w:abstractNumId="331">
    <w:nsid w:val="19132E7B"/>
    <w:multiLevelType w:val="hybridMultilevel"/>
    <w:lvl w:ilvl="0">
      <w:lvlJc w:val="left"/>
      <w:lvlText w:val="%1."/>
      <w:numFmt w:val="decimal"/>
      <w:start w:val="16"/>
    </w:lvl>
  </w:abstractNum>
  <w:abstractNum w:abstractNumId="332">
    <w:nsid w:val="63822DC0"/>
    <w:multiLevelType w:val="hybridMultilevel"/>
    <w:lvl w:ilvl="0">
      <w:lvlJc w:val="left"/>
      <w:lvlText w:val="%1."/>
      <w:numFmt w:val="decimal"/>
      <w:start w:val="17"/>
    </w:lvl>
  </w:abstractNum>
  <w:abstractNum w:abstractNumId="333">
    <w:nsid w:val="6C11685A"/>
    <w:multiLevelType w:val="hybridMultilevel"/>
    <w:lvl w:ilvl="0">
      <w:lvlJc w:val="left"/>
      <w:lvlText w:val="%1."/>
      <w:numFmt w:val="decimal"/>
      <w:start w:val="18"/>
    </w:lvl>
  </w:abstractNum>
  <w:abstractNum w:abstractNumId="334">
    <w:nsid w:val="5E1EAE31"/>
    <w:multiLevelType w:val="hybridMultilevel"/>
    <w:lvl w:ilvl="0">
      <w:lvlJc w:val="left"/>
      <w:lvlText w:val="%1."/>
      <w:numFmt w:val="decimal"/>
      <w:start w:val="19"/>
    </w:lvl>
  </w:abstractNum>
  <w:abstractNum w:abstractNumId="335">
    <w:nsid w:val="178E240D"/>
    <w:multiLevelType w:val="hybridMultilevel"/>
    <w:lvl w:ilvl="0">
      <w:lvlJc w:val="left"/>
      <w:lvlText w:val="%1."/>
      <w:numFmt w:val="decimal"/>
      <w:start w:val="20"/>
    </w:lvl>
  </w:abstractNum>
  <w:abstractNum w:abstractNumId="336">
    <w:nsid w:val="5556A87B"/>
    <w:multiLevelType w:val="hybridMultilevel"/>
    <w:lvl w:ilvl="0">
      <w:lvlJc w:val="left"/>
      <w:lvlText w:val="%1."/>
      <w:numFmt w:val="decimal"/>
      <w:start w:val="21"/>
    </w:lvl>
  </w:abstractNum>
  <w:abstractNum w:abstractNumId="337">
    <w:nsid w:val="28100A9C"/>
    <w:multiLevelType w:val="hybridMultilevel"/>
    <w:lvl w:ilvl="0">
      <w:lvlJc w:val="left"/>
      <w:lvlText w:val="%1."/>
      <w:numFmt w:val="decimal"/>
      <w:start w:val="22"/>
    </w:lvl>
  </w:abstractNum>
  <w:abstractNum w:abstractNumId="338">
    <w:nsid w:val="D838636"/>
    <w:multiLevelType w:val="hybridMultilevel"/>
    <w:lvl w:ilvl="0">
      <w:lvlJc w:val="left"/>
      <w:lvlText w:val="%1."/>
      <w:numFmt w:val="decimal"/>
      <w:start w:val="23"/>
    </w:lvl>
  </w:abstractNum>
  <w:abstractNum w:abstractNumId="339">
    <w:nsid w:val="71B82AED"/>
    <w:multiLevelType w:val="hybridMultilevel"/>
    <w:lvl w:ilvl="0">
      <w:lvlJc w:val="left"/>
      <w:lvlText w:val="%1."/>
      <w:numFmt w:val="decimal"/>
      <w:start w:val="25"/>
    </w:lvl>
  </w:abstractNum>
  <w:abstractNum w:abstractNumId="340">
    <w:nsid w:val="D15FACA"/>
    <w:multiLevelType w:val="hybridMultilevel"/>
    <w:lvl w:ilvl="0">
      <w:lvlJc w:val="left"/>
      <w:lvlText w:val="%1."/>
      <w:numFmt w:val="decimal"/>
      <w:start w:val="27"/>
    </w:lvl>
  </w:abstractNum>
  <w:abstractNum w:abstractNumId="341">
    <w:nsid w:val="3D69565B"/>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342">
    <w:nsid w:val="2299DCBC"/>
    <w:multiLevelType w:val="hybridMultilevel"/>
    <w:lvl w:ilvl="0">
      <w:lvlJc w:val="left"/>
      <w:lvlText w:val="(%1)"/>
      <w:numFmt w:val="lowerLetter"/>
      <w:start w:val="2"/>
    </w:lvl>
  </w:abstractNum>
  <w:abstractNum w:abstractNumId="343">
    <w:nsid w:val="19908D02"/>
    <w:multiLevelType w:val="hybridMultilevel"/>
    <w:lvl w:ilvl="0">
      <w:lvlJc w:val="left"/>
      <w:lvlText w:val="%1."/>
      <w:numFmt w:val="decimal"/>
      <w:start w:val="31"/>
    </w:lvl>
  </w:abstractNum>
  <w:abstractNum w:abstractNumId="344">
    <w:nsid w:val="24D48BDB"/>
    <w:multiLevelType w:val="hybridMultilevel"/>
    <w:lvl w:ilvl="0">
      <w:lvlJc w:val="left"/>
      <w:lvlText w:val="%1."/>
      <w:numFmt w:val="decimal"/>
      <w:start w:val="36"/>
    </w:lvl>
  </w:abstractNum>
  <w:abstractNum w:abstractNumId="345">
    <w:nsid w:val="542DA5B5"/>
    <w:multiLevelType w:val="hybridMultilevel"/>
    <w:lvl w:ilvl="0">
      <w:lvlJc w:val="left"/>
      <w:lvlText w:val="%1."/>
      <w:numFmt w:val="decimal"/>
      <w:start w:val="37"/>
    </w:lvl>
  </w:abstractNum>
  <w:abstractNum w:abstractNumId="346">
    <w:nsid w:val="793753DE"/>
    <w:multiLevelType w:val="hybridMultilevel"/>
    <w:lvl w:ilvl="0">
      <w:lvlJc w:val="left"/>
      <w:lvlText w:val="%1."/>
      <w:numFmt w:val="decimal"/>
      <w:start w:val="38"/>
    </w:lvl>
  </w:abstractNum>
  <w:abstractNum w:abstractNumId="347">
    <w:nsid w:val="1C67CB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8">
    <w:nsid w:val="40E29452"/>
    <w:multiLevelType w:val="hybridMultilevel"/>
    <w:lvl w:ilvl="0">
      <w:lvlJc w:val="left"/>
      <w:lvlText w:val="%1."/>
      <w:numFmt w:val="decimal"/>
      <w:start w:val="1"/>
    </w:lvl>
  </w:abstractNum>
  <w:abstractNum w:abstractNumId="349">
    <w:nsid w:val="63A4AAB6"/>
    <w:multiLevelType w:val="hybridMultilevel"/>
    <w:lvl w:ilvl="0">
      <w:lvlJc w:val="left"/>
      <w:lvlText w:val="%1."/>
      <w:numFmt w:val="decimal"/>
      <w:start w:val="2"/>
    </w:lvl>
  </w:abstractNum>
  <w:abstractNum w:abstractNumId="350">
    <w:nsid w:val="77DA4A57"/>
    <w:multiLevelType w:val="hybridMultilevel"/>
    <w:lvl w:ilvl="0">
      <w:lvlJc w:val="left"/>
      <w:lvlText w:val="%1."/>
      <w:numFmt w:val="decimal"/>
      <w:start w:val="3"/>
    </w:lvl>
  </w:abstractNum>
  <w:abstractNum w:abstractNumId="351">
    <w:nsid w:val="1230F102"/>
    <w:multiLevelType w:val="hybridMultilevel"/>
    <w:lvl w:ilvl="0">
      <w:lvlJc w:val="left"/>
      <w:lvlText w:val="%1."/>
      <w:numFmt w:val="decimal"/>
      <w:start w:val="4"/>
    </w:lvl>
  </w:abstractNum>
  <w:abstractNum w:abstractNumId="352">
    <w:nsid w:val="25B57ED4"/>
    <w:multiLevelType w:val="hybridMultilevel"/>
    <w:lvl w:ilvl="0">
      <w:lvlJc w:val="left"/>
      <w:lvlText w:val="%1."/>
      <w:numFmt w:val="decimal"/>
      <w:start w:val="5"/>
    </w:lvl>
  </w:abstractNum>
  <w:abstractNum w:abstractNumId="353">
    <w:nsid w:val="47CF16C4"/>
    <w:multiLevelType w:val="hybridMultilevel"/>
    <w:lvl w:ilvl="0">
      <w:lvlJc w:val="left"/>
      <w:lvlText w:val="(%1)"/>
      <w:numFmt w:val="lowerRoman"/>
      <w:start w:val="3"/>
    </w:lvl>
    <w:lvl w:ilvl="1">
      <w:lvlJc w:val="left"/>
      <w:lvlText w:val="-"/>
      <w:numFmt w:val="bullet"/>
      <w:start w:val="1"/>
    </w:lvl>
  </w:abstractNum>
  <w:abstractNum w:abstractNumId="354">
    <w:nsid w:val="527FA04C"/>
    <w:multiLevelType w:val="hybridMultilevel"/>
    <w:lvl w:ilvl="0">
      <w:lvlJc w:val="left"/>
      <w:lvlText w:val="(%1)"/>
      <w:numFmt w:val="decimal"/>
      <w:start w:val="35"/>
    </w:lvl>
  </w:abstractNum>
  <w:abstractNum w:abstractNumId="355">
    <w:nsid w:val="6FCC0624"/>
    <w:multiLevelType w:val="hybridMultilevel"/>
    <w:lvl w:ilvl="0">
      <w:lvlJc w:val="left"/>
      <w:lvlText w:val="(%1)"/>
      <w:numFmt w:val="decimal"/>
      <w:start w:val="30"/>
    </w:lvl>
  </w:abstractNum>
  <w:abstractNum w:abstractNumId="356">
    <w:nsid w:val="1DCDF795"/>
    <w:multiLevelType w:val="hybridMultilevel"/>
    <w:lvl w:ilvl="0">
      <w:lvlJc w:val="left"/>
      <w:lvlText w:val="%1."/>
      <w:numFmt w:val="decimal"/>
      <w:start w:val="6"/>
    </w:lvl>
  </w:abstractNum>
  <w:abstractNum w:abstractNumId="357">
    <w:nsid w:val="564580C8"/>
    <w:multiLevelType w:val="hybridMultilevel"/>
    <w:lvl w:ilvl="0">
      <w:lvlJc w:val="left"/>
      <w:lvlText w:val="%1."/>
      <w:numFmt w:val="decimal"/>
      <w:start w:val="7"/>
    </w:lvl>
  </w:abstractNum>
  <w:abstractNum w:abstractNumId="358">
    <w:nsid w:val="508ED897"/>
    <w:multiLevelType w:val="hybridMultilevel"/>
    <w:lvl w:ilvl="0">
      <w:lvlJc w:val="left"/>
      <w:lvlText w:val="%1."/>
      <w:numFmt w:val="decimal"/>
      <w:start w:val="8"/>
    </w:lvl>
  </w:abstractNum>
  <w:abstractNum w:abstractNumId="359">
    <w:nsid w:val="6A9126B5"/>
    <w:multiLevelType w:val="hybridMultilevel"/>
    <w:lvl w:ilvl="0">
      <w:lvlJc w:val="left"/>
      <w:lvlText w:val="%1."/>
      <w:numFmt w:val="decimal"/>
      <w:start w:val="9"/>
    </w:lvl>
  </w:abstractNum>
  <w:abstractNum w:abstractNumId="360">
    <w:nsid w:val="68104812"/>
    <w:multiLevelType w:val="hybridMultilevel"/>
    <w:lvl w:ilvl="0">
      <w:lvlJc w:val="left"/>
      <w:lvlText w:val="%1"/>
      <w:numFmt w:val="upperLetter"/>
      <w:start w:val="35"/>
    </w:lvl>
  </w:abstractNum>
  <w:abstractNum w:abstractNumId="361">
    <w:nsid w:val="62FB8680"/>
    <w:multiLevelType w:val="hybridMultilevel"/>
    <w:lvl w:ilvl="0">
      <w:lvlJc w:val="left"/>
      <w:lvlText w:val="(%1)"/>
      <w:numFmt w:val="decimal"/>
      <w:start w:val="1"/>
    </w:lvl>
  </w:abstractNum>
  <w:abstractNum w:abstractNumId="362">
    <w:nsid w:val="3A45530"/>
    <w:multiLevelType w:val="hybridMultilevel"/>
    <w:lvl w:ilvl="0">
      <w:lvlJc w:val="left"/>
      <w:lvlText w:val="%1."/>
      <w:numFmt w:val="decimal"/>
      <w:start w:val="1"/>
    </w:lvl>
  </w:abstractNum>
  <w:abstractNum w:abstractNumId="363">
    <w:nsid w:val="4B9275D2"/>
    <w:multiLevelType w:val="hybridMultilevel"/>
    <w:lvl w:ilvl="0">
      <w:lvlJc w:val="left"/>
      <w:lvlText w:val="(%1)"/>
      <w:numFmt w:val="lowerLetter"/>
      <w:start w:val="1"/>
    </w:lvl>
    <w:lvl w:ilvl="1">
      <w:lvlJc w:val="left"/>
      <w:lvlText w:val="-"/>
      <w:numFmt w:val="bullet"/>
      <w:start w:val="1"/>
    </w:lvl>
  </w:abstractNum>
  <w:abstractNum w:abstractNumId="364">
    <w:nsid w:val="4F0CEEDB"/>
    <w:multiLevelType w:val="hybridMultilevel"/>
    <w:lvl w:ilvl="0">
      <w:lvlJc w:val="left"/>
      <w:lvlText w:val="(%1)"/>
      <w:numFmt w:val="lowerLetter"/>
      <w:start w:val="4"/>
    </w:lvl>
  </w:abstractNum>
  <w:abstractNum w:abstractNumId="365">
    <w:nsid w:val="61C30361"/>
    <w:multiLevelType w:val="hybridMultilevel"/>
    <w:lvl w:ilvl="0">
      <w:lvlJc w:val="left"/>
      <w:lvlText w:val="(%1)"/>
      <w:numFmt w:val="lowerLetter"/>
      <w:start w:val="1"/>
    </w:lvl>
  </w:abstractNum>
  <w:abstractNum w:abstractNumId="366">
    <w:nsid w:val="632099E0"/>
    <w:multiLevelType w:val="hybridMultilevel"/>
    <w:lvl w:ilvl="0">
      <w:lvlJc w:val="left"/>
      <w:lvlText w:val="%1."/>
      <w:numFmt w:val="decimal"/>
      <w:start w:val="2"/>
    </w:lvl>
  </w:abstractNum>
  <w:abstractNum w:abstractNumId="367">
    <w:nsid w:val="24639756"/>
    <w:multiLevelType w:val="hybridMultilevel"/>
    <w:lvl w:ilvl="0">
      <w:lvlJc w:val="left"/>
      <w:lvlText w:val="%1."/>
      <w:numFmt w:val="decimal"/>
      <w:start w:val="3"/>
    </w:lvl>
  </w:abstractNum>
  <w:abstractNum w:abstractNumId="368">
    <w:nsid w:val="9D30DFD"/>
    <w:multiLevelType w:val="hybridMultilevel"/>
    <w:lvl w:ilvl="0">
      <w:lvlJc w:val="left"/>
      <w:lvlText w:val="%1."/>
      <w:numFmt w:val="decimal"/>
      <w:start w:val="4"/>
    </w:lvl>
  </w:abstractNum>
  <w:abstractNum w:abstractNumId="369">
    <w:nsid w:val="70A42016"/>
    <w:multiLevelType w:val="hybridMultilevel"/>
    <w:lvl w:ilvl="0">
      <w:lvlJc w:val="left"/>
      <w:lvlText w:val="%1."/>
      <w:numFmt w:val="decimal"/>
      <w:start w:val="6"/>
    </w:lvl>
  </w:abstractNum>
  <w:abstractNum w:abstractNumId="370">
    <w:nsid w:val="161BC243"/>
    <w:multiLevelType w:val="hybridMultilevel"/>
    <w:lvl w:ilvl="0">
      <w:lvlJc w:val="left"/>
      <w:lvlText w:val="%1."/>
      <w:numFmt w:val="decimal"/>
      <w:start w:val="7"/>
    </w:lvl>
  </w:abstractNum>
  <w:abstractNum w:abstractNumId="371">
    <w:nsid w:val="16E908C8"/>
    <w:multiLevelType w:val="hybridMultilevel"/>
    <w:lvl w:ilvl="0">
      <w:lvlJc w:val="left"/>
      <w:lvlText w:val="%1."/>
      <w:numFmt w:val="decimal"/>
      <w:start w:val="8"/>
    </w:lvl>
  </w:abstractNum>
  <w:abstractNum w:abstractNumId="372">
    <w:nsid w:val="2E0D7671"/>
    <w:multiLevelType w:val="hybridMultilevel"/>
    <w:lvl w:ilvl="0">
      <w:lvlJc w:val="left"/>
      <w:lvlText w:val="%1."/>
      <w:numFmt w:val="decimal"/>
      <w:start w:val="9"/>
    </w:lvl>
  </w:abstractNum>
  <w:abstractNum w:abstractNumId="373">
    <w:nsid w:val="38B59EFF"/>
    <w:multiLevelType w:val="hybridMultilevel"/>
    <w:lvl w:ilvl="0">
      <w:lvlJc w:val="left"/>
      <w:lvlText w:val="%1."/>
      <w:numFmt w:val="decimal"/>
      <w:start w:val="10"/>
    </w:lvl>
  </w:abstractNum>
  <w:abstractNum w:abstractNumId="374">
    <w:nsid w:val="307995CA"/>
    <w:multiLevelType w:val="hybridMultilevel"/>
    <w:lvl w:ilvl="0">
      <w:lvlJc w:val="left"/>
      <w:lvlText w:val="%1."/>
      <w:numFmt w:val="decimal"/>
      <w:start w:val="11"/>
    </w:lvl>
  </w:abstractNum>
  <w:abstractNum w:abstractNumId="375">
    <w:nsid w:val="52E2024D"/>
    <w:multiLevelType w:val="hybridMultilevel"/>
    <w:lvl w:ilvl="0">
      <w:lvlJc w:val="left"/>
      <w:lvlText w:val="%1."/>
      <w:numFmt w:val="decimal"/>
      <w:start w:val="12"/>
    </w:lvl>
  </w:abstractNum>
  <w:abstractNum w:abstractNumId="376">
    <w:nsid w:val="CE344B5"/>
    <w:multiLevelType w:val="hybridMultilevel"/>
    <w:lvl w:ilvl="0">
      <w:lvlJc w:val="left"/>
      <w:lvlText w:val="%1."/>
      <w:numFmt w:val="decimal"/>
      <w:start w:val="13"/>
    </w:lvl>
  </w:abstractNum>
  <w:abstractNum w:abstractNumId="377">
    <w:nsid w:val="29B0E9A8"/>
    <w:multiLevelType w:val="hybridMultilevel"/>
    <w:lvl w:ilvl="0">
      <w:lvlJc w:val="left"/>
      <w:lvlText w:val="%1."/>
      <w:numFmt w:val="decimal"/>
      <w:start w:val="14"/>
    </w:lvl>
  </w:abstractNum>
  <w:abstractNum w:abstractNumId="378">
    <w:nsid w:val="6F49CD8A"/>
    <w:multiLevelType w:val="hybridMultilevel"/>
    <w:lvl w:ilvl="0">
      <w:lvlJc w:val="left"/>
      <w:lvlText w:val="%1."/>
      <w:numFmt w:val="decimal"/>
      <w:start w:val="15"/>
    </w:lvl>
  </w:abstractNum>
  <w:abstractNum w:abstractNumId="379">
    <w:nsid w:val="4DC5D907"/>
    <w:multiLevelType w:val="hybridMultilevel"/>
    <w:lvl w:ilvl="0">
      <w:lvlJc w:val="left"/>
      <w:lvlText w:val="%1."/>
      <w:numFmt w:val="decimal"/>
      <w:start w:val="16"/>
    </w:lvl>
  </w:abstractNum>
  <w:abstractNum w:abstractNumId="380">
    <w:nsid w:val="D55945E"/>
    <w:multiLevelType w:val="hybridMultilevel"/>
    <w:lvl w:ilvl="0">
      <w:lvlJc w:val="left"/>
      <w:lvlText w:val="%1."/>
      <w:numFmt w:val="decimal"/>
      <w:start w:val="17"/>
    </w:lvl>
  </w:abstractNum>
  <w:abstractNum w:abstractNumId="381">
    <w:nsid w:val="672417E1"/>
    <w:multiLevelType w:val="hybridMultilevel"/>
    <w:lvl w:ilvl="0">
      <w:lvlJc w:val="left"/>
      <w:lvlText w:val="%1."/>
      <w:numFmt w:val="decimal"/>
      <w:start w:val="18"/>
    </w:lvl>
  </w:abstractNum>
  <w:abstractNum w:abstractNumId="382">
    <w:nsid w:val="5FF6CA09"/>
    <w:multiLevelType w:val="hybridMultilevel"/>
    <w:lvl w:ilvl="0">
      <w:lvlJc w:val="left"/>
      <w:lvlText w:val="%1."/>
      <w:numFmt w:val="decimal"/>
      <w:start w:val="19"/>
    </w:lvl>
  </w:abstractNum>
  <w:abstractNum w:abstractNumId="383">
    <w:nsid w:val="330B1333"/>
    <w:multiLevelType w:val="hybridMultilevel"/>
    <w:lvl w:ilvl="0">
      <w:lvlJc w:val="left"/>
      <w:lvlText w:val="%1."/>
      <w:numFmt w:val="decimal"/>
      <w:start w:val="20"/>
    </w:lvl>
  </w:abstractNum>
  <w:abstractNum w:abstractNumId="384">
    <w:nsid w:val="2EF32EA6"/>
    <w:multiLevelType w:val="hybridMultilevel"/>
    <w:lvl w:ilvl="0">
      <w:lvlJc w:val="left"/>
      <w:lvlText w:val="%1."/>
      <w:numFmt w:val="decimal"/>
      <w:start w:val="21"/>
    </w:lvl>
  </w:abstractNum>
  <w:abstractNum w:abstractNumId="385">
    <w:nsid w:val="32766A55"/>
    <w:multiLevelType w:val="hybridMultilevel"/>
    <w:lvl w:ilvl="0">
      <w:lvlJc w:val="left"/>
      <w:lvlText w:val="%1."/>
      <w:numFmt w:val="decimal"/>
      <w:start w:val="22"/>
    </w:lvl>
  </w:abstractNum>
  <w:abstractNum w:abstractNumId="386">
    <w:nsid w:val="22D71957"/>
    <w:multiLevelType w:val="hybridMultilevel"/>
    <w:lvl w:ilvl="0">
      <w:lvlJc w:val="left"/>
      <w:lvlText w:val="%1."/>
      <w:numFmt w:val="decimal"/>
      <w:start w:val="23"/>
    </w:lvl>
  </w:abstractNum>
  <w:abstractNum w:abstractNumId="387">
    <w:nsid w:val="4CC1263B"/>
    <w:multiLevelType w:val="hybridMultilevel"/>
    <w:lvl w:ilvl="0">
      <w:lvlJc w:val="left"/>
      <w:lvlText w:val="%1."/>
      <w:numFmt w:val="decimal"/>
      <w:start w:val="25"/>
    </w:lvl>
  </w:abstractNum>
  <w:abstractNum w:abstractNumId="388">
    <w:nsid w:val="8BBEB1D"/>
    <w:multiLevelType w:val="hybridMultilevel"/>
    <w:lvl w:ilvl="0">
      <w:lvlJc w:val="left"/>
      <w:lvlText w:val="%1."/>
      <w:numFmt w:val="decimal"/>
      <w:start w:val="27"/>
    </w:lvl>
  </w:abstractNum>
  <w:abstractNum w:abstractNumId="389">
    <w:nsid w:val="7365F1EE"/>
    <w:multiLevelType w:val="hybridMultilevel"/>
    <w:lvl w:ilvl="0">
      <w:lvlJc w:val="left"/>
      <w:lvlText w:val="%1."/>
      <w:numFmt w:val="decimal"/>
      <w:start w:val="29"/>
    </w:lvl>
    <w:lvl w:ilvl="1">
      <w:lvlJc w:val="left"/>
      <w:lvlText w:val="-"/>
      <w:numFmt w:val="bullet"/>
      <w:start w:val="1"/>
    </w:lvl>
  </w:abstractNum>
  <w:abstractNum w:abstractNumId="390">
    <w:nsid w:val="37524CF0"/>
    <w:multiLevelType w:val="hybridMultilevel"/>
    <w:lvl w:ilvl="0">
      <w:lvlJc w:val="left"/>
      <w:lvlText w:val="%1."/>
      <w:numFmt w:val="decimal"/>
      <w:start w:val="30"/>
    </w:lvl>
    <w:lvl w:ilvl="1">
      <w:lvlJc w:val="left"/>
      <w:lvlText w:val="(%2)"/>
      <w:numFmt w:val="lowerLetter"/>
      <w:start w:val="1"/>
    </w:lvl>
  </w:abstractNum>
  <w:abstractNum w:abstractNumId="391">
    <w:nsid w:val="70CC332F"/>
    <w:multiLevelType w:val="hybridMultilevel"/>
    <w:lvl w:ilvl="0">
      <w:lvlJc w:val="left"/>
      <w:lvlText w:val="%1."/>
      <w:numFmt w:val="decimal"/>
      <w:start w:val="31"/>
    </w:lvl>
  </w:abstractNum>
  <w:abstractNum w:abstractNumId="392">
    <w:nsid w:val="5661786E"/>
    <w:multiLevelType w:val="hybridMultilevel"/>
    <w:lvl w:ilvl="0">
      <w:lvlJc w:val="left"/>
      <w:lvlText w:val="%1."/>
      <w:numFmt w:val="decimal"/>
      <w:start w:val="36"/>
    </w:lvl>
  </w:abstractNum>
  <w:abstractNum w:abstractNumId="393">
    <w:nsid w:val="3AF6A220"/>
    <w:multiLevelType w:val="hybridMultilevel"/>
    <w:lvl w:ilvl="0">
      <w:lvlJc w:val="left"/>
      <w:lvlText w:val="%1."/>
      <w:numFmt w:val="decimal"/>
      <w:start w:val="37"/>
    </w:lvl>
  </w:abstractNum>
  <w:abstractNum w:abstractNumId="394">
    <w:nsid w:val="3C5EA902"/>
    <w:multiLevelType w:val="hybridMultilevel"/>
    <w:lvl w:ilvl="0">
      <w:lvlJc w:val="left"/>
      <w:lvlText w:val="%1."/>
      <w:numFmt w:val="decimal"/>
      <w:start w:val="38"/>
    </w:lvl>
  </w:abstractNum>
  <w:abstractNum w:abstractNumId="395">
    <w:nsid w:val="256E6749"/>
    <w:multiLevelType w:val="hybridMultilevel"/>
    <w:lvl w:ilvl="0">
      <w:lvlJc w:val="left"/>
      <w:lvlText w:val="•"/>
      <w:numFmt w:val="bullet"/>
      <w:start w:val="1"/>
    </w:lvl>
    <w:lvl w:ilvl="1">
      <w:lvlJc w:val="left"/>
      <w:lvlText w:val="-"/>
      <w:numFmt w:val="bullet"/>
      <w:start w:val="1"/>
    </w:lvl>
  </w:abstractNum>
  <w:abstractNum w:abstractNumId="396">
    <w:nsid w:val="1CB9A581"/>
    <w:multiLevelType w:val="hybridMultilevel"/>
    <w:lvl w:ilvl="0">
      <w:lvlJc w:val="left"/>
      <w:lvlText w:val="%1."/>
      <w:numFmt w:val="decimal"/>
      <w:start w:val="1"/>
    </w:lvl>
  </w:abstractNum>
  <w:abstractNum w:abstractNumId="397">
    <w:nsid w:val="1F7F42E2"/>
    <w:multiLevelType w:val="hybridMultilevel"/>
    <w:lvl w:ilvl="0">
      <w:lvlJc w:val="left"/>
      <w:lvlText w:val="%1."/>
      <w:numFmt w:val="decimal"/>
      <w:start w:val="2"/>
    </w:lvl>
  </w:abstractNum>
  <w:abstractNum w:abstractNumId="398">
    <w:nsid w:val="49D1FEA0"/>
    <w:multiLevelType w:val="hybridMultilevel"/>
    <w:lvl w:ilvl="0">
      <w:lvlJc w:val="left"/>
      <w:lvlText w:val="%1."/>
      <w:numFmt w:val="decimal"/>
      <w:start w:val="3"/>
    </w:lvl>
  </w:abstractNum>
  <w:abstractNum w:abstractNumId="399">
    <w:nsid w:val="268CB37F"/>
    <w:multiLevelType w:val="hybridMultilevel"/>
    <w:lvl w:ilvl="0">
      <w:lvlJc w:val="left"/>
      <w:lvlText w:val="%1."/>
      <w:numFmt w:val="decimal"/>
      <w:start w:val="4"/>
    </w:lvl>
  </w:abstractNum>
  <w:abstractNum w:abstractNumId="400">
    <w:nsid w:val="102362F8"/>
    <w:multiLevelType w:val="hybridMultilevel"/>
    <w:lvl w:ilvl="0">
      <w:lvlJc w:val="left"/>
      <w:lvlText w:val="%1."/>
      <w:numFmt w:val="decimal"/>
      <w:start w:val="5"/>
    </w:lvl>
  </w:abstractNum>
  <w:abstractNum w:abstractNumId="401">
    <w:nsid w:val="5FEDC0E3"/>
    <w:multiLevelType w:val="hybridMultilevel"/>
    <w:lvl w:ilvl="0">
      <w:lvlJc w:val="left"/>
      <w:lvlText w:val="(%1)"/>
      <w:numFmt w:val="lowerRoman"/>
      <w:start w:val="3"/>
    </w:lvl>
    <w:lvl w:ilvl="1">
      <w:lvlJc w:val="left"/>
      <w:lvlText w:val="-"/>
      <w:numFmt w:val="bullet"/>
      <w:start w:val="1"/>
    </w:lvl>
  </w:abstractNum>
  <w:abstractNum w:abstractNumId="402">
    <w:nsid w:val="3D75BC47"/>
    <w:multiLevelType w:val="hybridMultilevel"/>
    <w:lvl w:ilvl="0">
      <w:lvlJc w:val="left"/>
      <w:lvlText w:val="(%1)"/>
      <w:numFmt w:val="decimal"/>
      <w:start w:val="35"/>
    </w:lvl>
  </w:abstractNum>
  <w:abstractNum w:abstractNumId="403">
    <w:nsid w:val="3E30D969"/>
    <w:multiLevelType w:val="hybridMultilevel"/>
    <w:lvl w:ilvl="0">
      <w:lvlJc w:val="left"/>
      <w:lvlText w:val="(%1)"/>
      <w:numFmt w:val="decimal"/>
      <w:start w:val="30"/>
    </w:lvl>
  </w:abstractNum>
  <w:abstractNum w:abstractNumId="404">
    <w:nsid w:val="18A35FE3"/>
    <w:multiLevelType w:val="hybridMultilevel"/>
    <w:lvl w:ilvl="0">
      <w:lvlJc w:val="left"/>
      <w:lvlText w:val="%1."/>
      <w:numFmt w:val="decimal"/>
      <w:start w:val="6"/>
    </w:lvl>
  </w:abstractNum>
  <w:abstractNum w:abstractNumId="405">
    <w:nsid w:val="6DEF5211"/>
    <w:multiLevelType w:val="hybridMultilevel"/>
    <w:lvl w:ilvl="0">
      <w:lvlJc w:val="left"/>
      <w:lvlText w:val="%1."/>
      <w:numFmt w:val="decimal"/>
      <w:start w:val="7"/>
    </w:lvl>
  </w:abstractNum>
  <w:abstractNum w:abstractNumId="406">
    <w:nsid w:val="1112DBB6"/>
    <w:multiLevelType w:val="hybridMultilevel"/>
    <w:lvl w:ilvl="0">
      <w:lvlJc w:val="left"/>
      <w:lvlText w:val="%1."/>
      <w:numFmt w:val="decimal"/>
      <w:start w:val="8"/>
    </w:lvl>
  </w:abstractNum>
  <w:abstractNum w:abstractNumId="407">
    <w:nsid w:val="2586A498"/>
    <w:multiLevelType w:val="hybridMultilevel"/>
    <w:lvl w:ilvl="0">
      <w:lvlJc w:val="left"/>
      <w:lvlText w:val="%1."/>
      <w:numFmt w:val="decimal"/>
      <w:start w:val="9"/>
    </w:lvl>
  </w:abstractNum>
  <w:abstractNum w:abstractNumId="408">
    <w:nsid w:val="17A03BB9"/>
    <w:multiLevelType w:val="hybridMultilevel"/>
    <w:lvl w:ilvl="0">
      <w:lvlJc w:val="left"/>
      <w:lvlText w:val="%1"/>
      <w:numFmt w:val="upperLetter"/>
      <w:start w:val="35"/>
    </w:lvl>
  </w:abstractNum>
  <w:abstractNum w:abstractNumId="409">
    <w:nsid w:val="5CA9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10">
    <w:nsid w:val="734C7D9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411">
    <w:nsid w:val="24F5D01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412">
    <w:nsid w:val="6780C12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13">
    <w:nsid w:val="534347A8"/>
    <w:multiLevelType w:val="hybridMultilevel"/>
    <w:lvl w:ilvl="0">
      <w:lvlJc w:val="left"/>
      <w:lvlText w:val="%1"/>
      <w:numFmt w:val="decimal"/>
      <w:start w:val="1"/>
    </w:lvl>
    <w:lvl w:ilvl="1">
      <w:lvlJc w:val="left"/>
      <w:lvlText w:val="(%2)"/>
      <w:numFmt w:val="lowerLetter"/>
      <w:start w:val="3"/>
    </w:lvl>
  </w:abstractNum>
  <w:abstractNum w:abstractNumId="414">
    <w:nsid w:val="5800E34B"/>
    <w:multiLevelType w:val="hybridMultilevel"/>
    <w:lvl w:ilvl="0">
      <w:lvlJc w:val="left"/>
      <w:lvlText w:val="%1."/>
      <w:numFmt w:val="decimal"/>
      <w:start w:val="4"/>
    </w:lvl>
    <w:lvl w:ilvl="1">
      <w:lvlJc w:val="left"/>
      <w:lvlText w:val="%2"/>
      <w:numFmt w:val="lowerLetter"/>
      <w:start w:val="1"/>
    </w:lvl>
  </w:abstractNum>
  <w:abstractNum w:abstractNumId="415">
    <w:nsid w:val="1673EFC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16">
    <w:nsid w:val="5B9B1FD"/>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3"/>
    </w:lvl>
  </w:abstractNum>
  <w:abstractNum w:abstractNumId="417">
    <w:nsid w:val="7AD7FCA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18">
    <w:nsid w:val="6335160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19">
    <w:nsid w:val="E759D1A"/>
    <w:multiLevelType w:val="hybridMultilevel"/>
    <w:lvl w:ilvl="0">
      <w:lvlJc w:val="left"/>
      <w:lvlText w:val="(%1)"/>
      <w:numFmt w:val="lowerLetter"/>
      <w:start w:val="2"/>
    </w:lvl>
    <w:lvl w:ilvl="1">
      <w:lvlJc w:val="left"/>
      <w:lvlText w:val="(%2)"/>
      <w:numFmt w:val="lowerRoman"/>
      <w:start w:val="1"/>
    </w:lvl>
  </w:abstractNum>
  <w:abstractNum w:abstractNumId="420">
    <w:nsid w:val="6E3DEE90"/>
    <w:multiLevelType w:val="hybridMultilevel"/>
    <w:lvl w:ilvl="0">
      <w:lvlJc w:val="left"/>
      <w:lvlText w:val="(%1)"/>
      <w:numFmt w:val="lowerLetter"/>
      <w:start w:val="3"/>
    </w:lvl>
    <w:lvl w:ilvl="1">
      <w:lvlJc w:val="left"/>
      <w:lvlText w:val="(%2)"/>
      <w:numFmt w:val="lowerRoman"/>
      <w:start w:val="1"/>
    </w:lvl>
  </w:abstractNum>
  <w:abstractNum w:abstractNumId="421">
    <w:nsid w:val="1A8762F4"/>
    <w:multiLevelType w:val="hybridMultilevel"/>
    <w:lvl w:ilvl="0">
      <w:lvlJc w:val="left"/>
      <w:lvlText w:val="(%1)"/>
      <w:numFmt w:val="lowerLetter"/>
      <w:start w:val="6"/>
    </w:lvl>
  </w:abstractNum>
  <w:abstractNum w:abstractNumId="422">
    <w:nsid w:val="7F41D049"/>
    <w:multiLevelType w:val="hybridMultilevel"/>
    <w:lvl w:ilvl="0">
      <w:lvlJc w:val="left"/>
      <w:lvlText w:val="%1"/>
      <w:numFmt w:val="decimal"/>
      <w:start w:val="1"/>
    </w:lvl>
    <w:lvl w:ilvl="1">
      <w:lvlJc w:val="left"/>
      <w:lvlText w:val="(%2)"/>
      <w:numFmt w:val="lowerLetter"/>
      <w:start w:val="8"/>
    </w:lvl>
  </w:abstractNum>
  <w:abstractNum w:abstractNumId="423">
    <w:nsid w:val="449F66FE"/>
    <w:multiLevelType w:val="hybridMultilevel"/>
    <w:lvl w:ilvl="0">
      <w:lvlJc w:val="left"/>
      <w:lvlText w:val="%1."/>
      <w:numFmt w:val="decimal"/>
      <w:start w:val="7"/>
    </w:lvl>
    <w:lvl w:ilvl="1">
      <w:lvlJc w:val="left"/>
      <w:lvlText w:val="(%2)"/>
      <w:numFmt w:val="lowerLetter"/>
      <w:start w:val="1"/>
    </w:lvl>
  </w:abstractNum>
  <w:abstractNum w:abstractNumId="424">
    <w:nsid w:val="557E0515"/>
    <w:multiLevelType w:val="hybridMultilevel"/>
    <w:lvl w:ilvl="0">
      <w:lvlJc w:val="left"/>
      <w:lvlText w:val="%1"/>
      <w:numFmt w:val="lowerLetter"/>
      <w:start w:val="1"/>
    </w:lvl>
    <w:lvl w:ilvl="1">
      <w:lvlJc w:val="left"/>
      <w:lvlText w:val="(%2)"/>
      <w:numFmt w:val="lowerLetter"/>
      <w:start w:val="2"/>
    </w:lvl>
  </w:abstractNum>
  <w:abstractNum w:abstractNumId="425">
    <w:nsid w:val="3BA0794B"/>
    <w:multiLevelType w:val="hybridMultilevel"/>
    <w:lvl w:ilvl="0">
      <w:lvlJc w:val="left"/>
      <w:lvlText w:val="(%1)"/>
      <w:numFmt w:val="lowerLetter"/>
      <w:start w:val="9"/>
    </w:lvl>
    <w:lvl w:ilvl="1">
      <w:lvlJc w:val="left"/>
      <w:lvlText w:val="(%2)"/>
      <w:numFmt w:val="lowerLetter"/>
      <w:start w:val="3"/>
    </w:lvl>
  </w:abstractNum>
  <w:abstractNum w:abstractNumId="426">
    <w:nsid w:val="6A0DCE48"/>
    <w:multiLevelType w:val="hybridMultilevel"/>
    <w:lvl w:ilvl="0">
      <w:lvlJc w:val="left"/>
      <w:lvlText w:val="(%1)"/>
      <w:numFmt w:val="lowerLetter"/>
      <w:start w:val="8"/>
    </w:lvl>
  </w:abstractNum>
  <w:abstractNum w:abstractNumId="427">
    <w:nsid w:val="7237AA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1"/>
    </w:lvl>
  </w:abstractNum>
  <w:abstractNum w:abstractNumId="428">
    <w:nsid w:val="5B1FBC2D"/>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429">
    <w:nsid w:val="33DFCCE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30">
    <w:nsid w:val="18C45E15"/>
    <w:multiLevelType w:val="hybridMultilevel"/>
    <w:lvl w:ilvl="0">
      <w:lvlJc w:val="left"/>
      <w:lvlText w:val="%1"/>
      <w:numFmt w:val="decimal"/>
      <w:start w:val="1"/>
    </w:lvl>
    <w:lvl w:ilvl="1">
      <w:lvlJc w:val="left"/>
      <w:lvlText w:val="(%2)"/>
      <w:numFmt w:val="lowerLetter"/>
      <w:start w:val="2"/>
    </w:lvl>
  </w:abstractNum>
  <w:abstractNum w:abstractNumId="431">
    <w:nsid w:val="6B431F25"/>
    <w:multiLevelType w:val="hybridMultilevel"/>
    <w:lvl w:ilvl="0">
      <w:lvlJc w:val="left"/>
      <w:lvlText w:val="%1."/>
      <w:numFmt w:val="decimal"/>
      <w:start w:val="10"/>
    </w:lvl>
    <w:lvl w:ilvl="1">
      <w:lvlJc w:val="left"/>
      <w:lvlText w:val="(%2)"/>
      <w:numFmt w:val="lowerLetter"/>
      <w:start w:val="1"/>
    </w:lvl>
  </w:abstractNum>
  <w:abstractNum w:abstractNumId="432">
    <w:nsid w:val="13CD8DCB"/>
    <w:multiLevelType w:val="hybridMultilevel"/>
    <w:lvl w:ilvl="0">
      <w:lvlJc w:val="left"/>
      <w:lvlText w:val="%1"/>
      <w:numFmt w:val="decimal"/>
      <w:start w:val="1"/>
    </w:lvl>
    <w:lvl w:ilvl="1">
      <w:lvlJc w:val="left"/>
      <w:lvlText w:val="(%2)"/>
      <w:numFmt w:val="lowerLetter"/>
      <w:start w:val="3"/>
    </w:lvl>
  </w:abstractNum>
  <w:abstractNum w:abstractNumId="433">
    <w:nsid w:val="563A1A5C"/>
    <w:multiLevelType w:val="hybridMultilevel"/>
    <w:lvl w:ilvl="0">
      <w:lvlJc w:val="left"/>
      <w:lvlText w:val="%1."/>
      <w:numFmt w:val="decimal"/>
      <w:start w:val="11"/>
    </w:lvl>
    <w:lvl w:ilvl="1">
      <w:lvlJc w:val="left"/>
      <w:lvlText w:val="%2"/>
      <w:numFmt w:val="lowerLetter"/>
      <w:start w:val="1"/>
    </w:lvl>
  </w:abstractNum>
  <w:abstractNum w:abstractNumId="434">
    <w:nsid w:val="2973F88F"/>
    <w:multiLevelType w:val="hybridMultilevel"/>
    <w:lvl w:ilvl="0">
      <w:lvlJc w:val="left"/>
      <w:lvlText w:val="%1"/>
      <w:numFmt w:val="lowerLetter"/>
      <w:start w:val="1"/>
    </w:lvl>
    <w:lvl w:ilvl="1">
      <w:lvlJc w:val="left"/>
      <w:lvlText w:val="%2."/>
      <w:numFmt w:val="decimal"/>
      <w:start w:val="1"/>
    </w:lvl>
  </w:abstractNum>
  <w:abstractNum w:abstractNumId="435">
    <w:nsid w:val="2C70EDAE"/>
    <w:multiLevelType w:val="hybridMultilevel"/>
    <w:lvl w:ilvl="0">
      <w:lvlJc w:val="left"/>
      <w:lvlText w:val="(%1)"/>
      <w:numFmt w:val="lowerLetter"/>
      <w:start w:val="1"/>
    </w:lvl>
    <w:lvl w:ilvl="1">
      <w:lvlJc w:val="left"/>
      <w:lvlText w:val="%2"/>
      <w:numFmt w:val="decimal"/>
      <w:start w:val="1"/>
    </w:lvl>
  </w:abstractNum>
  <w:abstractNum w:abstractNumId="436">
    <w:nsid w:val="44296C6D"/>
    <w:multiLevelType w:val="hybridMultilevel"/>
    <w:lvl w:ilvl="0">
      <w:lvlJc w:val="left"/>
      <w:lvlText w:val="(%1)"/>
      <w:numFmt w:val="lowerLetter"/>
      <w:start w:val="2"/>
    </w:lvl>
    <w:lvl w:ilvl="1">
      <w:lvlJc w:val="left"/>
      <w:lvlText w:val="(%2)"/>
      <w:numFmt w:val="lowerRoman"/>
      <w:start w:val="1"/>
    </w:lvl>
  </w:abstractNum>
  <w:abstractNum w:abstractNumId="437">
    <w:nsid w:val="3A86D445"/>
    <w:multiLevelType w:val="hybridMultilevel"/>
    <w:lvl w:ilvl="0">
      <w:lvlJc w:val="left"/>
      <w:lvlText w:val="(%1)"/>
      <w:numFmt w:val="lowerLetter"/>
      <w:start w:val="4"/>
    </w:lvl>
  </w:abstractNum>
  <w:abstractNum w:abstractNumId="438">
    <w:nsid w:val="51F79246"/>
    <w:multiLevelType w:val="hybridMultilevel"/>
    <w:lvl w:ilvl="0">
      <w:lvlJc w:val="left"/>
      <w:lvlText w:val="%1."/>
      <w:numFmt w:val="decimal"/>
      <w:start w:val="2"/>
    </w:lvl>
    <w:lvl w:ilvl="1">
      <w:lvlJc w:val="left"/>
      <w:lvlText w:val="(%2)"/>
      <w:numFmt w:val="lowerLetter"/>
      <w:start w:val="1"/>
    </w:lvl>
  </w:abstractNum>
  <w:abstractNum w:abstractNumId="439">
    <w:nsid w:val="5BC9A827"/>
    <w:multiLevelType w:val="hybridMultilevel"/>
    <w:lvl w:ilvl="0">
      <w:lvlJc w:val="left"/>
      <w:lvlText w:val="%1."/>
      <w:numFmt w:val="decimal"/>
      <w:start w:val="6"/>
    </w:lvl>
  </w:abstractNum>
  <w:abstractNum w:abstractNumId="440">
    <w:nsid w:val="3AE37D86"/>
    <w:multiLevelType w:val="hybridMultilevel"/>
    <w:lvl w:ilvl="0">
      <w:lvlJc w:val="left"/>
      <w:lvlText w:val="(%1)"/>
      <w:numFmt w:val="decimal"/>
      <w:start w:val="1"/>
    </w:lvl>
  </w:abstractNum>
  <w:abstractNum w:abstractNumId="441">
    <w:nsid w:val="45440FE5"/>
    <w:multiLevelType w:val="hybridMultilevel"/>
    <w:lvl w:ilvl="0">
      <w:lvlJc w:val="left"/>
      <w:lvlText w:val="%1."/>
      <w:numFmt w:val="decimal"/>
      <w:start w:val="1"/>
    </w:lvl>
  </w:abstractNum>
  <w:abstractNum w:abstractNumId="442">
    <w:nsid w:val="BF783F"/>
    <w:multiLevelType w:val="hybridMultilevel"/>
    <w:lvl w:ilvl="0">
      <w:lvlJc w:val="left"/>
      <w:lvlText w:val="(%1)"/>
      <w:numFmt w:val="lowerLetter"/>
      <w:start w:val="1"/>
    </w:lvl>
    <w:lvl w:ilvl="1">
      <w:lvlJc w:val="left"/>
      <w:lvlText w:val="-"/>
      <w:numFmt w:val="bullet"/>
      <w:start w:val="1"/>
    </w:lvl>
  </w:abstractNum>
  <w:abstractNum w:abstractNumId="443">
    <w:nsid w:val="22643EA9"/>
    <w:multiLevelType w:val="hybridMultilevel"/>
    <w:lvl w:ilvl="0">
      <w:lvlJc w:val="left"/>
      <w:lvlText w:val="(%1)"/>
      <w:numFmt w:val="lowerLetter"/>
      <w:start w:val="4"/>
    </w:lvl>
  </w:abstractNum>
  <w:abstractNum w:abstractNumId="444">
    <w:nsid w:val="1887578D"/>
    <w:multiLevelType w:val="hybridMultilevel"/>
    <w:lvl w:ilvl="0">
      <w:lvlJc w:val="left"/>
      <w:lvlText w:val="(%1)"/>
      <w:numFmt w:val="lowerLetter"/>
      <w:start w:val="1"/>
    </w:lvl>
  </w:abstractNum>
  <w:abstractNum w:abstractNumId="445">
    <w:nsid w:val="58C05B8A"/>
    <w:multiLevelType w:val="hybridMultilevel"/>
    <w:lvl w:ilvl="0">
      <w:lvlJc w:val="left"/>
      <w:lvlText w:val="%1."/>
      <w:numFmt w:val="decimal"/>
      <w:start w:val="2"/>
    </w:lvl>
  </w:abstractNum>
  <w:abstractNum w:abstractNumId="446">
    <w:nsid w:val="38D82E71"/>
    <w:multiLevelType w:val="hybridMultilevel"/>
    <w:lvl w:ilvl="0">
      <w:lvlJc w:val="left"/>
      <w:lvlText w:val="%1."/>
      <w:numFmt w:val="decimal"/>
      <w:start w:val="3"/>
    </w:lvl>
  </w:abstractNum>
  <w:abstractNum w:abstractNumId="447">
    <w:nsid w:val="1E41098A"/>
    <w:multiLevelType w:val="hybridMultilevel"/>
    <w:lvl w:ilvl="0">
      <w:lvlJc w:val="left"/>
      <w:lvlText w:val="%1."/>
      <w:numFmt w:val="decimal"/>
      <w:start w:val="4"/>
    </w:lvl>
  </w:abstractNum>
  <w:abstractNum w:abstractNumId="448">
    <w:nsid w:val="5398582C"/>
    <w:multiLevelType w:val="hybridMultilevel"/>
    <w:lvl w:ilvl="0">
      <w:lvlJc w:val="left"/>
      <w:lvlText w:val="%1."/>
      <w:numFmt w:val="decimal"/>
      <w:start w:val="6"/>
    </w:lvl>
  </w:abstractNum>
  <w:abstractNum w:abstractNumId="449">
    <w:nsid w:val="1C0D4475"/>
    <w:multiLevelType w:val="hybridMultilevel"/>
    <w:lvl w:ilvl="0">
      <w:lvlJc w:val="left"/>
      <w:lvlText w:val="%1."/>
      <w:numFmt w:val="decimal"/>
      <w:start w:val="7"/>
    </w:lvl>
  </w:abstractNum>
  <w:abstractNum w:abstractNumId="450">
    <w:nsid w:val="2CB6A6A4"/>
    <w:multiLevelType w:val="hybridMultilevel"/>
    <w:lvl w:ilvl="0">
      <w:lvlJc w:val="left"/>
      <w:lvlText w:val="%1."/>
      <w:numFmt w:val="decimal"/>
      <w:start w:val="8"/>
    </w:lvl>
  </w:abstractNum>
  <w:abstractNum w:abstractNumId="451">
    <w:nsid w:val="41D646BC"/>
    <w:multiLevelType w:val="hybridMultilevel"/>
    <w:lvl w:ilvl="0">
      <w:lvlJc w:val="left"/>
      <w:lvlText w:val="%1."/>
      <w:numFmt w:val="decimal"/>
      <w:start w:val="9"/>
    </w:lvl>
  </w:abstractNum>
  <w:abstractNum w:abstractNumId="452">
    <w:nsid w:val="3694A76A"/>
    <w:multiLevelType w:val="hybridMultilevel"/>
    <w:lvl w:ilvl="0">
      <w:lvlJc w:val="left"/>
      <w:lvlText w:val="%1."/>
      <w:numFmt w:val="decimal"/>
      <w:start w:val="10"/>
    </w:lvl>
  </w:abstractNum>
  <w:abstractNum w:abstractNumId="453">
    <w:nsid w:val="2BF876EE"/>
    <w:multiLevelType w:val="hybridMultilevel"/>
    <w:lvl w:ilvl="0">
      <w:lvlJc w:val="left"/>
      <w:lvlText w:val="%1."/>
      <w:numFmt w:val="decimal"/>
      <w:start w:val="11"/>
    </w:lvl>
  </w:abstractNum>
  <w:abstractNum w:abstractNumId="454">
    <w:nsid w:val="675ADBA"/>
    <w:multiLevelType w:val="hybridMultilevel"/>
    <w:lvl w:ilvl="0">
      <w:lvlJc w:val="left"/>
      <w:lvlText w:val="%1."/>
      <w:numFmt w:val="decimal"/>
      <w:start w:val="12"/>
    </w:lvl>
  </w:abstractNum>
  <w:abstractNum w:abstractNumId="455">
    <w:nsid w:val="C12AC7F"/>
    <w:multiLevelType w:val="hybridMultilevel"/>
    <w:lvl w:ilvl="0">
      <w:lvlJc w:val="left"/>
      <w:lvlText w:val="%1."/>
      <w:numFmt w:val="decimal"/>
      <w:start w:val="13"/>
    </w:lvl>
  </w:abstractNum>
  <w:abstractNum w:abstractNumId="456">
    <w:nsid w:val="6798F039"/>
    <w:multiLevelType w:val="hybridMultilevel"/>
    <w:lvl w:ilvl="0">
      <w:lvlJc w:val="left"/>
      <w:lvlText w:val="%1."/>
      <w:numFmt w:val="decimal"/>
      <w:start w:val="14"/>
    </w:lvl>
  </w:abstractNum>
  <w:abstractNum w:abstractNumId="457">
    <w:nsid w:val="70837C02"/>
    <w:multiLevelType w:val="hybridMultilevel"/>
    <w:lvl w:ilvl="0">
      <w:lvlJc w:val="left"/>
      <w:lvlText w:val="%1."/>
      <w:numFmt w:val="decimal"/>
      <w:start w:val="15"/>
    </w:lvl>
  </w:abstractNum>
  <w:abstractNum w:abstractNumId="458">
    <w:nsid w:val="7E4A5715"/>
    <w:multiLevelType w:val="hybridMultilevel"/>
    <w:lvl w:ilvl="0">
      <w:lvlJc w:val="left"/>
      <w:lvlText w:val="%1."/>
      <w:numFmt w:val="decimal"/>
      <w:start w:val="16"/>
    </w:lvl>
  </w:abstractNum>
  <w:abstractNum w:abstractNumId="459">
    <w:nsid w:val="42B8AC67"/>
    <w:multiLevelType w:val="hybridMultilevel"/>
    <w:lvl w:ilvl="0">
      <w:lvlJc w:val="left"/>
      <w:lvlText w:val="%1."/>
      <w:numFmt w:val="decimal"/>
      <w:start w:val="17"/>
    </w:lvl>
  </w:abstractNum>
  <w:abstractNum w:abstractNumId="460">
    <w:nsid w:val="246348EA"/>
    <w:multiLevelType w:val="hybridMultilevel"/>
    <w:lvl w:ilvl="0">
      <w:lvlJc w:val="left"/>
      <w:lvlText w:val="%1."/>
      <w:numFmt w:val="decimal"/>
      <w:start w:val="18"/>
    </w:lvl>
  </w:abstractNum>
  <w:abstractNum w:abstractNumId="461">
    <w:nsid w:val="170EB52B"/>
    <w:multiLevelType w:val="hybridMultilevel"/>
    <w:lvl w:ilvl="0">
      <w:lvlJc w:val="left"/>
      <w:lvlText w:val="%1."/>
      <w:numFmt w:val="decimal"/>
      <w:start w:val="19"/>
    </w:lvl>
  </w:abstractNum>
  <w:abstractNum w:abstractNumId="462">
    <w:nsid w:val="2DFBCB8C"/>
    <w:multiLevelType w:val="hybridMultilevel"/>
    <w:lvl w:ilvl="0">
      <w:lvlJc w:val="left"/>
      <w:lvlText w:val="%1."/>
      <w:numFmt w:val="decimal"/>
      <w:start w:val="20"/>
    </w:lvl>
  </w:abstractNum>
  <w:abstractNum w:abstractNumId="463">
    <w:nsid w:val="3830D6B6"/>
    <w:multiLevelType w:val="hybridMultilevel"/>
    <w:lvl w:ilvl="0">
      <w:lvlJc w:val="left"/>
      <w:lvlText w:val="%1."/>
      <w:numFmt w:val="decimal"/>
      <w:start w:val="21"/>
    </w:lvl>
  </w:abstractNum>
  <w:abstractNum w:abstractNumId="464">
    <w:nsid w:val="6D48CF87"/>
    <w:multiLevelType w:val="hybridMultilevel"/>
    <w:lvl w:ilvl="0">
      <w:lvlJc w:val="left"/>
      <w:lvlText w:val="%1."/>
      <w:numFmt w:val="decimal"/>
      <w:start w:val="22"/>
    </w:lvl>
  </w:abstractNum>
  <w:abstractNum w:abstractNumId="465">
    <w:nsid w:val="576FC41B"/>
    <w:multiLevelType w:val="hybridMultilevel"/>
    <w:lvl w:ilvl="0">
      <w:lvlJc w:val="left"/>
      <w:lvlText w:val="%1."/>
      <w:numFmt w:val="decimal"/>
      <w:start w:val="23"/>
    </w:lvl>
  </w:abstractNum>
  <w:abstractNum w:abstractNumId="466">
    <w:nsid w:val="64A1C464"/>
    <w:multiLevelType w:val="hybridMultilevel"/>
    <w:lvl w:ilvl="0">
      <w:lvlJc w:val="left"/>
      <w:lvlText w:val="%1."/>
      <w:numFmt w:val="decimal"/>
      <w:start w:val="25"/>
    </w:lvl>
    <w:lvl w:ilvl="1">
      <w:lvlJc w:val="left"/>
      <w:lvlText w:val="-"/>
      <w:numFmt w:val="bullet"/>
      <w:start w:val="1"/>
    </w:lvl>
  </w:abstractNum>
  <w:abstractNum w:abstractNumId="467">
    <w:nsid w:val="31723BF5"/>
    <w:multiLevelType w:val="hybridMultilevel"/>
    <w:lvl w:ilvl="0">
      <w:lvlJc w:val="left"/>
      <w:lvlText w:val="%1."/>
      <w:numFmt w:val="decimal"/>
      <w:start w:val="26"/>
    </w:lvl>
  </w:abstractNum>
  <w:abstractNum w:abstractNumId="468">
    <w:nsid w:val="11F69861"/>
    <w:multiLevelType w:val="hybridMultilevel"/>
    <w:lvl w:ilvl="0">
      <w:lvlJc w:val="left"/>
      <w:lvlText w:val="%1."/>
      <w:numFmt w:val="decimal"/>
      <w:start w:val="27"/>
    </w:lvl>
  </w:abstractNum>
  <w:abstractNum w:abstractNumId="469">
    <w:nsid w:val="369956AB"/>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470">
    <w:nsid w:val="D3BE41C"/>
    <w:multiLevelType w:val="hybridMultilevel"/>
    <w:lvl w:ilvl="0">
      <w:lvlJc w:val="left"/>
      <w:lvlText w:val="%1."/>
      <w:numFmt w:val="decimal"/>
      <w:start w:val="31"/>
    </w:lvl>
  </w:abstractNum>
  <w:abstractNum w:abstractNumId="471">
    <w:nsid w:val="4CDA15E7"/>
    <w:multiLevelType w:val="hybridMultilevel"/>
    <w:lvl w:ilvl="0">
      <w:lvlJc w:val="left"/>
      <w:lvlText w:val="%1."/>
      <w:numFmt w:val="decimal"/>
      <w:start w:val="36"/>
    </w:lvl>
  </w:abstractNum>
  <w:abstractNum w:abstractNumId="472">
    <w:nsid w:val="7BDD6690"/>
    <w:multiLevelType w:val="hybridMultilevel"/>
    <w:lvl w:ilvl="0">
      <w:lvlJc w:val="left"/>
      <w:lvlText w:val="%1."/>
      <w:numFmt w:val="decimal"/>
      <w:start w:val="37"/>
    </w:lvl>
  </w:abstractNum>
  <w:abstractNum w:abstractNumId="473">
    <w:nsid w:val="DFB5C5B"/>
    <w:multiLevelType w:val="hybridMultilevel"/>
    <w:lvl w:ilvl="0">
      <w:lvlJc w:val="left"/>
      <w:lvlText w:val="%1."/>
      <w:numFmt w:val="decimal"/>
      <w:start w:val="38"/>
    </w:lvl>
  </w:abstractNum>
  <w:abstractNum w:abstractNumId="474">
    <w:nsid w:val="6F3E5490"/>
    <w:multiLevelType w:val="hybridMultilevel"/>
    <w:lvl w:ilvl="0">
      <w:lvlJc w:val="left"/>
      <w:lvlText w:val="•"/>
      <w:numFmt w:val="bullet"/>
      <w:start w:val="1"/>
    </w:lvl>
    <w:lvl w:ilvl="1">
      <w:lvlJc w:val="left"/>
      <w:lvlText w:val="-"/>
      <w:numFmt w:val="bullet"/>
      <w:start w:val="1"/>
    </w:lvl>
  </w:abstractNum>
  <w:abstractNum w:abstractNumId="475">
    <w:nsid w:val="1464BE1E"/>
    <w:multiLevelType w:val="hybridMultilevel"/>
    <w:lvl w:ilvl="0">
      <w:lvlJc w:val="left"/>
      <w:lvlText w:val="%1."/>
      <w:numFmt w:val="decimal"/>
      <w:start w:val="1"/>
    </w:lvl>
  </w:abstractNum>
  <w:abstractNum w:abstractNumId="476">
    <w:nsid w:val="66BBB7E5"/>
    <w:multiLevelType w:val="hybridMultilevel"/>
    <w:lvl w:ilvl="0">
      <w:lvlJc w:val="left"/>
      <w:lvlText w:val="%1."/>
      <w:numFmt w:val="decimal"/>
      <w:start w:val="2"/>
    </w:lvl>
  </w:abstractNum>
  <w:abstractNum w:abstractNumId="477">
    <w:nsid w:val="28168302"/>
    <w:multiLevelType w:val="hybridMultilevel"/>
    <w:lvl w:ilvl="0">
      <w:lvlJc w:val="left"/>
      <w:lvlText w:val="%1."/>
      <w:numFmt w:val="decimal"/>
      <w:start w:val="3"/>
    </w:lvl>
  </w:abstractNum>
  <w:abstractNum w:abstractNumId="478">
    <w:nsid w:val="32A5C7A8"/>
    <w:multiLevelType w:val="hybridMultilevel"/>
    <w:lvl w:ilvl="0">
      <w:lvlJc w:val="left"/>
      <w:lvlText w:val="%1."/>
      <w:numFmt w:val="decimal"/>
      <w:start w:val="4"/>
    </w:lvl>
  </w:abstractNum>
  <w:abstractNum w:abstractNumId="479">
    <w:nsid w:val="3A541011"/>
    <w:multiLevelType w:val="hybridMultilevel"/>
    <w:lvl w:ilvl="0">
      <w:lvlJc w:val="left"/>
      <w:lvlText w:val="%1."/>
      <w:numFmt w:val="decimal"/>
      <w:start w:val="5"/>
    </w:lvl>
  </w:abstractNum>
  <w:abstractNum w:abstractNumId="480">
    <w:nsid w:val="4423C777"/>
    <w:multiLevelType w:val="hybridMultilevel"/>
    <w:lvl w:ilvl="0">
      <w:lvlJc w:val="left"/>
      <w:lvlText w:val="(%1)"/>
      <w:numFmt w:val="lowerRoman"/>
      <w:start w:val="3"/>
    </w:lvl>
    <w:lvl w:ilvl="1">
      <w:lvlJc w:val="left"/>
      <w:lvlText w:val="-"/>
      <w:numFmt w:val="bullet"/>
      <w:start w:val="1"/>
    </w:lvl>
  </w:abstractNum>
  <w:abstractNum w:abstractNumId="481">
    <w:nsid w:val="5F5C6E4D"/>
    <w:multiLevelType w:val="hybridMultilevel"/>
    <w:lvl w:ilvl="0">
      <w:lvlJc w:val="left"/>
      <w:lvlText w:val="(%1)"/>
      <w:numFmt w:val="decimal"/>
      <w:start w:val="35"/>
    </w:lvl>
  </w:abstractNum>
  <w:abstractNum w:abstractNumId="482">
    <w:nsid w:val="7C2A56CD"/>
    <w:multiLevelType w:val="hybridMultilevel"/>
    <w:lvl w:ilvl="0">
      <w:lvlJc w:val="left"/>
      <w:lvlText w:val="(%1)"/>
      <w:numFmt w:val="decimal"/>
      <w:start w:val="30"/>
    </w:lvl>
  </w:abstractNum>
  <w:abstractNum w:abstractNumId="483">
    <w:nsid w:val="7AB86EE1"/>
    <w:multiLevelType w:val="hybridMultilevel"/>
    <w:lvl w:ilvl="0">
      <w:lvlJc w:val="left"/>
      <w:lvlText w:val="%1."/>
      <w:numFmt w:val="decimal"/>
      <w:start w:val="6"/>
    </w:lvl>
  </w:abstractNum>
  <w:abstractNum w:abstractNumId="484">
    <w:nsid w:val="B54E53B"/>
    <w:multiLevelType w:val="hybridMultilevel"/>
    <w:lvl w:ilvl="0">
      <w:lvlJc w:val="left"/>
      <w:lvlText w:val="%1."/>
      <w:numFmt w:val="decimal"/>
      <w:start w:val="7"/>
    </w:lvl>
  </w:abstractNum>
  <w:abstractNum w:abstractNumId="485">
    <w:nsid w:val="2A00487"/>
    <w:multiLevelType w:val="hybridMultilevel"/>
    <w:lvl w:ilvl="0">
      <w:lvlJc w:val="left"/>
      <w:lvlText w:val="%1."/>
      <w:numFmt w:val="decimal"/>
      <w:start w:val="8"/>
    </w:lvl>
  </w:abstractNum>
  <w:abstractNum w:abstractNumId="486">
    <w:nsid w:val="6CB1B60"/>
    <w:multiLevelType w:val="hybridMultilevel"/>
    <w:lvl w:ilvl="0">
      <w:lvlJc w:val="left"/>
      <w:lvlText w:val="%1."/>
      <w:numFmt w:val="decimal"/>
      <w:start w:val="9"/>
    </w:lvl>
  </w:abstractNum>
  <w:abstractNum w:abstractNumId="487">
    <w:nsid w:val="72EDD574"/>
    <w:multiLevelType w:val="hybridMultilevel"/>
    <w:lvl w:ilvl="0">
      <w:lvlJc w:val="left"/>
      <w:lvlText w:val="%1"/>
      <w:numFmt w:val="upperLetter"/>
      <w:start w:val="35"/>
    </w:lvl>
  </w:abstractNum>
  <w:abstractNum w:abstractNumId="488">
    <w:nsid w:val="7323808A"/>
    <w:multiLevelType w:val="hybridMultilevel"/>
    <w:lvl w:ilvl="0">
      <w:lvlJc w:val="left"/>
      <w:lvlText w:val="%1."/>
      <w:numFmt w:val="decimal"/>
      <w:start w:val="1"/>
    </w:lvl>
  </w:abstractNum>
  <w:abstractNum w:abstractNumId="489">
    <w:nsid w:val="5157276"/>
    <w:multiLevelType w:val="hybridMultilevel"/>
    <w:lvl w:ilvl="0">
      <w:lvlJc w:val="left"/>
      <w:lvlText w:val="%1."/>
      <w:numFmt w:val="decimal"/>
      <w:start w:val="3"/>
    </w:lvl>
    <w:lvl w:ilvl="1">
      <w:lvlJc w:val="left"/>
      <w:lvlText w:val="(%2)"/>
      <w:numFmt w:val="lowerLetter"/>
      <w:start w:val="1"/>
    </w:lvl>
  </w:abstractNum>
  <w:abstractNum w:abstractNumId="490">
    <w:nsid w:val="35A681DB"/>
    <w:multiLevelType w:val="hybridMultilevel"/>
    <w:lvl w:ilvl="0">
      <w:lvlJc w:val="left"/>
      <w:lvlText w:val="%1"/>
      <w:numFmt w:val="decimal"/>
      <w:start w:val="1"/>
    </w:lvl>
    <w:lvl w:ilvl="1">
      <w:lvlJc w:val="left"/>
      <w:lvlText w:val="(%2)"/>
      <w:numFmt w:val="lowerLetter"/>
      <w:start w:val="1"/>
    </w:lvl>
  </w:abstractNum>
  <w:abstractNum w:abstractNumId="491">
    <w:nsid w:val="1786C974"/>
    <w:multiLevelType w:val="hybridMultilevel"/>
    <w:lvl w:ilvl="0">
      <w:lvlJc w:val="left"/>
      <w:lvlText w:val="%1."/>
      <w:numFmt w:val="decimal"/>
      <w:start w:val="5"/>
    </w:lvl>
    <w:lvl w:ilvl="1">
      <w:lvlJc w:val="left"/>
      <w:lvlText w:val="%2"/>
      <w:numFmt w:val="lowerLetter"/>
      <w:start w:val="1"/>
    </w:lvl>
  </w:abstractNum>
  <w:abstractNum w:abstractNumId="492">
    <w:nsid w:val="1C2427A1"/>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493">
    <w:nsid w:val="63A24D6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94">
    <w:nsid w:val="4FB7A02A"/>
    <w:multiLevelType w:val="hybridMultilevel"/>
    <w:lvl w:ilvl="0">
      <w:lvlJc w:val="left"/>
      <w:lvlText w:val="%1."/>
      <w:numFmt w:val="decimal"/>
      <w:start w:val="9"/>
    </w:lvl>
    <w:lvl w:ilvl="1">
      <w:lvlJc w:val="left"/>
      <w:lvlText w:val="(%2)"/>
      <w:numFmt w:val="lowerLetter"/>
      <w:start w:val="1"/>
    </w:lvl>
  </w:abstractNum>
  <w:abstractNum w:abstractNumId="495">
    <w:nsid w:val="96CF728"/>
    <w:multiLevelType w:val="hybridMultilevel"/>
    <w:lvl w:ilvl="0">
      <w:lvlJc w:val="left"/>
      <w:lvlText w:val="%1"/>
      <w:numFmt w:val="decimal"/>
      <w:start w:val="1"/>
    </w:lvl>
    <w:lvl w:ilvl="1">
      <w:lvlJc w:val="left"/>
      <w:lvlText w:val="(%2)"/>
      <w:numFmt w:val="lowerLetter"/>
      <w:start w:val="4"/>
    </w:lvl>
  </w:abstractNum>
  <w:abstractNum w:abstractNumId="496">
    <w:nsid w:val="3B121183"/>
    <w:multiLevelType w:val="hybridMultilevel"/>
    <w:lvl w:ilvl="0">
      <w:lvlJc w:val="left"/>
      <w:lvlText w:val="%1."/>
      <w:numFmt w:val="decimal"/>
      <w:start w:val="10"/>
    </w:lvl>
    <w:lvl w:ilvl="1">
      <w:lvlJc w:val="left"/>
      <w:lvlText w:val="%2"/>
      <w:numFmt w:val="lowerLetter"/>
      <w:start w:val="1"/>
    </w:lvl>
  </w:abstractNum>
  <w:abstractNum w:abstractNumId="497">
    <w:nsid w:val="3459648F"/>
    <w:multiLevelType w:val="hybridMultilevel"/>
    <w:lvl w:ilvl="0">
      <w:lvlJc w:val="left"/>
      <w:lvlText w:val="%1"/>
      <w:numFmt w:val="decimal"/>
      <w:start w:val="1"/>
    </w:lvl>
    <w:lvl w:ilvl="1">
      <w:lvlJc w:val="left"/>
      <w:lvlText w:val="(%2)"/>
      <w:numFmt w:val="lowerLetter"/>
      <w:start w:val="1"/>
    </w:lvl>
  </w:abstractNum>
  <w:abstractNum w:abstractNumId="498">
    <w:nsid w:val="3ADF331D"/>
    <w:multiLevelType w:val="hybridMultilevel"/>
    <w:lvl w:ilvl="0">
      <w:lvlJc w:val="left"/>
      <w:lvlText w:val="%1."/>
      <w:numFmt w:val="decimal"/>
      <w:start w:val="11"/>
    </w:lvl>
    <w:lvl w:ilvl="1">
      <w:lvlJc w:val="left"/>
      <w:lvlText w:val="(%2)"/>
      <w:numFmt w:val="lowerLetter"/>
      <w:start w:val="1"/>
    </w:lvl>
  </w:abstractNum>
  <w:abstractNum w:abstractNumId="499">
    <w:nsid w:val="4D08A9E4"/>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500">
    <w:nsid w:val="6AF2BB3A"/>
    <w:multiLevelType w:val="hybridMultilevel"/>
    <w:lvl w:ilvl="0">
      <w:lvlJc w:val="left"/>
      <w:lvlText w:val="(%1)"/>
      <w:numFmt w:val="lowerRoman"/>
      <w:start w:val="2"/>
    </w:lvl>
  </w:abstractNum>
  <w:abstractNum w:abstractNumId="501">
    <w:nsid w:val="481B1739"/>
    <w:multiLevelType w:val="hybridMultilevel"/>
    <w:lvl w:ilvl="0">
      <w:lvlJc w:val="left"/>
      <w:lvlText w:val="(%1)"/>
      <w:numFmt w:val="lowerLetter"/>
      <w:start w:val="2"/>
    </w:lvl>
  </w:abstractNum>
  <w:abstractNum w:abstractNumId="502">
    <w:nsid w:val="19E2BFCC"/>
    <w:multiLevelType w:val="hybridMultilevel"/>
    <w:lvl w:ilvl="0">
      <w:lvlJc w:val="left"/>
      <w:lvlText w:val="%1."/>
      <w:numFmt w:val="decimal"/>
      <w:start w:val="1"/>
    </w:lvl>
    <w:lvl w:ilvl="1">
      <w:lvlJc w:val="left"/>
      <w:lvlText w:val="(%2)"/>
      <w:numFmt w:val="lowerLetter"/>
      <w:start w:val="1"/>
    </w:lvl>
  </w:abstractNum>
  <w:abstractNum w:abstractNumId="503">
    <w:nsid w:val="66D021CA"/>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504">
    <w:nsid w:val="5616739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5">
    <w:nsid w:val="92114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6">
    <w:nsid w:val="7B34DFE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7">
    <w:nsid w:val="3CD22B7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8">
    <w:nsid w:val="3137975E"/>
    <w:multiLevelType w:val="hybridMultilevel"/>
    <w:lvl w:ilvl="0">
      <w:lvlJc w:val="left"/>
      <w:lvlText w:val="(%1)"/>
      <w:numFmt w:val="lowerLetter"/>
      <w:start w:val="2"/>
    </w:lvl>
  </w:abstractNum>
  <w:abstractNum w:abstractNumId="509">
    <w:nsid w:val="2DDAA791"/>
    <w:multiLevelType w:val="hybridMultilevel"/>
    <w:lvl w:ilvl="0">
      <w:lvlJc w:val="left"/>
      <w:lvlText w:val="%1."/>
      <w:numFmt w:val="decimal"/>
      <w:start w:val="8"/>
    </w:lvl>
  </w:abstractNum>
  <w:abstractNum w:abstractNumId="510">
    <w:nsid w:val="77263B8A"/>
    <w:multiLevelType w:val="hybridMultilevel"/>
    <w:lvl w:ilvl="0">
      <w:lvlJc w:val="left"/>
      <w:lvlText w:val="%1."/>
      <w:numFmt w:val="decimal"/>
      <w:start w:val="15"/>
    </w:lvl>
  </w:abstractNum>
  <w:abstractNum w:abstractNumId="511">
    <w:nsid w:val="755B5ED6"/>
    <w:multiLevelType w:val="hybridMultilevel"/>
    <w:lvl w:ilvl="0">
      <w:lvlJc w:val="left"/>
      <w:lvlText w:val="(%1)"/>
      <w:numFmt w:val="lowerLetter"/>
      <w:start w:val="1"/>
    </w:lvl>
  </w:abstractNum>
  <w:abstractNum w:abstractNumId="512">
    <w:nsid w:val="D3715DE"/>
    <w:multiLevelType w:val="hybridMultilevel"/>
    <w:lvl w:ilvl="0">
      <w:lvlJc w:val="left"/>
      <w:lvlText w:val="(%1)"/>
      <w:numFmt w:val="lowerLetter"/>
      <w:start w:val="1"/>
    </w:lvl>
  </w:abstractNum>
  <w:abstractNum w:abstractNumId="513">
    <w:nsid w:val="73509257"/>
    <w:multiLevelType w:val="hybridMultilevel"/>
    <w:lvl w:ilvl="0">
      <w:lvlJc w:val="left"/>
      <w:lvlText w:val="(%1)"/>
      <w:numFmt w:val="lowerLetter"/>
      <w:start w:val="2"/>
    </w:lvl>
  </w:abstractNum>
  <w:abstractNum w:abstractNumId="514">
    <w:nsid w:val="7013CDB7"/>
    <w:multiLevelType w:val="hybridMultilevel"/>
    <w:lvl w:ilvl="0">
      <w:lvlJc w:val="left"/>
      <w:lvlText w:val="(%1)"/>
      <w:numFmt w:val="lowerLetter"/>
      <w:start w:val="5"/>
    </w:lvl>
  </w:abstractNum>
  <w:abstractNum w:abstractNumId="515">
    <w:nsid w:val="188BFB19"/>
    <w:multiLevelType w:val="hybridMultilevel"/>
    <w:lvl w:ilvl="0">
      <w:lvlJc w:val="left"/>
      <w:lvlText w:val="(%1)"/>
      <w:numFmt w:val="lowerLetter"/>
      <w:start w:val="1"/>
    </w:lvl>
  </w:abstractNum>
  <w:abstractNum w:abstractNumId="516">
    <w:nsid w:val="75F096DF"/>
    <w:multiLevelType w:val="hybridMultilevel"/>
    <w:lvl w:ilvl="0">
      <w:lvlJc w:val="left"/>
      <w:lvlText w:val="(%1)"/>
      <w:numFmt w:val="lowerLetter"/>
      <w:start w:val="2"/>
    </w:lvl>
  </w:abstractNum>
  <w:abstractNum w:abstractNumId="517">
    <w:nsid w:val="76DEE918"/>
    <w:multiLevelType w:val="hybridMultilevel"/>
    <w:lvl w:ilvl="0">
      <w:lvlJc w:val="left"/>
      <w:lvlText w:val="(%1)"/>
      <w:numFmt w:val="lowerLetter"/>
      <w:start w:val="1"/>
    </w:lvl>
  </w:abstractNum>
  <w:abstractNum w:abstractNumId="518">
    <w:nsid w:val="B79D08D"/>
    <w:multiLevelType w:val="hybridMultilevel"/>
    <w:lvl w:ilvl="0">
      <w:lvlJc w:val="left"/>
      <w:lvlText w:val="(%1)"/>
      <w:numFmt w:val="lowerLetter"/>
      <w:start w:val="1"/>
    </w:lvl>
  </w:abstractNum>
  <w:abstractNum w:abstractNumId="519">
    <w:nsid w:val="69141769"/>
    <w:multiLevelType w:val="hybridMultilevel"/>
    <w:lvl w:ilvl="0">
      <w:lvlJc w:val="left"/>
      <w:lvlText w:val="(%1)"/>
      <w:numFmt w:val="lowerLetter"/>
      <w:start w:val="1"/>
    </w:lvl>
  </w:abstractNum>
  <w:abstractNum w:abstractNumId="520">
    <w:nsid w:val="7BF45B8E"/>
    <w:multiLevelType w:val="hybridMultilevel"/>
    <w:lvl w:ilvl="0">
      <w:lvlJc w:val="left"/>
      <w:lvlText w:val="(%1)"/>
      <w:numFmt w:val="lowerLetter"/>
      <w:start w:val="1"/>
    </w:lvl>
  </w:abstractNum>
  <w:abstractNum w:abstractNumId="521">
    <w:nsid w:val="41205269"/>
    <w:multiLevelType w:val="hybridMultilevel"/>
    <w:lvl w:ilvl="0">
      <w:lvlJc w:val="left"/>
      <w:lvlText w:val="(%1)"/>
      <w:numFmt w:val="lowerLetter"/>
      <w:start w:val="1"/>
    </w:lvl>
  </w:abstractNum>
  <w:abstractNum w:abstractNumId="522">
    <w:nsid w:val="9AE0DD"/>
    <w:multiLevelType w:val="hybridMultilevel"/>
    <w:lvl w:ilvl="0">
      <w:lvlJc w:val="left"/>
      <w:lvlText w:val="(%1)"/>
      <w:numFmt w:val="lowerLetter"/>
      <w:start w:val="1"/>
    </w:lvl>
  </w:abstractNum>
  <w:abstractNum w:abstractNumId="523">
    <w:nsid w:val="1818832F"/>
    <w:multiLevelType w:val="hybridMultilevel"/>
    <w:lvl w:ilvl="0">
      <w:lvlJc w:val="left"/>
      <w:lvlText w:val="(%1)"/>
      <w:numFmt w:val="lowerLetter"/>
      <w:start w:val="2"/>
    </w:lvl>
    <w:lvl w:ilvl="1">
      <w:lvlJc w:val="left"/>
      <w:lvlText w:val="(%2)"/>
      <w:numFmt w:val="lowerRoman"/>
      <w:start w:val="1"/>
    </w:lvl>
  </w:abstractNum>
  <w:abstractNum w:abstractNumId="524">
    <w:nsid w:val="24C29FD1"/>
    <w:multiLevelType w:val="hybridMultilevel"/>
    <w:lvl w:ilvl="0">
      <w:lvlJc w:val="left"/>
      <w:lvlText w:val="(%1)"/>
      <w:numFmt w:val="lowerLetter"/>
      <w:start w:val="1"/>
    </w:lvl>
  </w:abstractNum>
  <w:abstractNum w:abstractNumId="525">
    <w:nsid w:val="50528108"/>
    <w:multiLevelType w:val="hybridMultilevel"/>
    <w:lvl w:ilvl="0">
      <w:lvlJc w:val="left"/>
      <w:lvlText w:val="(%1)"/>
      <w:numFmt w:val="lowerLetter"/>
      <w:start w:val="2"/>
    </w:lvl>
  </w:abstractNum>
  <w:abstractNum w:abstractNumId="526">
    <w:nsid w:val="21857A57"/>
    <w:multiLevelType w:val="hybridMultilevel"/>
    <w:lvl w:ilvl="0">
      <w:lvlJc w:val="left"/>
      <w:lvlText w:val="(%1)"/>
      <w:numFmt w:val="lowerLetter"/>
      <w:start w:val="1"/>
    </w:lvl>
  </w:abstractNum>
  <w:abstractNum w:abstractNumId="527">
    <w:nsid w:val="5FD4B154"/>
    <w:multiLevelType w:val="hybridMultilevel"/>
    <w:lvl w:ilvl="0">
      <w:lvlJc w:val="left"/>
      <w:lvlText w:val="(%1)"/>
      <w:numFmt w:val="lowerLetter"/>
      <w:start w:val="2"/>
    </w:lvl>
    <w:lvl w:ilvl="1">
      <w:lvlJc w:val="left"/>
      <w:lvlText w:val="(%2)"/>
      <w:numFmt w:val="lowerRoman"/>
      <w:start w:val="1"/>
    </w:lvl>
  </w:abstractNum>
  <w:abstractNum w:abstractNumId="528">
    <w:nsid w:val="4ABE597"/>
    <w:multiLevelType w:val="hybridMultilevel"/>
    <w:lvl w:ilvl="0">
      <w:lvlJc w:val="left"/>
      <w:lvlText w:val="(%1)"/>
      <w:numFmt w:val="lowerLetter"/>
      <w:start w:val="2"/>
    </w:lvl>
    <w:lvl w:ilvl="1">
      <w:lvlJc w:val="left"/>
      <w:lvlText w:val="(%2)"/>
      <w:numFmt w:val="lowerRoman"/>
      <w:start w:val="1"/>
    </w:lvl>
  </w:abstractNum>
  <w:abstractNum w:abstractNumId="529">
    <w:nsid w:val="5C64AD75"/>
    <w:multiLevelType w:val="hybridMultilevel"/>
    <w:lvl w:ilvl="0">
      <w:lvlJc w:val="left"/>
      <w:lvlText w:val="(%1)"/>
      <w:numFmt w:val="lowerLetter"/>
      <w:start w:val="2"/>
    </w:lvl>
    <w:lvl w:ilvl="1">
      <w:lvlJc w:val="left"/>
      <w:lvlText w:val="(%2)"/>
      <w:numFmt w:val="lowerRoman"/>
      <w:start w:val="1"/>
    </w:lvl>
  </w:abstractNum>
  <w:abstractNum w:abstractNumId="530">
    <w:nsid w:val="2CDD5B39"/>
    <w:multiLevelType w:val="hybridMultilevel"/>
    <w:lvl w:ilvl="0">
      <w:lvlJc w:val="left"/>
      <w:lvlText w:val="(%1)"/>
      <w:numFmt w:val="lowerLetter"/>
      <w:start w:val="1"/>
    </w:lvl>
  </w:abstractNum>
  <w:abstractNum w:abstractNumId="531">
    <w:nsid w:val="6F9EA0D1"/>
    <w:multiLevelType w:val="hybridMultilevel"/>
    <w:lvl w:ilvl="0">
      <w:lvlJc w:val="left"/>
      <w:lvlText w:val="(%1)"/>
      <w:numFmt w:val="lowerLetter"/>
      <w:start w:val="1"/>
    </w:lvl>
  </w:abstractNum>
  <w:abstractNum w:abstractNumId="532">
    <w:nsid w:val="247FC4AE"/>
    <w:multiLevelType w:val="hybridMultilevel"/>
    <w:lvl w:ilvl="0">
      <w:lvlJc w:val="left"/>
      <w:lvlText w:val="(%1)"/>
      <w:numFmt w:val="lowerLetter"/>
      <w:start w:val="5"/>
    </w:lvl>
  </w:abstractNum>
  <w:abstractNum w:abstractNumId="533">
    <w:nsid w:val="46C01B05"/>
    <w:multiLevelType w:val="hybridMultilevel"/>
    <w:lvl w:ilvl="0">
      <w:lvlJc w:val="left"/>
      <w:lvlText w:val="(%1)"/>
      <w:numFmt w:val="lowerLetter"/>
      <w:start w:val="1"/>
    </w:lvl>
  </w:abstractNum>
  <w:abstractNum w:abstractNumId="534">
    <w:nsid w:val="566EC29B"/>
    <w:multiLevelType w:val="hybridMultilevel"/>
    <w:lvl w:ilvl="0">
      <w:lvlJc w:val="left"/>
      <w:lvlText w:val="(%1)"/>
      <w:numFmt w:val="lowerLetter"/>
      <w:start w:val="1"/>
    </w:lvl>
  </w:abstractNum>
  <w:abstractNum w:abstractNumId="535">
    <w:nsid w:val="7A963843"/>
    <w:multiLevelType w:val="hybridMultilevel"/>
    <w:lvl w:ilvl="0">
      <w:lvlJc w:val="left"/>
      <w:lvlText w:val="(%1)"/>
      <w:numFmt w:val="lowerLetter"/>
      <w:start w:val="1"/>
    </w:lvl>
  </w:abstractNum>
  <w:abstractNum w:abstractNumId="536">
    <w:nsid w:val="4FE12F61"/>
    <w:multiLevelType w:val="hybridMultilevel"/>
    <w:lvl w:ilvl="0">
      <w:lvlJc w:val="left"/>
      <w:lvlText w:val="(%1)"/>
      <w:numFmt w:val="lowerLetter"/>
      <w:start w:val="2"/>
    </w:lvl>
  </w:abstractNum>
  <w:abstractNum w:abstractNumId="537">
    <w:nsid w:val="51A3A284"/>
    <w:multiLevelType w:val="hybridMultilevel"/>
    <w:lvl w:ilvl="0">
      <w:lvlJc w:val="left"/>
      <w:lvlText w:val="(%1)"/>
      <w:numFmt w:val="lowerLetter"/>
      <w:start w:val="1"/>
    </w:lvl>
  </w:abstractNum>
  <w:abstractNum w:abstractNumId="538">
    <w:nsid w:val="376863BC"/>
    <w:multiLevelType w:val="hybridMultilevel"/>
    <w:lvl w:ilvl="0">
      <w:lvlJc w:val="left"/>
      <w:lvlText w:val="(%1)"/>
      <w:numFmt w:val="lowerLetter"/>
      <w:start w:val="2"/>
    </w:lvl>
  </w:abstractNum>
  <w:abstractNum w:abstractNumId="539">
    <w:nsid w:val="118C6C0"/>
    <w:multiLevelType w:val="hybridMultilevel"/>
    <w:lvl w:ilvl="0">
      <w:lvlJc w:val="left"/>
      <w:lvlText w:val="(%1)"/>
      <w:numFmt w:val="lowerLetter"/>
      <w:start w:val="1"/>
    </w:lvl>
  </w:abstractNum>
  <w:abstractNum w:abstractNumId="540">
    <w:nsid w:val="7F7E4A15"/>
    <w:multiLevelType w:val="hybridMultilevel"/>
    <w:lvl w:ilvl="0">
      <w:lvlJc w:val="left"/>
      <w:lvlText w:val="(%1)"/>
      <w:numFmt w:val="lowerLetter"/>
      <w:start w:val="1"/>
    </w:lvl>
  </w:abstractNum>
  <w:abstractNum w:abstractNumId="541">
    <w:nsid w:val="2E8E9F47"/>
    <w:multiLevelType w:val="hybridMultilevel"/>
    <w:lvl w:ilvl="0">
      <w:lvlJc w:val="left"/>
      <w:lvlText w:val="(%1)"/>
      <w:numFmt w:val="lowerLetter"/>
      <w:start w:val="9"/>
    </w:lvl>
  </w:abstractNum>
  <w:abstractNum w:abstractNumId="542">
    <w:nsid w:val="76742596"/>
    <w:multiLevelType w:val="hybridMultilevel"/>
    <w:lvl w:ilvl="0">
      <w:lvlJc w:val="left"/>
      <w:lvlText w:val="(%1)"/>
      <w:numFmt w:val="lowerLetter"/>
      <w:start w:val="13"/>
    </w:lvl>
  </w:abstractNum>
  <w:abstractNum w:abstractNumId="543">
    <w:nsid w:val="CB55FF3"/>
    <w:multiLevelType w:val="hybridMultilevel"/>
    <w:lvl w:ilvl="0">
      <w:lvlJc w:val="left"/>
      <w:lvlText w:val="(%1)"/>
      <w:numFmt w:val="lowerLetter"/>
      <w:start w:val="1"/>
    </w:lvl>
  </w:abstractNum>
  <w:abstractNum w:abstractNumId="544">
    <w:nsid w:val="21DF319E"/>
    <w:multiLevelType w:val="hybridMultilevel"/>
    <w:lvl w:ilvl="0">
      <w:lvlJc w:val="left"/>
      <w:lvlText w:val="(%1)"/>
      <w:numFmt w:val="lowerLetter"/>
      <w:start w:val="1"/>
    </w:lvl>
  </w:abstractNum>
  <w:abstractNum w:abstractNumId="545">
    <w:nsid w:val="6687F34D"/>
    <w:multiLevelType w:val="hybridMultilevel"/>
    <w:lvl w:ilvl="0">
      <w:lvlJc w:val="left"/>
      <w:lvlText w:val="(%1)"/>
      <w:numFmt w:val="lowerLetter"/>
      <w:start w:val="2"/>
    </w:lvl>
  </w:abstractNum>
  <w:abstractNum w:abstractNumId="546">
    <w:nsid w:val="25415B0C"/>
    <w:multiLevelType w:val="hybridMultilevel"/>
    <w:lvl w:ilvl="0">
      <w:lvlJc w:val="left"/>
      <w:lvlText w:val="(%1)"/>
      <w:numFmt w:val="lowerLetter"/>
      <w:start w:val="3"/>
    </w:lvl>
  </w:abstractNum>
  <w:abstractNum w:abstractNumId="547">
    <w:nsid w:val="17CFC87D"/>
    <w:multiLevelType w:val="hybridMultilevel"/>
    <w:lvl w:ilvl="0">
      <w:lvlJc w:val="left"/>
      <w:lvlText w:val="(%1)"/>
      <w:numFmt w:val="lowerLetter"/>
      <w:start w:val="1"/>
    </w:lvl>
  </w:abstractNum>
  <w:abstractNum w:abstractNumId="548">
    <w:nsid w:val="5D66DC65"/>
    <w:multiLevelType w:val="hybridMultilevel"/>
    <w:lvl w:ilvl="0">
      <w:lvlJc w:val="left"/>
      <w:lvlText w:val="(%1)"/>
      <w:numFmt w:val="lowerLetter"/>
      <w:start w:val="3"/>
    </w:lvl>
  </w:abstractNum>
  <w:abstractNum w:abstractNumId="549">
    <w:nsid w:val="30BB2B99"/>
    <w:multiLevelType w:val="hybridMultilevel"/>
    <w:lvl w:ilvl="0">
      <w:lvlJc w:val="left"/>
      <w:lvlText w:val="(%1)"/>
      <w:numFmt w:val="lowerLetter"/>
      <w:start w:val="1"/>
    </w:lvl>
    <w:lvl w:ilvl="1">
      <w:lvlJc w:val="left"/>
      <w:lvlText w:val="(%2)"/>
      <w:numFmt w:val="lowerLetter"/>
      <w:start w:val="9"/>
    </w:lvl>
  </w:abstractNum>
  <w:abstractNum w:abstractNumId="550">
    <w:nsid w:val="E3DFE6"/>
    <w:multiLevelType w:val="hybridMultilevel"/>
    <w:lvl w:ilvl="0">
      <w:lvlJc w:val="left"/>
      <w:lvlText w:val="%1"/>
      <w:numFmt w:val="lowerLetter"/>
      <w:start w:val="1"/>
    </w:lvl>
    <w:lvl w:ilvl="1">
      <w:lvlJc w:val="left"/>
      <w:lvlText w:val="(%2)"/>
      <w:numFmt w:val="lowerLetter"/>
      <w:start w:val="35"/>
    </w:lvl>
  </w:abstractNum>
  <w:abstractNum w:abstractNumId="551">
    <w:nsid w:val="595B37F3"/>
    <w:multiLevelType w:val="hybridMultilevel"/>
    <w:lvl w:ilvl="0">
      <w:lvlJc w:val="left"/>
      <w:lvlText w:val="(%1)"/>
      <w:numFmt w:val="lowerLetter"/>
      <w:start w:val="4"/>
    </w:lvl>
    <w:lvl w:ilvl="1">
      <w:lvlJc w:val="left"/>
      <w:lvlText w:val="%2"/>
      <w:numFmt w:val="lowerLetter"/>
      <w:start w:val="1"/>
    </w:lvl>
  </w:abstractNum>
  <w:abstractNum w:abstractNumId="552">
    <w:nsid w:val="71DB7E02"/>
    <w:multiLevelType w:val="hybridMultilevel"/>
    <w:lvl w:ilvl="0">
      <w:lvlJc w:val="left"/>
      <w:lvlText w:val="(%1)"/>
      <w:numFmt w:val="lowerLetter"/>
      <w:start w:val="1"/>
    </w:lvl>
  </w:abstractNum>
  <w:abstractNum w:abstractNumId="553">
    <w:nsid w:val="17EC0C4"/>
    <w:multiLevelType w:val="hybridMultilevel"/>
    <w:lvl w:ilvl="0">
      <w:lvlJc w:val="left"/>
      <w:lvlText w:val="(%1)"/>
      <w:numFmt w:val="lowerLetter"/>
      <w:start w:val="4"/>
    </w:lvl>
    <w:lvl w:ilvl="1">
      <w:lvlJc w:val="left"/>
      <w:lvlText w:val="(%2)"/>
      <w:numFmt w:val="lowerRoman"/>
      <w:start w:val="1"/>
    </w:lvl>
  </w:abstractNum>
  <w:abstractNum w:abstractNumId="554">
    <w:nsid w:val="7173BB22"/>
    <w:multiLevelType w:val="hybridMultilevel"/>
    <w:lvl w:ilvl="0">
      <w:lvlJc w:val="left"/>
      <w:lvlText w:val="(%1)"/>
      <w:numFmt w:val="lowerLetter"/>
      <w:start w:val="1"/>
    </w:lvl>
  </w:abstractNum>
  <w:abstractNum w:abstractNumId="555">
    <w:nsid w:val="169E1DD3"/>
    <w:multiLevelType w:val="hybridMultilevel"/>
    <w:lvl w:ilvl="0">
      <w:lvlJc w:val="left"/>
      <w:lvlText w:val="(%1)"/>
      <w:numFmt w:val="lowerLetter"/>
      <w:start w:val="1"/>
    </w:lvl>
  </w:abstractNum>
  <w:abstractNum w:abstractNumId="556">
    <w:nsid w:val="51D141CC"/>
    <w:multiLevelType w:val="hybridMultilevel"/>
    <w:lvl w:ilvl="0">
      <w:lvlJc w:val="left"/>
      <w:lvlText w:val="%1"/>
      <w:numFmt w:val="decimal"/>
      <w:start w:val="1"/>
    </w:lvl>
    <w:lvl w:ilvl="1">
      <w:lvlJc w:val="left"/>
      <w:lvlText w:val="(%2)"/>
      <w:numFmt w:val="lowerLetter"/>
      <w:start w:val="4"/>
    </w:lvl>
  </w:abstractNum>
  <w:abstractNum w:abstractNumId="557">
    <w:nsid w:val="12F9357A"/>
    <w:multiLevelType w:val="hybridMultilevel"/>
    <w:lvl w:ilvl="0">
      <w:lvlJc w:val="left"/>
      <w:lvlText w:val="(%1)"/>
      <w:numFmt w:val="decimal"/>
      <w:start w:val="10"/>
    </w:lvl>
    <w:lvl w:ilvl="1">
      <w:lvlJc w:val="left"/>
      <w:lvlText w:val="(%2)"/>
      <w:numFmt w:val="lowerLetter"/>
      <w:start w:val="5"/>
    </w:lvl>
  </w:abstractNum>
  <w:abstractNum w:abstractNumId="558">
    <w:nsid w:val="7672CF28"/>
    <w:multiLevelType w:val="hybridMultilevel"/>
    <w:lvl w:ilvl="0">
      <w:lvlJc w:val="left"/>
      <w:lvlText w:val="%1."/>
      <w:numFmt w:val="decimal"/>
      <w:start w:val="1"/>
    </w:lvl>
    <w:lvl w:ilvl="1">
      <w:lvlJc w:val="left"/>
      <w:lvlText w:val="%2)"/>
      <w:numFmt w:val="lowerLetter"/>
      <w:start w:val="1"/>
    </w:lvl>
  </w:abstractNum>
  <w:abstractNum w:abstractNumId="559">
    <w:nsid w:val="567D2763"/>
    <w:multiLevelType w:val="hybridMultilevel"/>
    <w:lvl w:ilvl="0">
      <w:lvlJc w:val="left"/>
      <w:lvlText w:val="%1."/>
      <w:numFmt w:val="decimal"/>
      <w:start w:val="1"/>
    </w:lvl>
    <w:lvl w:ilvl="1">
      <w:lvlJc w:val="left"/>
      <w:lvlText w:val="%2)"/>
      <w:numFmt w:val="lowerLetter"/>
      <w:start w:val="1"/>
    </w:lvl>
  </w:abstractNum>
  <w:abstractNum w:abstractNumId="560">
    <w:nsid w:val="6F5DE2EF"/>
    <w:multiLevelType w:val="hybridMultilevel"/>
    <w:lvl w:ilvl="0">
      <w:lvlJc w:val="left"/>
      <w:lvlText w:val="(%1)"/>
      <w:numFmt w:val="decimal"/>
      <w:start w:val="1"/>
    </w:lvl>
  </w:abstractNum>
  <w:abstractNum w:abstractNumId="561">
    <w:nsid w:val="23502A61"/>
    <w:multiLevelType w:val="hybridMultilevel"/>
    <w:lvl w:ilvl="0">
      <w:lvlJc w:val="left"/>
      <w:lvlText w:val="(%1)"/>
      <w:numFmt w:val="decimal"/>
      <w:start w:val="1"/>
    </w:lvl>
  </w:abstractNum>
  <w:abstractNum w:abstractNumId="562">
    <w:nsid w:val="461BC8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207"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301" Type="http://schemas.openxmlformats.org/officeDocument/2006/relationships/image" Target="media/image256.png"/><Relationship Id="rId302" Type="http://schemas.openxmlformats.org/officeDocument/2006/relationships/image" Target="media/image257.png"/><Relationship Id="rId303" Type="http://schemas.openxmlformats.org/officeDocument/2006/relationships/image" Target="media/image258.png"/><Relationship Id="rId304" Type="http://schemas.openxmlformats.org/officeDocument/2006/relationships/image" Target="media/image259.png"/><Relationship Id="rId305" Type="http://schemas.openxmlformats.org/officeDocument/2006/relationships/image" Target="media/image260.png"/><Relationship Id="rId306" Type="http://schemas.openxmlformats.org/officeDocument/2006/relationships/image" Target="media/image261.png"/><Relationship Id="rId307" Type="http://schemas.openxmlformats.org/officeDocument/2006/relationships/image" Target="media/image262.png"/><Relationship Id="rId308" Type="http://schemas.openxmlformats.org/officeDocument/2006/relationships/image" Target="media/image263.png"/><Relationship Id="rId309" Type="http://schemas.openxmlformats.org/officeDocument/2006/relationships/image" Target="media/image264.png"/><Relationship Id="rId310" Type="http://schemas.openxmlformats.org/officeDocument/2006/relationships/image" Target="media/image265.png"/><Relationship Id="rId311" Type="http://schemas.openxmlformats.org/officeDocument/2006/relationships/image" Target="media/image266.png"/><Relationship Id="rId312" Type="http://schemas.openxmlformats.org/officeDocument/2006/relationships/image" Target="media/image267.png"/><Relationship Id="rId313" Type="http://schemas.openxmlformats.org/officeDocument/2006/relationships/image" Target="media/image268.png"/><Relationship Id="rId314" Type="http://schemas.openxmlformats.org/officeDocument/2006/relationships/image" Target="media/image269.png"/><Relationship Id="rId315" Type="http://schemas.openxmlformats.org/officeDocument/2006/relationships/image" Target="media/image270.png"/><Relationship Id="rId316" Type="http://schemas.openxmlformats.org/officeDocument/2006/relationships/image" Target="media/image271.png"/><Relationship Id="rId317" Type="http://schemas.openxmlformats.org/officeDocument/2006/relationships/image" Target="media/image272.png"/><Relationship Id="rId318" Type="http://schemas.openxmlformats.org/officeDocument/2006/relationships/image" Target="media/image273.png"/><Relationship Id="rId319" Type="http://schemas.openxmlformats.org/officeDocument/2006/relationships/image" Target="media/image274.png"/><Relationship Id="rId320" Type="http://schemas.openxmlformats.org/officeDocument/2006/relationships/image" Target="media/image275.png"/><Relationship Id="rId321" Type="http://schemas.openxmlformats.org/officeDocument/2006/relationships/image" Target="media/image276.png"/><Relationship Id="rId322"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6" Type="http://schemas.openxmlformats.org/officeDocument/2006/relationships/image" Target="media/image281.png"/><Relationship Id="rId327" Type="http://schemas.openxmlformats.org/officeDocument/2006/relationships/image" Target="media/image282.png"/><Relationship Id="rId328" Type="http://schemas.openxmlformats.org/officeDocument/2006/relationships/image" Target="media/image283.png"/><Relationship Id="rId329" Type="http://schemas.openxmlformats.org/officeDocument/2006/relationships/image" Target="media/image284.png"/><Relationship Id="rId330" Type="http://schemas.openxmlformats.org/officeDocument/2006/relationships/image" Target="media/image285.png"/><Relationship Id="rId331" Type="http://schemas.openxmlformats.org/officeDocument/2006/relationships/image" Target="media/image286.png"/><Relationship Id="rId332" Type="http://schemas.openxmlformats.org/officeDocument/2006/relationships/image" Target="media/image287.png"/><Relationship Id="rId333" Type="http://schemas.openxmlformats.org/officeDocument/2006/relationships/image" Target="media/image288.png"/><Relationship Id="rId334" Type="http://schemas.openxmlformats.org/officeDocument/2006/relationships/image" Target="media/image289.png"/><Relationship Id="rId335" Type="http://schemas.openxmlformats.org/officeDocument/2006/relationships/image" Target="media/image290.png"/><Relationship Id="rId336" Type="http://schemas.openxmlformats.org/officeDocument/2006/relationships/image" Target="media/image291.png"/><Relationship Id="rId337" Type="http://schemas.openxmlformats.org/officeDocument/2006/relationships/image" Target="media/image292.png"/><Relationship Id="rId338" Type="http://schemas.openxmlformats.org/officeDocument/2006/relationships/image" Target="media/image293.png"/><Relationship Id="rId339" Type="http://schemas.openxmlformats.org/officeDocument/2006/relationships/image" Target="media/image294.png"/><Relationship Id="rId340" Type="http://schemas.openxmlformats.org/officeDocument/2006/relationships/image" Target="media/image295.png"/><Relationship Id="rId341" Type="http://schemas.openxmlformats.org/officeDocument/2006/relationships/image" Target="media/image296.png"/><Relationship Id="rId342" Type="http://schemas.openxmlformats.org/officeDocument/2006/relationships/image" Target="media/image297.png"/><Relationship Id="rId343" Type="http://schemas.openxmlformats.org/officeDocument/2006/relationships/image" Target="media/image298.png"/><Relationship Id="rId344" Type="http://schemas.openxmlformats.org/officeDocument/2006/relationships/image" Target="media/image299.png"/><Relationship Id="rId345" Type="http://schemas.openxmlformats.org/officeDocument/2006/relationships/image" Target="media/image300.png"/><Relationship Id="rId346" Type="http://schemas.openxmlformats.org/officeDocument/2006/relationships/image" Target="media/image301.png"/><Relationship Id="rId347" Type="http://schemas.openxmlformats.org/officeDocument/2006/relationships/image" Target="media/image302.png"/><Relationship Id="rId348" Type="http://schemas.openxmlformats.org/officeDocument/2006/relationships/image" Target="media/image303.png"/><Relationship Id="rId349" Type="http://schemas.openxmlformats.org/officeDocument/2006/relationships/image" Target="media/image304.png"/><Relationship Id="rId350" Type="http://schemas.openxmlformats.org/officeDocument/2006/relationships/image" Target="media/image305.png"/><Relationship Id="rId351" Type="http://schemas.openxmlformats.org/officeDocument/2006/relationships/image" Target="media/image306.png"/><Relationship Id="rId352" Type="http://schemas.openxmlformats.org/officeDocument/2006/relationships/image" Target="media/image307.png"/><Relationship Id="rId353" Type="http://schemas.openxmlformats.org/officeDocument/2006/relationships/image" Target="media/image308.png"/><Relationship Id="rId354" Type="http://schemas.openxmlformats.org/officeDocument/2006/relationships/image" Target="media/image309.png"/><Relationship Id="rId355" Type="http://schemas.openxmlformats.org/officeDocument/2006/relationships/image" Target="media/image310.png"/><Relationship Id="rId356" Type="http://schemas.openxmlformats.org/officeDocument/2006/relationships/image" Target="media/image311.png"/><Relationship Id="rId357" Type="http://schemas.openxmlformats.org/officeDocument/2006/relationships/image" Target="media/image312.png"/><Relationship Id="rId358" Type="http://schemas.openxmlformats.org/officeDocument/2006/relationships/image" Target="media/image313.png"/><Relationship Id="rId359" Type="http://schemas.openxmlformats.org/officeDocument/2006/relationships/image" Target="media/image314.png"/><Relationship Id="rId360" Type="http://schemas.openxmlformats.org/officeDocument/2006/relationships/image" Target="media/image315.png"/><Relationship Id="rId361" Type="http://schemas.openxmlformats.org/officeDocument/2006/relationships/image" Target="media/image316.png"/><Relationship Id="rId362" Type="http://schemas.openxmlformats.org/officeDocument/2006/relationships/image" Target="media/image317.png"/><Relationship Id="rId363" Type="http://schemas.openxmlformats.org/officeDocument/2006/relationships/image" Target="media/image318.png"/><Relationship Id="rId364" Type="http://schemas.openxmlformats.org/officeDocument/2006/relationships/image" Target="media/image319.png"/><Relationship Id="rId365" Type="http://schemas.openxmlformats.org/officeDocument/2006/relationships/image" Target="media/image320.png"/><Relationship Id="rId366" Type="http://schemas.openxmlformats.org/officeDocument/2006/relationships/image" Target="media/image321.png"/><Relationship Id="rId367" Type="http://schemas.openxmlformats.org/officeDocument/2006/relationships/image" Target="media/image322.png"/><Relationship Id="rId368" Type="http://schemas.openxmlformats.org/officeDocument/2006/relationships/image" Target="media/image323.png"/><Relationship Id="rId369" Type="http://schemas.openxmlformats.org/officeDocument/2006/relationships/image" Target="media/image324.png"/><Relationship Id="rId370" Type="http://schemas.openxmlformats.org/officeDocument/2006/relationships/image" Target="media/image325.png"/><Relationship Id="rId371" Type="http://schemas.openxmlformats.org/officeDocument/2006/relationships/image" Target="media/image326.png"/><Relationship Id="rId372" Type="http://schemas.openxmlformats.org/officeDocument/2006/relationships/image" Target="media/image327.png"/><Relationship Id="rId373" Type="http://schemas.openxmlformats.org/officeDocument/2006/relationships/image" Target="media/image328.png"/><Relationship Id="rId374" Type="http://schemas.openxmlformats.org/officeDocument/2006/relationships/image" Target="media/image329.png"/><Relationship Id="rId375" Type="http://schemas.openxmlformats.org/officeDocument/2006/relationships/image" Target="media/image330.png"/><Relationship Id="rId376" Type="http://schemas.openxmlformats.org/officeDocument/2006/relationships/image" Target="media/image331.png"/><Relationship Id="rId377" Type="http://schemas.openxmlformats.org/officeDocument/2006/relationships/image" Target="media/image332.png"/><Relationship Id="rId378" Type="http://schemas.openxmlformats.org/officeDocument/2006/relationships/image" Target="media/image333.png"/><Relationship Id="rId379" Type="http://schemas.openxmlformats.org/officeDocument/2006/relationships/image" Target="media/image334.png"/><Relationship Id="rId380" Type="http://schemas.openxmlformats.org/officeDocument/2006/relationships/image" Target="media/image335.png"/><Relationship Id="rId381" Type="http://schemas.openxmlformats.org/officeDocument/2006/relationships/image" Target="media/image336.png"/><Relationship Id="rId382" Type="http://schemas.openxmlformats.org/officeDocument/2006/relationships/image" Target="media/image337.png"/><Relationship Id="rId383" Type="http://schemas.openxmlformats.org/officeDocument/2006/relationships/image" Target="media/image338.png"/><Relationship Id="rId384" Type="http://schemas.openxmlformats.org/officeDocument/2006/relationships/image" Target="media/image339.png"/><Relationship Id="rId385" Type="http://schemas.openxmlformats.org/officeDocument/2006/relationships/image" Target="media/image340.png"/><Relationship Id="rId386" Type="http://schemas.openxmlformats.org/officeDocument/2006/relationships/image" Target="media/image341.png"/><Relationship Id="rId387" Type="http://schemas.openxmlformats.org/officeDocument/2006/relationships/image" Target="media/image342.png"/><Relationship Id="rId388" Type="http://schemas.openxmlformats.org/officeDocument/2006/relationships/image" Target="media/image343.png"/><Relationship Id="rId389" Type="http://schemas.openxmlformats.org/officeDocument/2006/relationships/image" Target="media/image344.png"/><Relationship Id="rId390" Type="http://schemas.openxmlformats.org/officeDocument/2006/relationships/image" Target="media/image345.png"/><Relationship Id="rId391" Type="http://schemas.openxmlformats.org/officeDocument/2006/relationships/image" Target="media/image346.png"/><Relationship Id="rId392" Type="http://schemas.openxmlformats.org/officeDocument/2006/relationships/image" Target="media/image347.png"/><Relationship Id="rId393" Type="http://schemas.openxmlformats.org/officeDocument/2006/relationships/image" Target="media/image348.png"/><Relationship Id="rId394" Type="http://schemas.openxmlformats.org/officeDocument/2006/relationships/image" Target="media/image349.png"/><Relationship Id="rId395" Type="http://schemas.openxmlformats.org/officeDocument/2006/relationships/image" Target="media/image350.png"/><Relationship Id="rId396" Type="http://schemas.openxmlformats.org/officeDocument/2006/relationships/image" Target="media/image351.png"/><Relationship Id="rId397" Type="http://schemas.openxmlformats.org/officeDocument/2006/relationships/image" Target="media/image352.png"/><Relationship Id="rId398" Type="http://schemas.openxmlformats.org/officeDocument/2006/relationships/image" Target="media/image353.png"/><Relationship Id="rId399" Type="http://schemas.openxmlformats.org/officeDocument/2006/relationships/image" Target="media/image354.png"/><Relationship Id="rId400" Type="http://schemas.openxmlformats.org/officeDocument/2006/relationships/image" Target="media/image355.png"/><Relationship Id="rId401" Type="http://schemas.openxmlformats.org/officeDocument/2006/relationships/image" Target="media/image356.png"/><Relationship Id="rId402" Type="http://schemas.openxmlformats.org/officeDocument/2006/relationships/image" Target="media/image357.png"/><Relationship Id="rId403" Type="http://schemas.openxmlformats.org/officeDocument/2006/relationships/image" Target="media/image358.png"/><Relationship Id="rId404" Type="http://schemas.openxmlformats.org/officeDocument/2006/relationships/image" Target="media/image359.png"/><Relationship Id="rId405" Type="http://schemas.openxmlformats.org/officeDocument/2006/relationships/image" Target="media/image360.png"/><Relationship Id="rId406" Type="http://schemas.openxmlformats.org/officeDocument/2006/relationships/image" Target="media/image361.png"/><Relationship Id="rId407" Type="http://schemas.openxmlformats.org/officeDocument/2006/relationships/image" Target="media/image362.png"/><Relationship Id="rId408" Type="http://schemas.openxmlformats.org/officeDocument/2006/relationships/image" Target="media/image363.png"/><Relationship Id="rId409" Type="http://schemas.openxmlformats.org/officeDocument/2006/relationships/image" Target="media/image364.png"/><Relationship Id="rId410" Type="http://schemas.openxmlformats.org/officeDocument/2006/relationships/image" Target="media/image365.png"/><Relationship Id="rId411" Type="http://schemas.openxmlformats.org/officeDocument/2006/relationships/image" Target="media/image366.png"/><Relationship Id="rId412" Type="http://schemas.openxmlformats.org/officeDocument/2006/relationships/image" Target="media/image367.png"/><Relationship Id="rId413" Type="http://schemas.openxmlformats.org/officeDocument/2006/relationships/image" Target="media/image368.png"/><Relationship Id="rId414" Type="http://schemas.openxmlformats.org/officeDocument/2006/relationships/image" Target="media/image369.png"/><Relationship Id="rId415"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427" Type="http://schemas.openxmlformats.org/officeDocument/2006/relationships/image" Target="media/image382.png"/><Relationship Id="rId428" Type="http://schemas.openxmlformats.org/officeDocument/2006/relationships/image" Target="media/image383.png"/><Relationship Id="rId429"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pn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435" Type="http://schemas.openxmlformats.org/officeDocument/2006/relationships/image" Target="media/image390.png"/><Relationship Id="rId436" Type="http://schemas.openxmlformats.org/officeDocument/2006/relationships/image" Target="media/image391.png"/><Relationship Id="rId437" Type="http://schemas.openxmlformats.org/officeDocument/2006/relationships/image" Target="media/image392.png"/><Relationship Id="rId438" Type="http://schemas.openxmlformats.org/officeDocument/2006/relationships/image" Target="media/image393.png"/><Relationship Id="rId439" Type="http://schemas.openxmlformats.org/officeDocument/2006/relationships/image" Target="media/image394.png"/><Relationship Id="rId440"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3" Type="http://schemas.openxmlformats.org/officeDocument/2006/relationships/image" Target="media/image398.png"/><Relationship Id="rId444" Type="http://schemas.openxmlformats.org/officeDocument/2006/relationships/image" Target="media/image399.png"/><Relationship Id="rId445" Type="http://schemas.openxmlformats.org/officeDocument/2006/relationships/image" Target="media/image400.png"/><Relationship Id="rId446" Type="http://schemas.openxmlformats.org/officeDocument/2006/relationships/image" Target="media/image401.png"/><Relationship Id="rId447"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3" Type="http://schemas.openxmlformats.org/officeDocument/2006/relationships/image" Target="media/image408.png"/><Relationship Id="rId454" Type="http://schemas.openxmlformats.org/officeDocument/2006/relationships/image" Target="media/image409.png"/><Relationship Id="rId455" Type="http://schemas.openxmlformats.org/officeDocument/2006/relationships/image" Target="media/image410.png"/><Relationship Id="rId456" Type="http://schemas.openxmlformats.org/officeDocument/2006/relationships/image" Target="media/image411.png"/><Relationship Id="rId457" Type="http://schemas.openxmlformats.org/officeDocument/2006/relationships/image" Target="media/image412.png"/><Relationship Id="rId458"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2" Type="http://schemas.openxmlformats.org/officeDocument/2006/relationships/image" Target="media/image427.png"/><Relationship Id="rId473" Type="http://schemas.openxmlformats.org/officeDocument/2006/relationships/image" Target="media/image428.png"/><Relationship Id="rId474" Type="http://schemas.openxmlformats.org/officeDocument/2006/relationships/image" Target="media/image429.png"/><Relationship Id="rId475" Type="http://schemas.openxmlformats.org/officeDocument/2006/relationships/image" Target="media/image430.png"/><Relationship Id="rId476"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79"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2" Type="http://schemas.openxmlformats.org/officeDocument/2006/relationships/image" Target="media/image437.png"/><Relationship Id="rId483" Type="http://schemas.openxmlformats.org/officeDocument/2006/relationships/image" Target="media/image438.png"/><Relationship Id="rId484" Type="http://schemas.openxmlformats.org/officeDocument/2006/relationships/image" Target="media/image439.png"/><Relationship Id="rId485" Type="http://schemas.openxmlformats.org/officeDocument/2006/relationships/image" Target="media/image440.png"/><Relationship Id="rId486" Type="http://schemas.openxmlformats.org/officeDocument/2006/relationships/image" Target="media/image441.png"/><Relationship Id="rId487" Type="http://schemas.openxmlformats.org/officeDocument/2006/relationships/image" Target="media/image442.png"/><Relationship Id="rId488" Type="http://schemas.openxmlformats.org/officeDocument/2006/relationships/image" Target="media/image443.png"/><Relationship Id="rId489" Type="http://schemas.openxmlformats.org/officeDocument/2006/relationships/image" Target="media/image444.png"/><Relationship Id="rId490" Type="http://schemas.openxmlformats.org/officeDocument/2006/relationships/image" Target="media/image445.png"/><Relationship Id="rId491" Type="http://schemas.openxmlformats.org/officeDocument/2006/relationships/image" Target="media/image446.png"/><Relationship Id="rId492"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pn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png"/><Relationship Id="rId498" Type="http://schemas.openxmlformats.org/officeDocument/2006/relationships/image" Target="media/image453.png"/><Relationship Id="rId499" Type="http://schemas.openxmlformats.org/officeDocument/2006/relationships/image" Target="media/image454.png"/><Relationship Id="rId500" Type="http://schemas.openxmlformats.org/officeDocument/2006/relationships/image" Target="media/image455.png"/><Relationship Id="rId501" Type="http://schemas.openxmlformats.org/officeDocument/2006/relationships/image" Target="media/image456.png"/><Relationship Id="rId502" Type="http://schemas.openxmlformats.org/officeDocument/2006/relationships/image" Target="media/image457.png"/><Relationship Id="rId503" Type="http://schemas.openxmlformats.org/officeDocument/2006/relationships/image" Target="media/image458.png"/><Relationship Id="rId504" Type="http://schemas.openxmlformats.org/officeDocument/2006/relationships/image" Target="media/image459.png"/><Relationship Id="rId505" Type="http://schemas.openxmlformats.org/officeDocument/2006/relationships/image" Target="media/image460.png"/><Relationship Id="rId506" Type="http://schemas.openxmlformats.org/officeDocument/2006/relationships/image" Target="media/image461.png"/><Relationship Id="rId507" Type="http://schemas.openxmlformats.org/officeDocument/2006/relationships/image" Target="media/image462.png"/><Relationship Id="rId508" Type="http://schemas.openxmlformats.org/officeDocument/2006/relationships/image" Target="media/image463.png"/><Relationship Id="rId509" Type="http://schemas.openxmlformats.org/officeDocument/2006/relationships/image" Target="media/image464.png"/><Relationship Id="rId510" Type="http://schemas.openxmlformats.org/officeDocument/2006/relationships/image" Target="media/image465.png"/><Relationship Id="rId511"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5"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1"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24"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27" Type="http://schemas.openxmlformats.org/officeDocument/2006/relationships/image" Target="media/image482.png"/><Relationship Id="rId528" Type="http://schemas.openxmlformats.org/officeDocument/2006/relationships/image" Target="media/image483.png"/><Relationship Id="rId529" Type="http://schemas.openxmlformats.org/officeDocument/2006/relationships/image" Target="media/image484.png"/><Relationship Id="rId530" Type="http://schemas.openxmlformats.org/officeDocument/2006/relationships/image" Target="media/image485.png"/><Relationship Id="rId531" Type="http://schemas.openxmlformats.org/officeDocument/2006/relationships/image" Target="media/image486.png"/><Relationship Id="rId532" Type="http://schemas.openxmlformats.org/officeDocument/2006/relationships/image" Target="media/image487.png"/><Relationship Id="rId533" Type="http://schemas.openxmlformats.org/officeDocument/2006/relationships/image" Target="media/image488.png"/><Relationship Id="rId534" Type="http://schemas.openxmlformats.org/officeDocument/2006/relationships/image" Target="media/image489.png"/><Relationship Id="rId535" Type="http://schemas.openxmlformats.org/officeDocument/2006/relationships/image" Target="media/image490.png"/><Relationship Id="rId536" Type="http://schemas.openxmlformats.org/officeDocument/2006/relationships/image" Target="media/image491.png"/><Relationship Id="rId537" Type="http://schemas.openxmlformats.org/officeDocument/2006/relationships/image" Target="media/image492.png"/><Relationship Id="rId538" Type="http://schemas.openxmlformats.org/officeDocument/2006/relationships/image" Target="media/image493.png"/><Relationship Id="rId539" Type="http://schemas.openxmlformats.org/officeDocument/2006/relationships/image" Target="media/image494.png"/><Relationship Id="rId540" Type="http://schemas.openxmlformats.org/officeDocument/2006/relationships/image" Target="media/image495.png"/><Relationship Id="rId541" Type="http://schemas.openxmlformats.org/officeDocument/2006/relationships/image" Target="media/image496.png"/><Relationship Id="rId542" Type="http://schemas.openxmlformats.org/officeDocument/2006/relationships/image" Target="media/image497.png"/><Relationship Id="rId543" Type="http://schemas.openxmlformats.org/officeDocument/2006/relationships/image" Target="media/image498.png"/><Relationship Id="rId544" Type="http://schemas.openxmlformats.org/officeDocument/2006/relationships/image" Target="media/image499.png"/><Relationship Id="rId545" Type="http://schemas.openxmlformats.org/officeDocument/2006/relationships/image" Target="media/image500.png"/><Relationship Id="rId546" Type="http://schemas.openxmlformats.org/officeDocument/2006/relationships/image" Target="media/image501.png"/><Relationship Id="rId547" Type="http://schemas.openxmlformats.org/officeDocument/2006/relationships/image" Target="media/image502.png"/><Relationship Id="rId548" Type="http://schemas.openxmlformats.org/officeDocument/2006/relationships/image" Target="media/image503.png"/><Relationship Id="rId549" Type="http://schemas.openxmlformats.org/officeDocument/2006/relationships/image" Target="media/image504.png"/><Relationship Id="rId550" Type="http://schemas.openxmlformats.org/officeDocument/2006/relationships/image" Target="media/image505.png"/><Relationship Id="rId551" Type="http://schemas.openxmlformats.org/officeDocument/2006/relationships/image" Target="media/image506.png"/><Relationship Id="rId552" Type="http://schemas.openxmlformats.org/officeDocument/2006/relationships/image" Target="media/image507.png"/><Relationship Id="rId553"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6" Type="http://schemas.openxmlformats.org/officeDocument/2006/relationships/image" Target="media/image511.png"/><Relationship Id="rId557"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569" Type="http://schemas.openxmlformats.org/officeDocument/2006/relationships/image" Target="media/image524.png"/><Relationship Id="rId570" Type="http://schemas.openxmlformats.org/officeDocument/2006/relationships/image" Target="media/image525.png"/><Relationship Id="rId571" Type="http://schemas.openxmlformats.org/officeDocument/2006/relationships/image" Target="media/image526.png"/><Relationship Id="rId572" Type="http://schemas.openxmlformats.org/officeDocument/2006/relationships/image" Target="media/image527.png"/><Relationship Id="rId573" Type="http://schemas.openxmlformats.org/officeDocument/2006/relationships/image" Target="media/image528.png"/><Relationship Id="rId574" Type="http://schemas.openxmlformats.org/officeDocument/2006/relationships/image" Target="media/image529.png"/><Relationship Id="rId575" Type="http://schemas.openxmlformats.org/officeDocument/2006/relationships/image" Target="media/image530.png"/><Relationship Id="rId576" Type="http://schemas.openxmlformats.org/officeDocument/2006/relationships/image" Target="media/image531.png"/><Relationship Id="rId577" Type="http://schemas.openxmlformats.org/officeDocument/2006/relationships/image" Target="media/image532.png"/><Relationship Id="rId578" Type="http://schemas.openxmlformats.org/officeDocument/2006/relationships/image" Target="media/image533.png"/><Relationship Id="rId579" Type="http://schemas.openxmlformats.org/officeDocument/2006/relationships/image" Target="media/image534.png"/><Relationship Id="rId580" Type="http://schemas.openxmlformats.org/officeDocument/2006/relationships/image" Target="media/image535.png"/><Relationship Id="rId581" Type="http://schemas.openxmlformats.org/officeDocument/2006/relationships/image" Target="media/image536.png"/><Relationship Id="rId582" Type="http://schemas.openxmlformats.org/officeDocument/2006/relationships/image" Target="media/image537.png"/><Relationship Id="rId583" Type="http://schemas.openxmlformats.org/officeDocument/2006/relationships/image" Target="media/image538.png"/><Relationship Id="rId584" Type="http://schemas.openxmlformats.org/officeDocument/2006/relationships/image" Target="media/image539.png"/><Relationship Id="rId585" Type="http://schemas.openxmlformats.org/officeDocument/2006/relationships/image" Target="media/image540.png"/><Relationship Id="rId586" Type="http://schemas.openxmlformats.org/officeDocument/2006/relationships/image" Target="media/image541.png"/><Relationship Id="rId587" Type="http://schemas.openxmlformats.org/officeDocument/2006/relationships/image" Target="media/image542.png"/><Relationship Id="rId588" Type="http://schemas.openxmlformats.org/officeDocument/2006/relationships/image" Target="media/image543.png"/><Relationship Id="rId589" Type="http://schemas.openxmlformats.org/officeDocument/2006/relationships/image" Target="media/image544.png"/><Relationship Id="rId590" Type="http://schemas.openxmlformats.org/officeDocument/2006/relationships/image" Target="media/image545.png"/><Relationship Id="rId591" Type="http://schemas.openxmlformats.org/officeDocument/2006/relationships/image" Target="media/image546.png"/><Relationship Id="rId592" Type="http://schemas.openxmlformats.org/officeDocument/2006/relationships/image" Target="media/image547.png"/><Relationship Id="rId593" Type="http://schemas.openxmlformats.org/officeDocument/2006/relationships/image" Target="media/image548.png"/><Relationship Id="rId594" Type="http://schemas.openxmlformats.org/officeDocument/2006/relationships/image" Target="media/image549.png"/><Relationship Id="rId595" Type="http://schemas.openxmlformats.org/officeDocument/2006/relationships/image" Target="media/image550.png"/><Relationship Id="rId596" Type="http://schemas.openxmlformats.org/officeDocument/2006/relationships/image" Target="media/image551.png"/><Relationship Id="rId597" Type="http://schemas.openxmlformats.org/officeDocument/2006/relationships/image" Target="media/image552.png"/><Relationship Id="rId598" Type="http://schemas.openxmlformats.org/officeDocument/2006/relationships/image" Target="media/image553.png"/><Relationship Id="rId599" Type="http://schemas.openxmlformats.org/officeDocument/2006/relationships/image" Target="media/image554.png"/><Relationship Id="rId600" Type="http://schemas.openxmlformats.org/officeDocument/2006/relationships/image" Target="media/image555.png"/><Relationship Id="rId601" Type="http://schemas.openxmlformats.org/officeDocument/2006/relationships/image" Target="media/image556.png"/><Relationship Id="rId602" Type="http://schemas.openxmlformats.org/officeDocument/2006/relationships/image" Target="media/image557.png"/><Relationship Id="rId603" Type="http://schemas.openxmlformats.org/officeDocument/2006/relationships/image" Target="media/image558.png"/><Relationship Id="rId604" Type="http://schemas.openxmlformats.org/officeDocument/2006/relationships/image" Target="media/image559.png"/><Relationship Id="rId605" Type="http://schemas.openxmlformats.org/officeDocument/2006/relationships/image" Target="media/image560.png"/><Relationship Id="rId606" Type="http://schemas.openxmlformats.org/officeDocument/2006/relationships/image" Target="media/image561.png"/><Relationship Id="rId607" Type="http://schemas.openxmlformats.org/officeDocument/2006/relationships/image" Target="media/image562.png"/><Relationship Id="rId608" Type="http://schemas.openxmlformats.org/officeDocument/2006/relationships/image" Target="media/image563.png"/><Relationship Id="rId609" Type="http://schemas.openxmlformats.org/officeDocument/2006/relationships/image" Target="media/image564.png"/><Relationship Id="rId610" Type="http://schemas.openxmlformats.org/officeDocument/2006/relationships/image" Target="media/image565.png"/><Relationship Id="rId611" Type="http://schemas.openxmlformats.org/officeDocument/2006/relationships/image" Target="media/image566.png"/><Relationship Id="rId612" Type="http://schemas.openxmlformats.org/officeDocument/2006/relationships/image" Target="media/image567.png"/><Relationship Id="rId613" Type="http://schemas.openxmlformats.org/officeDocument/2006/relationships/image" Target="media/image568.png"/><Relationship Id="rId614" Type="http://schemas.openxmlformats.org/officeDocument/2006/relationships/image" Target="media/image569.png"/><Relationship Id="rId615" Type="http://schemas.openxmlformats.org/officeDocument/2006/relationships/image" Target="media/image570.png"/><Relationship Id="rId616" Type="http://schemas.openxmlformats.org/officeDocument/2006/relationships/image" Target="media/image571.png"/><Relationship Id="rId617" Type="http://schemas.openxmlformats.org/officeDocument/2006/relationships/image" Target="media/image572.png"/><Relationship Id="rId618" Type="http://schemas.openxmlformats.org/officeDocument/2006/relationships/image" Target="media/image573.png"/><Relationship Id="rId619" Type="http://schemas.openxmlformats.org/officeDocument/2006/relationships/image" Target="media/image574.png"/><Relationship Id="rId620" Type="http://schemas.openxmlformats.org/officeDocument/2006/relationships/image" Target="media/image575.png"/><Relationship Id="rId621" Type="http://schemas.openxmlformats.org/officeDocument/2006/relationships/image" Target="media/image576.png"/><Relationship Id="rId622" Type="http://schemas.openxmlformats.org/officeDocument/2006/relationships/image" Target="media/image577.png"/><Relationship Id="rId173" Type="http://schemas.openxmlformats.org/officeDocument/2006/relationships/hyperlink" Target="http://www.sec.gov/Archives/edgar/data/1719714/000119312519016112/d680874dex31.htm" TargetMode="External"/><Relationship Id="rId174" Type="http://schemas.openxmlformats.org/officeDocument/2006/relationships/hyperlink" Target="http://www.sec.gov/Archives/edgar/data/1719714/000119312519016112/d680874dex42.htm" TargetMode="External"/><Relationship Id="rId175" Type="http://schemas.openxmlformats.org/officeDocument/2006/relationships/hyperlink" Target="http://www.sec.gov/Archives/edgar/data/0001719714/000119312521102416/d60415dex22.htm" TargetMode="External"/><Relationship Id="rId176" Type="http://schemas.openxmlformats.org/officeDocument/2006/relationships/hyperlink" Target="http://www.sec.gov/Archives/edgar/data/1719714/000119312519076867/d680874df4a.htm#rom680874_1001" TargetMode="External"/><Relationship Id="rId177" Type="http://schemas.openxmlformats.org/officeDocument/2006/relationships/hyperlink" Target="http://www.sec.gov/Archives/edgar/data/1719714/000119312519016112/d680874dex1020.htm" TargetMode="External"/><Relationship Id="rId180" Type="http://schemas.openxmlformats.org/officeDocument/2006/relationships/hyperlink" Target="http://www.sec.gov/Archives/edgar/data/1719714/000119312519016112/d680874dex10201.htm" TargetMode="External"/><Relationship Id="rId181" Type="http://schemas.openxmlformats.org/officeDocument/2006/relationships/hyperlink" Target="http://www.sec.gov/Archives/edgar/data/1719714/000119312519016112/d680874dex10202.htm" TargetMode="External"/><Relationship Id="rId182" Type="http://schemas.openxmlformats.org/officeDocument/2006/relationships/hyperlink" Target="http://www.sec.gov/Archives/edgar/data/1719714/000119312519016112/d680874dex10203.htm" TargetMode="External"/><Relationship Id="rId183" Type="http://schemas.openxmlformats.org/officeDocument/2006/relationships/hyperlink" Target="http://www.sec.gov/Archives/edgar/data/1719714/000119312519016112/d680874dex1021.htm" TargetMode="External"/><Relationship Id="rId184" Type="http://schemas.openxmlformats.org/officeDocument/2006/relationships/hyperlink" Target="http://www.sec.gov/Archives/edgar/data/1719714/000119312519016112/d680874dex10211.htm" TargetMode="External"/><Relationship Id="rId185" Type="http://schemas.openxmlformats.org/officeDocument/2006/relationships/hyperlink" Target="http://www.sec.gov/Archives/edgar/data/1719714/000119312519016112/d680874dex10212.htm" TargetMode="External"/><Relationship Id="rId186" Type="http://schemas.openxmlformats.org/officeDocument/2006/relationships/hyperlink" Target="http://www.sec.gov/Archives/edgar/data/1719714/000119312519016112/d680874dex1022.htm" TargetMode="External"/><Relationship Id="rId187" Type="http://schemas.openxmlformats.org/officeDocument/2006/relationships/hyperlink" Target="http://www.sec.gov/Archives/edgar/data/1719714/000119312519016112/d680874dex10221.htm" TargetMode="External"/><Relationship Id="rId188" Type="http://schemas.openxmlformats.org/officeDocument/2006/relationships/hyperlink" Target="http://www.sec.gov/Archives/edgar/data/1719714/000119312519016112/d680874dex10222.htm" TargetMode="External"/><Relationship Id="rId189" Type="http://schemas.openxmlformats.org/officeDocument/2006/relationships/hyperlink" Target="http://www.sec.gov/Archives/edgar/data/1719714/000119312519016112/d680874dex1023.htm" TargetMode="External"/><Relationship Id="rId190" Type="http://schemas.openxmlformats.org/officeDocument/2006/relationships/hyperlink" Target="http://www.sec.gov/Archives/edgar/data/1719714/000119312519016112/d680874dex1024.htm" TargetMode="External"/><Relationship Id="rId191" Type="http://schemas.openxmlformats.org/officeDocument/2006/relationships/hyperlink" Target="http://www.sec.gov/Archives/edgar/data/1719714/000119312519016112/d680874dex1026.htm" TargetMode="External"/><Relationship Id="rId192" Type="http://schemas.openxmlformats.org/officeDocument/2006/relationships/hyperlink" Target="http://www.sec.gov/Archives/edgar/data/1719714/000119312519076867/d680874df4a.htm#rom680874_1002" TargetMode="External"/><Relationship Id="rId193" Type="http://schemas.openxmlformats.org/officeDocument/2006/relationships/hyperlink" Target="http://www.sec.gov/Archives/edgar/data/1719714/000119312520161012/d935734dex103.htm" TargetMode="External"/><Relationship Id="rId194" Type="http://schemas.openxmlformats.org/officeDocument/2006/relationships/hyperlink" Target="http://www.sec.gov/Archives/edgar/data/1719714/000119312520161012/d935734dex104.htm" TargetMode="External"/><Relationship Id="rId195" Type="http://schemas.openxmlformats.org/officeDocument/2006/relationships/hyperlink" Target="http://www.sec.gov/Archives/edgar/data/1719714/000119312521102416/d60415dex421.htm" TargetMode="External"/><Relationship Id="rId196" Type="http://schemas.openxmlformats.org/officeDocument/2006/relationships/hyperlink" Target="http://www.sec.gov/Archives/edgar/data/1719714/000119312521102416/d60415dex422.htm" TargetMode="External"/><Relationship Id="rId197" Type="http://schemas.openxmlformats.org/officeDocument/2006/relationships/hyperlink" Target="http://www.sec.gov/Archives/edgar/data/1719714/000119312521102416/d60415dex423.htm" TargetMode="External"/><Relationship Id="rId198" Type="http://schemas.openxmlformats.org/officeDocument/2006/relationships/hyperlink" Target="http://www.sec.gov/Archives/edgar/data/1719714/000119312521102416/d60415dex424.htm" TargetMode="External"/><Relationship Id="rId199" Type="http://schemas.openxmlformats.org/officeDocument/2006/relationships/hyperlink" Target="http://www.sec.gov/Archives/edgar/data/1719714/000119312521102416/d60415dex425.htm" TargetMode="External"/><Relationship Id="rId200" Type="http://schemas.openxmlformats.org/officeDocument/2006/relationships/hyperlink" Target="http://www.sec.gov/Archives/edgar/data/1719714/000119312521102416/d60415dex427.htm" TargetMode="External"/><Relationship Id="rId201" Type="http://schemas.openxmlformats.org/officeDocument/2006/relationships/hyperlink" Target="http://www.sec.gov/Archives/edgar/data/1719714/000119312521102416/d60415dex428.htm" TargetMode="External"/><Relationship Id="rId202" Type="http://schemas.openxmlformats.org/officeDocument/2006/relationships/hyperlink" Target="http://www.sec.gov/Archives/edgar/data/1719714/000119312521102416/d60415dex429.htm" TargetMode="External"/><Relationship Id="rId203" Type="http://schemas.openxmlformats.org/officeDocument/2006/relationships/hyperlink" Target="http://www.sec.gov/Archives/edgar/data/1719714/000119312521102416/d60415dex430.htm" TargetMode="External"/><Relationship Id="rId204" Type="http://schemas.openxmlformats.org/officeDocument/2006/relationships/hyperlink" Target="http://www.sec.gov/Archives/edgar/data/1719714/000119312521102416/d60415dex431.htm" TargetMode="External"/><Relationship Id="rId205" Type="http://schemas.openxmlformats.org/officeDocument/2006/relationships/hyperlink" Target="http://www.sec.gov/Archives/edgar/data/1719714/000119312521102416/d60415dex432.htm" TargetMode="External"/><Relationship Id="rId206" Type="http://schemas.openxmlformats.org/officeDocument/2006/relationships/hyperlink" Target="http://www.sec.gov/Archives/edgar/data/1719714/000119312521102416/d60415dex81.htm" TargetMode="External"/><Relationship Id="rId208" Type="http://schemas.openxmlformats.org/officeDocument/2006/relationships/hyperlink" Target="http://www.sec.gov/Archives/edgar/data/1719714/000119312520029019/d884665dex101.htm" TargetMode="External"/><Relationship Id="rId209" Type="http://schemas.openxmlformats.org/officeDocument/2006/relationships/hyperlink" Target="http://www.sec.gov/Archives/edgar/data/1719714/000119312520029019/d884665dex102.htm" TargetMode="External"/><Relationship Id="rId210" Type="http://schemas.openxmlformats.org/officeDocument/2006/relationships/hyperlink" Target="http://www.sec.gov/Archives/edgar/data/1719714/000119312520041452/d886556dex101.htm" TargetMode="External"/><Relationship Id="rId211" Type="http://schemas.openxmlformats.org/officeDocument/2006/relationships/hyperlink" Target="http://www.sec.gov/Archives/edgar/data/1719714/000119312520041452/d886556dex102.htm" TargetMode="External"/><Relationship Id="rId212" Type="http://schemas.openxmlformats.org/officeDocument/2006/relationships/hyperlink" Target="http://www.sec.gov/Archives/edgar/data/1719714/000119312520161012/d935734dex101.htm" TargetMode="External"/><Relationship Id="rId213" Type="http://schemas.openxmlformats.org/officeDocument/2006/relationships/hyperlink" Target="http://www.sec.gov/Archives/edgar/data/1719714/000119312520161012/d9357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2022-03-31T16:18:02Z</dcterms:created>
  <dcterms:modified xsi:type="dcterms:W3CDTF">2022-03-31T16:18:02Z</dcterms:modified>
</cp:coreProperties>
</file>