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Filed Pursuant to Rule 424(b)(3)</w:t>
      </w:r>
    </w:p>
    <w:p>
      <w:pPr>
        <w:spacing w:after="0" w:line="14"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Registration No. 333-283439</w:t>
      </w:r>
    </w:p>
    <w:p>
      <w:pPr>
        <w:spacing w:after="0" w:line="1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309245</wp:posOffset>
            </wp:positionV>
            <wp:extent cx="168021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3920"/>
        <w:spacing w:after="0"/>
        <w:rPr>
          <w:sz w:val="20"/>
          <w:szCs w:val="20"/>
          <w:color w:val="auto"/>
        </w:rPr>
      </w:pPr>
      <w:r>
        <w:rPr>
          <w:rFonts w:ascii="Arial" w:cs="Arial" w:eastAsia="Arial" w:hAnsi="Arial"/>
          <w:sz w:val="25"/>
          <w:szCs w:val="25"/>
          <w:b w:val="1"/>
          <w:bCs w:val="1"/>
          <w:color w:val="auto"/>
        </w:rPr>
        <w:t>Mereo BioPharma Group plc</w:t>
      </w:r>
    </w:p>
    <w:p>
      <w:pPr>
        <w:spacing w:after="0" w:line="226" w:lineRule="exact"/>
        <w:rPr>
          <w:sz w:val="24"/>
          <w:szCs w:val="24"/>
          <w:color w:val="auto"/>
        </w:rPr>
      </w:pPr>
    </w:p>
    <w:p>
      <w:pPr>
        <w:ind w:left="360"/>
        <w:spacing w:after="0"/>
        <w:rPr>
          <w:sz w:val="20"/>
          <w:szCs w:val="20"/>
          <w:color w:val="auto"/>
        </w:rPr>
      </w:pPr>
      <w:r>
        <w:rPr>
          <w:rFonts w:ascii="Arial" w:cs="Arial" w:eastAsia="Arial" w:hAnsi="Arial"/>
          <w:sz w:val="25"/>
          <w:szCs w:val="25"/>
          <w:b w:val="1"/>
          <w:bCs w:val="1"/>
          <w:color w:val="auto"/>
        </w:rPr>
        <w:t>26,638,972 Ordinary Shares Offered by the Selling Shareholders in the form of American</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205" w:lineRule="exact"/>
        <w:rPr>
          <w:sz w:val="24"/>
          <w:szCs w:val="24"/>
          <w:color w:val="auto"/>
        </w:rPr>
      </w:pPr>
    </w:p>
    <w:p>
      <w:pPr>
        <w:ind w:left="120"/>
        <w:spacing w:after="0" w:line="239" w:lineRule="auto"/>
        <w:rPr>
          <w:sz w:val="20"/>
          <w:szCs w:val="20"/>
          <w:color w:val="auto"/>
        </w:rPr>
      </w:pPr>
      <w:r>
        <w:rPr>
          <w:rFonts w:ascii="Arial" w:cs="Arial" w:eastAsia="Arial" w:hAnsi="Arial"/>
          <w:sz w:val="18"/>
          <w:szCs w:val="18"/>
          <w:color w:val="auto"/>
        </w:rPr>
        <w:t>This prospectus covers the offer and resale by the selling shareholders identified in this prospectus of up to an aggregate of 26,638,972 of our ordinary shares in the form of American Depositary Shares (“ADSs”), consisting of (i) 20,555,067 ordinary shares underlying convertible loan notes and warrants issuable to Novartis Pharma AG (“Novartis”) under the convertible loan and warrant instruments dated February 10, 2020, as amended on November 24, 2020 and February 10, 2023; (ii) 2,487,816 ordinary shares underlying warrants issuable to Silicon Valley Bank and Kreos Capital V (UK) Limited as lenders under previous loan agreements with them dated August 7, 2017 and September 28, 2018, respectively, as amended on December 15, 2020 that have been fully repaid; (iii) 1,551,699 ordinary shares underlying warrants issuable to the Alpha-1 Project, Inc. (“TAP”) under a warrant instrument dated November 2, 2018, as amended on March 29, 2021 and (iv) 2,044,390 ordinary shares issued to AstraZeneca AB (“AstraZeneca”) in connection with a subscription deed dated October 28, 2017, as amended on May 21, 2021 and November 8, 2024.</w:t>
      </w:r>
    </w:p>
    <w:p>
      <w:pPr>
        <w:spacing w:after="0" w:line="183" w:lineRule="exact"/>
        <w:rPr>
          <w:sz w:val="24"/>
          <w:szCs w:val="24"/>
          <w:color w:val="auto"/>
        </w:rPr>
      </w:pPr>
    </w:p>
    <w:p>
      <w:pPr>
        <w:ind w:left="120" w:right="280"/>
        <w:spacing w:after="0" w:line="247" w:lineRule="auto"/>
        <w:rPr>
          <w:sz w:val="20"/>
          <w:szCs w:val="20"/>
          <w:color w:val="auto"/>
        </w:rPr>
      </w:pPr>
      <w:r>
        <w:rPr>
          <w:rFonts w:ascii="Arial" w:cs="Arial" w:eastAsia="Arial" w:hAnsi="Arial"/>
          <w:sz w:val="18"/>
          <w:szCs w:val="18"/>
          <w:color w:val="auto"/>
        </w:rPr>
        <w:t>We are not selling any ADSs under this prospectus and will not receive any of the proceeds from the sale of the ADSs by the selling shareholders. Each of the selling shareholders may offer and sell their ADSs in public or private transactions, or both. These sales may occur at fixed prices, at market prices prevailing at the time of sale, at prices related to prevailing market prices, or at negotiated prices. See “Plan of Distribution” for more information on how the selling shareholders may conduct sales of their ADSs.</w:t>
      </w:r>
    </w:p>
    <w:p>
      <w:pPr>
        <w:spacing w:after="0" w:line="174" w:lineRule="exact"/>
        <w:rPr>
          <w:sz w:val="24"/>
          <w:szCs w:val="24"/>
          <w:color w:val="auto"/>
        </w:rPr>
      </w:pPr>
    </w:p>
    <w:p>
      <w:pPr>
        <w:ind w:left="120" w:right="120"/>
        <w:spacing w:after="0" w:line="271" w:lineRule="auto"/>
        <w:rPr>
          <w:sz w:val="20"/>
          <w:szCs w:val="20"/>
          <w:color w:val="auto"/>
        </w:rPr>
      </w:pPr>
      <w:r>
        <w:rPr>
          <w:rFonts w:ascii="Arial" w:cs="Arial" w:eastAsia="Arial" w:hAnsi="Arial"/>
          <w:sz w:val="18"/>
          <w:szCs w:val="18"/>
          <w:color w:val="auto"/>
        </w:rPr>
        <w:t>We are paying the cost of registering the ADSs covered by this prospectus as well as various related expenses. The selling shareholders are responsible for all selling commissions, transfer taxes and other costs related to the offer and sale of their ADSs.</w:t>
      </w:r>
    </w:p>
    <w:p>
      <w:pPr>
        <w:spacing w:after="0" w:line="154" w:lineRule="exact"/>
        <w:rPr>
          <w:sz w:val="24"/>
          <w:szCs w:val="24"/>
          <w:color w:val="auto"/>
        </w:rPr>
      </w:pPr>
    </w:p>
    <w:p>
      <w:pPr>
        <w:ind w:left="120" w:right="160"/>
        <w:spacing w:after="0" w:line="271" w:lineRule="auto"/>
        <w:rPr>
          <w:sz w:val="20"/>
          <w:szCs w:val="20"/>
          <w:color w:val="auto"/>
        </w:rPr>
      </w:pPr>
      <w:r>
        <w:rPr>
          <w:rFonts w:ascii="Arial" w:cs="Arial" w:eastAsia="Arial" w:hAnsi="Arial"/>
          <w:sz w:val="18"/>
          <w:szCs w:val="18"/>
          <w:color w:val="auto"/>
        </w:rPr>
        <w:t>Our ADSs, each representing five ordinary shares, are listed on The Nasdaq Capital Market under the symbol “MREO.” On December 3, 2024, the last reported sale price of our ADSs on The Nasdaq Capital Market was $3.55 per ADS.</w:t>
      </w:r>
    </w:p>
    <w:p>
      <w:pPr>
        <w:spacing w:after="0" w:line="154" w:lineRule="exact"/>
        <w:rPr>
          <w:sz w:val="24"/>
          <w:szCs w:val="24"/>
          <w:color w:val="auto"/>
        </w:rPr>
      </w:pPr>
    </w:p>
    <w:p>
      <w:pPr>
        <w:ind w:left="120" w:right="200"/>
        <w:spacing w:after="0" w:line="271"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are eligible for reduced public company disclosure requirements.</w:t>
      </w:r>
    </w:p>
    <w:p>
      <w:pPr>
        <w:spacing w:after="0" w:line="154" w:lineRule="exact"/>
        <w:rPr>
          <w:sz w:val="24"/>
          <w:szCs w:val="24"/>
          <w:color w:val="auto"/>
        </w:rPr>
      </w:pPr>
    </w:p>
    <w:p>
      <w:pPr>
        <w:ind w:left="120" w:right="200"/>
        <w:spacing w:after="0" w:line="311" w:lineRule="auto"/>
        <w:rPr>
          <w:sz w:val="20"/>
          <w:szCs w:val="20"/>
          <w:color w:val="auto"/>
        </w:rPr>
      </w:pPr>
      <w:r>
        <w:rPr>
          <w:rFonts w:ascii="Arial" w:cs="Arial" w:eastAsia="Arial" w:hAnsi="Arial"/>
          <w:sz w:val="17"/>
          <w:szCs w:val="17"/>
          <w:b w:val="1"/>
          <w:bCs w:val="1"/>
          <w:color w:val="auto"/>
        </w:rPr>
        <w:t>Investing in our ADSs involve significant risks. See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beginning on page 5 of this prospectus and the documents incorporated by reference in this prospectus concerning factors you should consider before investing in our ADSs.</w:t>
      </w:r>
    </w:p>
    <w:p>
      <w:pPr>
        <w:spacing w:after="0" w:line="114" w:lineRule="exact"/>
        <w:rPr>
          <w:sz w:val="24"/>
          <w:szCs w:val="24"/>
          <w:color w:val="auto"/>
        </w:rPr>
      </w:pPr>
    </w:p>
    <w:p>
      <w:pPr>
        <w:jc w:val="both"/>
        <w:ind w:left="120" w:right="24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170180</wp:posOffset>
            </wp:positionV>
            <wp:extent cx="181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December 4, 2024.</w:t>
      </w:r>
    </w:p>
    <w:p>
      <w:pPr>
        <w:sectPr>
          <w:pgSz w:w="11900" w:h="16838" w:orient="portrait"/>
          <w:cols w:equalWidth="0" w:num="1">
            <w:col w:w="11120"/>
          </w:cols>
          <w:pgMar w:left="320" w:top="225"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20" w:type="dxa"/>
            <w:vAlign w:val="bottom"/>
          </w:tcPr>
          <w:p>
            <w:pPr>
              <w:spacing w:after="0"/>
              <w:rPr>
                <w:sz w:val="17"/>
                <w:szCs w:val="17"/>
                <w:color w:val="auto"/>
              </w:rPr>
            </w:pPr>
          </w:p>
        </w:tc>
      </w:tr>
      <w:tr>
        <w:trPr>
          <w:trHeight w:val="559"/>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515"/>
        </w:trPr>
        <w:tc>
          <w:tcPr>
            <w:tcW w:w="12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ABOUT THIS PROSPECTUS</w:t>
            </w:r>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120" w:type="dxa"/>
            <w:vAlign w:val="bottom"/>
          </w:tcPr>
          <w:p>
            <w:pPr>
              <w:spacing w:after="0"/>
              <w:rPr>
                <w:sz w:val="18"/>
                <w:szCs w:val="18"/>
                <w:color w:val="auto"/>
              </w:rPr>
            </w:pPr>
          </w:p>
        </w:tc>
        <w:tc>
          <w:tcPr>
            <w:tcW w:w="59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PROSPECTUS SUMMARY</w:t>
            </w:r>
          </w:p>
        </w:tc>
        <w:tc>
          <w:tcPr>
            <w:tcW w:w="1000" w:type="dxa"/>
            <w:vAlign w:val="bottom"/>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120" w:type="dxa"/>
            <w:vAlign w:val="bottom"/>
          </w:tcPr>
          <w:p>
            <w:pPr>
              <w:spacing w:after="0"/>
              <w:rPr>
                <w:sz w:val="18"/>
                <w:szCs w:val="18"/>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THE OFFERING</w:t>
            </w:r>
          </w:p>
        </w:tc>
        <w:tc>
          <w:tcPr>
            <w:tcW w:w="860" w:type="dxa"/>
            <w:vAlign w:val="bottom"/>
            <w:tcBorders>
              <w:top w:val="single" w:sz="8" w:color="0000EE"/>
            </w:tcBorders>
            <w:gridSpan w:val="4"/>
          </w:tcPr>
          <w:p>
            <w:pPr>
              <w:spacing w:after="0"/>
              <w:rPr>
                <w:sz w:val="18"/>
                <w:szCs w:val="18"/>
                <w:color w:val="auto"/>
              </w:rPr>
            </w:pPr>
          </w:p>
        </w:tc>
        <w:tc>
          <w:tcPr>
            <w:tcW w:w="4740" w:type="dxa"/>
            <w:vAlign w:val="bottom"/>
            <w:gridSpan w:val="5"/>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0" w:type="dxa"/>
            <w:vAlign w:val="bottom"/>
          </w:tcPr>
          <w:p>
            <w:pPr>
              <w:spacing w:after="0"/>
              <w:rPr>
                <w:sz w:val="18"/>
                <w:szCs w:val="18"/>
                <w:color w:val="auto"/>
              </w:rPr>
            </w:pPr>
          </w:p>
        </w:tc>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5620" w:type="dxa"/>
            <w:vAlign w:val="bottom"/>
            <w:gridSpan w:val="10"/>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USE OF PROCEEDS</w:t>
            </w:r>
          </w:p>
        </w:tc>
        <w:tc>
          <w:tcPr>
            <w:tcW w:w="4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DESCRIPTION OF SHARE CAPITAL AND ARTICLES OF ASSOCIATION</w:t>
            </w:r>
          </w:p>
        </w:tc>
        <w:tc>
          <w:tcPr>
            <w:tcW w:w="4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20" w:type="dxa"/>
            <w:vAlign w:val="bottom"/>
          </w:tcPr>
          <w:p>
            <w:pPr>
              <w:spacing w:after="0"/>
              <w:rPr>
                <w:sz w:val="18"/>
                <w:szCs w:val="18"/>
                <w:color w:val="auto"/>
              </w:rPr>
            </w:pPr>
          </w:p>
        </w:tc>
        <w:tc>
          <w:tcPr>
            <w:tcW w:w="59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DESCRIPTION OF AMERICAN DEPOSITARY SHARES</w:t>
            </w:r>
          </w:p>
        </w:tc>
        <w:tc>
          <w:tcPr>
            <w:tcW w:w="1040" w:type="dxa"/>
            <w:vAlign w:val="bottom"/>
            <w:gridSpan w:val="2"/>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20" w:type="dxa"/>
            <w:vAlign w:val="bottom"/>
          </w:tcPr>
          <w:p>
            <w:pPr>
              <w:spacing w:after="0"/>
              <w:rPr>
                <w:sz w:val="18"/>
                <w:szCs w:val="18"/>
                <w:color w:val="auto"/>
              </w:rPr>
            </w:pPr>
          </w:p>
        </w:tc>
        <w:tc>
          <w:tcPr>
            <w:tcW w:w="23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rPr>
              <w:t>SELLING SHAREHOLDERS</w:t>
            </w:r>
          </w:p>
        </w:tc>
        <w:tc>
          <w:tcPr>
            <w:tcW w:w="2140" w:type="dxa"/>
            <w:vAlign w:val="bottom"/>
            <w:tcBorders>
              <w:top w:val="single" w:sz="8" w:color="0000EE"/>
            </w:tcBorders>
          </w:tcPr>
          <w:p>
            <w:pPr>
              <w:spacing w:after="0"/>
              <w:rPr>
                <w:sz w:val="18"/>
                <w:szCs w:val="18"/>
                <w:color w:val="auto"/>
              </w:rPr>
            </w:pPr>
          </w:p>
        </w:tc>
        <w:tc>
          <w:tcPr>
            <w:tcW w:w="2440" w:type="dxa"/>
            <w:vAlign w:val="bottom"/>
            <w:gridSpan w:val="3"/>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120" w:type="dxa"/>
            <w:vAlign w:val="bottom"/>
          </w:tcPr>
          <w:p>
            <w:pPr>
              <w:spacing w:after="0"/>
              <w:rPr>
                <w:sz w:val="18"/>
                <w:szCs w:val="18"/>
                <w:color w:val="auto"/>
              </w:rPr>
            </w:pPr>
          </w:p>
        </w:tc>
        <w:tc>
          <w:tcPr>
            <w:tcW w:w="6940" w:type="dxa"/>
            <w:vAlign w:val="bottom"/>
            <w:gridSpan w:val="13"/>
          </w:tcPr>
          <w:p>
            <w:pPr>
              <w:spacing w:after="0"/>
              <w:rPr>
                <w:sz w:val="20"/>
                <w:szCs w:val="20"/>
                <w:color w:val="auto"/>
              </w:rPr>
            </w:pPr>
            <w:r>
              <w:rPr>
                <w:rFonts w:ascii="Arial" w:cs="Arial" w:eastAsia="Arial" w:hAnsi="Arial"/>
                <w:sz w:val="18"/>
                <w:szCs w:val="18"/>
                <w:color w:val="0000EE"/>
              </w:rPr>
              <w:t>PLAN OF DISTRIBUTION</w:t>
            </w:r>
          </w:p>
        </w:tc>
        <w:tc>
          <w:tcPr>
            <w:tcW w:w="4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2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120" w:type="dxa"/>
            <w:vAlign w:val="bottom"/>
          </w:tcPr>
          <w:p>
            <w:pPr>
              <w:spacing w:after="0"/>
              <w:rPr>
                <w:sz w:val="18"/>
                <w:szCs w:val="18"/>
                <w:color w:val="auto"/>
              </w:rPr>
            </w:pPr>
          </w:p>
        </w:tc>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6100" w:type="dxa"/>
            <w:vAlign w:val="bottom"/>
            <w:gridSpan w:val="12"/>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120" w:type="dxa"/>
            <w:vAlign w:val="bottom"/>
          </w:tcPr>
          <w:p>
            <w:pPr>
              <w:spacing w:after="0"/>
              <w:rPr>
                <w:sz w:val="18"/>
                <w:szCs w:val="18"/>
                <w:color w:val="auto"/>
              </w:rPr>
            </w:pPr>
          </w:p>
        </w:tc>
        <w:tc>
          <w:tcPr>
            <w:tcW w:w="69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WHERE YOU CAN FIND MORE INFORMATION; INCORPORATION BY REFERENCE</w:t>
            </w:r>
          </w:p>
        </w:tc>
        <w:tc>
          <w:tcPr>
            <w:tcW w:w="40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We urge you to read carefully this prospectus, together with the information incorporated herein by reference as described under the heading “Where You Can Find More Information,” before buying any of our ADSs being offered.</w:t>
      </w:r>
    </w:p>
    <w:p>
      <w:pPr>
        <w:spacing w:after="0" w:line="154"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Neither we nor the selling shareholders have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our ADSs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ADSs.</w:t>
      </w:r>
    </w:p>
    <w:p>
      <w:pPr>
        <w:spacing w:after="0" w:line="179"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Incorporation by Reference.”</w:t>
      </w:r>
    </w:p>
    <w:p>
      <w:pPr>
        <w:spacing w:after="0" w:line="169"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Throughout this prospectus, when we refer to the selling shareholders, we are referring to the selling shareholders identified in this prospectus and, as applicable, its permitted transferees or other successors-in-interest that may be identified in a supplement to this prospectus or, if required, a post-effective amendment to the registration statement of which this prospectus is a part.</w:t>
      </w:r>
    </w:p>
    <w:p>
      <w:pPr>
        <w:spacing w:after="0" w:line="169"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Mereo BioPharma Ireland Limited, Mereo US Holdings Inc. and NAVI Subsidiary, Inc. “Mereo,” the Mereo logo and other trademarks, trade names or service marks of Mereo appearing in this prospectus and the documents incorporated by reference are the property of Mereo.</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This prospectus and any applicable prospectus supplement or free writing prospectus, including the documents that we incorporate by reference herein and therein, contain “forward-looking statements” within the meaning of Section 27A of the Securities Act of 1933, as amended, or the Securities Act, and Section 21E of the Securities Exchange Act of 1934, as amended, or the Exchange Act. In some cases, you can identify these statements by terms such as “anticipate,” “believe,” “could,” “estimate,” “expects,” “intend,” “may,” “plan,” “potential,” “predict,” “project,” “should,” “will,” “would” or the negative of those terms, and similar expressions that convey uncertainty of future events or outcomes. In addition, statements that “we believe” and similar statements reflect our beliefs and opinions on the relevant subject. The forward-looking statements are contained principally in the sections entitled “Business” and “Management’s Discussion and Analysis of Financial Condition and Results of Operations” incorporated by reference from our most recent Annual Report on Form 10-K and most recent Quarterly Report on Form 10-Q.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evaluating such forward-looking statements, you should specifically consider various factors, including the risks outlined under the heading “Risk Factors” contained in this prospectus, any accompanying prospectus supplement and any related free writing prospectus, and in our most recent Annual Report on Form 10-K or our most recent Quarterly Report on Form 10-Q filed with the Securities and Exchange Commission, or SEC. The discussion of risks and uncertainties set forth in those filings is not necessarily a complete or exhaustive list of all risks facing us at any particular point in time.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 You should carefully read this prospectus, any accompanying prospectus supplement and any related free writing prospectus, together with the information incorporated herein or therein by reference, and with the understanding that our actual future results may materially differ from what we expect. We qualify all of our forward-looking statements by these cautionary statements.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01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4" w:lineRule="exact"/>
        <w:rPr>
          <w:sz w:val="20"/>
          <w:szCs w:val="20"/>
          <w:color w:val="auto"/>
        </w:rPr>
      </w:pPr>
    </w:p>
    <w:p>
      <w:pPr>
        <w:ind w:left="300" w:right="40"/>
        <w:spacing w:after="0" w:line="241"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herein.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any factors described under the heading “Risk Factors” beginning on page 5 of this prospectus, as well as the information incorporated herein by reference, before making an investment decision.</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04" w:lineRule="exact"/>
        <w:rPr>
          <w:sz w:val="20"/>
          <w:szCs w:val="20"/>
          <w:color w:val="auto"/>
        </w:rPr>
      </w:pPr>
    </w:p>
    <w:p>
      <w:pPr>
        <w:ind w:left="300" w:right="460" w:firstLine="426"/>
        <w:spacing w:after="0"/>
        <w:rPr>
          <w:sz w:val="20"/>
          <w:szCs w:val="20"/>
          <w:color w:val="auto"/>
        </w:rPr>
      </w:pPr>
      <w:r>
        <w:rPr>
          <w:rFonts w:ascii="Arial" w:cs="Arial" w:eastAsia="Arial" w:hAnsi="Arial"/>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and Breakthrough Therapy designation from the FDA. Alvelestat has received U.S. Orphan Drug Designation for the treatment of AATD and Fast Track designation from the FDA for the treatment of AATD-LD.</w:t>
      </w:r>
    </w:p>
    <w:p>
      <w:pPr>
        <w:spacing w:after="0" w:line="185"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5" w:lineRule="exact"/>
        <w:rPr>
          <w:sz w:val="20"/>
          <w:szCs w:val="20"/>
          <w:color w:val="auto"/>
        </w:rPr>
      </w:pPr>
    </w:p>
    <w:p>
      <w:pPr>
        <w:ind w:left="300" w:firstLine="426"/>
        <w:spacing w:after="0" w:line="261" w:lineRule="auto"/>
        <w:rPr>
          <w:sz w:val="20"/>
          <w:szCs w:val="20"/>
          <w:color w:val="auto"/>
        </w:rPr>
      </w:pPr>
      <w:r>
        <w:rPr>
          <w:rFonts w:ascii="Arial" w:cs="Arial" w:eastAsia="Arial" w:hAnsi="Arial"/>
          <w:sz w:val="17"/>
          <w:szCs w:val="17"/>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firstLine="426"/>
        <w:spacing w:after="0" w:line="247" w:lineRule="auto"/>
        <w:rPr>
          <w:sz w:val="20"/>
          <w:szCs w:val="20"/>
          <w:color w:val="auto"/>
        </w:rPr>
      </w:pPr>
      <w:r>
        <w:rPr>
          <w:rFonts w:ascii="Arial" w:cs="Arial" w:eastAsia="Arial" w:hAnsi="Arial"/>
          <w:sz w:val="18"/>
          <w:szCs w:val="18"/>
          <w:color w:val="auto"/>
        </w:rPr>
        <w:t>Our registered office address is One Cavendish Place, 4th Floor, London, W1G 0QF, United Kingdom and our telephone number is +44 333 023 7300. Our website address is www.mereobiopharma.com. The information contained on, or that can be accessed from, our website does not form part of this prospectus. Our agent for service of process in the United States is Mereo US Holdings Inc.</w:t>
      </w: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407"/>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THE OFFERING</w:t>
            </w:r>
          </w:p>
        </w:tc>
      </w:tr>
      <w:tr>
        <w:trPr>
          <w:trHeight w:val="401"/>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the Selling Shareholders</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26,638,972 ordinary shares, in the form of ADSs, consisting of</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(i) 20,555,067 ordinary shares underlying convertible loan</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notes and warrants issuable to Novartis under the convertible</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loan and warrant instruments dated February 10, 2020,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amended on November 24, 2020 and February 10, 2023; (ii)</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2,487,816 ordinary shares underlying warrants issuable to</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Silicon Valley Bank and Kreos Capital V (UK) Limited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lenders under previous loan agreements with them dated</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August 7, 2017 and September 28, 2018, respectively,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amended on December 15, 2020 that have been fully repaid;</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(iii) 1,551,699 ordinary shares underlying warrants issuable to</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TAP under a warrant instrument dated November 2, 2018, as</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amended on March 29, 2021 and (iv) 2,044,390 ordinary</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shares issued to AstraZeneca in connection with a</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subscription deed dated October 28, 2017, as amended on</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May 21, 2021 and November 8, 2024.</w:t>
            </w:r>
          </w:p>
        </w:tc>
      </w:tr>
      <w:tr>
        <w:trPr>
          <w:trHeight w:val="382"/>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Plan of Distribution</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The selling shareholders will determine when and how they</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will sell the ADSs offered in this prospectus, as described in</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“Plan of Distribution.”</w:t>
            </w:r>
          </w:p>
        </w:tc>
      </w:tr>
      <w:tr>
        <w:trPr>
          <w:trHeight w:val="382"/>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We will not receive any proceeds from the sale of the ADSs by</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the selling shareholders.</w:t>
            </w:r>
          </w:p>
        </w:tc>
      </w:tr>
      <w:tr>
        <w:trPr>
          <w:trHeight w:val="382"/>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You should read the “Risk Factors” section beginning on page</w:t>
            </w:r>
          </w:p>
        </w:tc>
      </w:tr>
      <w:tr>
        <w:trPr>
          <w:trHeight w:val="203"/>
        </w:trPr>
        <w:tc>
          <w:tcPr>
            <w:tcW w:w="4160" w:type="dxa"/>
            <w:vAlign w:val="bottom"/>
            <w:tcBorders>
              <w:left w:val="single" w:sz="8" w:color="auto"/>
            </w:tcBorders>
          </w:tcPr>
          <w:p>
            <w:pPr>
              <w:spacing w:after="0"/>
              <w:rPr>
                <w:sz w:val="17"/>
                <w:szCs w:val="17"/>
                <w:color w:val="auto"/>
              </w:rPr>
            </w:pPr>
          </w:p>
        </w:tc>
        <w:tc>
          <w:tcPr>
            <w:tcW w:w="6860" w:type="dxa"/>
            <w:vAlign w:val="bottom"/>
            <w:tcBorders>
              <w:right w:val="single" w:sz="8" w:color="auto"/>
            </w:tcBorders>
          </w:tcPr>
          <w:p>
            <w:pPr>
              <w:ind w:left="1680"/>
              <w:spacing w:after="0" w:line="202" w:lineRule="exact"/>
              <w:rPr>
                <w:sz w:val="20"/>
                <w:szCs w:val="20"/>
                <w:color w:val="auto"/>
              </w:rPr>
            </w:pPr>
            <w:r>
              <w:rPr>
                <w:rFonts w:ascii="Arial" w:cs="Arial" w:eastAsia="Arial" w:hAnsi="Arial"/>
                <w:sz w:val="18"/>
                <w:szCs w:val="18"/>
                <w:color w:val="auto"/>
              </w:rPr>
              <w:t>5 for a discussion of factors to consider carefully before</w:t>
            </w:r>
          </w:p>
        </w:tc>
      </w:tr>
      <w:tr>
        <w:trPr>
          <w:trHeight w:val="239"/>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deciding to purchase our ADSs.</w:t>
            </w:r>
          </w:p>
        </w:tc>
      </w:tr>
      <w:tr>
        <w:trPr>
          <w:trHeight w:val="418"/>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Nasdaq Capital Market Symbol</w:t>
            </w:r>
          </w:p>
        </w:tc>
        <w:tc>
          <w:tcPr>
            <w:tcW w:w="686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MREO</w:t>
            </w:r>
          </w:p>
        </w:tc>
      </w:tr>
      <w:tr>
        <w:trPr>
          <w:trHeight w:val="141"/>
        </w:trPr>
        <w:tc>
          <w:tcPr>
            <w:tcW w:w="4160" w:type="dxa"/>
            <w:vAlign w:val="bottom"/>
            <w:tcBorders>
              <w:left w:val="single" w:sz="8" w:color="auto"/>
              <w:bottom w:val="single" w:sz="8" w:color="auto"/>
            </w:tcBorders>
          </w:tcPr>
          <w:p>
            <w:pPr>
              <w:spacing w:after="0"/>
              <w:rPr>
                <w:sz w:val="12"/>
                <w:szCs w:val="12"/>
                <w:color w:val="auto"/>
              </w:rPr>
            </w:pPr>
          </w:p>
        </w:tc>
        <w:tc>
          <w:tcPr>
            <w:tcW w:w="6860" w:type="dxa"/>
            <w:vAlign w:val="bottom"/>
            <w:tcBorders>
              <w:bottom w:val="single" w:sz="8" w:color="auto"/>
              <w:right w:val="single" w:sz="8" w:color="auto"/>
            </w:tcBorders>
          </w:tcPr>
          <w:p>
            <w:pPr>
              <w:spacing w:after="0"/>
              <w:rPr>
                <w:sz w:val="12"/>
                <w:szCs w:val="12"/>
                <w:color w:val="auto"/>
              </w:rPr>
            </w:pPr>
          </w:p>
        </w:tc>
      </w:tr>
      <w:tr>
        <w:trPr>
          <w:trHeight w:val="365"/>
        </w:trPr>
        <w:tc>
          <w:tcPr>
            <w:tcW w:w="4160" w:type="dxa"/>
            <w:vAlign w:val="bottom"/>
          </w:tcPr>
          <w:p>
            <w:pPr>
              <w:spacing w:after="0"/>
              <w:rPr>
                <w:sz w:val="24"/>
                <w:szCs w:val="24"/>
                <w:color w:val="auto"/>
              </w:rPr>
            </w:pPr>
          </w:p>
        </w:tc>
        <w:tc>
          <w:tcPr>
            <w:tcW w:w="6860" w:type="dxa"/>
            <w:vAlign w:val="bottom"/>
          </w:tcPr>
          <w:p>
            <w:pPr>
              <w:ind w:left="13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Investment in any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6" w:lineRule="exact"/>
        <w:rPr>
          <w:sz w:val="20"/>
          <w:szCs w:val="20"/>
          <w:color w:val="auto"/>
        </w:rPr>
      </w:pPr>
    </w:p>
    <w:p>
      <w:pPr>
        <w:jc w:val="center"/>
        <w:ind w:right="60"/>
        <w:spacing w:after="0" w:line="443" w:lineRule="auto"/>
        <w:rPr>
          <w:sz w:val="20"/>
          <w:szCs w:val="20"/>
          <w:color w:val="auto"/>
        </w:rPr>
      </w:pPr>
      <w:r>
        <w:rPr>
          <w:rFonts w:ascii="Arial" w:cs="Arial" w:eastAsia="Arial" w:hAnsi="Arial"/>
          <w:sz w:val="18"/>
          <w:szCs w:val="18"/>
          <w:color w:val="auto"/>
        </w:rPr>
        <w:t>For more information about our SEC filings, please see “Where You Can Find More Information; Incorporation by Reference.” 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We will not receive any of the proceeds from the sale or other disposition of the ADSs by the selling shareholders pursuant to this prospectus.</w:t>
      </w:r>
    </w:p>
    <w:p>
      <w:pPr>
        <w:spacing w:after="0" w:line="154" w:lineRule="exact"/>
        <w:rPr>
          <w:sz w:val="20"/>
          <w:szCs w:val="20"/>
          <w:color w:val="auto"/>
        </w:rPr>
      </w:pPr>
    </w:p>
    <w:p>
      <w:pPr>
        <w:ind w:left="120" w:firstLine="440"/>
        <w:spacing w:after="0" w:line="266" w:lineRule="auto"/>
        <w:rPr>
          <w:sz w:val="20"/>
          <w:szCs w:val="20"/>
          <w:color w:val="auto"/>
        </w:rPr>
      </w:pPr>
      <w:r>
        <w:rPr>
          <w:rFonts w:ascii="Arial" w:cs="Arial" w:eastAsia="Arial" w:hAnsi="Arial"/>
          <w:sz w:val="17"/>
          <w:szCs w:val="17"/>
          <w:color w:val="auto"/>
        </w:rPr>
        <w:t>The selling shareholders will pay any underwriting discounts and commissions and share transfer taxes incurred by the selling shareholders for brokerage or legal services or any other expenses incurred by the selling shareholders in disposing of ADSs. We will bear all other fees and expenses incurred in effecting the registration of the ADSs of the selling shareholders that are covered by this prospectus, including registration and filing fees, fees and expenses of our counsel and our independent registered public accountants.</w:t>
      </w:r>
    </w:p>
    <w:p>
      <w:pPr>
        <w:spacing w:after="0" w:line="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3.1 to the Annual Report on Form 10-K of the Company for the fiscal year ended December 31, 2023. We encourage you to read the articles and the applicable provisions of English law for additional information.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 (as amended) (the “U.K. Companies Act 2006”).</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04"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As of November 20, 2024, our issued share capital was £2,327,184, equivalent to 775,728,034 ordinary shares. The nominal value of our ordinary shares, including ordinary shares in the form of ADSs, is £0.003 per ordinary share. Each issued ordinary share is fully paid.</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0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Depositary Shares” in this prospectus. Holders of our ADSs have a right to receive the ordinary shares underlying their ADSs as discussed in “Description of American Depositary Shares” in this prospectus.</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 such register:</w:t>
      </w:r>
    </w:p>
    <w:p>
      <w:pPr>
        <w:spacing w:after="0" w:line="117" w:lineRule="exact"/>
        <w:rPr>
          <w:sz w:val="20"/>
          <w:szCs w:val="20"/>
          <w:color w:val="auto"/>
        </w:rPr>
      </w:pPr>
    </w:p>
    <w:p>
      <w:pPr>
        <w:jc w:val="right"/>
        <w:ind w:left="5580" w:right="5420" w:hanging="5032"/>
        <w:spacing w:after="0" w:line="390" w:lineRule="auto"/>
        <w:tabs>
          <w:tab w:leader="none" w:pos="986"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does not include information that it is required to include; or 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includes information that it is not required to include.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0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On May 22, 2023, our shareholders authorized our Board to disapply pre-emptive rights for a period until June 30, 2026 in respect of the allotment of ordinary shares or the grant of rights to subscribe for or convert securities into ordinary shares up to a maximum aggregate nominal amount of £2,494,456.76. The nominal value of our ordinary shares is £0.003 per ordinary share.</w:t>
      </w:r>
    </w:p>
    <w:p>
      <w:pPr>
        <w:spacing w:after="0" w:line="169"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As of November 20, 2024, non-preemptive authorization up to a maximum nominal amount of £2,148,129.83 remained available to the Company.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0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59" w:lineRule="exact"/>
        <w:rPr>
          <w:sz w:val="20"/>
          <w:szCs w:val="20"/>
          <w:color w:val="auto"/>
        </w:rPr>
      </w:pPr>
    </w:p>
    <w:p>
      <w:pPr>
        <w:ind w:left="980" w:right="80" w:hanging="432"/>
        <w:spacing w:after="0" w:line="230"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4" w:lineRule="exact"/>
        <w:rPr>
          <w:rFonts w:ascii="MS PGothic" w:cs="MS PGothic" w:eastAsia="MS PGothic" w:hAnsi="MS PGothic"/>
          <w:sz w:val="25"/>
          <w:szCs w:val="25"/>
          <w:color w:val="auto"/>
          <w:vertAlign w:val="superscript"/>
        </w:rPr>
      </w:pPr>
    </w:p>
    <w:p>
      <w:pPr>
        <w:ind w:left="980" w:hanging="432"/>
        <w:spacing w:after="0" w:line="231"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6" w:lineRule="exact"/>
        <w:rPr>
          <w:rFonts w:ascii="MS PGothic" w:cs="MS PGothic" w:eastAsia="MS PGothic" w:hAnsi="MS PGothic"/>
          <w:sz w:val="25"/>
          <w:szCs w:val="25"/>
          <w:color w:val="auto"/>
          <w:vertAlign w:val="superscript"/>
        </w:rPr>
      </w:pPr>
    </w:p>
    <w:p>
      <w:pPr>
        <w:ind w:left="980" w:hanging="432"/>
        <w:spacing w:after="0" w:line="232"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00" w:right="140" w:hanging="7"/>
        <w:spacing w:after="0" w:line="255" w:lineRule="auto"/>
        <w:tabs>
          <w:tab w:leader="none" w:pos="127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shareholders to vote against the resolution and has been given any discretion by one or more other of those shareholders to vote and the proxy exercises that discretion to vote for it; or</w:t>
      </w:r>
    </w:p>
    <w:p>
      <w:pPr>
        <w:spacing w:after="0" w:line="5" w:lineRule="exact"/>
        <w:rPr>
          <w:rFonts w:ascii="Arial" w:cs="Arial" w:eastAsia="Arial" w:hAnsi="Arial"/>
          <w:sz w:val="18"/>
          <w:szCs w:val="18"/>
          <w:color w:val="auto"/>
        </w:rPr>
      </w:pPr>
    </w:p>
    <w:p>
      <w:pPr>
        <w:ind w:left="980" w:right="240" w:hanging="432"/>
        <w:spacing w:after="0" w:line="230"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provisions of the U.K. Companies Act 2006, a poll may be demanded by:</w:t>
      </w:r>
    </w:p>
    <w:p>
      <w:pPr>
        <w:spacing w:after="0" w:line="85"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2" w:lineRule="exact"/>
        <w:rPr>
          <w:rFonts w:ascii="MS PGothic" w:cs="MS PGothic" w:eastAsia="MS PGothic" w:hAnsi="MS PGothic"/>
          <w:sz w:val="25"/>
          <w:szCs w:val="25"/>
          <w:color w:val="auto"/>
          <w:vertAlign w:val="superscript"/>
        </w:rPr>
      </w:pPr>
    </w:p>
    <w:p>
      <w:pPr>
        <w:ind w:left="980" w:right="160" w:hanging="432"/>
        <w:spacing w:after="0" w:line="22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02"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54" w:lineRule="exact"/>
        <w:rPr>
          <w:sz w:val="20"/>
          <w:szCs w:val="20"/>
          <w:color w:val="auto"/>
        </w:rPr>
      </w:pPr>
    </w:p>
    <w:p>
      <w:pPr>
        <w:ind w:left="120" w:right="420" w:firstLine="440"/>
        <w:spacing w:after="0" w:line="253"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7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69"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69"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02"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02"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0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169" w:lineRule="exact"/>
        <w:rPr>
          <w:sz w:val="20"/>
          <w:szCs w:val="20"/>
          <w:color w:val="auto"/>
        </w:rPr>
      </w:pPr>
    </w:p>
    <w:p>
      <w:pPr>
        <w:jc w:val="both"/>
        <w:ind w:left="120" w:right="540" w:firstLine="440"/>
        <w:spacing w:after="0" w:line="253" w:lineRule="auto"/>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24" w:lineRule="exact"/>
        <w:rPr>
          <w:sz w:val="20"/>
          <w:szCs w:val="20"/>
          <w:color w:val="auto"/>
        </w:rPr>
      </w:pPr>
    </w:p>
    <w:p>
      <w:pPr>
        <w:ind w:left="980" w:hanging="432"/>
        <w:spacing w:after="0"/>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2" w:lineRule="exact"/>
        <w:rPr>
          <w:rFonts w:ascii="MS PGothic" w:cs="MS PGothic" w:eastAsia="MS PGothic" w:hAnsi="MS PGothic"/>
          <w:sz w:val="25"/>
          <w:szCs w:val="25"/>
          <w:color w:val="auto"/>
          <w:vertAlign w:val="superscript"/>
        </w:rPr>
      </w:pPr>
    </w:p>
    <w:p>
      <w:pPr>
        <w:ind w:left="980" w:right="420" w:hanging="432"/>
        <w:spacing w:after="0" w:line="22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180"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02"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 Notice of General Meetings” in this prospectus.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02" w:lineRule="exact"/>
        <w:rPr>
          <w:sz w:val="20"/>
          <w:szCs w:val="20"/>
          <w:color w:val="auto"/>
        </w:rPr>
      </w:pPr>
    </w:p>
    <w:p>
      <w:pPr>
        <w:ind w:left="120" w:right="820" w:firstLine="440"/>
        <w:spacing w:after="0" w:line="271"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0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Subject to the paragraph below, at least two shareholders present in person or by proxy and entitled to vote shall be a quorum for all purposes.</w:t>
      </w:r>
    </w:p>
    <w:p>
      <w:pPr>
        <w:spacing w:after="0" w:line="16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and for so long as we are subject to the rules and requirements of a securities exchange and such securities exchange requires us to have a quorum for general meetings then, in addition to the requisite quorum requirement stated in the preceding paragraph, in order for such general meeting to be quorate at least 33 1/3 per cent. of our issued and outstanding ordinary shares (or such other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amount as may be specified by such rules and requirements) must be present at such general meeting, whether represented in person (including, in the case of a corporate shareholder, by duly authorized representative) or by duly appointed proxy.</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02"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0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may not have less than two directors on the Board and not more than ten. We may, by ordinary resolution of the shareholders, vary the minimum and maximum number of directors from time to time.</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02"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17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6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20"/>
        <w:spacing w:after="0" w:line="253" w:lineRule="auto"/>
        <w:rPr>
          <w:sz w:val="20"/>
          <w:szCs w:val="20"/>
          <w:color w:val="auto"/>
        </w:rPr>
      </w:pPr>
      <w:r>
        <w:rPr>
          <w:rFonts w:ascii="Arial" w:cs="Arial" w:eastAsia="Arial" w:hAnsi="Arial"/>
          <w:sz w:val="18"/>
          <w:szCs w:val="18"/>
          <w:color w:val="auto"/>
        </w:rPr>
        <w:t>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02"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76"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181" w:lineRule="exact"/>
        <w:rPr>
          <w:sz w:val="20"/>
          <w:szCs w:val="20"/>
          <w:color w:val="auto"/>
        </w:rPr>
      </w:pPr>
    </w:p>
    <w:p>
      <w:pPr>
        <w:ind w:left="980" w:right="56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4" w:lineRule="exact"/>
        <w:rPr>
          <w:rFonts w:ascii="MS PGothic" w:cs="MS PGothic" w:eastAsia="MS PGothic" w:hAnsi="MS PGothic"/>
          <w:sz w:val="25"/>
          <w:szCs w:val="25"/>
          <w:color w:val="auto"/>
          <w:vertAlign w:val="superscript"/>
        </w:rPr>
      </w:pPr>
    </w:p>
    <w:p>
      <w:pPr>
        <w:ind w:left="980" w:right="120" w:hanging="432"/>
        <w:spacing w:after="0" w:line="232"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8" w:lineRule="exact"/>
        <w:rPr>
          <w:rFonts w:ascii="MS PGothic" w:cs="MS PGothic" w:eastAsia="MS PGothic" w:hAnsi="MS PGothic"/>
          <w:sz w:val="25"/>
          <w:szCs w:val="25"/>
          <w:color w:val="auto"/>
          <w:vertAlign w:val="superscript"/>
        </w:rPr>
      </w:pPr>
    </w:p>
    <w:p>
      <w:pPr>
        <w:ind w:left="980" w:hanging="432"/>
        <w:spacing w:after="0" w:line="23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0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not purchase its own shares if, as a result of the purchase, there would no longer be any issued shares of the company other than redeemable shares or shares held as treasury shares. Shares must be fully paid in order to be repurchased.</w:t>
      </w:r>
    </w:p>
    <w:p>
      <w:pPr>
        <w:spacing w:after="0" w:line="154" w:lineRule="exact"/>
        <w:rPr>
          <w:sz w:val="20"/>
          <w:szCs w:val="20"/>
          <w:color w:val="auto"/>
        </w:rPr>
      </w:pPr>
    </w:p>
    <w:p>
      <w:pPr>
        <w:ind w:left="120" w:right="400" w:firstLine="440"/>
        <w:spacing w:after="0" w:line="253"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on a “recognized investment exchange” of our own fully paid shares pursuant to an ordinary resolution of shareholders. The resolution authorizing the purchase must:</w:t>
      </w:r>
    </w:p>
    <w:p>
      <w:pPr>
        <w:spacing w:after="0" w:line="182"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180"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The Nasdaq Capital Market (“Nasdaq”) is not a “recognized investment exchange” on which we may make market purchases. 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02"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7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196" w:lineRule="exact"/>
        <w:rPr>
          <w:sz w:val="20"/>
          <w:szCs w:val="20"/>
          <w:color w:val="auto"/>
        </w:rPr>
      </w:pPr>
    </w:p>
    <w:p>
      <w:pPr>
        <w:ind w:left="980" w:right="18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4" w:lineRule="exact"/>
        <w:rPr>
          <w:rFonts w:ascii="MS PGothic" w:cs="MS PGothic" w:eastAsia="MS PGothic" w:hAnsi="MS PGothic"/>
          <w:sz w:val="25"/>
          <w:szCs w:val="25"/>
          <w:color w:val="auto"/>
          <w:vertAlign w:val="superscript"/>
        </w:rPr>
      </w:pPr>
    </w:p>
    <w:p>
      <w:pPr>
        <w:ind w:left="980" w:right="18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02" w:lineRule="exact"/>
        <w:rPr>
          <w:sz w:val="20"/>
          <w:szCs w:val="20"/>
          <w:color w:val="auto"/>
        </w:rPr>
      </w:pPr>
    </w:p>
    <w:p>
      <w:pPr>
        <w:ind w:left="120" w:right="180" w:firstLine="440"/>
        <w:spacing w:after="0" w:line="242" w:lineRule="auto"/>
        <w:rPr>
          <w:sz w:val="20"/>
          <w:szCs w:val="20"/>
          <w:color w:val="auto"/>
        </w:rPr>
      </w:pPr>
      <w:r>
        <w:rPr>
          <w:rFonts w:ascii="Arial" w:cs="Arial" w:eastAsia="Arial" w:hAnsi="Arial"/>
          <w:sz w:val="18"/>
          <w:szCs w:val="18"/>
          <w:color w:val="auto"/>
        </w:rPr>
        <w:t>Following the cancellation of admission of our ordinary shares to trading on the AIM market of London Stock Exchange plc on December 18, 2020, the U.K. Panel on Takeovers and Mergers (the “Panel”) confirmed to us that the U.K. City Code on Takeovers and Mergers (the “City Code”) will not 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Notwithstanding the above, we may become subject to the City Code in the future if any changes to the Board composition result in the majority of the Directors being resident in the United Kingdom, Channel Islands or the Isle of Man.</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02"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4" w:lineRule="exact"/>
        <w:rPr>
          <w:sz w:val="20"/>
          <w:szCs w:val="20"/>
          <w:color w:val="auto"/>
        </w:rPr>
      </w:pPr>
    </w:p>
    <w:p>
      <w:pPr>
        <w:ind w:left="120" w:right="240" w:firstLine="440"/>
        <w:spacing w:after="0" w:line="247" w:lineRule="auto"/>
        <w:rPr>
          <w:sz w:val="20"/>
          <w:szCs w:val="20"/>
          <w:color w:val="auto"/>
        </w:rPr>
      </w:pPr>
      <w:r>
        <w:rPr>
          <w:rFonts w:ascii="Arial" w:cs="Arial" w:eastAsia="Arial" w:hAnsi="Arial"/>
          <w:sz w:val="18"/>
          <w:szCs w:val="18"/>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40"/>
          </w:cols>
          <w:pgMar w:left="320" w:top="455" w:right="439" w:bottom="1440" w:gutter="0" w:footer="0" w:header="0"/>
        </w:sect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7"/>
        </w:trPr>
        <w:tc>
          <w:tcPr>
            <w:tcW w:w="27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ten in</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ten members.</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ordinary resolution of shareholders (which is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passed by a simple majority of those voting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person or by proxy at a general meeting),</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irrespective of</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4"/>
                <w:szCs w:val="24"/>
                <w:color w:val="auto"/>
              </w:rPr>
            </w:pPr>
          </w:p>
        </w:tc>
        <w:tc>
          <w:tcPr>
            <w:tcW w:w="4720" w:type="dxa"/>
            <w:vAlign w:val="bottom"/>
            <w:gridSpan w:val="2"/>
          </w:tcPr>
          <w:p>
            <w:pPr>
              <w:ind w:left="26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w:t>
      </w:r>
    </w:p>
    <w:p>
      <w:pPr>
        <w:sectPr>
          <w:pgSz w:w="11900" w:h="16838" w:orient="portrait"/>
          <w:cols w:equalWidth="0" w:num="2">
            <w:col w:w="7620" w:space="120"/>
            <w:col w:w="3400"/>
          </w:cols>
          <w:pgMar w:left="320" w:top="455"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any provision of any agreement or service</w:t>
      </w:r>
    </w:p>
    <w:p>
      <w:pPr>
        <w:ind w:left="4000"/>
        <w:spacing w:after="0" w:line="234" w:lineRule="auto"/>
        <w:rPr>
          <w:sz w:val="20"/>
          <w:szCs w:val="20"/>
          <w:color w:val="auto"/>
        </w:rPr>
      </w:pPr>
      <w:r>
        <w:rPr>
          <w:rFonts w:ascii="Arial" w:cs="Arial" w:eastAsia="Arial" w:hAnsi="Arial"/>
          <w:sz w:val="18"/>
          <w:szCs w:val="18"/>
          <w:color w:val="auto"/>
        </w:rPr>
        <w:t>contract between the director and the</w:t>
      </w:r>
    </w:p>
    <w:p>
      <w:pPr>
        <w:ind w:left="4000"/>
        <w:spacing w:after="0" w:line="235" w:lineRule="auto"/>
        <w:rPr>
          <w:sz w:val="20"/>
          <w:szCs w:val="20"/>
          <w:color w:val="auto"/>
        </w:rPr>
      </w:pPr>
      <w:r>
        <w:rPr>
          <w:rFonts w:ascii="Arial" w:cs="Arial" w:eastAsia="Arial" w:hAnsi="Arial"/>
          <w:sz w:val="18"/>
          <w:szCs w:val="18"/>
          <w:color w:val="auto"/>
        </w:rPr>
        <w:t>company, provided that 28 clear days’ notice</w:t>
      </w:r>
    </w:p>
    <w:p>
      <w:pPr>
        <w:ind w:left="4000"/>
        <w:spacing w:after="0" w:line="235" w:lineRule="auto"/>
        <w:rPr>
          <w:sz w:val="20"/>
          <w:szCs w:val="20"/>
          <w:color w:val="auto"/>
        </w:rPr>
      </w:pPr>
      <w:r>
        <w:rPr>
          <w:rFonts w:ascii="Arial" w:cs="Arial" w:eastAsia="Arial" w:hAnsi="Arial"/>
          <w:sz w:val="18"/>
          <w:szCs w:val="18"/>
          <w:color w:val="auto"/>
        </w:rPr>
        <w:t>of the proposed resolution to remove the</w:t>
      </w:r>
    </w:p>
    <w:p>
      <w:pPr>
        <w:ind w:left="4000"/>
        <w:spacing w:after="0" w:line="235" w:lineRule="auto"/>
        <w:rPr>
          <w:sz w:val="20"/>
          <w:szCs w:val="20"/>
          <w:color w:val="auto"/>
        </w:rPr>
      </w:pPr>
      <w:r>
        <w:rPr>
          <w:rFonts w:ascii="Arial" w:cs="Arial" w:eastAsia="Arial" w:hAnsi="Arial"/>
          <w:sz w:val="18"/>
          <w:szCs w:val="18"/>
          <w:color w:val="auto"/>
        </w:rPr>
        <w:t>director is given and certain other procedural</w:t>
      </w:r>
    </w:p>
    <w:p>
      <w:pPr>
        <w:ind w:left="4000"/>
        <w:spacing w:after="0" w:line="235" w:lineRule="auto"/>
        <w:rPr>
          <w:sz w:val="20"/>
          <w:szCs w:val="20"/>
          <w:color w:val="auto"/>
        </w:rPr>
      </w:pPr>
      <w:r>
        <w:rPr>
          <w:rFonts w:ascii="Arial" w:cs="Arial" w:eastAsia="Arial" w:hAnsi="Arial"/>
          <w:sz w:val="18"/>
          <w:szCs w:val="18"/>
          <w:color w:val="auto"/>
        </w:rPr>
        <w:t>requirements under the U.K. Companies Act</w:t>
      </w:r>
    </w:p>
    <w:p>
      <w:pPr>
        <w:ind w:left="4000"/>
        <w:spacing w:after="0" w:line="234" w:lineRule="auto"/>
        <w:rPr>
          <w:sz w:val="20"/>
          <w:szCs w:val="20"/>
          <w:color w:val="auto"/>
        </w:rPr>
      </w:pPr>
      <w:r>
        <w:rPr>
          <w:rFonts w:ascii="Arial" w:cs="Arial" w:eastAsia="Arial" w:hAnsi="Arial"/>
          <w:sz w:val="18"/>
          <w:szCs w:val="18"/>
          <w:color w:val="auto"/>
        </w:rPr>
        <w:t>2006 are followed (such as allowing the</w:t>
      </w:r>
    </w:p>
    <w:p>
      <w:pPr>
        <w:ind w:left="4000"/>
        <w:spacing w:after="0" w:line="235" w:lineRule="auto"/>
        <w:rPr>
          <w:sz w:val="20"/>
          <w:szCs w:val="20"/>
          <w:color w:val="auto"/>
        </w:rPr>
      </w:pPr>
      <w:r>
        <w:rPr>
          <w:rFonts w:ascii="Arial" w:cs="Arial" w:eastAsia="Arial" w:hAnsi="Arial"/>
          <w:sz w:val="18"/>
          <w:szCs w:val="18"/>
          <w:color w:val="auto"/>
        </w:rPr>
        <w:t>director to make representations against his</w:t>
      </w:r>
    </w:p>
    <w:p>
      <w:pPr>
        <w:ind w:left="4000"/>
        <w:spacing w:after="0" w:line="235" w:lineRule="auto"/>
        <w:rPr>
          <w:sz w:val="20"/>
          <w:szCs w:val="20"/>
          <w:color w:val="auto"/>
        </w:rPr>
      </w:pPr>
      <w:r>
        <w:rPr>
          <w:rFonts w:ascii="Arial" w:cs="Arial" w:eastAsia="Arial" w:hAnsi="Arial"/>
          <w:sz w:val="18"/>
          <w:szCs w:val="18"/>
          <w:color w:val="auto"/>
        </w:rPr>
        <w:t>or her removal either at the meeting or in</w:t>
      </w:r>
    </w:p>
    <w:p>
      <w:pPr>
        <w:ind w:left="4000"/>
        <w:spacing w:after="0"/>
        <w:rPr>
          <w:sz w:val="20"/>
          <w:szCs w:val="20"/>
          <w:color w:val="auto"/>
        </w:rPr>
      </w:pPr>
      <w:r>
        <w:rPr>
          <w:rFonts w:ascii="Arial" w:cs="Arial" w:eastAsia="Arial" w:hAnsi="Arial"/>
          <w:sz w:val="18"/>
          <w:szCs w:val="18"/>
          <w:color w:val="auto"/>
        </w:rPr>
        <w:t>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U.K. Companies Act 2006, under our Articles,</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we may, by special resolution or ordinary</w:t>
      </w:r>
    </w:p>
    <w:p>
      <w:pPr>
        <w:ind w:left="4000"/>
        <w:spacing w:after="0" w:line="234"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5"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4"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resolution appoint a person who is willing to</w:t>
      </w:r>
    </w:p>
    <w:p>
      <w:pPr>
        <w:ind w:left="4000"/>
        <w:spacing w:after="0" w:line="234"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line="235" w:lineRule="auto"/>
        <w:rPr>
          <w:sz w:val="20"/>
          <w:szCs w:val="20"/>
          <w:color w:val="auto"/>
        </w:rPr>
      </w:pPr>
      <w:r>
        <w:rPr>
          <w:rFonts w:ascii="Arial" w:cs="Arial" w:eastAsia="Arial" w:hAnsi="Arial"/>
          <w:sz w:val="18"/>
          <w:szCs w:val="18"/>
          <w:color w:val="auto"/>
        </w:rPr>
        <w:t>to act to be a director, either to fill a vacancy</w:t>
      </w:r>
    </w:p>
    <w:p>
      <w:pPr>
        <w:ind w:left="4000"/>
        <w:spacing w:after="0" w:line="235" w:lineRule="auto"/>
        <w:rPr>
          <w:sz w:val="20"/>
          <w:szCs w:val="20"/>
          <w:color w:val="auto"/>
        </w:rPr>
      </w:pPr>
      <w:r>
        <w:rPr>
          <w:rFonts w:ascii="Arial" w:cs="Arial" w:eastAsia="Arial" w:hAnsi="Arial"/>
          <w:sz w:val="18"/>
          <w:szCs w:val="18"/>
          <w:color w:val="auto"/>
        </w:rPr>
        <w:t>or as an additional director, provided in each</w:t>
      </w:r>
    </w:p>
    <w:p>
      <w:pPr>
        <w:ind w:left="4000"/>
        <w:spacing w:after="0" w:line="234" w:lineRule="auto"/>
        <w:rPr>
          <w:sz w:val="20"/>
          <w:szCs w:val="20"/>
          <w:color w:val="auto"/>
        </w:rPr>
      </w:pPr>
      <w:r>
        <w:rPr>
          <w:rFonts w:ascii="Arial" w:cs="Arial" w:eastAsia="Arial" w:hAnsi="Arial"/>
          <w:sz w:val="18"/>
          <w:szCs w:val="18"/>
          <w:color w:val="auto"/>
        </w:rPr>
        <w:t>case that the appointment does not cause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number of directors to</w:t>
      </w: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 laws of the corporation or (b) the certificate of incorporation directs that a particular class of stock is to</w:t>
      </w:r>
    </w:p>
    <w:p>
      <w:pPr>
        <w:sectPr>
          <w:pgSz w:w="11900" w:h="16838" w:orient="portrait"/>
          <w:cols w:equalWidth="0" w:num="2">
            <w:col w:w="7620" w:space="120"/>
            <w:col w:w="3360"/>
          </w:cols>
          <w:pgMar w:left="320" w:top="455" w:right="4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exceed the number fixed by or in accordance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with our Articles as the maximum number of</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directors.</w:t>
            </w:r>
          </w:p>
        </w:tc>
      </w:tr>
      <w:tr>
        <w:trPr>
          <w:trHeight w:val="679"/>
        </w:trPr>
        <w:tc>
          <w:tcPr>
            <w:tcW w:w="2900" w:type="dxa"/>
            <w:vAlign w:val="bottom"/>
          </w:tcPr>
          <w:p>
            <w:pPr>
              <w:spacing w:after="0"/>
              <w:rPr>
                <w:sz w:val="20"/>
                <w:szCs w:val="20"/>
                <w:color w:val="auto"/>
              </w:rPr>
            </w:pPr>
            <w:r>
              <w:rPr>
                <w:rFonts w:ascii="Arial" w:cs="Arial" w:eastAsia="Arial" w:hAnsi="Arial"/>
                <w:sz w:val="18"/>
                <w:szCs w:val="18"/>
                <w:color w:val="auto"/>
              </w:rPr>
              <w:t>Annual General Meeting</w:t>
            </w: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Under the U.K. Companies Act 2006, a public</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limited company must hold an annual general</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meeting in each six-month period following</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the company’s annual accounting reference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date.</w:t>
            </w:r>
          </w:p>
        </w:tc>
      </w:tr>
      <w:tr>
        <w:trPr>
          <w:trHeight w:val="679"/>
        </w:trPr>
        <w:tc>
          <w:tcPr>
            <w:tcW w:w="2900" w:type="dxa"/>
            <w:vAlign w:val="bottom"/>
          </w:tcPr>
          <w:p>
            <w:pPr>
              <w:spacing w:after="0"/>
              <w:rPr>
                <w:sz w:val="20"/>
                <w:szCs w:val="20"/>
                <w:color w:val="auto"/>
              </w:rPr>
            </w:pPr>
            <w:r>
              <w:rPr>
                <w:rFonts w:ascii="Arial" w:cs="Arial" w:eastAsia="Arial" w:hAnsi="Arial"/>
                <w:sz w:val="18"/>
                <w:szCs w:val="18"/>
                <w:color w:val="auto"/>
              </w:rPr>
              <w:t>General Meeting</w:t>
            </w: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Under the U.K. Companies Act 2006, a</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general meeting of the shareholders of a</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public limited company may be called by the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directors.</w:t>
            </w:r>
          </w:p>
        </w:tc>
      </w:tr>
      <w:tr>
        <w:trPr>
          <w:trHeight w:val="679"/>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places as it shall determine.</w:t>
            </w:r>
          </w:p>
        </w:tc>
      </w:tr>
      <w:tr>
        <w:trPr>
          <w:trHeight w:val="288"/>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least 5% of our voting share capital.</w:t>
            </w:r>
          </w:p>
        </w:tc>
      </w:tr>
      <w:tr>
        <w:trPr>
          <w:trHeight w:val="288"/>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General meetings at which special</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shareholders’ pre-emptive right, amend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required.</w:t>
            </w:r>
          </w:p>
        </w:tc>
      </w:tr>
      <w:tr>
        <w:trPr>
          <w:trHeight w:val="351"/>
        </w:trPr>
        <w:tc>
          <w:tcPr>
            <w:tcW w:w="2900" w:type="dxa"/>
            <w:vAlign w:val="bottom"/>
          </w:tcPr>
          <w:p>
            <w:pPr>
              <w:spacing w:after="0"/>
              <w:rPr>
                <w:sz w:val="24"/>
                <w:szCs w:val="24"/>
                <w:color w:val="auto"/>
              </w:rPr>
            </w:pPr>
          </w:p>
        </w:tc>
        <w:tc>
          <w:tcPr>
            <w:tcW w:w="4600" w:type="dxa"/>
            <w:vAlign w:val="bottom"/>
            <w:gridSpan w:val="2"/>
          </w:tcPr>
          <w:p>
            <w:pPr>
              <w:ind w:left="250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elect such director, in which case a majority of the other directors elected by such class, or a sole remaining director elected by such class, will fill such vacancy.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7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20"/>
            <w:col w:w="3380"/>
          </w:cols>
          <w:pgMar w:left="320" w:top="455"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ind w:right="134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4534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Other proposals relating to the ordinary</w:t>
      </w:r>
    </w:p>
    <w:p>
      <w:pPr>
        <w:ind w:left="4000"/>
        <w:spacing w:after="0" w:line="234" w:lineRule="auto"/>
        <w:rPr>
          <w:sz w:val="20"/>
          <w:szCs w:val="20"/>
          <w:color w:val="auto"/>
        </w:rPr>
      </w:pPr>
      <w:r>
        <w:rPr>
          <w:rFonts w:ascii="Arial" w:cs="Arial" w:eastAsia="Arial" w:hAnsi="Arial"/>
          <w:sz w:val="18"/>
          <w:szCs w:val="18"/>
          <w:color w:val="auto"/>
        </w:rPr>
        <w:t>course of the company’s business, such as</w:t>
      </w:r>
    </w:p>
    <w:p>
      <w:pPr>
        <w:ind w:left="4000"/>
        <w:spacing w:after="0" w:line="235" w:lineRule="auto"/>
        <w:rPr>
          <w:sz w:val="20"/>
          <w:szCs w:val="20"/>
          <w:color w:val="auto"/>
        </w:rPr>
      </w:pPr>
      <w:r>
        <w:rPr>
          <w:rFonts w:ascii="Arial" w:cs="Arial" w:eastAsia="Arial" w:hAnsi="Arial"/>
          <w:sz w:val="18"/>
          <w:szCs w:val="18"/>
          <w:color w:val="auto"/>
        </w:rPr>
        <w:t>the election of directors, would generally be</w:t>
      </w:r>
    </w:p>
    <w:p>
      <w:pPr>
        <w:ind w:left="4000"/>
        <w:spacing w:after="0" w:line="235" w:lineRule="auto"/>
        <w:rPr>
          <w:sz w:val="20"/>
          <w:szCs w:val="20"/>
          <w:color w:val="auto"/>
        </w:rPr>
      </w:pPr>
      <w:r>
        <w:rPr>
          <w:rFonts w:ascii="Arial" w:cs="Arial" w:eastAsia="Arial" w:hAnsi="Arial"/>
          <w:sz w:val="18"/>
          <w:szCs w:val="18"/>
          <w:color w:val="auto"/>
        </w:rPr>
        <w:t>the subject of an ordinary resolution and</w:t>
      </w:r>
    </w:p>
    <w:p>
      <w:pPr>
        <w:ind w:left="4000"/>
        <w:spacing w:after="0"/>
        <w:rPr>
          <w:sz w:val="20"/>
          <w:szCs w:val="20"/>
          <w:color w:val="auto"/>
        </w:rPr>
      </w:pPr>
      <w:r>
        <w:rPr>
          <w:rFonts w:ascii="Arial" w:cs="Arial" w:eastAsia="Arial" w:hAnsi="Arial"/>
          <w:sz w:val="18"/>
          <w:szCs w:val="18"/>
          <w:color w:val="auto"/>
        </w:rPr>
        <w:t>subject to our Articles.</w:t>
      </w:r>
    </w:p>
    <w:p>
      <w:pPr>
        <w:sectPr>
          <w:pgSz w:w="11900" w:h="16838" w:orient="portrait"/>
          <w:cols w:equalWidth="0" w:num="1">
            <w:col w:w="11080"/>
          </w:cols>
          <w:pgMar w:left="320" w:top="455" w:right="499" w:bottom="1440" w:gutter="0" w:footer="0" w:header="0"/>
        </w:sectPr>
      </w:pP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7"/>
          <w:szCs w:val="17"/>
          <w:color w:val="auto"/>
        </w:rPr>
        <w:t>Under the U.K. Companies Act 2006, at least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21 clear days’ notice must be given for an</w:t>
      </w:r>
    </w:p>
    <w:p>
      <w:pPr>
        <w:ind w:left="4000"/>
        <w:spacing w:after="0" w:line="234" w:lineRule="auto"/>
        <w:rPr>
          <w:sz w:val="20"/>
          <w:szCs w:val="20"/>
          <w:color w:val="auto"/>
        </w:rPr>
      </w:pPr>
      <w:r>
        <w:rPr>
          <w:rFonts w:ascii="Arial" w:cs="Arial" w:eastAsia="Arial" w:hAnsi="Arial"/>
          <w:sz w:val="18"/>
          <w:szCs w:val="18"/>
          <w:color w:val="auto"/>
        </w:rPr>
        <w:t>annual general meeting and any resolutions</w:t>
      </w:r>
    </w:p>
    <w:p>
      <w:pPr>
        <w:ind w:left="4000"/>
        <w:spacing w:after="0" w:line="235" w:lineRule="auto"/>
        <w:rPr>
          <w:sz w:val="20"/>
          <w:szCs w:val="20"/>
          <w:color w:val="auto"/>
        </w:rPr>
      </w:pPr>
      <w:r>
        <w:rPr>
          <w:rFonts w:ascii="Arial" w:cs="Arial" w:eastAsia="Arial" w:hAnsi="Arial"/>
          <w:sz w:val="18"/>
          <w:szCs w:val="18"/>
          <w:color w:val="auto"/>
        </w:rPr>
        <w:t>to be proposed at that meeting. At least 14</w:t>
      </w:r>
    </w:p>
    <w:p>
      <w:pPr>
        <w:ind w:left="4000"/>
        <w:spacing w:after="0" w:line="235" w:lineRule="auto"/>
        <w:rPr>
          <w:sz w:val="20"/>
          <w:szCs w:val="20"/>
          <w:color w:val="auto"/>
        </w:rPr>
      </w:pPr>
      <w:r>
        <w:rPr>
          <w:rFonts w:ascii="Arial" w:cs="Arial" w:eastAsia="Arial" w:hAnsi="Arial"/>
          <w:sz w:val="18"/>
          <w:szCs w:val="18"/>
          <w:color w:val="auto"/>
        </w:rPr>
        <w:t>clear days’ notice is required for any other</w:t>
      </w:r>
    </w:p>
    <w:p>
      <w:pPr>
        <w:ind w:left="4000"/>
        <w:spacing w:after="0"/>
        <w:rPr>
          <w:sz w:val="20"/>
          <w:szCs w:val="20"/>
          <w:color w:val="auto"/>
        </w:rPr>
      </w:pPr>
      <w:r>
        <w:rPr>
          <w:rFonts w:ascii="Arial" w:cs="Arial" w:eastAsia="Arial" w:hAnsi="Arial"/>
          <w:sz w:val="18"/>
          <w:szCs w:val="18"/>
          <w:color w:val="auto"/>
        </w:rPr>
        <w:t>general meeting.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certain matters, such as the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removal of directors or auditors, require</w:t>
      </w:r>
    </w:p>
    <w:p>
      <w:pPr>
        <w:ind w:left="4000"/>
        <w:spacing w:after="0"/>
        <w:rPr>
          <w:sz w:val="20"/>
          <w:szCs w:val="20"/>
          <w:color w:val="auto"/>
        </w:rPr>
      </w:pPr>
      <w:r>
        <w:rPr>
          <w:rFonts w:ascii="Arial" w:cs="Arial" w:eastAsia="Arial" w:hAnsi="Arial"/>
          <w:sz w:val="18"/>
          <w:szCs w:val="18"/>
          <w:color w:val="auto"/>
        </w:rPr>
        <w:t>special notice, which is 28 clear days’ notice.</w:t>
      </w: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 be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transacted at any general meeting unless a</w:t>
      </w:r>
    </w:p>
    <w:p>
      <w:pPr>
        <w:ind w:left="4000"/>
        <w:spacing w:after="0" w:line="234" w:lineRule="auto"/>
        <w:rPr>
          <w:sz w:val="20"/>
          <w:szCs w:val="20"/>
          <w:color w:val="auto"/>
        </w:rPr>
      </w:pPr>
      <w:r>
        <w:rPr>
          <w:rFonts w:ascii="Arial" w:cs="Arial" w:eastAsia="Arial" w:hAnsi="Arial"/>
          <w:sz w:val="18"/>
          <w:szCs w:val="18"/>
          <w:color w:val="auto"/>
        </w:rPr>
        <w:t>quorum is present. Two qualifying persons</w:t>
      </w:r>
    </w:p>
    <w:p>
      <w:pPr>
        <w:ind w:left="4000"/>
        <w:spacing w:after="0" w:line="235" w:lineRule="auto"/>
        <w:rPr>
          <w:sz w:val="20"/>
          <w:szCs w:val="20"/>
          <w:color w:val="auto"/>
        </w:rPr>
      </w:pPr>
      <w:r>
        <w:rPr>
          <w:rFonts w:ascii="Arial" w:cs="Arial" w:eastAsia="Arial" w:hAnsi="Arial"/>
          <w:sz w:val="18"/>
          <w:szCs w:val="18"/>
          <w:color w:val="auto"/>
        </w:rPr>
        <w:t>present at a meeting and entitled to vote on</w:t>
      </w:r>
    </w:p>
    <w:p>
      <w:pPr>
        <w:ind w:left="4000"/>
        <w:spacing w:after="0" w:line="235" w:lineRule="auto"/>
        <w:rPr>
          <w:sz w:val="20"/>
          <w:szCs w:val="20"/>
          <w:color w:val="auto"/>
        </w:rPr>
      </w:pPr>
      <w:r>
        <w:rPr>
          <w:rFonts w:ascii="Arial" w:cs="Arial" w:eastAsia="Arial" w:hAnsi="Arial"/>
          <w:sz w:val="18"/>
          <w:szCs w:val="18"/>
          <w:color w:val="auto"/>
        </w:rPr>
        <w:t>the business to be transacted shall be a</w:t>
      </w:r>
    </w:p>
    <w:p>
      <w:pPr>
        <w:ind w:left="4000"/>
        <w:spacing w:after="0" w:line="235" w:lineRule="auto"/>
        <w:rPr>
          <w:sz w:val="20"/>
          <w:szCs w:val="20"/>
          <w:color w:val="auto"/>
        </w:rPr>
      </w:pPr>
      <w:r>
        <w:rPr>
          <w:rFonts w:ascii="Arial" w:cs="Arial" w:eastAsia="Arial" w:hAnsi="Arial"/>
          <w:sz w:val="18"/>
          <w:szCs w:val="18"/>
          <w:color w:val="auto"/>
        </w:rPr>
        <w:t>quorum, unless (1) each is a qualifying</w:t>
      </w:r>
    </w:p>
    <w:p>
      <w:pPr>
        <w:ind w:left="4000"/>
        <w:spacing w:after="0" w:line="235" w:lineRule="auto"/>
        <w:rPr>
          <w:sz w:val="20"/>
          <w:szCs w:val="20"/>
          <w:color w:val="auto"/>
        </w:rPr>
      </w:pPr>
      <w:r>
        <w:rPr>
          <w:rFonts w:ascii="Arial" w:cs="Arial" w:eastAsia="Arial" w:hAnsi="Arial"/>
          <w:sz w:val="18"/>
          <w:szCs w:val="18"/>
          <w:color w:val="auto"/>
        </w:rPr>
        <w:t>person only because he or she is authorized</w:t>
      </w:r>
    </w:p>
    <w:p>
      <w:pPr>
        <w:ind w:left="4000"/>
        <w:spacing w:after="0" w:line="234" w:lineRule="auto"/>
        <w:rPr>
          <w:sz w:val="20"/>
          <w:szCs w:val="20"/>
          <w:color w:val="auto"/>
        </w:rPr>
      </w:pPr>
      <w:r>
        <w:rPr>
          <w:rFonts w:ascii="Arial" w:cs="Arial" w:eastAsia="Arial" w:hAnsi="Arial"/>
          <w:sz w:val="18"/>
          <w:szCs w:val="18"/>
          <w:color w:val="auto"/>
        </w:rPr>
        <w:t>under the U.K. Companies Act 2006 to act as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 representative of a corporation in relation to</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meeting, and they are representatives of</w:t>
      </w:r>
    </w:p>
    <w:p>
      <w:pPr>
        <w:ind w:left="4000"/>
        <w:spacing w:after="0" w:line="234" w:lineRule="auto"/>
        <w:rPr>
          <w:sz w:val="20"/>
          <w:szCs w:val="20"/>
          <w:color w:val="auto"/>
        </w:rPr>
      </w:pPr>
      <w:r>
        <w:rPr>
          <w:rFonts w:ascii="Arial" w:cs="Arial" w:eastAsia="Arial" w:hAnsi="Arial"/>
          <w:sz w:val="18"/>
          <w:szCs w:val="18"/>
          <w:color w:val="auto"/>
        </w:rPr>
        <w:t>the same corporation, or (2) each is a</w:t>
      </w:r>
    </w:p>
    <w:p>
      <w:pPr>
        <w:ind w:left="4000"/>
        <w:spacing w:after="0" w:line="235" w:lineRule="auto"/>
        <w:rPr>
          <w:sz w:val="20"/>
          <w:szCs w:val="20"/>
          <w:color w:val="auto"/>
        </w:rPr>
      </w:pPr>
      <w:r>
        <w:rPr>
          <w:rFonts w:ascii="Arial" w:cs="Arial" w:eastAsia="Arial" w:hAnsi="Arial"/>
          <w:sz w:val="18"/>
          <w:szCs w:val="18"/>
          <w:color w:val="auto"/>
        </w:rPr>
        <w:t>qualifying person only because he or she is</w:t>
      </w:r>
    </w:p>
    <w:p>
      <w:pPr>
        <w:ind w:left="4000"/>
        <w:spacing w:after="0" w:line="235" w:lineRule="auto"/>
        <w:rPr>
          <w:sz w:val="20"/>
          <w:szCs w:val="20"/>
          <w:color w:val="auto"/>
        </w:rPr>
      </w:pPr>
      <w:r>
        <w:rPr>
          <w:rFonts w:ascii="Arial" w:cs="Arial" w:eastAsia="Arial" w:hAnsi="Arial"/>
          <w:sz w:val="18"/>
          <w:szCs w:val="18"/>
          <w:color w:val="auto"/>
        </w:rPr>
        <w:t>appointed as proxy of a shareholder in</w:t>
      </w:r>
    </w:p>
    <w:p>
      <w:pPr>
        <w:ind w:left="4000"/>
        <w:spacing w:after="0" w:line="235" w:lineRule="auto"/>
        <w:rPr>
          <w:sz w:val="20"/>
          <w:szCs w:val="20"/>
          <w:color w:val="auto"/>
        </w:rPr>
      </w:pPr>
      <w:r>
        <w:rPr>
          <w:rFonts w:ascii="Arial" w:cs="Arial" w:eastAsia="Arial" w:hAnsi="Arial"/>
          <w:sz w:val="18"/>
          <w:szCs w:val="18"/>
          <w:color w:val="auto"/>
        </w:rPr>
        <w:t>relation to the meeting, and they are proxies</w:t>
      </w:r>
    </w:p>
    <w:p>
      <w:pPr>
        <w:ind w:left="4000"/>
        <w:spacing w:after="0"/>
        <w:rPr>
          <w:sz w:val="20"/>
          <w:szCs w:val="20"/>
          <w:color w:val="auto"/>
        </w:rPr>
      </w:pPr>
      <w:r>
        <w:rPr>
          <w:rFonts w:ascii="Arial" w:cs="Arial" w:eastAsia="Arial" w:hAnsi="Arial"/>
          <w:sz w:val="18"/>
          <w:szCs w:val="18"/>
          <w:color w:val="auto"/>
        </w:rPr>
        <w:t>of the same shareholder.</w:t>
      </w:r>
    </w:p>
    <w:p>
      <w:pPr>
        <w:spacing w:after="0" w:line="8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 “qualifying person” means (1) a person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who is one of our shareholders, (2) a person</w:t>
      </w:r>
    </w:p>
    <w:p>
      <w:pPr>
        <w:ind w:left="4000"/>
        <w:spacing w:after="0"/>
        <w:rPr>
          <w:sz w:val="20"/>
          <w:szCs w:val="20"/>
          <w:color w:val="auto"/>
        </w:rPr>
      </w:pPr>
      <w:r>
        <w:rPr>
          <w:rFonts w:ascii="Arial" w:cs="Arial" w:eastAsia="Arial" w:hAnsi="Arial"/>
          <w:sz w:val="18"/>
          <w:szCs w:val="18"/>
          <w:color w:val="auto"/>
        </w:rPr>
        <w:t>authorized under the U.K.</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620" w:space="120"/>
            <w:col w:w="3340"/>
          </w:cols>
          <w:pgMar w:left="320" w:top="455"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Companies Act 2006 to act as a</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w w:val="99"/>
              </w:rPr>
              <w:t>representative of the corporation in relation to</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the meeting, or (3) a person appointed as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proxy of a shareholder in relation to the</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meeting.</w:t>
            </w:r>
          </w:p>
        </w:tc>
      </w:tr>
      <w:tr>
        <w:trPr>
          <w:trHeight w:val="274"/>
        </w:trPr>
        <w:tc>
          <w:tcPr>
            <w:tcW w:w="2160" w:type="dxa"/>
            <w:vAlign w:val="bottom"/>
          </w:tcPr>
          <w:p>
            <w:pPr>
              <w:spacing w:after="0"/>
              <w:rPr>
                <w:sz w:val="23"/>
                <w:szCs w:val="23"/>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In addition, if and for so long as we are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subject to the rules and requirements of a</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securities exchange and such securities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exchange requires us to have a quorum for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general meetings then, in addition to the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requisite quorum requirement stated in this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paragraph, in order for such general meeting</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to be quorate at least 33 1/3 per cent. of our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issued and outstanding ordinary shares (or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such other amount as may be specified by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such rules and requirements) must be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present at such general meeting, whether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represented in person (including, in the case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of a corporate shareholder, by duly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authorized representative) or by duly</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appointed proxy.</w:t>
            </w: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Proxy</w:t>
            </w: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Under the U.K. Companies Act 2006, at any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meeting of shareholders, a shareholder may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designate another person to attend, speak</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and vote at the meeting on their behalf by</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proxy.</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2" w:lineRule="exact"/>
        <w:rPr>
          <w:sz w:val="20"/>
          <w:szCs w:val="20"/>
          <w:color w:val="auto"/>
        </w:rPr>
      </w:pPr>
    </w:p>
    <w:p>
      <w:pPr>
        <w:sectPr>
          <w:pgSz w:w="11900" w:h="16838" w:orient="portrait"/>
          <w:cols w:equalWidth="0" w:num="2">
            <w:col w:w="7620" w:space="120"/>
            <w:col w:w="3400"/>
          </w:cols>
          <w:pgMar w:left="320" w:top="455" w:right="439" w:bottom="1440" w:gutter="0" w:footer="0" w:header="0"/>
          <w:type w:val="continuous"/>
        </w:sectPr>
      </w:pPr>
    </w:p>
    <w:p>
      <w:pPr>
        <w:ind w:left="120"/>
        <w:spacing w:after="0"/>
        <w:tabs>
          <w:tab w:leader="none" w:pos="3980" w:val="left"/>
        </w:tabs>
        <w:rPr>
          <w:sz w:val="20"/>
          <w:szCs w:val="20"/>
          <w:color w:val="auto"/>
        </w:rPr>
      </w:pPr>
      <w:r>
        <w:rPr>
          <w:rFonts w:ascii="Arial" w:cs="Arial" w:eastAsia="Arial" w:hAnsi="Arial"/>
          <w:sz w:val="18"/>
          <w:szCs w:val="18"/>
          <w:color w:val="auto"/>
        </w:rPr>
        <w:t>Issue of New Shares</w:t>
      </w:r>
      <w:r>
        <w:rPr>
          <w:sz w:val="20"/>
          <w:szCs w:val="20"/>
          <w:color w:val="auto"/>
        </w:rPr>
        <w:tab/>
      </w:r>
      <w:r>
        <w:rPr>
          <w:rFonts w:ascii="Arial" w:cs="Arial" w:eastAsia="Arial" w:hAnsi="Arial"/>
          <w:sz w:val="17"/>
          <w:szCs w:val="17"/>
          <w:color w:val="auto"/>
        </w:rPr>
        <w:t>Under the U.K. Companies Act 2006, the</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directors of a company must not exercise any</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power to allot shares or grant rights to</w:t>
      </w:r>
    </w:p>
    <w:p>
      <w:pPr>
        <w:ind w:left="4000"/>
        <w:spacing w:after="0" w:line="234" w:lineRule="auto"/>
        <w:rPr>
          <w:sz w:val="20"/>
          <w:szCs w:val="20"/>
          <w:color w:val="auto"/>
        </w:rPr>
      </w:pPr>
      <w:r>
        <w:rPr>
          <w:rFonts w:ascii="Arial" w:cs="Arial" w:eastAsia="Arial" w:hAnsi="Arial"/>
          <w:sz w:val="18"/>
          <w:szCs w:val="18"/>
          <w:color w:val="auto"/>
        </w:rPr>
        <w:t>subscribe for, or to convert any security into,</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shares unless they are authorized to do so by</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company’s articles of association</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w:t>
      </w:r>
    </w:p>
    <w:p>
      <w:pPr>
        <w:sectPr>
          <w:pgSz w:w="11900" w:h="16838" w:orient="portrait"/>
          <w:cols w:equalWidth="0" w:num="2">
            <w:col w:w="7620" w:space="120"/>
            <w:col w:w="3400"/>
          </w:cols>
          <w:pgMar w:left="320" w:top="455"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or by an ordinary resolution of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shareholders. Any authorization given must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state the maximum amount of shares that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may be allotted under it and specify the date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on which it will expire, which must be not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more than five years from the date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authorization was given. The authority can be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renewed by a further resolution of the</w:t>
            </w:r>
          </w:p>
        </w:tc>
      </w:tr>
      <w:tr>
        <w:trPr>
          <w:trHeight w:val="239"/>
        </w:trPr>
        <w:tc>
          <w:tcPr>
            <w:tcW w:w="2700" w:type="dxa"/>
            <w:vAlign w:val="bottom"/>
          </w:tcPr>
          <w:p>
            <w:pPr>
              <w:spacing w:after="0"/>
              <w:rPr>
                <w:sz w:val="20"/>
                <w:szCs w:val="20"/>
                <w:color w:val="auto"/>
              </w:rPr>
            </w:pP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shareholders.</w:t>
            </w:r>
          </w:p>
        </w:tc>
      </w:tr>
      <w:tr>
        <w:trPr>
          <w:trHeight w:val="274"/>
        </w:trPr>
        <w:tc>
          <w:tcPr>
            <w:tcW w:w="2700" w:type="dxa"/>
            <w:vAlign w:val="bottom"/>
          </w:tcPr>
          <w:p>
            <w:pPr>
              <w:spacing w:after="0"/>
              <w:rPr>
                <w:sz w:val="20"/>
                <w:szCs w:val="20"/>
                <w:color w:val="auto"/>
              </w:rPr>
            </w:pPr>
            <w:r>
              <w:rPr>
                <w:rFonts w:ascii="Arial" w:cs="Arial" w:eastAsia="Arial" w:hAnsi="Arial"/>
                <w:sz w:val="18"/>
                <w:szCs w:val="18"/>
                <w:color w:val="auto"/>
              </w:rPr>
              <w:t>Pre-emptive Rights</w:t>
            </w: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Under the U.K. Companies Act 2006, “equity</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securities,” being (i) shares in the company</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other than shares that, with respect 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dividends and capital, carry a right 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participate only up to a specified amount in a</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distribution (“ordinary shares”) or (ii) rights 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subscribe for, or to convert securities into,</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ordinary shares, proposed to be allotted for</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cash, must be offered first to the existing</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equity shareholders in the company in</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proportion to the respective nominal value of</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their holdings, unless an exception applies or</w:t>
            </w:r>
          </w:p>
        </w:tc>
      </w:tr>
      <w:tr>
        <w:trPr>
          <w:trHeight w:val="202"/>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 special resolution to the contrary has been</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passed by shareholders in a general meeting</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or the articles of association provide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otherwise, in each case in accordance with</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the provisions of the U.K. Companies Act</w:t>
            </w:r>
          </w:p>
        </w:tc>
      </w:tr>
      <w:tr>
        <w:trPr>
          <w:trHeight w:val="239"/>
        </w:trPr>
        <w:tc>
          <w:tcPr>
            <w:tcW w:w="2700" w:type="dxa"/>
            <w:vAlign w:val="bottom"/>
          </w:tcPr>
          <w:p>
            <w:pPr>
              <w:spacing w:after="0"/>
              <w:rPr>
                <w:sz w:val="20"/>
                <w:szCs w:val="20"/>
                <w:color w:val="auto"/>
              </w:rPr>
            </w:pP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2006.</w:t>
            </w:r>
          </w:p>
        </w:tc>
      </w:tr>
      <w:tr>
        <w:trPr>
          <w:trHeight w:val="274"/>
        </w:trPr>
        <w:tc>
          <w:tcPr>
            <w:tcW w:w="2700" w:type="dxa"/>
            <w:vAlign w:val="bottom"/>
          </w:tcPr>
          <w:p>
            <w:pPr>
              <w:spacing w:after="0"/>
              <w:rPr>
                <w:sz w:val="20"/>
                <w:szCs w:val="20"/>
                <w:color w:val="auto"/>
              </w:rPr>
            </w:pPr>
            <w:r>
              <w:rPr>
                <w:rFonts w:ascii="Arial" w:cs="Arial" w:eastAsia="Arial" w:hAnsi="Arial"/>
                <w:sz w:val="18"/>
                <w:szCs w:val="18"/>
                <w:color w:val="auto"/>
              </w:rPr>
              <w:t>Authority to Allot</w:t>
            </w: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Under the U.K. Companies Act 2006,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directors of a company must not allot shares</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or grant rights to subscribe for or to convert</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any security into shares unless those shares</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are allotted, or those rights to subscribe or</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convert any security into shares are granted</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(as applicable) pursuant to an employee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share scheme, an ordinary resolution to the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contrary has been passed by shareholders in</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 general meeting, or the articles of</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association provide otherwise, in each case,</w:t>
            </w:r>
          </w:p>
        </w:tc>
      </w:tr>
      <w:tr>
        <w:trPr>
          <w:trHeight w:val="203"/>
        </w:trPr>
        <w:tc>
          <w:tcPr>
            <w:tcW w:w="2700" w:type="dxa"/>
            <w:vAlign w:val="bottom"/>
          </w:tcPr>
          <w:p>
            <w:pPr>
              <w:spacing w:after="0"/>
              <w:rPr>
                <w:sz w:val="17"/>
                <w:szCs w:val="17"/>
                <w:color w:val="auto"/>
              </w:rPr>
            </w:pPr>
          </w:p>
        </w:tc>
        <w:tc>
          <w:tcPr>
            <w:tcW w:w="48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in accordance with the provisions of the U.K.</w:t>
            </w:r>
          </w:p>
        </w:tc>
      </w:tr>
      <w:tr>
        <w:trPr>
          <w:trHeight w:val="239"/>
        </w:trPr>
        <w:tc>
          <w:tcPr>
            <w:tcW w:w="2700" w:type="dxa"/>
            <w:vAlign w:val="bottom"/>
          </w:tcPr>
          <w:p>
            <w:pPr>
              <w:spacing w:after="0"/>
              <w:rPr>
                <w:sz w:val="20"/>
                <w:szCs w:val="20"/>
                <w:color w:val="auto"/>
              </w:rPr>
            </w:pPr>
          </w:p>
        </w:tc>
        <w:tc>
          <w:tcPr>
            <w:tcW w:w="4800" w:type="dxa"/>
            <w:vAlign w:val="bottom"/>
            <w:gridSpan w:val="2"/>
          </w:tcPr>
          <w:p>
            <w:pPr>
              <w:ind w:left="1180"/>
              <w:spacing w:after="0"/>
              <w:rPr>
                <w:sz w:val="20"/>
                <w:szCs w:val="20"/>
                <w:color w:val="auto"/>
              </w:rPr>
            </w:pPr>
            <w:r>
              <w:rPr>
                <w:rFonts w:ascii="Arial" w:cs="Arial" w:eastAsia="Arial" w:hAnsi="Arial"/>
                <w:sz w:val="18"/>
                <w:szCs w:val="18"/>
                <w:color w:val="auto"/>
              </w:rPr>
              <w:t>Companies Act 2006.</w:t>
            </w:r>
          </w:p>
        </w:tc>
      </w:tr>
      <w:tr>
        <w:trPr>
          <w:trHeight w:val="756"/>
        </w:trPr>
        <w:tc>
          <w:tcPr>
            <w:tcW w:w="2700" w:type="dxa"/>
            <w:vAlign w:val="bottom"/>
          </w:tcPr>
          <w:p>
            <w:pPr>
              <w:spacing w:after="0"/>
              <w:rPr>
                <w:sz w:val="24"/>
                <w:szCs w:val="24"/>
                <w:color w:val="auto"/>
              </w:rPr>
            </w:pPr>
          </w:p>
        </w:tc>
        <w:tc>
          <w:tcPr>
            <w:tcW w:w="4800" w:type="dxa"/>
            <w:vAlign w:val="bottom"/>
            <w:gridSpan w:val="2"/>
          </w:tcPr>
          <w:p>
            <w:pPr>
              <w:ind w:left="27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7620" w:space="120"/>
            <w:col w:w="3400"/>
          </w:cols>
          <w:pgMar w:left="320" w:top="455"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Liability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-644525</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2305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provision by which we directly or indirectly provide an indemnity (to any extent) for a director of the company or of an “associated company” (i.e., a company that is a parent, subsidiary or sister company of 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p>
      <w:pPr>
        <w:spacing w:after="0" w:line="88" w:lineRule="exact"/>
        <w:rPr>
          <w:sz w:val="20"/>
          <w:szCs w:val="20"/>
          <w:color w:val="auto"/>
        </w:rPr>
      </w:pPr>
    </w:p>
    <w:p>
      <w:pPr>
        <w:ind w:left="360" w:right="20" w:hanging="359"/>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86" w:lineRule="exact"/>
        <w:rPr>
          <w:sz w:val="20"/>
          <w:szCs w:val="20"/>
          <w:color w:val="auto"/>
        </w:rPr>
      </w:pPr>
    </w:p>
    <w:p>
      <w:pPr>
        <w:ind w:left="360" w:right="20" w:hanging="359"/>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 provide a “qualifying third party indemnity,” which is an indemnity against liability incurred by our directors and directors of an associated company to a person other than us or an associated company. Such indemnity must not cover criminal fines, penalties imposed by regulatory</w:t>
      </w:r>
    </w:p>
    <w:p>
      <w:pPr>
        <w:spacing w:after="0" w:line="11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65" w:lineRule="exact"/>
        <w:rPr>
          <w:sz w:val="20"/>
          <w:szCs w:val="20"/>
          <w:color w:val="auto"/>
        </w:rPr>
      </w:pPr>
    </w:p>
    <w:p>
      <w:pPr>
        <w:jc w:val="center"/>
        <w:ind w:right="2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breach of the director’s duty of</w:t>
      </w:r>
    </w:p>
    <w:p>
      <w:pPr>
        <w:spacing w:after="0" w:line="14" w:lineRule="exact"/>
        <w:rPr>
          <w:sz w:val="20"/>
          <w:szCs w:val="20"/>
          <w:color w:val="auto"/>
        </w:rPr>
      </w:pPr>
    </w:p>
    <w:p>
      <w:pPr>
        <w:ind w:left="340" w:right="640"/>
        <w:spacing w:after="0" w:line="250" w:lineRule="auto"/>
        <w:rPr>
          <w:sz w:val="20"/>
          <w:szCs w:val="20"/>
          <w:color w:val="auto"/>
        </w:rPr>
      </w:pPr>
      <w:r>
        <w:rPr>
          <w:rFonts w:ascii="Arial" w:cs="Arial" w:eastAsia="Arial" w:hAnsi="Arial"/>
          <w:sz w:val="18"/>
          <w:szCs w:val="18"/>
          <w:color w:val="auto"/>
        </w:rPr>
        <w:t>loyalty to the corporation or its stockholders;</w:t>
      </w:r>
    </w:p>
    <w:p>
      <w:pPr>
        <w:spacing w:after="0" w:line="77" w:lineRule="exact"/>
        <w:rPr>
          <w:sz w:val="20"/>
          <w:szCs w:val="20"/>
          <w:color w:val="auto"/>
        </w:rPr>
      </w:pPr>
    </w:p>
    <w:p>
      <w:pPr>
        <w:jc w:val="both"/>
        <w:ind w:left="340" w:right="10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 acts or omissions not in good faith or that involve intentional misconduct or a knowing violation of law;</w:t>
      </w:r>
    </w:p>
    <w:p>
      <w:pPr>
        <w:spacing w:after="0" w:line="87" w:lineRule="exact"/>
        <w:rPr>
          <w:sz w:val="20"/>
          <w:szCs w:val="20"/>
          <w:color w:val="auto"/>
        </w:rPr>
      </w:pPr>
    </w:p>
    <w:p>
      <w:pPr>
        <w:ind w:left="340" w:right="2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 intentional or negligent payment of unlawful dividends or stock purchases or redemptions; or</w:t>
      </w:r>
    </w:p>
    <w:p>
      <w:pPr>
        <w:spacing w:after="0" w:line="87" w:lineRule="exact"/>
        <w:rPr>
          <w:sz w:val="20"/>
          <w:szCs w:val="20"/>
          <w:color w:val="auto"/>
        </w:rPr>
      </w:pPr>
    </w:p>
    <w:p>
      <w:pPr>
        <w:ind w:left="340" w:right="6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transaction from which the director derives an improper personal benefit.</w:t>
      </w:r>
    </w:p>
    <w:p>
      <w:pPr>
        <w:sectPr>
          <w:pgSz w:w="11900" w:h="16838" w:orient="portrait"/>
          <w:cols w:equalWidth="0" w:num="3">
            <w:col w:w="3280" w:space="720"/>
            <w:col w:w="3620" w:space="120"/>
            <w:col w:w="340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40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00" w:type="dxa"/>
            <w:vAlign w:val="bottom"/>
            <w:gridSpan w:val="2"/>
          </w:tcPr>
          <w:p>
            <w:pPr>
              <w:ind w:left="1120"/>
              <w:spacing w:after="0"/>
              <w:rPr>
                <w:sz w:val="20"/>
                <w:szCs w:val="20"/>
                <w:color w:val="auto"/>
              </w:rPr>
            </w:pPr>
            <w:r>
              <w:rPr>
                <w:rFonts w:ascii="Arial" w:cs="Arial" w:eastAsia="Arial" w:hAnsi="Arial"/>
                <w:sz w:val="14"/>
                <w:szCs w:val="14"/>
                <w:b w:val="1"/>
                <w:bCs w:val="1"/>
                <w:color w:val="auto"/>
              </w:rPr>
              <w:t>England and Wales</w:t>
            </w:r>
          </w:p>
        </w:tc>
        <w:tc>
          <w:tcPr>
            <w:tcW w:w="3420" w:type="dxa"/>
            <w:vAlign w:val="bottom"/>
          </w:tcPr>
          <w:p>
            <w:pPr>
              <w:ind w:left="1400"/>
              <w:spacing w:after="0"/>
              <w:rPr>
                <w:sz w:val="20"/>
                <w:szCs w:val="20"/>
                <w:color w:val="auto"/>
              </w:rPr>
            </w:pPr>
            <w:r>
              <w:rPr>
                <w:rFonts w:ascii="Arial" w:cs="Arial" w:eastAsia="Arial" w:hAnsi="Arial"/>
                <w:sz w:val="14"/>
                <w:szCs w:val="14"/>
                <w:b w:val="1"/>
                <w:bCs w:val="1"/>
                <w:color w:val="auto"/>
              </w:rPr>
              <w:t>Delaware</w:t>
            </w:r>
          </w:p>
        </w:tc>
      </w:tr>
      <w:tr>
        <w:trPr>
          <w:trHeight w:val="177"/>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       bodies, the defense costs of criminal</w:t>
            </w:r>
          </w:p>
        </w:tc>
        <w:tc>
          <w:tcPr>
            <w:tcW w:w="100" w:type="dxa"/>
            <w:vAlign w:val="bottom"/>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proceedings where the director is found</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guilty, the defense costs of civil</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proceedings successfully brought</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against the director by the company or</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an associated company, or the costs of</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unsuccessful applications by the director</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for relief from liabilities for such matters;</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and</w:t>
            </w:r>
          </w:p>
        </w:tc>
        <w:tc>
          <w:tcPr>
            <w:tcW w:w="3420" w:type="dxa"/>
            <w:vAlign w:val="bottom"/>
          </w:tcPr>
          <w:p>
            <w:pPr>
              <w:spacing w:after="0"/>
              <w:rPr>
                <w:sz w:val="20"/>
                <w:szCs w:val="20"/>
                <w:color w:val="auto"/>
              </w:rPr>
            </w:pPr>
          </w:p>
        </w:tc>
      </w:tr>
      <w:tr>
        <w:trPr>
          <w:trHeight w:val="274"/>
        </w:trPr>
        <w:tc>
          <w:tcPr>
            <w:tcW w:w="3720" w:type="dxa"/>
            <w:vAlign w:val="bottom"/>
            <w:gridSpan w:val="3"/>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 provide a “qualifying pension scheme</w:t>
            </w:r>
          </w:p>
        </w:tc>
        <w:tc>
          <w:tcPr>
            <w:tcW w:w="34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indemnity,” which is an indemnity against</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liability incurred in connection with the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company’s activities as trustee of an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occupational pension plan. Such</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indemnity must not cover a fine imposed</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 criminal proceedings, or sum payable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to a regulatory authority by way of a</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penalty in respect of non-compliance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with any requirement of a regulatory</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nature (however arising), or any liability</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incurred by the director in defending</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criminal proceedings in which he or she</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is convicted.</w:t>
            </w:r>
          </w:p>
        </w:tc>
        <w:tc>
          <w:tcPr>
            <w:tcW w:w="3420" w:type="dxa"/>
            <w:vAlign w:val="bottom"/>
          </w:tcPr>
          <w:p>
            <w:pPr>
              <w:spacing w:after="0"/>
              <w:rPr>
                <w:sz w:val="20"/>
                <w:szCs w:val="20"/>
                <w:color w:val="auto"/>
              </w:rPr>
            </w:pPr>
          </w:p>
        </w:tc>
      </w:tr>
      <w:tr>
        <w:trPr>
          <w:trHeight w:val="288"/>
        </w:trPr>
        <w:tc>
          <w:tcPr>
            <w:tcW w:w="3720" w:type="dxa"/>
            <w:vAlign w:val="bottom"/>
            <w:gridSpan w:val="3"/>
          </w:tcPr>
          <w:p>
            <w:pPr>
              <w:spacing w:after="0"/>
              <w:rPr>
                <w:sz w:val="20"/>
                <w:szCs w:val="20"/>
                <w:color w:val="auto"/>
              </w:rPr>
            </w:pPr>
            <w:r>
              <w:rPr>
                <w:rFonts w:ascii="Arial" w:cs="Arial" w:eastAsia="Arial" w:hAnsi="Arial"/>
                <w:sz w:val="18"/>
                <w:szCs w:val="18"/>
                <w:color w:val="auto"/>
              </w:rPr>
              <w:t>Our Articles provide that we may indemnify</w:t>
            </w:r>
          </w:p>
        </w:tc>
        <w:tc>
          <w:tcPr>
            <w:tcW w:w="3420" w:type="dxa"/>
            <w:vAlign w:val="bottom"/>
          </w:tcPr>
          <w:p>
            <w:pPr>
              <w:spacing w:after="0"/>
              <w:rPr>
                <w:sz w:val="24"/>
                <w:szCs w:val="24"/>
                <w:color w:val="auto"/>
              </w:rPr>
            </w:pPr>
          </w:p>
        </w:tc>
      </w:tr>
      <w:tr>
        <w:trPr>
          <w:trHeight w:val="203"/>
        </w:trPr>
        <w:tc>
          <w:tcPr>
            <w:tcW w:w="3720" w:type="dxa"/>
            <w:vAlign w:val="bottom"/>
            <w:gridSpan w:val="3"/>
          </w:tcPr>
          <w:p>
            <w:pPr>
              <w:spacing w:after="0" w:line="202" w:lineRule="exact"/>
              <w:rPr>
                <w:sz w:val="20"/>
                <w:szCs w:val="20"/>
                <w:color w:val="auto"/>
              </w:rPr>
            </w:pPr>
            <w:r>
              <w:rPr>
                <w:rFonts w:ascii="Arial" w:cs="Arial" w:eastAsia="Arial" w:hAnsi="Arial"/>
                <w:sz w:val="18"/>
                <w:szCs w:val="18"/>
                <w:color w:val="auto"/>
              </w:rPr>
              <w:t>each of our directors out of the Company’s</w:t>
            </w:r>
          </w:p>
        </w:tc>
        <w:tc>
          <w:tcPr>
            <w:tcW w:w="3420" w:type="dxa"/>
            <w:vAlign w:val="bottom"/>
          </w:tcPr>
          <w:p>
            <w:pPr>
              <w:spacing w:after="0"/>
              <w:rPr>
                <w:sz w:val="17"/>
                <w:szCs w:val="17"/>
                <w:color w:val="auto"/>
              </w:rPr>
            </w:pPr>
          </w:p>
        </w:tc>
      </w:tr>
      <w:tr>
        <w:trPr>
          <w:trHeight w:val="239"/>
        </w:trPr>
        <w:tc>
          <w:tcPr>
            <w:tcW w:w="3720" w:type="dxa"/>
            <w:vAlign w:val="bottom"/>
            <w:gridSpan w:val="3"/>
          </w:tcPr>
          <w:p>
            <w:pPr>
              <w:spacing w:after="0"/>
              <w:rPr>
                <w:sz w:val="20"/>
                <w:szCs w:val="20"/>
                <w:color w:val="auto"/>
              </w:rPr>
            </w:pPr>
            <w:r>
              <w:rPr>
                <w:rFonts w:ascii="Arial" w:cs="Arial" w:eastAsia="Arial" w:hAnsi="Arial"/>
                <w:sz w:val="18"/>
                <w:szCs w:val="18"/>
                <w:color w:val="auto"/>
              </w:rPr>
              <w:t>assets against:</w:t>
            </w:r>
          </w:p>
        </w:tc>
        <w:tc>
          <w:tcPr>
            <w:tcW w:w="3420" w:type="dxa"/>
            <w:vAlign w:val="bottom"/>
          </w:tcPr>
          <w:p>
            <w:pPr>
              <w:spacing w:after="0"/>
              <w:rPr>
                <w:sz w:val="20"/>
                <w:szCs w:val="20"/>
                <w:color w:val="auto"/>
              </w:rPr>
            </w:pPr>
          </w:p>
        </w:tc>
      </w:tr>
      <w:tr>
        <w:trPr>
          <w:trHeight w:val="288"/>
        </w:trPr>
        <w:tc>
          <w:tcPr>
            <w:tcW w:w="3720" w:type="dxa"/>
            <w:vAlign w:val="bottom"/>
            <w:gridSpan w:val="3"/>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liability incurred by such director in</w:t>
            </w:r>
          </w:p>
        </w:tc>
        <w:tc>
          <w:tcPr>
            <w:tcW w:w="34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connection with any negligence, default,</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breach of duty or breach of trust in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relation to the company or an associate</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3420" w:type="dxa"/>
            <w:vAlign w:val="bottom"/>
          </w:tcPr>
          <w:p>
            <w:pPr>
              <w:spacing w:after="0"/>
              <w:rPr>
                <w:sz w:val="20"/>
                <w:szCs w:val="20"/>
                <w:color w:val="auto"/>
              </w:rPr>
            </w:pPr>
          </w:p>
        </w:tc>
      </w:tr>
      <w:tr>
        <w:trPr>
          <w:trHeight w:val="274"/>
        </w:trPr>
        <w:tc>
          <w:tcPr>
            <w:tcW w:w="3720" w:type="dxa"/>
            <w:vAlign w:val="bottom"/>
            <w:gridSpan w:val="3"/>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liability incurred by such director in</w:t>
            </w:r>
          </w:p>
        </w:tc>
        <w:tc>
          <w:tcPr>
            <w:tcW w:w="34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connection with the activities of the</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company or an associated company in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its capacity as a trustee of an</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occupational pension scheme (as</w:t>
            </w:r>
          </w:p>
        </w:tc>
        <w:tc>
          <w:tcPr>
            <w:tcW w:w="3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defined in section 235(6) of the U.K.</w:t>
            </w:r>
          </w:p>
        </w:tc>
        <w:tc>
          <w:tcPr>
            <w:tcW w:w="34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Companies Act 2006; and</w:t>
            </w:r>
          </w:p>
        </w:tc>
        <w:tc>
          <w:tcPr>
            <w:tcW w:w="3420" w:type="dxa"/>
            <w:vAlign w:val="bottom"/>
          </w:tcPr>
          <w:p>
            <w:pPr>
              <w:spacing w:after="0"/>
              <w:rPr>
                <w:sz w:val="20"/>
                <w:szCs w:val="20"/>
                <w:color w:val="auto"/>
              </w:rPr>
            </w:pPr>
          </w:p>
        </w:tc>
      </w:tr>
      <w:tr>
        <w:trPr>
          <w:trHeight w:val="351"/>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other liability incurred by such</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director in the actual or purported</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execution or discharge of their duties,</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the exercise or purported exercise of</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their powers or otherwise in relation to</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w w:val="99"/>
              </w:rPr>
              <w:t>their duties or powers as an officer of the</w:t>
            </w:r>
          </w:p>
        </w:tc>
      </w:tr>
      <w:tr>
        <w:trPr>
          <w:trHeight w:val="239"/>
        </w:trPr>
        <w:tc>
          <w:tcPr>
            <w:tcW w:w="3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 or an associated company,</w:t>
            </w:r>
          </w:p>
        </w:tc>
      </w:tr>
      <w:tr>
        <w:trPr>
          <w:trHeight w:val="288"/>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provided in each case that no indemnity may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be given which would be prohibited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rendered void by any provision of the U.K.</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Companies Act 2006 or by any other</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provision of law.</w:t>
            </w:r>
          </w:p>
        </w:tc>
      </w:tr>
      <w:tr>
        <w:trPr>
          <w:trHeight w:val="288"/>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74"/>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74"/>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creditors and used in certain</w:t>
            </w:r>
          </w:p>
        </w:tc>
      </w:tr>
      <w:tr>
        <w:trPr>
          <w:trHeight w:val="351"/>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closing of a merger, consolidation, sale, lease or exchange of all or substantially</w:t>
      </w:r>
    </w:p>
    <w:p>
      <w:pPr>
        <w:sectPr>
          <w:pgSz w:w="11900" w:h="16838" w:orient="portrait"/>
          <w:cols w:equalWidth="0" w:num="2">
            <w:col w:w="7620" w:space="120"/>
            <w:col w:w="3340"/>
          </w:cols>
          <w:pgMar w:left="320" w:top="455" w:right="4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types of reconstructions, amalgamations,</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capital reorganizations or takeovers. These</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arrangements require:</w:t>
            </w:r>
          </w:p>
        </w:tc>
      </w:tr>
      <w:tr>
        <w:trPr>
          <w:trHeight w:val="315"/>
        </w:trPr>
        <w:tc>
          <w:tcPr>
            <w:tcW w:w="2880" w:type="dxa"/>
            <w:vAlign w:val="bottom"/>
          </w:tcPr>
          <w:p>
            <w:pPr>
              <w:spacing w:after="0"/>
              <w:rPr>
                <w:sz w:val="24"/>
                <w:szCs w:val="24"/>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(1) the approval, at a shareholders’ or</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2"/>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w w:val="99"/>
              </w:rPr>
              <w:t>or by proxy; and (2) the approval of a court of</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England and Wales.</w:t>
            </w:r>
          </w:p>
        </w:tc>
      </w:tr>
      <w:tr>
        <w:trPr>
          <w:trHeight w:val="382"/>
        </w:trPr>
        <w:tc>
          <w:tcPr>
            <w:tcW w:w="2880" w:type="dxa"/>
            <w:vAlign w:val="bottom"/>
          </w:tcPr>
          <w:p>
            <w:pPr>
              <w:spacing w:after="0"/>
              <w:rPr>
                <w:sz w:val="20"/>
                <w:szCs w:val="20"/>
                <w:color w:val="auto"/>
              </w:rPr>
            </w:pPr>
            <w:r>
              <w:rPr>
                <w:rFonts w:ascii="Arial" w:cs="Arial" w:eastAsia="Arial" w:hAnsi="Arial"/>
                <w:sz w:val="18"/>
                <w:szCs w:val="18"/>
                <w:color w:val="auto"/>
              </w:rPr>
              <w:t>Standard of Conduct for</w:t>
            </w: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Under English law, a director owes various</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w w:val="99"/>
              </w:rPr>
              <w:t>statutory and fiduciary duties to the company,</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including:</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w w:val="99"/>
              </w:rPr>
              <w:t>conferred by reason of his or her being a</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director or doing, or not doing, anything</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as a director; and</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 duty to declare any interest that he or</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she has, whether directly or indirectly,</w:t>
            </w:r>
          </w:p>
        </w:tc>
      </w:tr>
      <w:tr>
        <w:trPr>
          <w:trHeight w:val="365"/>
        </w:trPr>
        <w:tc>
          <w:tcPr>
            <w:tcW w:w="2880" w:type="dxa"/>
            <w:vAlign w:val="bottom"/>
          </w:tcPr>
          <w:p>
            <w:pPr>
              <w:spacing w:after="0"/>
              <w:rPr>
                <w:sz w:val="24"/>
                <w:szCs w:val="24"/>
                <w:color w:val="auto"/>
              </w:rPr>
            </w:pPr>
          </w:p>
        </w:tc>
        <w:tc>
          <w:tcPr>
            <w:tcW w:w="4620" w:type="dxa"/>
            <w:vAlign w:val="bottom"/>
            <w:gridSpan w:val="2"/>
          </w:tcPr>
          <w:p>
            <w:pPr>
              <w:ind w:left="252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of a corporation’s assets or dissolution requires:</w:t>
      </w:r>
    </w:p>
    <w:p>
      <w:pPr>
        <w:spacing w:after="0" w:line="75" w:lineRule="exact"/>
        <w:rPr>
          <w:sz w:val="20"/>
          <w:szCs w:val="20"/>
          <w:color w:val="auto"/>
        </w:rPr>
      </w:pPr>
    </w:p>
    <w:p>
      <w:pPr>
        <w:ind w:left="340" w:right="60" w:hanging="359"/>
        <w:spacing w:after="0" w:line="220"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board of directors; and</w:t>
      </w:r>
    </w:p>
    <w:p>
      <w:pPr>
        <w:spacing w:after="0" w:line="87" w:lineRule="exact"/>
        <w:rPr>
          <w:sz w:val="20"/>
          <w:szCs w:val="20"/>
          <w:color w:val="auto"/>
        </w:rPr>
      </w:pPr>
    </w:p>
    <w:p>
      <w:pPr>
        <w:ind w:left="340" w:right="140" w:hanging="359"/>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8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w:t>
      </w:r>
    </w:p>
    <w:p>
      <w:pPr>
        <w:sectPr>
          <w:pgSz w:w="11900" w:h="16838" w:orient="portrait"/>
          <w:cols w:equalWidth="0" w:num="2">
            <w:col w:w="7620" w:space="120"/>
            <w:col w:w="3400"/>
          </w:cols>
          <w:pgMar w:left="320" w:top="455"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       in a proposed or existing transaction or</w:t>
      </w:r>
    </w:p>
    <w:p>
      <w:pPr>
        <w:ind w:left="43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rather than its shareholders, is the proper</w:t>
      </w:r>
    </w:p>
    <w:p>
      <w:pPr>
        <w:ind w:left="4000"/>
        <w:spacing w:after="0" w:line="234"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5" w:lineRule="auto"/>
        <w:rPr>
          <w:sz w:val="20"/>
          <w:szCs w:val="20"/>
          <w:color w:val="auto"/>
        </w:rPr>
      </w:pPr>
      <w:r>
        <w:rPr>
          <w:rFonts w:ascii="Arial" w:cs="Arial" w:eastAsia="Arial" w:hAnsi="Arial"/>
          <w:sz w:val="18"/>
          <w:szCs w:val="18"/>
          <w:color w:val="auto"/>
        </w:rPr>
        <w:t>position, the U.K. Companies Act 2006</w:t>
      </w:r>
    </w:p>
    <w:p>
      <w:pPr>
        <w:ind w:left="4000"/>
        <w:spacing w:after="0" w:line="234"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line="234" w:lineRule="auto"/>
        <w:rPr>
          <w:sz w:val="20"/>
          <w:szCs w:val="20"/>
          <w:color w:val="auto"/>
        </w:rPr>
      </w:pPr>
      <w:r>
        <w:rPr>
          <w:rFonts w:ascii="Arial" w:cs="Arial" w:eastAsia="Arial" w:hAnsi="Arial"/>
          <w:sz w:val="18"/>
          <w:szCs w:val="18"/>
          <w:color w:val="auto"/>
        </w:rPr>
        <w:t>manner that is unfairly prejudicial to the</w:t>
      </w:r>
    </w:p>
    <w:p>
      <w:pPr>
        <w:ind w:left="4000"/>
        <w:spacing w:after="0" w:line="235" w:lineRule="auto"/>
        <w:rPr>
          <w:sz w:val="20"/>
          <w:szCs w:val="20"/>
          <w:color w:val="auto"/>
        </w:rPr>
      </w:pPr>
      <w:r>
        <w:rPr>
          <w:rFonts w:ascii="Arial" w:cs="Arial" w:eastAsia="Arial" w:hAnsi="Arial"/>
          <w:sz w:val="18"/>
          <w:szCs w:val="18"/>
          <w:color w:val="auto"/>
        </w:rPr>
        <w:t>interests of its shareholders generally or of</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some of its shareholders, or that</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9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82" w:lineRule="exact"/>
        <w:rPr>
          <w:sz w:val="20"/>
          <w:szCs w:val="20"/>
          <w:color w:val="auto"/>
        </w:rPr>
      </w:pPr>
    </w:p>
    <w:p>
      <w:pPr>
        <w:ind w:left="340" w:right="6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 state that the plaintiff was a stockholder at the time of the transaction of which the plaintiff complains or that the plaintiffs shares thereafter devolved on the plaintiff by operation of law; and</w:t>
      </w:r>
    </w:p>
    <w:p>
      <w:pPr>
        <w:spacing w:after="0" w:line="89" w:lineRule="exact"/>
        <w:rPr>
          <w:sz w:val="20"/>
          <w:szCs w:val="20"/>
          <w:color w:val="auto"/>
        </w:rPr>
      </w:pPr>
    </w:p>
    <w:p>
      <w:pPr>
        <w:ind w:left="340" w:right="18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 allege with particularity the efforts made by the plaintiff to obtain the action the plaintiff desires from the directors and the reasons for the plaintiff’s failure to obtain the action; or</w:t>
      </w:r>
    </w:p>
    <w:p>
      <w:pPr>
        <w:spacing w:after="0" w:line="89" w:lineRule="exact"/>
        <w:rPr>
          <w:sz w:val="20"/>
          <w:szCs w:val="20"/>
          <w:color w:val="auto"/>
        </w:rPr>
      </w:pPr>
    </w:p>
    <w:p>
      <w:pPr>
        <w:ind w:left="340" w:right="160" w:hanging="359"/>
        <w:spacing w:after="0" w:line="220"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 state the reasons for not making the effort.</w:t>
      </w:r>
    </w:p>
    <w:p>
      <w:pPr>
        <w:sectPr>
          <w:pgSz w:w="11900" w:h="16838" w:orient="portrait"/>
          <w:cols w:equalWidth="0" w:num="2">
            <w:col w:w="7620" w:space="120"/>
            <w:col w:w="3380"/>
          </w:cols>
          <w:pgMar w:left="320" w:top="455"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820"/>
          </w:cols>
          <w:pgMar w:left="320" w:top="455" w:right="759" w:bottom="1440" w:gutter="0" w:footer="0" w:header="0"/>
        </w:sectPr>
      </w:pPr>
    </w:p>
    <w:p>
      <w:pPr>
        <w:spacing w:after="0" w:line="3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 actual or proposed act or omission of the</w:t>
      </w:r>
    </w:p>
    <w:p>
      <w:pPr>
        <w:ind w:left="4000"/>
        <w:spacing w:after="0"/>
        <w:rPr>
          <w:sz w:val="20"/>
          <w:szCs w:val="20"/>
          <w:color w:val="auto"/>
        </w:rPr>
      </w:pPr>
      <w:r>
        <w:rPr>
          <w:rFonts w:ascii="Arial" w:cs="Arial" w:eastAsia="Arial" w:hAnsi="Arial"/>
          <w:sz w:val="18"/>
          <w:szCs w:val="18"/>
          <w:color w:val="auto"/>
        </w:rPr>
        <w:t>company is or would be so prejudicial.</w:t>
      </w:r>
    </w:p>
    <w:p>
      <w:pPr>
        <w:spacing w:after="0" w:line="9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limitation period, with certain exceptions, in</w:t>
      </w:r>
    </w:p>
    <w:p>
      <w:pPr>
        <w:ind w:left="4000"/>
        <w:spacing w:after="0" w:line="234" w:lineRule="auto"/>
        <w:rPr>
          <w:sz w:val="20"/>
          <w:szCs w:val="20"/>
          <w:color w:val="auto"/>
        </w:rPr>
      </w:pPr>
      <w:r>
        <w:rPr>
          <w:rFonts w:ascii="Arial" w:cs="Arial" w:eastAsia="Arial" w:hAnsi="Arial"/>
          <w:sz w:val="18"/>
          <w:szCs w:val="18"/>
          <w:color w:val="auto"/>
        </w:rPr>
        <w:t>respect of civil claims. The period is six years</w:t>
      </w:r>
    </w:p>
    <w:p>
      <w:pPr>
        <w:ind w:left="4000"/>
        <w:spacing w:after="0" w:line="235" w:lineRule="auto"/>
        <w:rPr>
          <w:sz w:val="20"/>
          <w:szCs w:val="20"/>
          <w:color w:val="auto"/>
        </w:rPr>
      </w:pPr>
      <w:r>
        <w:rPr>
          <w:rFonts w:ascii="Arial" w:cs="Arial" w:eastAsia="Arial" w:hAnsi="Arial"/>
          <w:sz w:val="18"/>
          <w:szCs w:val="18"/>
          <w:color w:val="auto"/>
        </w:rPr>
        <w:t>in respect of actions in contract and tort, and</w:t>
      </w:r>
    </w:p>
    <w:p>
      <w:pPr>
        <w:ind w:left="4000"/>
        <w:spacing w:after="0" w:line="235" w:lineRule="auto"/>
        <w:rPr>
          <w:sz w:val="20"/>
          <w:szCs w:val="20"/>
          <w:color w:val="auto"/>
        </w:rPr>
      </w:pPr>
      <w:r>
        <w:rPr>
          <w:rFonts w:ascii="Arial" w:cs="Arial" w:eastAsia="Arial" w:hAnsi="Arial"/>
          <w:sz w:val="18"/>
          <w:szCs w:val="18"/>
          <w:color w:val="auto"/>
        </w:rPr>
        <w:t>12 years for “actions on a specialty,” such as</w:t>
      </w:r>
    </w:p>
    <w:p>
      <w:pPr>
        <w:ind w:left="4000"/>
        <w:spacing w:after="0" w:line="235" w:lineRule="auto"/>
        <w:rPr>
          <w:sz w:val="20"/>
          <w:szCs w:val="20"/>
          <w:color w:val="auto"/>
        </w:rPr>
      </w:pPr>
      <w:r>
        <w:rPr>
          <w:rFonts w:ascii="Arial" w:cs="Arial" w:eastAsia="Arial" w:hAnsi="Arial"/>
          <w:sz w:val="18"/>
          <w:szCs w:val="18"/>
          <w:color w:val="auto"/>
        </w:rPr>
        <w:t>a breach of any obligation contained in a</w:t>
      </w:r>
    </w:p>
    <w:p>
      <w:pPr>
        <w:ind w:left="4000"/>
        <w:spacing w:after="0"/>
        <w:rPr>
          <w:sz w:val="20"/>
          <w:szCs w:val="20"/>
          <w:color w:val="auto"/>
        </w:rPr>
      </w:pPr>
      <w:r>
        <w:rPr>
          <w:rFonts w:ascii="Arial" w:cs="Arial" w:eastAsia="Arial" w:hAnsi="Arial"/>
          <w:sz w:val="17"/>
          <w:szCs w:val="17"/>
          <w:color w:val="auto"/>
        </w:rPr>
        <w:t>deed. The limitation period begins to run from</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action accrued. In the</w:t>
      </w:r>
    </w:p>
    <w:p>
      <w:pPr>
        <w:ind w:left="4000"/>
        <w:spacing w:after="0" w:line="234" w:lineRule="auto"/>
        <w:rPr>
          <w:sz w:val="20"/>
          <w:szCs w:val="20"/>
          <w:color w:val="auto"/>
        </w:rPr>
      </w:pPr>
      <w:r>
        <w:rPr>
          <w:rFonts w:ascii="Arial" w:cs="Arial" w:eastAsia="Arial" w:hAnsi="Arial"/>
          <w:sz w:val="18"/>
          <w:szCs w:val="18"/>
          <w:color w:val="auto"/>
        </w:rPr>
        <w:t>case of contract, this is the date on which the</w:t>
      </w:r>
    </w:p>
    <w:p>
      <w:pPr>
        <w:ind w:left="4000"/>
        <w:spacing w:after="0" w:line="235" w:lineRule="auto"/>
        <w:rPr>
          <w:sz w:val="20"/>
          <w:szCs w:val="20"/>
          <w:color w:val="auto"/>
        </w:rPr>
      </w:pPr>
      <w:r>
        <w:rPr>
          <w:rFonts w:ascii="Arial" w:cs="Arial" w:eastAsia="Arial" w:hAnsi="Arial"/>
          <w:sz w:val="18"/>
          <w:szCs w:val="18"/>
          <w:color w:val="auto"/>
        </w:rPr>
        <w:t>breach of contract occurred, and in tort this is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damage is suffered.</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2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20"/>
            <w:col w:w="3080"/>
          </w:cols>
          <w:pgMar w:left="320" w:top="455" w:right="7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0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176"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7"/>
          <w:szCs w:val="17"/>
          <w:color w:val="auto"/>
        </w:rPr>
        <w:t>We have appointed Citibank as depositary pursuant to a deposit agreement. A copy of the deposit agreement is on file with the SEC under cover of a registration statement on Form F-6. A copy of the deposit agreement is available from the SEC’s website (www.sec.gov). Please refer to registration number 333-223890, 333-249338, 333-258824 and 333-279433 when retrieving such copy. “Holder” means the person or persons in whose name an ADS is registered on the register maintained by the depositary for such purpose.</w:t>
      </w:r>
    </w:p>
    <w:p>
      <w:pPr>
        <w:spacing w:after="0" w:line="15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9"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186"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04"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0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54" w:lineRule="exact"/>
        <w:rPr>
          <w:sz w:val="20"/>
          <w:szCs w:val="20"/>
          <w:color w:val="auto"/>
        </w:rPr>
      </w:pPr>
    </w:p>
    <w:p>
      <w:pPr>
        <w:jc w:val="both"/>
        <w:ind w:left="120" w:right="160" w:firstLine="440"/>
        <w:spacing w:after="0" w:line="25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69"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02"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6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0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16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rights to a Holder if:</w:t>
      </w:r>
    </w:p>
    <w:p>
      <w:pPr>
        <w:spacing w:after="0" w:line="239" w:lineRule="exact"/>
        <w:rPr>
          <w:sz w:val="20"/>
          <w:szCs w:val="20"/>
          <w:color w:val="auto"/>
        </w:rPr>
      </w:pPr>
    </w:p>
    <w:p>
      <w:pPr>
        <w:ind w:left="980" w:right="260" w:hanging="432"/>
        <w:spacing w:after="0" w:line="230"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320" w:top="455"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5"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0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169" w:lineRule="exact"/>
        <w:rPr>
          <w:sz w:val="20"/>
          <w:szCs w:val="20"/>
          <w:color w:val="auto"/>
        </w:rPr>
      </w:pPr>
    </w:p>
    <w:p>
      <w:pPr>
        <w:ind w:left="120" w:right="320" w:firstLine="440"/>
        <w:spacing w:after="0" w:line="253" w:lineRule="auto"/>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169"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02"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169"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3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a Holder and will sell the property if:</w:t>
      </w:r>
    </w:p>
    <w:p>
      <w:pPr>
        <w:spacing w:after="0" w:line="239" w:lineRule="exact"/>
        <w:rPr>
          <w:sz w:val="20"/>
          <w:szCs w:val="20"/>
          <w:color w:val="auto"/>
        </w:rPr>
      </w:pPr>
    </w:p>
    <w:p>
      <w:pPr>
        <w:ind w:left="980" w:right="30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ind w:left="9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02"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9"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into U.S. dollars upon the terms of the deposit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pro rata basis, as the depositary may determine.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04" w:lineRule="exact"/>
        <w:rPr>
          <w:sz w:val="20"/>
          <w:szCs w:val="20"/>
          <w:color w:val="auto"/>
        </w:rPr>
      </w:pPr>
    </w:p>
    <w:p>
      <w:pPr>
        <w:jc w:val="both"/>
        <w:ind w:left="120" w:right="340" w:firstLine="440"/>
        <w:spacing w:after="0" w:line="253" w:lineRule="auto"/>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169"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176"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69" w:lineRule="exact"/>
        <w:rPr>
          <w:sz w:val="20"/>
          <w:szCs w:val="20"/>
          <w:color w:val="auto"/>
        </w:rPr>
      </w:pPr>
    </w:p>
    <w:p>
      <w:pPr>
        <w:ind w:left="120" w:right="600" w:firstLine="440"/>
        <w:spacing w:after="0" w:line="271"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181" w:lineRule="exact"/>
        <w:rPr>
          <w:sz w:val="20"/>
          <w:szCs w:val="20"/>
          <w:color w:val="auto"/>
        </w:rPr>
      </w:pPr>
    </w:p>
    <w:p>
      <w:pPr>
        <w:ind w:left="980" w:right="10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4" w:lineRule="exact"/>
        <w:rPr>
          <w:rFonts w:ascii="MS PGothic" w:cs="MS PGothic" w:eastAsia="MS PGothic" w:hAnsi="MS PGothic"/>
          <w:sz w:val="25"/>
          <w:szCs w:val="25"/>
          <w:color w:val="auto"/>
          <w:vertAlign w:val="superscript"/>
        </w:rPr>
      </w:pPr>
    </w:p>
    <w:p>
      <w:pPr>
        <w:ind w:left="980" w:right="70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80"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6"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2" w:lineRule="exact"/>
        <w:rPr>
          <w:rFonts w:ascii="MS PGothic" w:cs="MS PGothic" w:eastAsia="MS PGothic" w:hAnsi="MS PGothic"/>
          <w:sz w:val="25"/>
          <w:szCs w:val="25"/>
          <w:color w:val="auto"/>
          <w:vertAlign w:val="superscript"/>
        </w:rPr>
      </w:pPr>
    </w:p>
    <w:p>
      <w:pPr>
        <w:ind w:left="980" w:right="440" w:hanging="432"/>
        <w:spacing w:after="0" w:line="22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81" w:lineRule="exact"/>
        <w:rPr>
          <w:sz w:val="20"/>
          <w:szCs w:val="20"/>
          <w:color w:val="auto"/>
        </w:rPr>
      </w:pPr>
    </w:p>
    <w:p>
      <w:pPr>
        <w:jc w:val="both"/>
        <w:ind w:left="120" w:right="300" w:firstLine="440"/>
        <w:spacing w:after="0" w:line="253" w:lineRule="auto"/>
        <w:rPr>
          <w:sz w:val="20"/>
          <w:szCs w:val="20"/>
          <w:color w:val="auto"/>
        </w:rPr>
      </w:pPr>
      <w:r>
        <w:rPr>
          <w:rFonts w:ascii="Arial" w:cs="Arial" w:eastAsia="Arial" w:hAnsi="Arial"/>
          <w:sz w:val="18"/>
          <w:szCs w:val="18"/>
          <w:color w:val="auto"/>
        </w:rPr>
        <w:t>To have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1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8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04"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920" w:firstLine="440"/>
        <w:spacing w:after="0" w:line="271"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54"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181" w:lineRule="exact"/>
        <w:rPr>
          <w:sz w:val="20"/>
          <w:szCs w:val="20"/>
          <w:color w:val="auto"/>
        </w:rPr>
      </w:pPr>
    </w:p>
    <w:p>
      <w:pPr>
        <w:ind w:left="980" w:right="140" w:hanging="432"/>
        <w:spacing w:after="0" w:line="231"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event of voting by show of hands, the depositary will vote (or cause the custodian to vote) all ordinary held on deposit at that time in accordance with the voting instructions received from a majority of Holders of ADSs who provide timely voting instructions.</w:t>
      </w:r>
    </w:p>
    <w:p>
      <w:pPr>
        <w:spacing w:after="0" w:line="6" w:lineRule="exact"/>
        <w:rPr>
          <w:rFonts w:ascii="MS PGothic" w:cs="MS PGothic" w:eastAsia="MS PGothic" w:hAnsi="MS PGothic"/>
          <w:sz w:val="25"/>
          <w:szCs w:val="25"/>
          <w:color w:val="auto"/>
          <w:vertAlign w:val="superscript"/>
        </w:rPr>
      </w:pPr>
    </w:p>
    <w:p>
      <w:pPr>
        <w:ind w:left="980" w:right="220" w:hanging="432"/>
        <w:spacing w:after="0" w:line="232"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event of voting by poll, the depositary will vote (or cause the custodian to vote) the ordinary shares held on deposit in 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18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4"/>
                <w:szCs w:val="14"/>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20" w:type="dxa"/>
            <w:vAlign w:val="bottom"/>
            <w:gridSpan w:val="2"/>
          </w:tcPr>
          <w:p>
            <w:pPr>
              <w:spacing w:after="0" w:line="157"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vMerge w:val="continue"/>
          </w:tcPr>
          <w:p>
            <w:pPr>
              <w:spacing w:after="0"/>
              <w:rPr>
                <w:sz w:val="13"/>
                <w:szCs w:val="13"/>
                <w:color w:val="auto"/>
              </w:rPr>
            </w:pPr>
          </w:p>
        </w:tc>
        <w:tc>
          <w:tcPr>
            <w:tcW w:w="5180" w:type="dxa"/>
            <w:vAlign w:val="bottom"/>
          </w:tcPr>
          <w:p>
            <w:pPr>
              <w:spacing w:after="0" w:line="157"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 on the applicable record date(s)</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established by the depositary bank</w:t>
            </w:r>
          </w:p>
        </w:tc>
        <w:tc>
          <w:tcPr>
            <w:tcW w:w="0" w:type="dxa"/>
            <w:vAlign w:val="bottom"/>
          </w:tcPr>
          <w:p>
            <w:pPr>
              <w:spacing w:after="0"/>
              <w:rPr>
                <w:sz w:val="1"/>
                <w:szCs w:val="1"/>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60" w:type="dxa"/>
            <w:vAlign w:val="bottom"/>
          </w:tcPr>
          <w:p>
            <w:pPr>
              <w:spacing w:after="0"/>
              <w:rPr>
                <w:sz w:val="14"/>
                <w:szCs w:val="14"/>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80" w:type="dxa"/>
            <w:vAlign w:val="bottom"/>
            <w:gridSpan w:val="2"/>
          </w:tcPr>
          <w:p>
            <w:pPr>
              <w:spacing w:after="0" w:line="157" w:lineRule="exact"/>
              <w:rPr>
                <w:sz w:val="20"/>
                <w:szCs w:val="20"/>
                <w:color w:val="auto"/>
              </w:rPr>
            </w:pPr>
            <w:r>
              <w:rPr>
                <w:rFonts w:ascii="Arial" w:cs="Arial" w:eastAsia="Arial" w:hAnsi="Arial"/>
                <w:sz w:val="18"/>
                <w:szCs w:val="18"/>
                <w:color w:val="auto"/>
              </w:rPr>
              <w:t>Registration of ADS transfers (e.g., upon a registration of the transfer</w:t>
            </w:r>
          </w:p>
        </w:tc>
        <w:tc>
          <w:tcPr>
            <w:tcW w:w="160" w:type="dxa"/>
            <w:vAlign w:val="bottom"/>
            <w:vMerge w:val="continue"/>
          </w:tcPr>
          <w:p>
            <w:pPr>
              <w:spacing w:after="0"/>
              <w:rPr>
                <w:sz w:val="13"/>
                <w:szCs w:val="13"/>
                <w:color w:val="auto"/>
              </w:rPr>
            </w:pPr>
          </w:p>
        </w:tc>
        <w:tc>
          <w:tcPr>
            <w:tcW w:w="5180" w:type="dxa"/>
            <w:vAlign w:val="bottom"/>
          </w:tcPr>
          <w:p>
            <w:pPr>
              <w:spacing w:after="0" w:line="157" w:lineRule="exact"/>
              <w:rPr>
                <w:sz w:val="20"/>
                <w:szCs w:val="20"/>
                <w:color w:val="auto"/>
              </w:rPr>
            </w:pPr>
            <w:r>
              <w:rPr>
                <w:rFonts w:ascii="Arial" w:cs="Arial" w:eastAsia="Arial" w:hAnsi="Arial"/>
                <w:sz w:val="18"/>
                <w:szCs w:val="18"/>
                <w:color w:val="auto"/>
              </w:rPr>
              <w:t>Up to U.S. 5¢ per ADS (or fraction thereof) transferred</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of registered ownership of ADSs, upon a transfer of ADSs into DTC</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8"/>
                <w:szCs w:val="18"/>
                <w:color w:val="auto"/>
              </w:rPr>
              <w:t>and vice versa, or for any other reason)</w:t>
            </w: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68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(or fraction thereof) converted</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ADSs, or upon conversion of Restricted ADSs (each as defined in the</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8"/>
                <w:szCs w:val="18"/>
                <w:color w:val="auto"/>
              </w:rPr>
              <w:t>Deposit Agreement) into freely transferable ADSs, and vice versa).</w:t>
            </w: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24"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2" w:lineRule="exact"/>
        <w:rPr>
          <w:rFonts w:ascii="MS PGothic" w:cs="MS PGothic" w:eastAsia="MS PGothic" w:hAnsi="MS PGothic"/>
          <w:sz w:val="25"/>
          <w:szCs w:val="25"/>
          <w:color w:val="auto"/>
          <w:vertAlign w:val="superscript"/>
        </w:rPr>
      </w:pPr>
    </w:p>
    <w:p>
      <w:pPr>
        <w:jc w:val="both"/>
        <w:ind w:left="980" w:right="580" w:hanging="432"/>
        <w:spacing w:after="0" w:line="225"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ind w:left="980" w:hanging="432"/>
        <w:spacing w:after="0" w:line="23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2" w:lineRule="exact"/>
        <w:rPr>
          <w:rFonts w:ascii="MS PGothic" w:cs="MS PGothic" w:eastAsia="MS PGothic" w:hAnsi="MS PGothic"/>
          <w:sz w:val="25"/>
          <w:szCs w:val="25"/>
          <w:color w:val="auto"/>
          <w:vertAlign w:val="superscript"/>
        </w:rPr>
      </w:pPr>
    </w:p>
    <w:p>
      <w:pPr>
        <w:ind w:left="980" w:right="260" w:hanging="432"/>
        <w:spacing w:after="0" w:line="22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5" w:lineRule="exact"/>
        <w:rPr>
          <w:rFonts w:ascii="MS PGothic" w:cs="MS PGothic" w:eastAsia="MS PGothic" w:hAnsi="MS PGothic"/>
          <w:sz w:val="25"/>
          <w:szCs w:val="25"/>
          <w:color w:val="auto"/>
          <w:vertAlign w:val="superscript"/>
        </w:rPr>
      </w:pPr>
    </w:p>
    <w:p>
      <w:pPr>
        <w:ind w:left="980" w:right="260" w:hanging="432"/>
        <w:spacing w:after="0" w:line="23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80"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04" w:lineRule="exact"/>
        <w:rPr>
          <w:sz w:val="20"/>
          <w:szCs w:val="20"/>
          <w:color w:val="auto"/>
        </w:rPr>
      </w:pPr>
    </w:p>
    <w:p>
      <w:pPr>
        <w:ind w:left="120" w:right="200" w:firstLine="440"/>
        <w:spacing w:after="0" w:line="242"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17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04"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169"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04"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4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4" w:lineRule="exact"/>
        <w:rPr>
          <w:rFonts w:ascii="MS PGothic" w:cs="MS PGothic" w:eastAsia="MS PGothic" w:hAnsi="MS PGothic"/>
          <w:sz w:val="25"/>
          <w:szCs w:val="25"/>
          <w:color w:val="auto"/>
          <w:vertAlign w:val="superscript"/>
        </w:rPr>
      </w:pPr>
    </w:p>
    <w:p>
      <w:pPr>
        <w:ind w:left="980" w:right="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4" w:lineRule="exact"/>
        <w:rPr>
          <w:rFonts w:ascii="MS PGothic" w:cs="MS PGothic" w:eastAsia="MS PGothic" w:hAnsi="MS PGothic"/>
          <w:sz w:val="25"/>
          <w:szCs w:val="25"/>
          <w:color w:val="auto"/>
          <w:vertAlign w:val="superscript"/>
        </w:rPr>
      </w:pPr>
    </w:p>
    <w:p>
      <w:pPr>
        <w:ind w:left="980" w:right="60" w:hanging="432"/>
        <w:spacing w:after="0" w:line="232"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3"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2" w:lineRule="exact"/>
        <w:rPr>
          <w:rFonts w:ascii="MS PGothic" w:cs="MS PGothic" w:eastAsia="MS PGothic" w:hAnsi="MS PGothic"/>
          <w:sz w:val="25"/>
          <w:szCs w:val="25"/>
          <w:color w:val="auto"/>
          <w:vertAlign w:val="superscript"/>
        </w:rPr>
      </w:pPr>
    </w:p>
    <w:p>
      <w:pPr>
        <w:ind w:left="980" w:right="240" w:hanging="432"/>
        <w:spacing w:after="0" w:line="22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8" w:lineRule="exact"/>
        <w:rPr>
          <w:rFonts w:ascii="MS PGothic" w:cs="MS PGothic" w:eastAsia="MS PGothic" w:hAnsi="MS PGothic"/>
          <w:sz w:val="25"/>
          <w:szCs w:val="25"/>
          <w:color w:val="auto"/>
          <w:vertAlign w:val="superscript"/>
        </w:rPr>
      </w:pPr>
    </w:p>
    <w:p>
      <w:pPr>
        <w:ind w:left="980" w:right="2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4" w:lineRule="exact"/>
        <w:rPr>
          <w:rFonts w:ascii="MS PGothic" w:cs="MS PGothic" w:eastAsia="MS PGothic" w:hAnsi="MS PGothic"/>
          <w:sz w:val="25"/>
          <w:szCs w:val="25"/>
          <w:color w:val="auto"/>
          <w:vertAlign w:val="superscript"/>
        </w:rPr>
      </w:pPr>
    </w:p>
    <w:p>
      <w:pPr>
        <w:ind w:left="980" w:right="200" w:hanging="432"/>
        <w:spacing w:after="0" w:line="231"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 w:lineRule="exact"/>
        <w:rPr>
          <w:rFonts w:ascii="MS PGothic" w:cs="MS PGothic" w:eastAsia="MS PGothic" w:hAnsi="MS PGothic"/>
          <w:sz w:val="25"/>
          <w:szCs w:val="25"/>
          <w:color w:val="auto"/>
          <w:vertAlign w:val="superscript"/>
        </w:rPr>
      </w:pPr>
    </w:p>
    <w:p>
      <w:pPr>
        <w:ind w:left="980" w:hanging="432"/>
        <w:spacing w:after="0" w:line="231"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6" w:lineRule="exact"/>
        <w:rPr>
          <w:rFonts w:ascii="MS PGothic" w:cs="MS PGothic" w:eastAsia="MS PGothic" w:hAnsi="MS PGothic"/>
          <w:sz w:val="25"/>
          <w:szCs w:val="25"/>
          <w:color w:val="auto"/>
          <w:vertAlign w:val="superscript"/>
        </w:rPr>
      </w:pPr>
    </w:p>
    <w:p>
      <w:pPr>
        <w:ind w:left="980" w:right="12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4" w:lineRule="exact"/>
        <w:rPr>
          <w:rFonts w:ascii="MS PGothic" w:cs="MS PGothic" w:eastAsia="MS PGothic" w:hAnsi="MS PGothic"/>
          <w:sz w:val="25"/>
          <w:szCs w:val="25"/>
          <w:color w:val="auto"/>
          <w:vertAlign w:val="superscript"/>
        </w:rPr>
      </w:pPr>
    </w:p>
    <w:p>
      <w:pPr>
        <w:ind w:left="980" w:right="56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2"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5" w:lineRule="exact"/>
        <w:rPr>
          <w:rFonts w:ascii="MS PGothic" w:cs="MS PGothic" w:eastAsia="MS PGothic" w:hAnsi="MS PGothic"/>
          <w:sz w:val="25"/>
          <w:szCs w:val="25"/>
          <w:color w:val="auto"/>
          <w:vertAlign w:val="superscript"/>
        </w:rPr>
      </w:pPr>
    </w:p>
    <w:p>
      <w:pPr>
        <w:ind w:left="980" w:right="120" w:hanging="432"/>
        <w:spacing w:after="0" w:line="22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w:t>
      </w:r>
    </w:p>
    <w:p>
      <w:pPr>
        <w:spacing w:after="0" w:line="1" w:lineRule="exact"/>
        <w:rPr>
          <w:rFonts w:ascii="MS PGothic" w:cs="MS PGothic" w:eastAsia="MS PGothic" w:hAnsi="MS PGothic"/>
          <w:sz w:val="25"/>
          <w:szCs w:val="25"/>
          <w:color w:val="auto"/>
          <w:vertAlign w:val="superscript"/>
        </w:rPr>
      </w:pPr>
    </w:p>
    <w:p>
      <w:pPr>
        <w:ind w:left="1000" w:right="240"/>
        <w:spacing w:after="0" w:line="250"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deposit agreement obligates Citibank to disclose those transactions, or any information obtained in the course of those transactions, to Mereo or to the ADS owners, or to account for any payment received as part of those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0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7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0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174" w:lineRule="exact"/>
        <w:rPr>
          <w:sz w:val="20"/>
          <w:szCs w:val="20"/>
          <w:color w:val="auto"/>
        </w:rPr>
      </w:pPr>
    </w:p>
    <w:p>
      <w:pPr>
        <w:ind w:left="120" w:right="860" w:firstLine="440"/>
        <w:spacing w:after="0" w:line="271"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81" w:lineRule="exact"/>
        <w:rPr>
          <w:sz w:val="20"/>
          <w:szCs w:val="20"/>
          <w:color w:val="auto"/>
        </w:rPr>
      </w:pPr>
    </w:p>
    <w:p>
      <w:pPr>
        <w:ind w:left="980" w:right="60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ind w:left="98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0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54" w:lineRule="exact"/>
        <w:rPr>
          <w:sz w:val="20"/>
          <w:szCs w:val="20"/>
          <w:color w:val="auto"/>
        </w:rPr>
      </w:pPr>
    </w:p>
    <w:p>
      <w:pPr>
        <w:ind w:left="120" w:right="480" w:firstLine="440"/>
        <w:spacing w:after="0" w:line="271"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54" w:lineRule="exact"/>
        <w:rPr>
          <w:sz w:val="20"/>
          <w:szCs w:val="20"/>
          <w:color w:val="auto"/>
        </w:rPr>
      </w:pPr>
    </w:p>
    <w:p>
      <w:pPr>
        <w:ind w:left="120" w:right="340" w:firstLine="440"/>
        <w:spacing w:after="0" w:line="266"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SHAREHOLDERS</w:t>
      </w:r>
    </w:p>
    <w:p>
      <w:pPr>
        <w:spacing w:after="0" w:line="21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This prospectus covers the offer and resale of up to an aggregate of 26,638,972 of our ordinary shares, in the form of ADSs, consisting of (i) 20,555,067 ordinary shares underlying convertible loan notes and warrants issuable to Novartis under the convertible loan and warrant instruments dated February 10, 2020, as amended on November 24, 2020 and February 10, 2023; (ii) 2,487,816 ordinary shares underlying warrants issuable to Silicon Valley Bank and Kreos Capital V (UK) Limited as lenders under previous loan agreements with them dated August 7, 2017 and September 28, 2018, respectively, as amended on December 15, 2020 that have been fully repaid;</w:t>
      </w:r>
    </w:p>
    <w:p>
      <w:pPr>
        <w:ind w:left="120" w:right="40" w:hanging="4"/>
        <w:spacing w:after="0" w:line="242" w:lineRule="auto"/>
        <w:tabs>
          <w:tab w:leader="none" w:pos="4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1,551,699 ordinary shares underlying warrants issuable to TAP under a warrant instrument dated November 2, 2018, as amended on March 29, 2021 and (iv) 2,044,390 ordinary shares issued to AstraZeneca in connection with a subscription deed dated October 28, 2017, as amended on May 21, 2021 and November 8, 2024.</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Novartis Loan Note and Warrants</w:t>
      </w:r>
    </w:p>
    <w:p>
      <w:pPr>
        <w:spacing w:after="0" w:line="10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to acquire from Novartis rights to setrusumab, acumapimod, and leflutrozole (the “Compounds”), respectively, and certain related assets (together with the Compounds, the “Novartis Assets”). As part of our relationship with Novartis, we entered into a convertible loan note instrument dated February 10, 2020 with Novartis pursuant to which we issued 3,841,479 unsecured convertible loan notes at an exercise price of £0.265 and interest payable in the form of ordinary shares at 6% per annum for three years for a total of 17,105,453 ordinary shares (equivalent to 3,421,090 ADSs) and also granted Novartis warrants over 1,449,614 ordinary shares (equivalent to 289,922 ADSs) pursuant to the Deed of Consent and Amendment to Note Instrument, dated November 24, 2020 and the Deed of Consent and Amendment to Warrant Instrument, dated November 24, 2020. On February 10, 2023, we entered into a Deed of Consent and Amendment to Note Instrument with Novartis, pursuant to which we and Novartis agreed to extend the maturity of the convertible loan notes by two years, from February 10, 2023 to February 10, 2025, while increasing the interest rate to 9%. Pursuant to the amendment and a new warrant instrument, interest accrued to the amendment date was paid in cash, and warrants to purchase 2,000,000 ordinary shares (equivalent to 400,000 ADSs) at an exercise price of £0.150 per ordinary share were issued. Following this transaction, Novartis has convertible loan notes and warrants over a total of 20,555,067 ordinary shares (equivalent to 4,111,013 ADSs).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Silicon Valley Bank and Kreos Capital Warrants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(the “Former Lenders”), which provided for total borrowings of £20.0 million and in connection with the borrowings we issued to the Former Lenders warrants to subscribe for our ordinary shares pursuant to a warrant instrument dated August 21, 2017 (the “2017 Warrant Instrument”) and another warrant instrument on substantively similar terms on October 1, 2018 (the “2018 Warrant Instrument”). The 2017 Warrant Instrument and the 2018 Warrant Instrument are referred to as the “Warrant Instruments.”</w:t>
      </w:r>
    </w:p>
    <w:p>
      <w:pPr>
        <w:spacing w:after="0" w:line="176" w:lineRule="exact"/>
        <w:rPr>
          <w:sz w:val="20"/>
          <w:szCs w:val="20"/>
          <w:color w:val="auto"/>
        </w:rPr>
      </w:pPr>
    </w:p>
    <w:p>
      <w:pPr>
        <w:ind w:left="120" w:right="340" w:firstLine="440"/>
        <w:spacing w:after="0" w:line="253" w:lineRule="auto"/>
        <w:rPr>
          <w:sz w:val="20"/>
          <w:szCs w:val="20"/>
          <w:color w:val="auto"/>
        </w:rPr>
      </w:pPr>
      <w:r>
        <w:rPr>
          <w:rFonts w:ascii="Arial" w:cs="Arial" w:eastAsia="Arial" w:hAnsi="Arial"/>
          <w:sz w:val="18"/>
          <w:szCs w:val="18"/>
          <w:color w:val="auto"/>
        </w:rPr>
        <w:t>Under the Warrant Instruments initial allocations of warrants were issued to the Former Lenders with further issues following adjustment of the warrants from time to time resulting in each of the Former Lenders holding 621,954 warrants with each such warrant being exercisable at a subscription price of £2.95 per ordinary share.</w:t>
      </w:r>
    </w:p>
    <w:p>
      <w:pPr>
        <w:spacing w:after="0" w:line="169"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2017 Warrant Instrument will be capable of exercise until August 21, 2027 and the 2018 Warrant Instrument will be capable of exercise until October 1, 2028.</w:t>
      </w:r>
    </w:p>
    <w:p>
      <w:pPr>
        <w:spacing w:after="0" w:line="154"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On December 15, 2020, we prepaid all amounts due and owing to the Former Lenders and also issued additional warrants giving each of the Former Lenders the right to subscribe for 621,954</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ordinary shares at a price of $0.4144 per ordinary share (the “2020 Warrants”). The 2020 Warrants are an adjustment to the 2017 Warrant Instrument and the 2018 Warrant Instrument and the 2020 Warrants issued to each of the Former Lenders were apportioned between the 2017 Warrant Instrument and 2018 Warrant Instrument in the number of 469,575 and 152,379 respectively for each Former Lender and are subject to the same final exercise date as all prior warrants issued to the Former Lenders being August 21, 2027 for the 2017 Warrant Instrument and October 1, 2028 for the 2018 Warrant Instrument.</w:t>
      </w:r>
    </w:p>
    <w:p>
      <w:pPr>
        <w:spacing w:after="0" w:line="176"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Following these transactions, the Former Lenders have warrants to purchase a total of 1,243,908 ordinary shares at an exercise price of £2.95 per ordinary share for the 2017 and 2018 Warrant Instruments and a total of 1,243,908 ordinary shares at an exercise price of $0.4144 per ordinary share for the 2020 Warrants. It is our understanding that, following the effectiveness of SVB Financial Group’s reorganization plan on November 7, 2024, the warrants owned by Silicon Valley Bank were vested in the liquidating trust.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Alpha-1 Project Inc. Warrants</w:t>
      </w:r>
    </w:p>
    <w:p>
      <w:pPr>
        <w:spacing w:after="0" w:line="104" w:lineRule="exact"/>
        <w:rPr>
          <w:sz w:val="20"/>
          <w:szCs w:val="20"/>
          <w:color w:val="auto"/>
        </w:rPr>
      </w:pPr>
    </w:p>
    <w:p>
      <w:pPr>
        <w:jc w:val="both"/>
        <w:ind w:left="120" w:right="80" w:firstLine="440"/>
        <w:spacing w:after="0" w:line="247" w:lineRule="auto"/>
        <w:rPr>
          <w:sz w:val="20"/>
          <w:szCs w:val="20"/>
          <w:color w:val="auto"/>
        </w:rPr>
      </w:pPr>
      <w:r>
        <w:rPr>
          <w:rFonts w:ascii="Arial" w:cs="Arial" w:eastAsia="Arial" w:hAnsi="Arial"/>
          <w:sz w:val="18"/>
          <w:szCs w:val="18"/>
          <w:color w:val="auto"/>
        </w:rPr>
        <w:t>In October 2018, we entered into a funding agreement with TAP, which provided for total payments of $0.4 million, of which the final installment of $0.1 million was received in May 2023. In exchange for funding, we issued warrants allowing TAP to subscribe for ordinary shares in the Company. Under the agreement, TAP is potentially entitled to receive a payment equivalent to the amounts received by us (up to a maximum of $0.4 million) conditional on and within 30 days of the first regulatory approval for alvelestat.</w:t>
      </w:r>
    </w:p>
    <w:p>
      <w:pPr>
        <w:spacing w:after="0" w:line="174" w:lineRule="exact"/>
        <w:rPr>
          <w:sz w:val="20"/>
          <w:szCs w:val="20"/>
          <w:color w:val="auto"/>
        </w:rPr>
      </w:pPr>
    </w:p>
    <w:p>
      <w:pPr>
        <w:jc w:val="both"/>
        <w:ind w:left="120" w:right="120" w:firstLine="440"/>
        <w:spacing w:after="0" w:line="253" w:lineRule="auto"/>
        <w:rPr>
          <w:sz w:val="20"/>
          <w:szCs w:val="20"/>
          <w:color w:val="auto"/>
        </w:rPr>
      </w:pPr>
      <w:r>
        <w:rPr>
          <w:rFonts w:ascii="Arial" w:cs="Arial" w:eastAsia="Arial" w:hAnsi="Arial"/>
          <w:sz w:val="18"/>
          <w:szCs w:val="18"/>
          <w:color w:val="auto"/>
        </w:rPr>
        <w:t>According to the warrant agreement, dated November 2, 2018, and amended on March 29, 2021, we issued TAP (i) on November 16, 2018 warrants over 41,286 ordinary shares; (ii) on April 21, 2022, warrants over 1,101,683 ordinary shares and (iii) on May 10, 2023, warrants over 408,730 ordinary shares.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AstraZeneca Shares</w:t>
      </w:r>
    </w:p>
    <w:p>
      <w:pPr>
        <w:spacing w:after="0" w:line="104"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In October 2017, we entered into an exclusive license and option agreement (the “License Agreement”) and subscription deed, with the subscription deed being amended and restated by an amendment deed in May 2021 (the “Subscription Deed” and, together with the License Agreement, the “Original Agreements”) with AstraZeneca AB (“AstraZeneca”). Each of these were amended on November 8, 2024, when the Company entered into an Amendment and Restatement Agreement related to the License Agreement (the “Amended License Agreement”) and a Deed of Amendment and Restatement related to the Subscription Deed (the “Amended Subscription Deed” and, together with the Amended License Agreement, the “Amended Agreements”).</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 the terms of the Original Agreements, we obtained from AstraZeneca an exclusive worldwide, sub-licensable license under AstraZeneca’s intellectual property rights relating to the product candidate alvelestat, with an option to acquire such intellectual property rights following commencement of a pivotal trial and payment of related milestone payments (the “Option”), together with the acquisition of certain related assets. Upon entering into the Original Agreements, we made a payment of $3.0 million and issued 490,798 ordinary shares (equivalent to 98,159 ADSs) to AstraZeneca, for an aggregate upfront payment equal to $5.0 million. Following execution of the Amended License Agreement, we issued 2,044,390 ordinary shares (equivalent to 408,878 ADSs) and paid $0.5 million to AstraZeneca in respect of an agreed milestone.</w:t>
      </w:r>
    </w:p>
    <w:p>
      <w:pPr>
        <w:spacing w:after="0" w:line="18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Under the terms of the Amended Agreements, we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License Agreement. The number of ADSs to be</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issued to satisfy equity milestones is determined by dividing a monetary amount by a defined subscription price.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We have agreed to use commercially reasonable efforts to develop and commercialize at least one licensed product.</w:t>
      </w:r>
    </w:p>
    <w:p>
      <w:pPr>
        <w:spacing w:after="0" w:line="180" w:lineRule="exact"/>
        <w:rPr>
          <w:sz w:val="20"/>
          <w:szCs w:val="20"/>
          <w:color w:val="auto"/>
        </w:rPr>
      </w:pPr>
    </w:p>
    <w:p>
      <w:pPr>
        <w:ind w:left="120" w:right="120" w:firstLine="440"/>
        <w:spacing w:after="0" w:line="244" w:lineRule="auto"/>
        <w:rPr>
          <w:sz w:val="20"/>
          <w:szCs w:val="20"/>
          <w:color w:val="auto"/>
        </w:rPr>
      </w:pPr>
      <w:r>
        <w:rPr>
          <w:rFonts w:ascii="Arial" w:cs="Arial" w:eastAsia="Arial" w:hAnsi="Arial"/>
          <w:sz w:val="18"/>
          <w:szCs w:val="18"/>
          <w:color w:val="auto"/>
        </w:rPr>
        <w:t>The Amended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License Agreement upon prior written notice. Either party may terminate the agreement upon prior written notice for the other party’s material breach that remains uncured for a specified period of time or insolvency.</w:t>
      </w:r>
    </w:p>
    <w:p>
      <w:pPr>
        <w:spacing w:after="0" w:line="176"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The selling shareholders may sell all, some or none of their Resale Shares included in this prospectus. See “Plan of Distribution.” In the table below, the percentage of shares beneficially owned is based on 775,728,034 of our ordinary shares outstanding as of November 20, 2024, determined in accordance with Rule 13d-3 under the Exchange Act of 1934, as amended. Under such rule, beneficial ownership includes any shares over which the selling shareholders has sole or shared voting power or investment power and also any shares that the selling shareholders has the right to acquire within 60 days of such date through the exercise of any options or other rights.</w:t>
      </w:r>
    </w:p>
    <w:p>
      <w:pPr>
        <w:spacing w:after="0" w:line="166"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To our knowledge, except as may be disclosed herein, none of the selling shareholders have, and within the past three years have not had, any position, office or other material relationship with us or any of our affiliates, other than the right to appoint a director and/or an observer to our board of directors and the beneficial ownership of our ordinary shares. To our knowledge, none of the selling shareholders is a broker-dealer, nor at the time of the acquisition of our ordinary shares did any of the selling shareholders have direct or indirect agreements or understandings with any person to distribute any of our ordinary shares.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rPr>
              <w:t>Percentage of</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Percentage of</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40" w:type="dxa"/>
            <w:vAlign w:val="bottom"/>
            <w:gridSpan w:val="2"/>
          </w:tcPr>
          <w:p>
            <w:pPr>
              <w:jc w:val="center"/>
              <w:ind w:right="760"/>
              <w:spacing w:after="0" w:line="202" w:lineRule="exact"/>
              <w:rPr>
                <w:sz w:val="20"/>
                <w:szCs w:val="20"/>
                <w:color w:val="auto"/>
              </w:rPr>
            </w:pPr>
            <w:r>
              <w:rPr>
                <w:rFonts w:ascii="Arial" w:cs="Arial" w:eastAsia="Arial" w:hAnsi="Arial"/>
                <w:sz w:val="18"/>
                <w:szCs w:val="18"/>
                <w:b w:val="1"/>
                <w:bCs w:val="1"/>
                <w:color w:val="auto"/>
                <w:w w:val="99"/>
              </w:rPr>
              <w:t>Number of</w:t>
            </w:r>
          </w:p>
        </w:tc>
        <w:tc>
          <w:tcPr>
            <w:tcW w:w="2380" w:type="dxa"/>
            <w:vAlign w:val="bottom"/>
            <w:gridSpan w:val="2"/>
          </w:tcPr>
          <w:p>
            <w:pPr>
              <w:jc w:val="center"/>
              <w:ind w:right="880"/>
              <w:spacing w:after="0" w:line="202" w:lineRule="exact"/>
              <w:rPr>
                <w:sz w:val="20"/>
                <w:szCs w:val="20"/>
                <w:color w:val="auto"/>
              </w:rPr>
            </w:pPr>
            <w:r>
              <w:rPr>
                <w:rFonts w:ascii="Arial" w:cs="Arial" w:eastAsia="Arial" w:hAnsi="Arial"/>
                <w:sz w:val="18"/>
                <w:szCs w:val="18"/>
                <w:b w:val="1"/>
                <w:bCs w:val="1"/>
                <w:color w:val="auto"/>
                <w:w w:val="99"/>
              </w:rPr>
              <w:t>shares</w:t>
            </w:r>
          </w:p>
        </w:tc>
        <w:tc>
          <w:tcPr>
            <w:tcW w:w="1900" w:type="dxa"/>
            <w:vAlign w:val="bottom"/>
            <w:gridSpan w:val="2"/>
          </w:tcPr>
          <w:p>
            <w:pPr>
              <w:jc w:val="center"/>
              <w:ind w:right="72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Shares</w:t>
            </w:r>
          </w:p>
        </w:tc>
        <w:tc>
          <w:tcPr>
            <w:tcW w:w="0" w:type="dxa"/>
            <w:vAlign w:val="bottom"/>
          </w:tcPr>
          <w:p>
            <w:pPr>
              <w:spacing w:after="0"/>
              <w:rPr>
                <w:sz w:val="1"/>
                <w:szCs w:val="1"/>
                <w:color w:val="auto"/>
              </w:rPr>
            </w:pPr>
          </w:p>
        </w:tc>
      </w:tr>
      <w:tr>
        <w:trPr>
          <w:trHeight w:val="203"/>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Selling</w:t>
            </w:r>
          </w:p>
        </w:tc>
        <w:tc>
          <w:tcPr>
            <w:tcW w:w="174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9"/>
              </w:rPr>
              <w:t>Shares</w:t>
            </w:r>
          </w:p>
        </w:tc>
        <w:tc>
          <w:tcPr>
            <w:tcW w:w="238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190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rPr>
              <w:t>Shares Being</w:t>
            </w:r>
          </w:p>
        </w:tc>
        <w:tc>
          <w:tcPr>
            <w:tcW w:w="15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Beneficially</w:t>
            </w:r>
          </w:p>
        </w:tc>
        <w:tc>
          <w:tcPr>
            <w:tcW w:w="0" w:type="dxa"/>
            <w:vAlign w:val="bottom"/>
          </w:tcPr>
          <w:p>
            <w:pPr>
              <w:spacing w:after="0"/>
              <w:rPr>
                <w:sz w:val="1"/>
                <w:szCs w:val="1"/>
                <w:color w:val="auto"/>
              </w:rPr>
            </w:pPr>
          </w:p>
        </w:tc>
      </w:tr>
      <w:tr>
        <w:trPr>
          <w:trHeight w:val="189"/>
        </w:trPr>
        <w:tc>
          <w:tcPr>
            <w:tcW w:w="3420" w:type="dxa"/>
            <w:vAlign w:val="bottom"/>
            <w:gridSpan w:val="2"/>
            <w:vMerge w:val="continue"/>
          </w:tcPr>
          <w:p>
            <w:pPr>
              <w:spacing w:after="0"/>
              <w:rPr>
                <w:sz w:val="16"/>
                <w:szCs w:val="16"/>
                <w:color w:val="auto"/>
              </w:rPr>
            </w:pPr>
          </w:p>
        </w:tc>
        <w:tc>
          <w:tcPr>
            <w:tcW w:w="1740" w:type="dxa"/>
            <w:vAlign w:val="bottom"/>
            <w:gridSpan w:val="2"/>
          </w:tcPr>
          <w:p>
            <w:pPr>
              <w:jc w:val="center"/>
              <w:ind w:right="740"/>
              <w:spacing w:after="0" w:line="189" w:lineRule="exact"/>
              <w:rPr>
                <w:sz w:val="20"/>
                <w:szCs w:val="20"/>
                <w:color w:val="auto"/>
              </w:rPr>
            </w:pPr>
            <w:r>
              <w:rPr>
                <w:rFonts w:ascii="Arial" w:cs="Arial" w:eastAsia="Arial" w:hAnsi="Arial"/>
                <w:sz w:val="18"/>
                <w:szCs w:val="18"/>
                <w:b w:val="1"/>
                <w:bCs w:val="1"/>
                <w:color w:val="auto"/>
                <w:w w:val="99"/>
              </w:rPr>
              <w:t>Beneficially</w:t>
            </w:r>
          </w:p>
        </w:tc>
        <w:tc>
          <w:tcPr>
            <w:tcW w:w="2380" w:type="dxa"/>
            <w:vAlign w:val="bottom"/>
            <w:gridSpan w:val="2"/>
          </w:tcPr>
          <w:p>
            <w:pPr>
              <w:jc w:val="center"/>
              <w:ind w:right="860"/>
              <w:spacing w:after="0" w:line="189" w:lineRule="exact"/>
              <w:rPr>
                <w:sz w:val="20"/>
                <w:szCs w:val="20"/>
                <w:color w:val="auto"/>
              </w:rPr>
            </w:pPr>
            <w:r>
              <w:rPr>
                <w:rFonts w:ascii="Arial" w:cs="Arial" w:eastAsia="Arial" w:hAnsi="Arial"/>
                <w:sz w:val="18"/>
                <w:szCs w:val="18"/>
                <w:b w:val="1"/>
                <w:bCs w:val="1"/>
                <w:color w:val="auto"/>
                <w:w w:val="99"/>
              </w:rPr>
              <w:t>Owned before the</w:t>
            </w:r>
          </w:p>
        </w:tc>
        <w:tc>
          <w:tcPr>
            <w:tcW w:w="1900" w:type="dxa"/>
            <w:vAlign w:val="bottom"/>
            <w:gridSpan w:val="2"/>
          </w:tcPr>
          <w:p>
            <w:pPr>
              <w:jc w:val="center"/>
              <w:ind w:right="720"/>
              <w:spacing w:after="0" w:line="189" w:lineRule="exact"/>
              <w:rPr>
                <w:sz w:val="20"/>
                <w:szCs w:val="20"/>
                <w:color w:val="auto"/>
              </w:rPr>
            </w:pPr>
            <w:r>
              <w:rPr>
                <w:rFonts w:ascii="Arial" w:cs="Arial" w:eastAsia="Arial" w:hAnsi="Arial"/>
                <w:sz w:val="18"/>
                <w:szCs w:val="18"/>
                <w:b w:val="1"/>
                <w:bCs w:val="1"/>
                <w:color w:val="auto"/>
                <w:w w:val="99"/>
              </w:rPr>
              <w:t>Registered in</w:t>
            </w:r>
          </w:p>
        </w:tc>
        <w:tc>
          <w:tcPr>
            <w:tcW w:w="158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Owned after the</w:t>
            </w:r>
          </w:p>
        </w:tc>
        <w:tc>
          <w:tcPr>
            <w:tcW w:w="0" w:type="dxa"/>
            <w:vAlign w:val="bottom"/>
          </w:tcPr>
          <w:p>
            <w:pPr>
              <w:spacing w:after="0"/>
              <w:rPr>
                <w:sz w:val="1"/>
                <w:szCs w:val="1"/>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Shareholder</w:t>
            </w:r>
          </w:p>
        </w:tc>
        <w:tc>
          <w:tcPr>
            <w:tcW w:w="17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9"/>
              </w:rPr>
              <w:t>Owned</w:t>
            </w:r>
          </w:p>
        </w:tc>
        <w:tc>
          <w:tcPr>
            <w:tcW w:w="23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9"/>
              </w:rPr>
              <w:t>Offering</w:t>
            </w:r>
          </w:p>
        </w:tc>
        <w:tc>
          <w:tcPr>
            <w:tcW w:w="19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9"/>
              </w:rPr>
              <w:t>the Offering</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Offering</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Novartis Pharma AG</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20,555,067</w:t>
            </w:r>
          </w:p>
        </w:tc>
        <w:tc>
          <w:tcPr>
            <w:tcW w:w="74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8"/>
                <w:szCs w:val="18"/>
                <w:color w:val="auto"/>
              </w:rPr>
              <w:t>2.6%</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20,555,067</w:t>
            </w:r>
          </w:p>
        </w:tc>
        <w:tc>
          <w:tcPr>
            <w:tcW w:w="7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Silicon Valley Bank</w:t>
            </w:r>
          </w:p>
        </w:tc>
        <w:tc>
          <w:tcPr>
            <w:tcW w:w="17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23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Kreos Capital V (UK) Limited</w:t>
            </w:r>
          </w:p>
        </w:tc>
        <w:tc>
          <w:tcPr>
            <w:tcW w:w="17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23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1,243,908</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Alpha-1 Project, Inc.</w:t>
            </w:r>
          </w:p>
        </w:tc>
        <w:tc>
          <w:tcPr>
            <w:tcW w:w="17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1,551,699</w:t>
            </w:r>
          </w:p>
        </w:tc>
        <w:tc>
          <w:tcPr>
            <w:tcW w:w="23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1,551,699</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AstraZeneca AB</w:t>
            </w:r>
          </w:p>
        </w:tc>
        <w:tc>
          <w:tcPr>
            <w:tcW w:w="17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2,044,390</w:t>
            </w:r>
          </w:p>
        </w:tc>
        <w:tc>
          <w:tcPr>
            <w:tcW w:w="238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2,044,390</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less than 1%.</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120" w:firstLine="440"/>
        <w:spacing w:after="0" w:line="252" w:lineRule="auto"/>
        <w:rPr>
          <w:sz w:val="20"/>
          <w:szCs w:val="20"/>
          <w:color w:val="auto"/>
        </w:rPr>
      </w:pPr>
      <w:r>
        <w:rPr>
          <w:rFonts w:ascii="Arial" w:cs="Arial" w:eastAsia="Arial" w:hAnsi="Arial"/>
          <w:sz w:val="17"/>
          <w:szCs w:val="17"/>
          <w:color w:val="auto"/>
        </w:rPr>
        <w:t>The registration statement of which this prospectus forms a part has been filed in part in respect of, an aggregate of 26,638,972 ordinary shares (including those issuable upon the exercise of warrants or conversion of convertible loan notes), in the form of ADSs, consisting of (i) 20,555,067 ordinary shares underlying convertible loan notes and warrants issuable to Novartis under the convertible loan and warrant instruments dated February 10, 2020, as amended on November 24, 2020 and February 10, 2023; (ii) 2,487,816 ordinary shares underlying warrants issuable to Silicon Valley Bank and Kreos Capital V (UK) Limited as lenders under previous loan agreements with them dated August 7, 2017 and September 28, 2018, respectively, as amended on December 15, 2020 that have been fully repaid;</w:t>
      </w:r>
    </w:p>
    <w:p>
      <w:pPr>
        <w:spacing w:after="0" w:line="2" w:lineRule="exact"/>
        <w:rPr>
          <w:sz w:val="20"/>
          <w:szCs w:val="20"/>
          <w:color w:val="auto"/>
        </w:rPr>
      </w:pPr>
    </w:p>
    <w:p>
      <w:pPr>
        <w:ind w:left="120" w:hanging="4"/>
        <w:spacing w:after="0" w:line="237" w:lineRule="auto"/>
        <w:tabs>
          <w:tab w:leader="none" w:pos="4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1,551,699 ordinary shares underlying warrants issuable to TAP under a warrant instrument dated November 2, 2018, as amended on March 29, 2021 and (iv) 2,044,390 ordinary shares issued to AstraZeneca in connection with a subscription deed dated October 28, 2017, as amended on May 21, 2021 and November 8, 2024. The holders of such ordinary shares are identified in this prospectus as selling shareholders. Any ordinary shares offered and sold in the United States by the selling shareholders will be in the form of ADSs. The selling shareholders are also permitted to sell ordinary shares not represented by ADSs in private or offshore transactions, which resales are not covered by this prospectus. The Selling Shareholders may, or may not, elect to sell their ordinary shares represented by ADSs as and to the extent that each may individually determine. Such sales, if any, will be made through brokerage transactions on Nasdaq or other securities exchange in the United States at prevailing market prices.</w:t>
      </w:r>
    </w:p>
    <w:p>
      <w:pPr>
        <w:spacing w:after="0" w:line="183" w:lineRule="exact"/>
        <w:rPr>
          <w:sz w:val="20"/>
          <w:szCs w:val="20"/>
          <w:color w:val="auto"/>
        </w:rPr>
      </w:pPr>
    </w:p>
    <w:p>
      <w:pPr>
        <w:ind w:left="120" w:right="220" w:firstLine="440"/>
        <w:spacing w:after="0" w:line="239" w:lineRule="auto"/>
        <w:rPr>
          <w:sz w:val="20"/>
          <w:szCs w:val="20"/>
          <w:color w:val="auto"/>
        </w:rPr>
      </w:pPr>
      <w:r>
        <w:rPr>
          <w:rFonts w:ascii="Arial" w:cs="Arial" w:eastAsia="Arial" w:hAnsi="Arial"/>
          <w:sz w:val="18"/>
          <w:szCs w:val="18"/>
          <w:color w:val="auto"/>
        </w:rPr>
        <w:t>The selling shareholders may dispose of all or a portion of their ordinary shares in the form of ADSs from time to time directly or through one or more underwriters, broker-dealers or agents. If ADSs representing our ordinary shares are sold through underwriters or broker-dealers, the selling shareholders will be responsible for any applicable underwriting discounts or commissions or agent’s commissions. ADSs representing our ordinary shares may be sold on Nasdaq or any other national securities exchange or quotation service on which the securities may be listed or quoted at the time of disposition, in the over-the-counter market or in transactions otherwise than on these exchanges or systems or in the over-the-counter market and in one or more transactions at fixed prices, at prevailing market prices at the time of the disposition, at varying prices determined at the time of disposition, or at negotiated prices. These dispositions may be effected in transactions, which may involve crosses or block transactions. The selling shareholders may use any one or more of the following methods when disposing of their ADSs:</w:t>
      </w:r>
    </w:p>
    <w:p>
      <w:pPr>
        <w:spacing w:after="0" w:line="196"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brokerage transactions and transactions in which the broker-dealer solicits purchasers;</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block trades in which the broker-dealer will attempt to sell the ADSs as agent but may position and resell a portion of the block as principal to facilitate the transaction;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purchases by a broker-dealer as principal and resale by the broker-dealer for its account;</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exchange distribution in accordance with the rules of the applicable exchange;</w:t>
      </w:r>
    </w:p>
    <w:p>
      <w:pPr>
        <w:spacing w:after="0" w:line="22" w:lineRule="exact"/>
        <w:rPr>
          <w:rFonts w:ascii="MS PGothic" w:cs="MS PGothic" w:eastAsia="MS PGothic" w:hAnsi="MS PGothic"/>
          <w:sz w:val="25"/>
          <w:szCs w:val="25"/>
          <w:color w:val="auto"/>
          <w:vertAlign w:val="superscript"/>
        </w:rPr>
      </w:pPr>
    </w:p>
    <w:p>
      <w:pPr>
        <w:ind w:left="980" w:hanging="432"/>
        <w:spacing w:after="0" w:line="22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privately negotiated transactions and offshore transactions;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broker-dealers may agree with the Selling Shareholder to sell a specified number of such ADSs at a stipulated price per ADS;</w:t>
      </w:r>
    </w:p>
    <w:p>
      <w:pPr>
        <w:spacing w:after="0" w:line="22" w:lineRule="exact"/>
        <w:rPr>
          <w:rFonts w:ascii="MS PGothic" w:cs="MS PGothic" w:eastAsia="MS PGothic" w:hAnsi="MS PGothic"/>
          <w:sz w:val="25"/>
          <w:szCs w:val="25"/>
          <w:color w:val="auto"/>
          <w:vertAlign w:val="superscript"/>
        </w:rPr>
      </w:pPr>
    </w:p>
    <w:p>
      <w:pPr>
        <w:ind w:left="980" w:right="600" w:hanging="432"/>
        <w:spacing w:after="0" w:line="22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the writing or settlement of options or other hedging transactions, whether such options are listed on an options exchange or otherwise;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combination of any such methods of disposition;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method permitted pursuant to applicable law.</w:t>
      </w:r>
    </w:p>
    <w:p>
      <w:pPr>
        <w:spacing w:after="0" w:line="180"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The selling shareholders also may resell all or a portion of their ordinary shares in offshore transactions or open market transactions in reliance upon Regulation S under the Securities Act, if available, rather than under this prospectus, provided that they meet the criteria and conform to the requirements of those provisions.</w:t>
      </w:r>
    </w:p>
    <w:p>
      <w:pPr>
        <w:spacing w:after="0" w:line="16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Broker-dealers engaged by the selling shareholders may arrange for other broker-dealers to participate in dispositions. If the selling shareholders effects such transactions by selling ADSs representing our ordinary shares to or through underwriters, broker-dealers or agents, such underwriters, broker-dealers or agents may receive applicable commissions in the form of discounts, concessions or commissions from the selling shareholders or commissions from purchasers of ADSs representing our ordinary shares for whom they may act as agent or to whom they may sell as principal. Such commissions, which shall be payable by the selling shareholders, will be in amounts to be negotiated, but, except as set forth in a supplement to this prospectus, in the case of an agency transaction will not be in excess of a customary brokerage commission in compliance with applicable FINRA rules and regulations.</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connection with dispositions of ADSs representing their ordinary shares, the selling shareholders may enter into hedging transactions with broker-dealers or other financial institutions, which may in turn engage in short sales of ADSs representing their ordinary shares in the course of hedging in positions they assume. The selling shareholders may also sell ADSs representing their ordinary shares short and, if such short sale shall take place after the date that the registration statement of which this prospectus forms a part is declared effective by the Securities and Exchange Commission, the selling shareholders may deliver ADSs representing such shares to close out short positions and to return borrowed shares in connection with such short sales. The selling shareholders may also loan or pledge ADSs representing their ordinary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ADSs, which ADSs such broker-dealer or other financial institution may resell pursuant to this prospectus (as supplemented or amended to reflect such transaction). Notwithstanding the foregoing, the selling shareholders have been advised that it may not use their ADSs to cover short sales of our ADSs made prior to the date the registration statement of which this prospectus forms a part has been declared effective by the SEC.</w:t>
      </w:r>
    </w:p>
    <w:p>
      <w:pPr>
        <w:spacing w:after="0" w:line="180"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selling shareholders and any broker-dealer or agents participating in the distribution of the ADSs representing their ordinary shares may be deemed to be “underwriters” within the meaning of Section 2(a)(11) of the Securities Act in connection with such dispositions. In such event, any commissions paid, or any discounts or concessions allowed to, any such broker-dealer or agent and any profit on the resale of the ADSs representing our ordinary shares purchased by them may be deemed to be underwriting commissions or discounts under the Securities Act. If the selling shareholders are “underwriters” within the meaning of Section 2(a)(11) of the Securities Act they will be subject to the applicable prospectus delivery requirements of the Securities Act including Rule 172 thereunder and may be subject to certain statutory liabilities thereof, including but not limited to, Sections 11, 12 and 17 of the Securities Act and Rule 10b-5 under the Securities Exchange Act of 1934, as amended, or the Exchange Act.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20"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Mayer Brown LLP will pass upon certain legal matters relating to the issuance and sale of the securities offered hereby on behalf of the Mereo BioPharma Group plc. The validity of the ordinary shares underlying the ADSs to be offered pursuant to this prospectus will be passed upon for us by Latham &amp; Watkins (London) LLP.</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320" w:top="455"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EXPERTS</w:t>
      </w:r>
    </w:p>
    <w:p>
      <w:pPr>
        <w:spacing w:after="0" w:line="32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20"/>
          </w:cols>
          <w:pgMar w:left="320" w:top="455" w:right="9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16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Our web site address is www.mereobiopharma.com. The information on our web site, however, is not, and should not be deemed to be, a part of this prospectus.</w:t>
      </w:r>
    </w:p>
    <w:p>
      <w:pPr>
        <w:spacing w:after="0" w:line="15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w:t>
      </w:r>
    </w:p>
    <w:p>
      <w:pPr>
        <w:spacing w:after="0" w:line="154" w:lineRule="exact"/>
        <w:rPr>
          <w:sz w:val="20"/>
          <w:szCs w:val="20"/>
          <w:color w:val="auto"/>
        </w:rPr>
      </w:pPr>
    </w:p>
    <w:p>
      <w:pPr>
        <w:ind w:left="120" w:right="360" w:firstLine="440"/>
        <w:spacing w:after="0" w:line="247" w:lineRule="auto"/>
        <w:rPr>
          <w:sz w:val="20"/>
          <w:szCs w:val="20"/>
          <w:color w:val="auto"/>
        </w:rPr>
      </w:pPr>
      <w:r>
        <w:rPr>
          <w:rFonts w:ascii="Arial" w:cs="Arial" w:eastAsia="Arial" w:hAnsi="Arial"/>
          <w:sz w:val="18"/>
          <w:szCs w:val="18"/>
          <w:color w:val="auto"/>
        </w:rPr>
        <w:t>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04"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79"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66"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filed with the SEC on March 27, 2024.</w:t>
      </w:r>
    </w:p>
    <w:p>
      <w:pPr>
        <w:spacing w:after="0" w:line="22" w:lineRule="exact"/>
        <w:rPr>
          <w:rFonts w:ascii="Arial" w:cs="Arial" w:eastAsia="Arial" w:hAnsi="Arial"/>
          <w:sz w:val="18"/>
          <w:szCs w:val="18"/>
          <w:color w:val="auto"/>
        </w:rPr>
      </w:pPr>
    </w:p>
    <w:p>
      <w:pPr>
        <w:ind w:left="980" w:hanging="432"/>
        <w:spacing w:after="0" w:line="22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2024, June 30, 2024 and September 30, 2024, filed with the SEC on </w:t>
      </w:r>
      <w:hyperlink r:id="rId75">
        <w:r>
          <w:rPr>
            <w:rFonts w:ascii="Arial" w:cs="Arial" w:eastAsia="Arial" w:hAnsi="Arial"/>
            <w:sz w:val="18"/>
            <w:szCs w:val="18"/>
            <w:u w:val="single" w:color="auto"/>
            <w:color w:val="0000EE"/>
          </w:rPr>
          <w:t>May 15, 2024</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August 13,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7">
        <w:r>
          <w:rPr>
            <w:rFonts w:ascii="Arial" w:cs="Arial" w:eastAsia="Arial" w:hAnsi="Arial"/>
            <w:sz w:val="18"/>
            <w:szCs w:val="18"/>
            <w:u w:val="single" w:color="auto"/>
            <w:color w:val="0000EE"/>
          </w:rPr>
          <w:t>November 12, 2024</w:t>
        </w:r>
      </w:hyperlink>
      <w:r>
        <w:rPr>
          <w:rFonts w:ascii="Arial" w:cs="Arial" w:eastAsia="Arial" w:hAnsi="Arial"/>
          <w:sz w:val="18"/>
          <w:szCs w:val="18"/>
          <w:color w:val="auto"/>
        </w:rPr>
        <w:t>, respectively.</w:t>
      </w:r>
    </w:p>
    <w:p>
      <w:pPr>
        <w:spacing w:after="0" w:line="5" w:lineRule="exact"/>
        <w:rPr>
          <w:rFonts w:ascii="Arial" w:cs="Arial" w:eastAsia="Arial" w:hAnsi="Arial"/>
          <w:sz w:val="18"/>
          <w:szCs w:val="18"/>
          <w:color w:val="auto"/>
        </w:rPr>
      </w:pPr>
    </w:p>
    <w:p>
      <w:pPr>
        <w:ind w:left="980" w:right="180" w:hanging="432"/>
        <w:spacing w:after="0" w:line="23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78">
        <w:r>
          <w:rPr>
            <w:rFonts w:ascii="Arial" w:cs="Arial" w:eastAsia="Arial" w:hAnsi="Arial"/>
            <w:sz w:val="18"/>
            <w:szCs w:val="18"/>
            <w:u w:val="single" w:color="auto"/>
            <w:color w:val="0000EE"/>
          </w:rPr>
          <w:t>April 15, 2024</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May 23, 2024</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June 12,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(except for Item 7.01), </w:t>
      </w:r>
      <w:hyperlink r:id="rId81">
        <w:r>
          <w:rPr>
            <w:rFonts w:ascii="Arial" w:cs="Arial" w:eastAsia="Arial" w:hAnsi="Arial"/>
            <w:sz w:val="18"/>
            <w:szCs w:val="18"/>
            <w:u w:val="single" w:color="auto"/>
            <w:color w:val="0000EE"/>
          </w:rPr>
          <w:t>June 14, 2024</w:t>
        </w:r>
      </w:hyperlink>
      <w:r>
        <w:rPr>
          <w:rFonts w:ascii="Arial" w:cs="Arial" w:eastAsia="Arial" w:hAnsi="Arial"/>
          <w:sz w:val="18"/>
          <w:szCs w:val="18"/>
          <w:color w:val="auto"/>
        </w:rPr>
        <w:t xml:space="preserve"> (except for Item 7.01) and </w:t>
      </w:r>
      <w:hyperlink r:id="rId82">
        <w:r>
          <w:rPr>
            <w:rFonts w:ascii="Arial" w:cs="Arial" w:eastAsia="Arial" w:hAnsi="Arial"/>
            <w:sz w:val="18"/>
            <w:szCs w:val="18"/>
            <w:u w:val="single" w:color="auto"/>
            <w:color w:val="0000EE"/>
          </w:rPr>
          <w:t>November 12,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(except for Item 2.02).</w:t>
      </w:r>
    </w:p>
    <w:p>
      <w:pPr>
        <w:spacing w:after="0" w:line="4" w:lineRule="exact"/>
        <w:rPr>
          <w:rFonts w:ascii="Arial" w:cs="Arial" w:eastAsia="Arial" w:hAnsi="Arial"/>
          <w:sz w:val="18"/>
          <w:szCs w:val="18"/>
          <w:color w:val="auto"/>
        </w:rPr>
      </w:pPr>
    </w:p>
    <w:p>
      <w:pPr>
        <w:ind w:left="980" w:hanging="432"/>
        <w:spacing w:after="0" w:line="23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and ADSs contained in our amended registration statement on </w:t>
      </w:r>
      <w:hyperlink r:id="rId8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December 18, 2023 and any amendment or report filed with the SEC for the purpose of updating the description including without limitation, </w:t>
      </w:r>
      <w:hyperlink r:id="rId84">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2023, filed with the SEC on March 27, 2024.</w:t>
      </w:r>
    </w:p>
    <w:p>
      <w:pPr>
        <w:spacing w:after="0" w:line="181" w:lineRule="exact"/>
        <w:rPr>
          <w:rFonts w:ascii="MS PGothic" w:cs="MS PGothic" w:eastAsia="MS PGothic" w:hAnsi="MS PGothic"/>
          <w:sz w:val="25"/>
          <w:szCs w:val="25"/>
          <w:color w:val="auto"/>
          <w:vertAlign w:val="superscript"/>
        </w:rPr>
      </w:pPr>
    </w:p>
    <w:p>
      <w:pPr>
        <w:ind w:left="120" w:right="80" w:firstLine="440"/>
        <w:spacing w:after="0" w:line="24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06" w:lineRule="exact"/>
        <w:rPr>
          <w:rFonts w:ascii="MS PGothic" w:cs="MS PGothic" w:eastAsia="MS PGothic" w:hAnsi="MS PGothic"/>
          <w:sz w:val="25"/>
          <w:szCs w:val="25"/>
          <w:color w:val="auto"/>
          <w:vertAlign w:val="superscript"/>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You may request a free copy of any of the documents incorporated by reference in this prospectus by writing or telephoning us at:</w:t>
      </w: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Mereo BioPharma Group plc</w:t>
      </w:r>
    </w:p>
    <w:p>
      <w:pPr>
        <w:jc w:val="center"/>
        <w:ind w:right="-399"/>
        <w:spacing w:after="0" w:line="180" w:lineRule="auto"/>
        <w:rPr>
          <w:sz w:val="20"/>
          <w:szCs w:val="20"/>
          <w:color w:val="auto"/>
        </w:rPr>
      </w:pPr>
      <w:r>
        <w:rPr>
          <w:rFonts w:ascii="Arial" w:cs="Arial" w:eastAsia="Arial" w:hAnsi="Arial"/>
          <w:sz w:val="17"/>
          <w:szCs w:val="17"/>
          <w:color w:val="auto"/>
        </w:rPr>
        <w:t>One Cavendish Place,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w:t>
      </w:r>
    </w:p>
    <w:p>
      <w:pPr>
        <w:jc w:val="center"/>
        <w:ind w:right="-399"/>
        <w:spacing w:after="0" w:line="235" w:lineRule="auto"/>
        <w:rPr>
          <w:sz w:val="20"/>
          <w:szCs w:val="20"/>
          <w:color w:val="auto"/>
        </w:rPr>
      </w:pPr>
      <w:r>
        <w:rPr>
          <w:rFonts w:ascii="Arial" w:cs="Arial" w:eastAsia="Arial" w:hAnsi="Arial"/>
          <w:sz w:val="18"/>
          <w:szCs w:val="18"/>
          <w:color w:val="auto"/>
        </w:rPr>
        <w:t>London, W1G 0QF</w:t>
      </w:r>
    </w:p>
    <w:p>
      <w:pPr>
        <w:jc w:val="center"/>
        <w:ind w:right="-399"/>
        <w:spacing w:after="0" w:line="235" w:lineRule="auto"/>
        <w:rPr>
          <w:sz w:val="20"/>
          <w:szCs w:val="20"/>
          <w:color w:val="auto"/>
        </w:rPr>
      </w:pPr>
      <w:r>
        <w:rPr>
          <w:rFonts w:ascii="Arial" w:cs="Arial" w:eastAsia="Arial" w:hAnsi="Arial"/>
          <w:sz w:val="18"/>
          <w:szCs w:val="18"/>
          <w:color w:val="auto"/>
        </w:rPr>
        <w:t>United Kingdom</w:t>
      </w:r>
    </w:p>
    <w:p>
      <w:pPr>
        <w:jc w:val="center"/>
        <w:ind w:right="-399"/>
        <w:spacing w:after="0"/>
        <w:rPr>
          <w:sz w:val="20"/>
          <w:szCs w:val="20"/>
          <w:color w:val="auto"/>
        </w:rPr>
      </w:pPr>
      <w:r>
        <w:rPr>
          <w:rFonts w:ascii="Arial" w:cs="Arial" w:eastAsia="Arial" w:hAnsi="Arial"/>
          <w:sz w:val="18"/>
          <w:szCs w:val="18"/>
          <w:color w:val="auto"/>
        </w:rPr>
        <w:t>+44 333 023 7300</w:t>
      </w:r>
    </w:p>
    <w:p>
      <w:pPr>
        <w:spacing w:after="0" w:line="194"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sectPr>
      <w:pgSz w:w="11900" w:h="16838" w:orient="portrait"/>
      <w:cols w:equalWidth="0" w:num="1">
        <w:col w:w="10860"/>
      </w:cols>
      <w:pgMar w:left="320" w:top="45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2)"/>
      <w:numFmt w:val="decimal"/>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Roman"/>
      <w:start w:val="3"/>
    </w:lvl>
  </w:abstractNum>
  <w:abstractNum w:abstractNumId="20">
    <w:nsid w:val="2443A858"/>
    <w:multiLevelType w:val="hybridMultilevel"/>
    <w:lvl w:ilvl="0">
      <w:lvlJc w:val="left"/>
      <w:lvlText w:val="(%1)"/>
      <w:numFmt w:val="lowerRoman"/>
      <w:start w:val="3"/>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5" Type="http://schemas.openxmlformats.org/officeDocument/2006/relationships/image" Target="media/image67.png"/><Relationship Id="rId74" Type="http://schemas.openxmlformats.org/officeDocument/2006/relationships/hyperlink" Target="http://www.sec.gov/ix?doc=/Archives/edgar/data/0001719714/000095017024037348/mreo-20231231.htm" TargetMode="External"/><Relationship Id="rId75" Type="http://schemas.openxmlformats.org/officeDocument/2006/relationships/hyperlink" Target="http://www.sec.gov/ix?doc=/Archives/edgar/data/1719714/000095017024060497/mreo-20240331.htm" TargetMode="External"/><Relationship Id="rId76" Type="http://schemas.openxmlformats.org/officeDocument/2006/relationships/hyperlink" Target="http://www.sec.gov/Archives/edgar/data/1719714/000095017024095777/mreo-20240630.htm" TargetMode="External"/><Relationship Id="rId77" Type="http://schemas.openxmlformats.org/officeDocument/2006/relationships/hyperlink" Target="http://www.sec.gov/Archives/edgar/data/1719714/000095017024124637/mreo-20240930.htm" TargetMode="External"/><Relationship Id="rId78" Type="http://schemas.openxmlformats.org/officeDocument/2006/relationships/hyperlink" Target="http://www.sec.gov/Archives/edgar/data/1719714/000119312524095508/d818381d8k.htm" TargetMode="External"/><Relationship Id="rId79" Type="http://schemas.openxmlformats.org/officeDocument/2006/relationships/hyperlink" Target="http://www.sec.gov/Archives/edgar/data/1719714/000119312524145983/d840193d8k.htm" TargetMode="External"/><Relationship Id="rId80" Type="http://schemas.openxmlformats.org/officeDocument/2006/relationships/hyperlink" Target="http://www.sec.gov/Archives/edgar/data/1719714/000119312524159393/d849907d8k.htm" TargetMode="External"/><Relationship Id="rId81" Type="http://schemas.openxmlformats.org/officeDocument/2006/relationships/hyperlink" Target="http://www.sec.gov/Archives/edgar/data/1719714/000119312524161662/d828399d8k.htm" TargetMode="External"/><Relationship Id="rId82" Type="http://schemas.openxmlformats.org/officeDocument/2006/relationships/hyperlink" Target="http://www.sec.gov/Archives/edgar/data/1719714/000095017024124598/mreo-20241108.htm" TargetMode="External"/><Relationship Id="rId83" Type="http://schemas.openxmlformats.org/officeDocument/2006/relationships/hyperlink" Target="http://www.sec.gov/Archives/edgar/data/1719714/000119312523297640/d671792d8a12ba.htm" TargetMode="External"/><Relationship Id="rId84" Type="http://schemas.openxmlformats.org/officeDocument/2006/relationships/hyperlink" Target="http://www.sec.gov/Archives/edgar/data/1719714/000095017024037348/mreo-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2024-12-04T15:58:29Z</dcterms:created>
  <dcterms:modified xsi:type="dcterms:W3CDTF">2024-12-04T15:58:29Z</dcterms:modified>
</cp:coreProperties>
</file>