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1820"/>
        <w:spacing w:after="0"/>
        <w:rPr>
          <w:sz w:val="20"/>
          <w:szCs w:val="20"/>
          <w:color w:val="auto"/>
        </w:rPr>
      </w:pPr>
      <w:r>
        <w:rPr>
          <w:rFonts w:ascii="Arial" w:cs="Arial" w:eastAsia="Arial" w:hAnsi="Arial"/>
          <w:sz w:val="18"/>
          <w:szCs w:val="18"/>
          <w:b w:val="1"/>
          <w:bCs w:val="1"/>
          <w:color w:val="auto"/>
        </w:rPr>
        <w:t>As confidentially submitted to the Securities and Exchange Commission on March 14, 2018</w:t>
      </w:r>
    </w:p>
    <w:p>
      <w:pPr>
        <w:spacing w:after="0" w:line="23" w:lineRule="exact"/>
        <w:rPr>
          <w:sz w:val="24"/>
          <w:szCs w:val="24"/>
          <w:color w:val="auto"/>
        </w:rPr>
      </w:pPr>
    </w:p>
    <w:p>
      <w:pPr>
        <w:ind w:left="93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57785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5"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W</w:t>
      </w:r>
      <w:r>
        <w:rPr>
          <w:rFonts w:ascii="Arial" w:cs="Arial" w:eastAsia="Arial" w:hAnsi="Arial"/>
          <w:sz w:val="11"/>
          <w:szCs w:val="11"/>
          <w:b w:val="1"/>
          <w:bCs w:val="1"/>
          <w:color w:val="auto"/>
        </w:rPr>
        <w:t>ASHINGTON</w:t>
      </w:r>
      <w:r>
        <w:rPr>
          <w:rFonts w:ascii="Arial" w:cs="Arial" w:eastAsia="Arial" w:hAnsi="Arial"/>
          <w:sz w:val="14"/>
          <w:szCs w:val="14"/>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6"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Form F-1</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REGISTRATION STATEMENT</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MEREO BIOPHARMA GROUP PLC</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w:t>
      </w:r>
      <w:r>
        <w:rPr>
          <w:rFonts w:ascii="Arial" w:cs="Arial" w:eastAsia="Arial" w:hAnsi="Arial"/>
          <w:sz w:val="11"/>
          <w:szCs w:val="11"/>
          <w:b w:val="1"/>
          <w:bCs w:val="1"/>
          <w:color w:val="auto"/>
        </w:rPr>
        <w:t>XACT</w:t>
      </w:r>
      <w:r>
        <w:rPr>
          <w:rFonts w:ascii="Arial" w:cs="Arial" w:eastAsia="Arial" w:hAnsi="Arial"/>
          <w:sz w:val="14"/>
          <w:szCs w:val="14"/>
          <w:b w:val="1"/>
          <w:bCs w:val="1"/>
          <w:color w:val="auto"/>
        </w:rPr>
        <w:t xml:space="preserve"> N</w:t>
      </w:r>
      <w:r>
        <w:rPr>
          <w:rFonts w:ascii="Arial" w:cs="Arial" w:eastAsia="Arial" w:hAnsi="Arial"/>
          <w:sz w:val="11"/>
          <w:szCs w:val="11"/>
          <w:b w:val="1"/>
          <w:bCs w:val="1"/>
          <w:color w:val="auto"/>
        </w:rPr>
        <w:t>AME OF</w:t>
      </w:r>
      <w:r>
        <w:rPr>
          <w:rFonts w:ascii="Arial" w:cs="Arial" w:eastAsia="Arial" w:hAnsi="Arial"/>
          <w:sz w:val="14"/>
          <w:szCs w:val="14"/>
          <w:b w:val="1"/>
          <w:bCs w:val="1"/>
          <w:color w:val="auto"/>
        </w:rPr>
        <w:t xml:space="preserve"> R</w:t>
      </w:r>
      <w:r>
        <w:rPr>
          <w:rFonts w:ascii="Arial" w:cs="Arial" w:eastAsia="Arial" w:hAnsi="Arial"/>
          <w:sz w:val="11"/>
          <w:szCs w:val="11"/>
          <w:b w:val="1"/>
          <w:bCs w:val="1"/>
          <w:color w:val="auto"/>
        </w:rPr>
        <w:t>EGISTRANT AS</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PECIFIED IN ITS</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HARTER</w:t>
      </w:r>
      <w:r>
        <w:rPr>
          <w:rFonts w:ascii="Arial" w:cs="Arial" w:eastAsia="Arial" w:hAnsi="Arial"/>
          <w:sz w:val="14"/>
          <w:szCs w:val="14"/>
          <w:b w:val="1"/>
          <w:bCs w:val="1"/>
          <w:color w:val="auto"/>
        </w:rPr>
        <w:t>)</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Not Applicable</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(Translation of Registrant’s Name into English)</w:t>
      </w:r>
    </w:p>
    <w:p>
      <w:pPr>
        <w:spacing w:after="0" w:line="51" w:lineRule="exact"/>
        <w:rPr>
          <w:sz w:val="24"/>
          <w:szCs w:val="24"/>
          <w:color w:val="auto"/>
        </w:rPr>
      </w:pPr>
    </w:p>
    <w:tbl>
      <w:tblPr>
        <w:tblLayout w:type="fixed"/>
        <w:tblInd w:w="1120" w:type="dxa"/>
        <w:tblCellMar>
          <w:top w:w="0" w:type="dxa"/>
          <w:left w:w="0" w:type="dxa"/>
          <w:bottom w:w="0" w:type="dxa"/>
          <w:right w:w="0" w:type="dxa"/>
        </w:tblCellMar>
      </w:tblPr>
      <w:tr>
        <w:trPr>
          <w:trHeight w:val="180"/>
        </w:trPr>
        <w:tc>
          <w:tcPr>
            <w:tcW w:w="2860" w:type="dxa"/>
            <w:vAlign w:val="bottom"/>
          </w:tcPr>
          <w:p>
            <w:pPr>
              <w:jc w:val="center"/>
              <w:ind w:right="868"/>
              <w:spacing w:after="0"/>
              <w:rPr>
                <w:sz w:val="20"/>
                <w:szCs w:val="20"/>
                <w:color w:val="auto"/>
              </w:rPr>
            </w:pPr>
            <w:r>
              <w:rPr>
                <w:rFonts w:ascii="Arial" w:cs="Arial" w:eastAsia="Arial" w:hAnsi="Arial"/>
                <w:sz w:val="14"/>
                <w:szCs w:val="14"/>
                <w:b w:val="1"/>
                <w:bCs w:val="1"/>
                <w:color w:val="auto"/>
              </w:rPr>
              <w:t>United Kingdom</w:t>
            </w:r>
          </w:p>
        </w:tc>
        <w:tc>
          <w:tcPr>
            <w:tcW w:w="3780" w:type="dxa"/>
            <w:vAlign w:val="bottom"/>
          </w:tcPr>
          <w:p>
            <w:pPr>
              <w:jc w:val="center"/>
              <w:ind w:right="28"/>
              <w:spacing w:after="0"/>
              <w:rPr>
                <w:sz w:val="20"/>
                <w:szCs w:val="20"/>
                <w:color w:val="auto"/>
              </w:rPr>
            </w:pPr>
            <w:r>
              <w:rPr>
                <w:rFonts w:ascii="Arial" w:cs="Arial" w:eastAsia="Arial" w:hAnsi="Arial"/>
                <w:sz w:val="14"/>
                <w:szCs w:val="14"/>
                <w:b w:val="1"/>
                <w:bCs w:val="1"/>
                <w:color w:val="auto"/>
              </w:rPr>
              <w:t>2834</w:t>
            </w:r>
          </w:p>
        </w:tc>
        <w:tc>
          <w:tcPr>
            <w:tcW w:w="2400" w:type="dxa"/>
            <w:vAlign w:val="bottom"/>
          </w:tcPr>
          <w:p>
            <w:pPr>
              <w:jc w:val="center"/>
              <w:ind w:left="928"/>
              <w:spacing w:after="0"/>
              <w:rPr>
                <w:sz w:val="20"/>
                <w:szCs w:val="20"/>
                <w:color w:val="auto"/>
              </w:rPr>
            </w:pPr>
            <w:r>
              <w:rPr>
                <w:rFonts w:ascii="Arial" w:cs="Arial" w:eastAsia="Arial" w:hAnsi="Arial"/>
                <w:sz w:val="14"/>
                <w:szCs w:val="14"/>
                <w:b w:val="1"/>
                <w:bCs w:val="1"/>
                <w:color w:val="auto"/>
              </w:rPr>
              <w:t>Not Applicable</w:t>
            </w:r>
          </w:p>
        </w:tc>
      </w:tr>
      <w:tr>
        <w:trPr>
          <w:trHeight w:val="162"/>
        </w:trPr>
        <w:tc>
          <w:tcPr>
            <w:tcW w:w="2860" w:type="dxa"/>
            <w:vAlign w:val="bottom"/>
          </w:tcPr>
          <w:p>
            <w:pPr>
              <w:jc w:val="center"/>
              <w:ind w:right="868"/>
              <w:spacing w:after="0"/>
              <w:rPr>
                <w:sz w:val="20"/>
                <w:szCs w:val="20"/>
                <w:color w:val="auto"/>
              </w:rPr>
            </w:pPr>
            <w:r>
              <w:rPr>
                <w:rFonts w:ascii="Arial" w:cs="Arial" w:eastAsia="Arial" w:hAnsi="Arial"/>
                <w:sz w:val="14"/>
                <w:szCs w:val="14"/>
                <w:color w:val="auto"/>
              </w:rPr>
              <w:t>(State or other Jurisdiction of</w:t>
            </w:r>
          </w:p>
        </w:tc>
        <w:tc>
          <w:tcPr>
            <w:tcW w:w="3780" w:type="dxa"/>
            <w:vAlign w:val="bottom"/>
          </w:tcPr>
          <w:p>
            <w:pPr>
              <w:jc w:val="center"/>
              <w:ind w:right="8"/>
              <w:spacing w:after="0"/>
              <w:rPr>
                <w:sz w:val="20"/>
                <w:szCs w:val="20"/>
                <w:color w:val="auto"/>
              </w:rPr>
            </w:pPr>
            <w:r>
              <w:rPr>
                <w:rFonts w:ascii="Arial" w:cs="Arial" w:eastAsia="Arial" w:hAnsi="Arial"/>
                <w:sz w:val="14"/>
                <w:szCs w:val="14"/>
                <w:color w:val="auto"/>
              </w:rPr>
              <w:t>(Primary Standard Industrial</w:t>
            </w:r>
          </w:p>
        </w:tc>
        <w:tc>
          <w:tcPr>
            <w:tcW w:w="2400" w:type="dxa"/>
            <w:vAlign w:val="bottom"/>
          </w:tcPr>
          <w:p>
            <w:pPr>
              <w:jc w:val="center"/>
              <w:ind w:left="928"/>
              <w:spacing w:after="0"/>
              <w:rPr>
                <w:sz w:val="20"/>
                <w:szCs w:val="20"/>
                <w:color w:val="auto"/>
              </w:rPr>
            </w:pPr>
            <w:r>
              <w:rPr>
                <w:rFonts w:ascii="Arial" w:cs="Arial" w:eastAsia="Arial" w:hAnsi="Arial"/>
                <w:sz w:val="14"/>
                <w:szCs w:val="14"/>
                <w:color w:val="auto"/>
              </w:rPr>
              <w:t>(I.R.S. Employer</w:t>
            </w:r>
          </w:p>
        </w:tc>
      </w:tr>
      <w:tr>
        <w:trPr>
          <w:trHeight w:val="172"/>
        </w:trPr>
        <w:tc>
          <w:tcPr>
            <w:tcW w:w="2860" w:type="dxa"/>
            <w:vAlign w:val="bottom"/>
          </w:tcPr>
          <w:p>
            <w:pPr>
              <w:jc w:val="center"/>
              <w:ind w:right="868"/>
              <w:spacing w:after="0"/>
              <w:rPr>
                <w:sz w:val="20"/>
                <w:szCs w:val="20"/>
                <w:color w:val="auto"/>
              </w:rPr>
            </w:pPr>
            <w:r>
              <w:rPr>
                <w:rFonts w:ascii="Arial" w:cs="Arial" w:eastAsia="Arial" w:hAnsi="Arial"/>
                <w:sz w:val="14"/>
                <w:szCs w:val="14"/>
                <w:color w:val="auto"/>
              </w:rPr>
              <w:t>Incorporation or Organization)</w:t>
            </w:r>
          </w:p>
        </w:tc>
        <w:tc>
          <w:tcPr>
            <w:tcW w:w="3780" w:type="dxa"/>
            <w:vAlign w:val="bottom"/>
          </w:tcPr>
          <w:p>
            <w:pPr>
              <w:jc w:val="center"/>
              <w:ind w:right="8"/>
              <w:spacing w:after="0"/>
              <w:rPr>
                <w:sz w:val="20"/>
                <w:szCs w:val="20"/>
                <w:color w:val="auto"/>
              </w:rPr>
            </w:pPr>
            <w:r>
              <w:rPr>
                <w:rFonts w:ascii="Arial" w:cs="Arial" w:eastAsia="Arial" w:hAnsi="Arial"/>
                <w:sz w:val="14"/>
                <w:szCs w:val="14"/>
                <w:color w:val="auto"/>
              </w:rPr>
              <w:t>Classification Code Number)</w:t>
            </w:r>
          </w:p>
        </w:tc>
        <w:tc>
          <w:tcPr>
            <w:tcW w:w="2400" w:type="dxa"/>
            <w:vAlign w:val="bottom"/>
          </w:tcPr>
          <w:p>
            <w:pPr>
              <w:jc w:val="center"/>
              <w:ind w:left="928"/>
              <w:spacing w:after="0"/>
              <w:rPr>
                <w:sz w:val="20"/>
                <w:szCs w:val="20"/>
                <w:color w:val="auto"/>
              </w:rPr>
            </w:pPr>
            <w:r>
              <w:rPr>
                <w:rFonts w:ascii="Arial" w:cs="Arial" w:eastAsia="Arial" w:hAnsi="Arial"/>
                <w:sz w:val="14"/>
                <w:szCs w:val="14"/>
                <w:color w:val="auto"/>
              </w:rPr>
              <w:t>Identification Number)</w:t>
            </w:r>
          </w:p>
        </w:tc>
      </w:tr>
    </w:tbl>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Fourth Floor</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One Cavendish Place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London W1G 0QF UK</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Tel: +44 (0) 33 3023 7300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14"/>
          <w:szCs w:val="14"/>
          <w:b w:val="1"/>
          <w:bCs w:val="1"/>
          <w:color w:val="auto"/>
        </w:rPr>
        <w:t>Cogency Global Inc.</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10 E. 40th Street, 10th floor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New York, New York 10016</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Telephone No.: +1 800 221 0102</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39" w:lineRule="exact"/>
        <w:rPr>
          <w:sz w:val="24"/>
          <w:szCs w:val="24"/>
          <w:color w:val="auto"/>
        </w:rPr>
      </w:pPr>
    </w:p>
    <w:tbl>
      <w:tblPr>
        <w:tblLayout w:type="fixed"/>
        <w:tblInd w:w="202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4880" w:type="dxa"/>
            <w:vAlign w:val="bottom"/>
          </w:tcPr>
          <w:p>
            <w:pPr>
              <w:ind w:left="700"/>
              <w:spacing w:after="0"/>
              <w:rPr>
                <w:sz w:val="20"/>
                <w:szCs w:val="20"/>
                <w:color w:val="auto"/>
              </w:rPr>
            </w:pPr>
            <w:r>
              <w:rPr>
                <w:rFonts w:ascii="Arial" w:cs="Arial" w:eastAsia="Arial" w:hAnsi="Arial"/>
                <w:sz w:val="14"/>
                <w:szCs w:val="14"/>
                <w:b w:val="1"/>
                <w:bCs w:val="1"/>
                <w:i w:val="1"/>
                <w:iCs w:val="1"/>
                <w:color w:val="auto"/>
              </w:rPr>
              <w:t>Copies to:</w:t>
            </w:r>
          </w:p>
        </w:tc>
      </w:tr>
      <w:tr>
        <w:trPr>
          <w:trHeight w:val="201"/>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Mark V. Roeder</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Divakar Gupta</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Nathan Ajiashvili</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Brent B. Siler</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Claire A. Keast-Butler</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Ed Lukins</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Latham &amp; Watkins LLP</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Yvan-Claude Pierre</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140 Scott Drive</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2640" w:type="dxa"/>
            <w:vAlign w:val="bottom"/>
          </w:tcPr>
          <w:p>
            <w:pPr>
              <w:jc w:val="center"/>
              <w:ind w:right="628"/>
              <w:spacing w:after="0"/>
              <w:rPr>
                <w:sz w:val="20"/>
                <w:szCs w:val="20"/>
                <w:color w:val="auto"/>
              </w:rPr>
            </w:pPr>
            <w:r>
              <w:rPr>
                <w:rFonts w:ascii="Arial" w:cs="Arial" w:eastAsia="Arial" w:hAnsi="Arial"/>
                <w:sz w:val="14"/>
                <w:szCs w:val="14"/>
                <w:b w:val="1"/>
                <w:bCs w:val="1"/>
                <w:color w:val="auto"/>
              </w:rPr>
              <w:t>Menlo Park, California 94025</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1114 Avenue of the Americas</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+1 650 328 4600</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New York, New York 10036</w:t>
            </w:r>
          </w:p>
        </w:tc>
      </w:tr>
      <w:tr>
        <w:trPr>
          <w:trHeight w:val="190"/>
        </w:trPr>
        <w:tc>
          <w:tcPr>
            <w:tcW w:w="2640" w:type="dxa"/>
            <w:vAlign w:val="bottom"/>
          </w:tcPr>
          <w:p>
            <w:pPr>
              <w:spacing w:after="0"/>
              <w:rPr>
                <w:sz w:val="16"/>
                <w:szCs w:val="16"/>
                <w:color w:val="auto"/>
              </w:rPr>
            </w:pP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+1 212 479 6000</w:t>
            </w:r>
          </w:p>
        </w:tc>
      </w:tr>
    </w:tbl>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55" w:lineRule="exact"/>
        <w:rPr>
          <w:sz w:val="24"/>
          <w:szCs w:val="24"/>
          <w:color w:val="auto"/>
        </w:rPr>
      </w:pPr>
    </w:p>
    <w:p>
      <w:pPr>
        <w:ind w:left="200" w:right="32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62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30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28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20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18" w:lineRule="exact"/>
        <w:rPr>
          <w:sz w:val="24"/>
          <w:szCs w:val="24"/>
          <w:color w:val="auto"/>
        </w:rPr>
      </w:pPr>
    </w:p>
    <w:p>
      <w:pPr>
        <w:ind w:left="9220"/>
        <w:spacing w:after="0" w:line="161" w:lineRule="exact"/>
        <w:tabs>
          <w:tab w:leader="none" w:pos="1106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06" w:lineRule="exact"/>
        <w:rPr>
          <w:sz w:val="24"/>
          <w:szCs w:val="24"/>
          <w:color w:val="auto"/>
        </w:rPr>
      </w:pPr>
    </w:p>
    <w:p>
      <w:pPr>
        <w:ind w:left="200" w:right="440"/>
        <w:spacing w:after="0" w:line="176"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100330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62"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28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r>
      <w:tr>
        <w:trPr>
          <w:trHeight w:val="129"/>
        </w:trPr>
        <w:tc>
          <w:tcPr>
            <w:tcW w:w="20" w:type="dxa"/>
            <w:vAlign w:val="bottom"/>
          </w:tcPr>
          <w:p>
            <w:pPr>
              <w:spacing w:after="0"/>
              <w:rPr>
                <w:sz w:val="11"/>
                <w:szCs w:val="11"/>
                <w:color w:val="auto"/>
              </w:rPr>
            </w:pPr>
          </w:p>
        </w:tc>
        <w:tc>
          <w:tcPr>
            <w:tcW w:w="7280" w:type="dxa"/>
            <w:vAlign w:val="bottom"/>
            <w:tcBorders>
              <w:right w:val="single" w:sz="8" w:color="auto"/>
            </w:tcBorders>
          </w:tcPr>
          <w:p>
            <w:pPr>
              <w:spacing w:after="0"/>
              <w:rPr>
                <w:sz w:val="11"/>
                <w:szCs w:val="11"/>
                <w:color w:val="auto"/>
              </w:rPr>
            </w:pPr>
          </w:p>
        </w:tc>
        <w:tc>
          <w:tcPr>
            <w:tcW w:w="1440" w:type="dxa"/>
            <w:vAlign w:val="bottom"/>
          </w:tcPr>
          <w:p>
            <w:pPr>
              <w:jc w:val="center"/>
              <w:ind w:left="468"/>
              <w:spacing w:after="0" w:line="129" w:lineRule="exact"/>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ROPOSED</w:t>
            </w:r>
          </w:p>
        </w:tc>
        <w:tc>
          <w:tcPr>
            <w:tcW w:w="4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7280" w:type="dxa"/>
            <w:vAlign w:val="bottom"/>
            <w:tcBorders>
              <w:right w:val="single" w:sz="8" w:color="auto"/>
            </w:tcBorders>
          </w:tcPr>
          <w:p>
            <w:pPr>
              <w:spacing w:after="0"/>
              <w:rPr>
                <w:sz w:val="14"/>
                <w:szCs w:val="14"/>
                <w:color w:val="auto"/>
              </w:rPr>
            </w:pPr>
          </w:p>
        </w:tc>
        <w:tc>
          <w:tcPr>
            <w:tcW w:w="1440" w:type="dxa"/>
            <w:vAlign w:val="bottom"/>
          </w:tcPr>
          <w:p>
            <w:pPr>
              <w:jc w:val="center"/>
              <w:ind w:left="448"/>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AXIMUM</w:t>
            </w:r>
          </w:p>
        </w:tc>
        <w:tc>
          <w:tcPr>
            <w:tcW w:w="4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280" w:type="dxa"/>
            <w:vAlign w:val="bottom"/>
            <w:tcBorders>
              <w:right w:val="single" w:sz="8" w:color="auto"/>
            </w:tcBorders>
          </w:tcPr>
          <w:p>
            <w:pPr>
              <w:spacing w:after="0"/>
              <w:rPr>
                <w:sz w:val="14"/>
                <w:szCs w:val="14"/>
                <w:color w:val="auto"/>
              </w:rPr>
            </w:pPr>
          </w:p>
        </w:tc>
        <w:tc>
          <w:tcPr>
            <w:tcW w:w="1440" w:type="dxa"/>
            <w:vAlign w:val="bottom"/>
          </w:tcPr>
          <w:p>
            <w:pPr>
              <w:jc w:val="center"/>
              <w:ind w:left="468"/>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GGREGATE</w:t>
            </w:r>
          </w:p>
        </w:tc>
        <w:tc>
          <w:tcPr>
            <w:tcW w:w="4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jc w:val="center"/>
              <w:ind w:right="408"/>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MOUNT OF</w:t>
            </w:r>
          </w:p>
        </w:tc>
      </w:tr>
      <w:tr>
        <w:trPr>
          <w:trHeight w:val="162"/>
        </w:trPr>
        <w:tc>
          <w:tcPr>
            <w:tcW w:w="20" w:type="dxa"/>
            <w:vAlign w:val="bottom"/>
          </w:tcPr>
          <w:p>
            <w:pPr>
              <w:spacing w:after="0"/>
              <w:rPr>
                <w:sz w:val="14"/>
                <w:szCs w:val="14"/>
                <w:color w:val="auto"/>
              </w:rPr>
            </w:pPr>
          </w:p>
        </w:tc>
        <w:tc>
          <w:tcPr>
            <w:tcW w:w="7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ITLE OF</w:t>
            </w:r>
            <w:r>
              <w:rPr>
                <w:rFonts w:ascii="Arial" w:cs="Arial" w:eastAsia="Arial" w:hAnsi="Arial"/>
                <w:sz w:val="14"/>
                <w:szCs w:val="14"/>
                <w:b w:val="1"/>
                <w:bCs w:val="1"/>
                <w:color w:val="auto"/>
              </w:rPr>
              <w:t xml:space="preserve"> E</w:t>
            </w:r>
            <w:r>
              <w:rPr>
                <w:rFonts w:ascii="Arial" w:cs="Arial" w:eastAsia="Arial" w:hAnsi="Arial"/>
                <w:sz w:val="11"/>
                <w:szCs w:val="11"/>
                <w:b w:val="1"/>
                <w:bCs w:val="1"/>
                <w:color w:val="auto"/>
              </w:rPr>
              <w:t>ACH</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LASS OF</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ECURITIES</w:t>
            </w:r>
          </w:p>
        </w:tc>
        <w:tc>
          <w:tcPr>
            <w:tcW w:w="1440" w:type="dxa"/>
            <w:vAlign w:val="bottom"/>
          </w:tcPr>
          <w:p>
            <w:pPr>
              <w:jc w:val="center"/>
              <w:ind w:left="448"/>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FFERING</w:t>
            </w:r>
          </w:p>
        </w:tc>
        <w:tc>
          <w:tcPr>
            <w:tcW w:w="440" w:type="dxa"/>
            <w:vAlign w:val="bottom"/>
            <w:tcBorders>
              <w:right w:val="single" w:sz="8" w:color="auto"/>
            </w:tcBorders>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EGISTRATION</w:t>
            </w:r>
          </w:p>
        </w:tc>
      </w:tr>
      <w:tr>
        <w:trPr>
          <w:trHeight w:val="189"/>
        </w:trPr>
        <w:tc>
          <w:tcPr>
            <w:tcW w:w="20" w:type="dxa"/>
            <w:vAlign w:val="bottom"/>
          </w:tcPr>
          <w:p>
            <w:pPr>
              <w:spacing w:after="0"/>
              <w:rPr>
                <w:sz w:val="16"/>
                <w:szCs w:val="16"/>
                <w:color w:val="auto"/>
              </w:rPr>
            </w:pPr>
          </w:p>
        </w:tc>
        <w:tc>
          <w:tcPr>
            <w:tcW w:w="7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 xml:space="preserve">TO BE </w:t>
            </w:r>
            <w:r>
              <w:rPr>
                <w:rFonts w:ascii="Arial" w:cs="Arial" w:eastAsia="Arial" w:hAnsi="Arial"/>
                <w:sz w:val="14"/>
                <w:szCs w:val="14"/>
                <w:b w:val="1"/>
                <w:bCs w:val="1"/>
                <w:color w:val="auto"/>
              </w:rPr>
              <w:t>R</w:t>
            </w:r>
            <w:r>
              <w:rPr>
                <w:rFonts w:ascii="Arial" w:cs="Arial" w:eastAsia="Arial" w:hAnsi="Arial"/>
                <w:sz w:val="12"/>
                <w:szCs w:val="12"/>
                <w:b w:val="1"/>
                <w:bCs w:val="1"/>
                <w:color w:val="auto"/>
              </w:rPr>
              <w:t>EGISTERED</w:t>
            </w:r>
          </w:p>
        </w:tc>
        <w:tc>
          <w:tcPr>
            <w:tcW w:w="144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RICE</w:t>
            </w:r>
            <w:r>
              <w:rPr>
                <w:rFonts w:ascii="Arial" w:cs="Arial" w:eastAsia="Arial" w:hAnsi="Arial"/>
                <w:sz w:val="14"/>
                <w:szCs w:val="14"/>
                <w:b w:val="1"/>
                <w:bCs w:val="1"/>
                <w:color w:val="auto"/>
              </w:rPr>
              <w:t>(2)(3)</w:t>
            </w:r>
          </w:p>
        </w:tc>
        <w:tc>
          <w:tcPr>
            <w:tcW w:w="44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EE</w:t>
            </w:r>
            <w:r>
              <w:rPr>
                <w:rFonts w:ascii="Arial" w:cs="Arial" w:eastAsia="Arial" w:hAnsi="Arial"/>
                <w:sz w:val="14"/>
                <w:szCs w:val="14"/>
                <w:b w:val="1"/>
                <w:bCs w:val="1"/>
                <w:color w:val="auto"/>
              </w:rPr>
              <w:t>(4)</w:t>
            </w:r>
          </w:p>
        </w:tc>
      </w:tr>
      <w:tr>
        <w:trPr>
          <w:trHeight w:val="156"/>
        </w:trPr>
        <w:tc>
          <w:tcPr>
            <w:tcW w:w="7300" w:type="dxa"/>
            <w:vAlign w:val="bottom"/>
            <w:tcBorders>
              <w:bottom w:val="single" w:sz="8" w:color="auto"/>
              <w:right w:val="single" w:sz="8" w:color="auto"/>
            </w:tcBorders>
            <w:gridSpan w:val="2"/>
          </w:tcPr>
          <w:p>
            <w:pPr>
              <w:spacing w:after="0" w:line="155" w:lineRule="exact"/>
              <w:rPr>
                <w:sz w:val="20"/>
                <w:szCs w:val="20"/>
                <w:color w:val="auto"/>
              </w:rPr>
            </w:pPr>
            <w:r>
              <w:rPr>
                <w:rFonts w:ascii="Arial" w:cs="Arial" w:eastAsia="Arial" w:hAnsi="Arial"/>
                <w:sz w:val="14"/>
                <w:szCs w:val="14"/>
                <w:color w:val="auto"/>
              </w:rPr>
              <w:t>Ordinary shares, nominal value £0.003 per ordinary share(1)</w:t>
            </w:r>
          </w:p>
        </w:tc>
        <w:tc>
          <w:tcPr>
            <w:tcW w:w="1440" w:type="dxa"/>
            <w:vAlign w:val="bottom"/>
            <w:tcBorders>
              <w:bottom w:val="single" w:sz="8" w:color="auto"/>
            </w:tcBorders>
          </w:tcPr>
          <w:p>
            <w:pPr>
              <w:jc w:val="right"/>
              <w:ind w:right="1008"/>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r>
      <w:tr>
        <w:trPr>
          <w:trHeight w:val="161"/>
        </w:trPr>
        <w:tc>
          <w:tcPr>
            <w:tcW w:w="8740" w:type="dxa"/>
            <w:vAlign w:val="bottom"/>
            <w:gridSpan w:val="3"/>
          </w:tcPr>
          <w:p>
            <w:pPr>
              <w:spacing w:after="0"/>
              <w:rPr>
                <w:sz w:val="20"/>
                <w:szCs w:val="20"/>
                <w:color w:val="auto"/>
              </w:rPr>
            </w:pPr>
            <w:r>
              <w:rPr>
                <w:rFonts w:ascii="Arial" w:cs="Arial" w:eastAsia="Arial" w:hAnsi="Arial"/>
                <w:sz w:val="14"/>
                <w:szCs w:val="14"/>
                <w:color w:val="auto"/>
              </w:rPr>
              <w:t>(1)  In the U.S. offering, all ordinary shares are in the form of American Depositary Shares, or ADSs, with each ADS representing</w:t>
            </w:r>
          </w:p>
        </w:tc>
        <w:tc>
          <w:tcPr>
            <w:tcW w:w="2300" w:type="dxa"/>
            <w:vAlign w:val="bottom"/>
            <w:gridSpan w:val="3"/>
          </w:tcPr>
          <w:p>
            <w:pPr>
              <w:jc w:val="right"/>
              <w:ind w:right="148"/>
              <w:spacing w:after="0"/>
              <w:rPr>
                <w:sz w:val="20"/>
                <w:szCs w:val="20"/>
                <w:color w:val="auto"/>
              </w:rPr>
            </w:pPr>
            <w:r>
              <w:rPr>
                <w:rFonts w:ascii="Arial" w:cs="Arial" w:eastAsia="Arial" w:hAnsi="Arial"/>
                <w:sz w:val="14"/>
                <w:szCs w:val="14"/>
                <w:color w:val="auto"/>
              </w:rPr>
              <w:t>ordinary shares. ADSs issuable</w:t>
            </w:r>
          </w:p>
        </w:tc>
      </w:tr>
      <w:tr>
        <w:trPr>
          <w:trHeight w:val="162"/>
        </w:trPr>
        <w:tc>
          <w:tcPr>
            <w:tcW w:w="20" w:type="dxa"/>
            <w:vAlign w:val="bottom"/>
          </w:tcPr>
          <w:p>
            <w:pPr>
              <w:spacing w:after="0"/>
              <w:rPr>
                <w:sz w:val="14"/>
                <w:szCs w:val="14"/>
                <w:color w:val="auto"/>
              </w:rPr>
            </w:pPr>
          </w:p>
        </w:tc>
        <w:tc>
          <w:tcPr>
            <w:tcW w:w="9720" w:type="dxa"/>
            <w:vAlign w:val="bottom"/>
            <w:gridSpan w:val="4"/>
          </w:tcPr>
          <w:p>
            <w:pPr>
              <w:jc w:val="right"/>
              <w:spacing w:after="0"/>
              <w:rPr>
                <w:sz w:val="20"/>
                <w:szCs w:val="20"/>
                <w:color w:val="auto"/>
              </w:rPr>
            </w:pPr>
            <w:r>
              <w:rPr>
                <w:rFonts w:ascii="Arial" w:cs="Arial" w:eastAsia="Arial" w:hAnsi="Arial"/>
                <w:sz w:val="14"/>
                <w:szCs w:val="14"/>
                <w:color w:val="auto"/>
              </w:rPr>
              <w:t>upon deposit of the ordinary shares registered hereby are being registered pursuant to a separate registration statement on Form F-6 (File No. 333-</w:t>
            </w:r>
          </w:p>
        </w:tc>
        <w:tc>
          <w:tcPr>
            <w:tcW w:w="1300" w:type="dxa"/>
            <w:vAlign w:val="bottom"/>
          </w:tcPr>
          <w:p>
            <w:pPr>
              <w:jc w:val="right"/>
              <w:ind w:right="608"/>
              <w:spacing w:after="0"/>
              <w:rPr>
                <w:sz w:val="20"/>
                <w:szCs w:val="20"/>
                <w:color w:val="auto"/>
              </w:rPr>
            </w:pPr>
            <w:r>
              <w:rPr>
                <w:rFonts w:ascii="Arial" w:cs="Arial" w:eastAsia="Arial" w:hAnsi="Arial"/>
                <w:sz w:val="14"/>
                <w:szCs w:val="14"/>
                <w:color w:val="auto"/>
              </w:rPr>
              <w:t>).</w:t>
            </w:r>
          </w:p>
        </w:tc>
      </w:tr>
    </w:tbl>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pursuant to Rule 457(o) of the Securities Act of 1933, as amended.</w:t>
      </w:r>
    </w:p>
    <w:p>
      <w:pPr>
        <w:spacing w:after="0" w:line="1" w:lineRule="exact"/>
        <w:rPr>
          <w:rFonts w:ascii="Arial" w:cs="Arial" w:eastAsia="Arial" w:hAnsi="Arial"/>
          <w:sz w:val="14"/>
          <w:szCs w:val="14"/>
          <w:color w:val="auto"/>
        </w:rPr>
      </w:pPr>
    </w:p>
    <w:p>
      <w:pPr>
        <w:ind w:left="520" w:right="100" w:hanging="316"/>
        <w:spacing w:after="0" w:line="24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 additional ordinary shares which the underwriters have the option to purchase and (b) ordinary shares which are being offered in a private placement in Europe and other countries outside of the United States and Canada but which may be resold from time to time in the United States in transactions requiring registration under the Securities Act or exemption therefrom. The total number of ordinary shares in the U.S. offering and the European private placement is subject to reallocation between them. All or part of the ordinary shares may be in the form of ADSs in the U.S. offering.</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6" w:lineRule="exact"/>
        <w:rPr>
          <w:sz w:val="24"/>
          <w:szCs w:val="24"/>
          <w:color w:val="auto"/>
        </w:rPr>
      </w:pPr>
    </w:p>
    <w:p>
      <w:pPr>
        <w:jc w:val="both"/>
        <w:ind w:left="200" w:right="220"/>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32385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75565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460"/>
        <w:spacing w:after="0" w:line="275" w:lineRule="auto"/>
        <w:rPr>
          <w:sz w:val="20"/>
          <w:szCs w:val="20"/>
          <w:color w:val="auto"/>
        </w:rPr>
      </w:pPr>
      <w:r>
        <w:rPr>
          <w:rFonts w:ascii="Arial" w:cs="Arial" w:eastAsia="Arial" w:hAnsi="Arial"/>
          <w:sz w:val="17"/>
          <w:szCs w:val="17"/>
          <w:color w:val="EA0000"/>
        </w:rPr>
        <w:t>The information in this preliminary prospectus is not complete and may be changed. This preliminary prospectus is not an offer to sell these securities and is not soliciting an offer to buy these securities in any state or jurisdiction where the offer or sale is not permitted.</w:t>
      </w:r>
    </w:p>
    <w:p>
      <w:pPr>
        <w:spacing w:after="0" w:line="327" w:lineRule="exact"/>
        <w:rPr>
          <w:sz w:val="20"/>
          <w:szCs w:val="20"/>
          <w:color w:val="auto"/>
        </w:rPr>
      </w:pPr>
    </w:p>
    <w:p>
      <w:pPr>
        <w:ind w:left="200"/>
        <w:spacing w:after="0"/>
        <w:tabs>
          <w:tab w:leader="none" w:pos="9660" w:val="left"/>
        </w:tabs>
        <w:rPr>
          <w:sz w:val="20"/>
          <w:szCs w:val="20"/>
          <w:color w:val="auto"/>
        </w:rPr>
      </w:pPr>
      <w:r>
        <w:rPr>
          <w:rFonts w:ascii="Arial" w:cs="Arial" w:eastAsia="Arial" w:hAnsi="Arial"/>
          <w:sz w:val="18"/>
          <w:szCs w:val="18"/>
          <w:b w:val="1"/>
          <w:bCs w:val="1"/>
          <w:color w:val="auto"/>
        </w:rPr>
        <w:t>PRELIMINARY PROSPECTUS (Subject to Completion)</w:t>
      </w:r>
      <w:r>
        <w:rPr>
          <w:sz w:val="20"/>
          <w:szCs w:val="20"/>
          <w:color w:val="auto"/>
        </w:rPr>
        <w:tab/>
      </w:r>
      <w:r>
        <w:rPr>
          <w:rFonts w:ascii="Arial" w:cs="Arial" w:eastAsia="Arial" w:hAnsi="Arial"/>
          <w:sz w:val="17"/>
          <w:szCs w:val="17"/>
          <w:b w:val="1"/>
          <w:bCs w:val="1"/>
          <w:color w:val="EA0000"/>
        </w:rPr>
        <w:t>Dated</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EA0000"/>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auto"/>
        </w:rPr>
        <w:t>Ordinary Shares</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(including 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54610</wp:posOffset>
            </wp:positionV>
            <wp:extent cx="2470150" cy="900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960" w:hanging="772"/>
        <w:spacing w:after="0"/>
        <w:tabs>
          <w:tab w:leader="none" w:pos="4960" w:val="left"/>
        </w:tabs>
        <w:numPr>
          <w:ilvl w:val="0"/>
          <w:numId w:val="2"/>
        </w:numPr>
        <w:rPr>
          <w:rFonts w:ascii="Arial" w:cs="Arial" w:eastAsia="Arial" w:hAnsi="Arial"/>
          <w:sz w:val="25"/>
          <w:szCs w:val="25"/>
          <w:b w:val="1"/>
          <w:bCs w:val="1"/>
          <w:color w:val="auto"/>
        </w:rPr>
      </w:pPr>
      <w:r>
        <w:rPr>
          <w:rFonts w:ascii="Arial" w:cs="Arial" w:eastAsia="Arial" w:hAnsi="Arial"/>
          <w:sz w:val="25"/>
          <w:szCs w:val="25"/>
          <w:b w:val="1"/>
          <w:bCs w:val="1"/>
          <w:color w:val="auto"/>
        </w:rPr>
        <w:t>per Ordinary Share</w:t>
      </w:r>
    </w:p>
    <w:p>
      <w:pPr>
        <w:spacing w:after="0" w:line="64" w:lineRule="exact"/>
        <w:rPr>
          <w:sz w:val="20"/>
          <w:szCs w:val="20"/>
          <w:color w:val="auto"/>
        </w:rPr>
      </w:pPr>
    </w:p>
    <w:p>
      <w:pPr>
        <w:ind w:left="4180" w:hanging="692"/>
        <w:spacing w:after="0"/>
        <w:tabs>
          <w:tab w:leader="none" w:pos="4180" w:val="left"/>
        </w:tabs>
        <w:numPr>
          <w:ilvl w:val="0"/>
          <w:numId w:val="3"/>
        </w:numPr>
        <w:rPr>
          <w:rFonts w:ascii="Arial" w:cs="Arial" w:eastAsia="Arial" w:hAnsi="Arial"/>
          <w:sz w:val="25"/>
          <w:szCs w:val="25"/>
          <w:b w:val="1"/>
          <w:bCs w:val="1"/>
          <w:color w:val="auto"/>
        </w:rPr>
      </w:pPr>
      <w:r>
        <w:rPr>
          <w:rFonts w:ascii="Arial" w:cs="Arial" w:eastAsia="Arial" w:hAnsi="Arial"/>
          <w:sz w:val="25"/>
          <w:szCs w:val="25"/>
          <w:b w:val="1"/>
          <w:bCs w:val="1"/>
          <w:color w:val="auto"/>
        </w:rPr>
        <w:t>per American Depositary Share</w:t>
      </w:r>
    </w:p>
    <w:p>
      <w:pPr>
        <w:spacing w:after="0" w:line="258" w:lineRule="exact"/>
        <w:rPr>
          <w:sz w:val="20"/>
          <w:szCs w:val="20"/>
          <w:color w:val="auto"/>
        </w:rPr>
      </w:pPr>
    </w:p>
    <w:p>
      <w:pPr>
        <w:ind w:left="200"/>
        <w:spacing w:after="0"/>
        <w:tabs>
          <w:tab w:leader="none" w:pos="3100" w:val="left"/>
        </w:tabs>
        <w:rPr>
          <w:sz w:val="20"/>
          <w:szCs w:val="20"/>
          <w:color w:val="auto"/>
        </w:rPr>
      </w:pPr>
      <w:r>
        <w:rPr>
          <w:rFonts w:ascii="Arial" w:cs="Arial" w:eastAsia="Arial" w:hAnsi="Arial"/>
          <w:sz w:val="16"/>
          <w:szCs w:val="16"/>
          <w:color w:val="auto"/>
        </w:rPr>
        <w:t>We are offering an aggregate of</w:t>
      </w:r>
      <w:r>
        <w:rPr>
          <w:sz w:val="20"/>
          <w:szCs w:val="20"/>
          <w:color w:val="auto"/>
        </w:rPr>
        <w:tab/>
      </w:r>
      <w:r>
        <w:rPr>
          <w:rFonts w:ascii="Arial" w:cs="Arial" w:eastAsia="Arial" w:hAnsi="Arial"/>
          <w:sz w:val="16"/>
          <w:szCs w:val="16"/>
          <w:color w:val="auto"/>
        </w:rPr>
        <w:t>of our ordinary shares, including ordinary shares in the form of American Depositary Shares, or ADSs, in a global</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offering.</w:t>
      </w:r>
    </w:p>
    <w:p>
      <w:pPr>
        <w:spacing w:after="0" w:line="59" w:lineRule="exact"/>
        <w:rPr>
          <w:sz w:val="20"/>
          <w:szCs w:val="20"/>
          <w:color w:val="auto"/>
        </w:rPr>
      </w:pPr>
    </w:p>
    <w:p>
      <w:pPr>
        <w:ind w:left="200"/>
        <w:spacing w:after="0"/>
        <w:tabs>
          <w:tab w:leader="none" w:pos="1920" w:val="left"/>
        </w:tabs>
        <w:rPr>
          <w:sz w:val="20"/>
          <w:szCs w:val="20"/>
          <w:color w:val="auto"/>
        </w:rPr>
      </w:pPr>
      <w:r>
        <w:rPr>
          <w:rFonts w:ascii="Arial" w:cs="Arial" w:eastAsia="Arial" w:hAnsi="Arial"/>
          <w:sz w:val="16"/>
          <w:szCs w:val="16"/>
          <w:color w:val="auto"/>
        </w:rPr>
        <w:t>We are offering</w:t>
      </w:r>
      <w:r>
        <w:rPr>
          <w:sz w:val="20"/>
          <w:szCs w:val="20"/>
          <w:color w:val="auto"/>
        </w:rPr>
        <w:tab/>
      </w:r>
      <w:r>
        <w:rPr>
          <w:rFonts w:ascii="Arial" w:cs="Arial" w:eastAsia="Arial" w:hAnsi="Arial"/>
          <w:sz w:val="16"/>
          <w:szCs w:val="16"/>
          <w:color w:val="auto"/>
        </w:rPr>
        <w:t>ADSs through the underwriters named in this prospectus in the United States, or the U.S. offering. Each ADS represents</w:t>
      </w:r>
    </w:p>
    <w:p>
      <w:pPr>
        <w:spacing w:after="0" w:line="5" w:lineRule="exact"/>
        <w:rPr>
          <w:sz w:val="20"/>
          <w:szCs w:val="20"/>
          <w:color w:val="auto"/>
        </w:rPr>
      </w:pPr>
    </w:p>
    <w:p>
      <w:pPr>
        <w:ind w:left="200" w:right="420" w:firstLine="586"/>
        <w:spacing w:after="0" w:line="260" w:lineRule="auto"/>
        <w:rPr>
          <w:sz w:val="20"/>
          <w:szCs w:val="20"/>
          <w:color w:val="auto"/>
        </w:rPr>
      </w:pPr>
      <w:r>
        <w:rPr>
          <w:rFonts w:ascii="Arial" w:cs="Arial" w:eastAsia="Arial" w:hAnsi="Arial"/>
          <w:sz w:val="16"/>
          <w:szCs w:val="16"/>
          <w:color w:val="auto"/>
        </w:rPr>
        <w:t>ordinary shares. This is our initial public offering of our ADSs, and no public market currently exists for our ADSs. We have applied to list our ADSs on The Nasdaq Global Market under the symbol “MREO.”</w:t>
      </w:r>
    </w:p>
    <w:p>
      <w:pPr>
        <w:spacing w:after="0" w:line="34" w:lineRule="exact"/>
        <w:rPr>
          <w:sz w:val="20"/>
          <w:szCs w:val="20"/>
          <w:color w:val="auto"/>
        </w:rPr>
      </w:pPr>
    </w:p>
    <w:p>
      <w:pPr>
        <w:ind w:left="200"/>
        <w:spacing w:after="0"/>
        <w:tabs>
          <w:tab w:leader="none" w:pos="1920" w:val="left"/>
        </w:tabs>
        <w:rPr>
          <w:sz w:val="20"/>
          <w:szCs w:val="20"/>
          <w:color w:val="auto"/>
        </w:rPr>
      </w:pPr>
      <w:r>
        <w:rPr>
          <w:rFonts w:ascii="Arial" w:cs="Arial" w:eastAsia="Arial" w:hAnsi="Arial"/>
          <w:sz w:val="16"/>
          <w:szCs w:val="16"/>
          <w:color w:val="auto"/>
        </w:rPr>
        <w:t>We are offering</w:t>
      </w:r>
      <w:r>
        <w:rPr>
          <w:sz w:val="20"/>
          <w:szCs w:val="20"/>
          <w:color w:val="auto"/>
        </w:rPr>
        <w:tab/>
      </w:r>
      <w:r>
        <w:rPr>
          <w:rFonts w:ascii="Arial" w:cs="Arial" w:eastAsia="Arial" w:hAnsi="Arial"/>
          <w:sz w:val="16"/>
          <w:szCs w:val="16"/>
          <w:color w:val="auto"/>
        </w:rPr>
        <w:t>ordinary shares through the underwriters named in this prospectus in Europe and countries outside of the United States and</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Canada in a concurrent private placement, or the European private placement.</w:t>
      </w:r>
    </w:p>
    <w:p>
      <w:pPr>
        <w:spacing w:after="0" w:line="59" w:lineRule="exact"/>
        <w:rPr>
          <w:sz w:val="20"/>
          <w:szCs w:val="20"/>
          <w:color w:val="auto"/>
        </w:rPr>
      </w:pPr>
    </w:p>
    <w:p>
      <w:pPr>
        <w:ind w:left="200" w:right="460"/>
        <w:spacing w:after="0" w:line="260" w:lineRule="auto"/>
        <w:rPr>
          <w:sz w:val="20"/>
          <w:szCs w:val="20"/>
          <w:color w:val="auto"/>
        </w:rPr>
      </w:pPr>
      <w:r>
        <w:rPr>
          <w:rFonts w:ascii="Arial" w:cs="Arial" w:eastAsia="Arial" w:hAnsi="Arial"/>
          <w:sz w:val="16"/>
          <w:szCs w:val="16"/>
          <w:color w:val="auto"/>
        </w:rPr>
        <w:t>The closing of each of the U.S. offering and the European private placement, together referred to as the global offering, will be conditioned upon the other. The total number of ordinary shares in the U.S. offering and the European private placement is subject to reallocation between them.</w:t>
      </w:r>
    </w:p>
    <w:p>
      <w:pPr>
        <w:spacing w:after="0" w:line="34" w:lineRule="exact"/>
        <w:rPr>
          <w:sz w:val="20"/>
          <w:szCs w:val="20"/>
          <w:color w:val="auto"/>
        </w:rPr>
      </w:pPr>
    </w:p>
    <w:p>
      <w:pPr>
        <w:ind w:left="200"/>
        <w:spacing w:after="0"/>
        <w:tabs>
          <w:tab w:leader="none" w:pos="8480" w:val="left"/>
        </w:tabs>
        <w:rPr>
          <w:sz w:val="20"/>
          <w:szCs w:val="20"/>
          <w:color w:val="auto"/>
        </w:rPr>
      </w:pPr>
      <w:r>
        <w:rPr>
          <w:rFonts w:ascii="Arial" w:cs="Arial" w:eastAsia="Arial" w:hAnsi="Arial"/>
          <w:sz w:val="16"/>
          <w:szCs w:val="16"/>
          <w:color w:val="auto"/>
        </w:rPr>
        <w:t>Our ordinary shares trade on AIM, a market of the London Stock Exchange, under the symbol “MPH.” On</w:t>
      </w:r>
      <w:r>
        <w:rPr>
          <w:sz w:val="20"/>
          <w:szCs w:val="20"/>
          <w:color w:val="auto"/>
        </w:rPr>
        <w:tab/>
      </w:r>
      <w:r>
        <w:rPr>
          <w:rFonts w:ascii="Arial" w:cs="Arial" w:eastAsia="Arial" w:hAnsi="Arial"/>
          <w:sz w:val="16"/>
          <w:szCs w:val="16"/>
          <w:color w:val="auto"/>
        </w:rPr>
        <w:t>, 2018, the last reported sale price of</w:t>
      </w:r>
    </w:p>
    <w:p>
      <w:pPr>
        <w:spacing w:after="0" w:line="5" w:lineRule="exact"/>
        <w:rPr>
          <w:sz w:val="20"/>
          <w:szCs w:val="20"/>
          <w:color w:val="auto"/>
        </w:rPr>
      </w:pPr>
    </w:p>
    <w:p>
      <w:pPr>
        <w:ind w:left="200"/>
        <w:spacing w:after="0"/>
        <w:tabs>
          <w:tab w:leader="none" w:pos="3240" w:val="left"/>
          <w:tab w:leader="none" w:pos="6060" w:val="left"/>
          <w:tab w:leader="none" w:pos="10080" w:val="left"/>
        </w:tabs>
        <w:rPr>
          <w:sz w:val="20"/>
          <w:szCs w:val="20"/>
          <w:color w:val="auto"/>
        </w:rPr>
      </w:pPr>
      <w:r>
        <w:rPr>
          <w:rFonts w:ascii="Arial" w:cs="Arial" w:eastAsia="Arial" w:hAnsi="Arial"/>
          <w:sz w:val="16"/>
          <w:szCs w:val="16"/>
          <w:color w:val="auto"/>
        </w:rPr>
        <w:t>our ordinary shares on AIM was £</w:t>
      </w:r>
      <w:r>
        <w:rPr>
          <w:sz w:val="20"/>
          <w:szCs w:val="20"/>
          <w:color w:val="auto"/>
        </w:rPr>
        <w:tab/>
      </w:r>
      <w:r>
        <w:rPr>
          <w:rFonts w:ascii="Arial" w:cs="Arial" w:eastAsia="Arial" w:hAnsi="Arial"/>
          <w:sz w:val="16"/>
          <w:szCs w:val="16"/>
          <w:color w:val="auto"/>
        </w:rPr>
        <w:t>per ordinary share (equivalent to $</w:t>
      </w:r>
      <w:r>
        <w:rPr>
          <w:sz w:val="20"/>
          <w:szCs w:val="20"/>
          <w:color w:val="auto"/>
        </w:rPr>
        <w:tab/>
      </w:r>
      <w:r>
        <w:rPr>
          <w:rFonts w:ascii="Arial" w:cs="Arial" w:eastAsia="Arial" w:hAnsi="Arial"/>
          <w:sz w:val="16"/>
          <w:szCs w:val="16"/>
          <w:color w:val="auto"/>
        </w:rPr>
        <w:t>per ADS based on an exchange rate of £1.00 to $</w:t>
      </w:r>
      <w:r>
        <w:rPr>
          <w:sz w:val="20"/>
          <w:szCs w:val="20"/>
          <w:color w:val="auto"/>
        </w:rPr>
        <w:tab/>
      </w:r>
      <w:r>
        <w:rPr>
          <w:rFonts w:ascii="Arial" w:cs="Arial" w:eastAsia="Arial" w:hAnsi="Arial"/>
          <w:sz w:val="16"/>
          <w:szCs w:val="16"/>
          <w:color w:val="auto"/>
        </w:rPr>
        <w:t>). For a</w:t>
      </w:r>
    </w:p>
    <w:p>
      <w:pPr>
        <w:spacing w:after="0" w:line="5" w:lineRule="exact"/>
        <w:rPr>
          <w:sz w:val="20"/>
          <w:szCs w:val="20"/>
          <w:color w:val="auto"/>
        </w:rPr>
      </w:pPr>
    </w:p>
    <w:p>
      <w:pPr>
        <w:ind w:left="200" w:right="180"/>
        <w:spacing w:after="0" w:line="260" w:lineRule="auto"/>
        <w:rPr>
          <w:sz w:val="20"/>
          <w:szCs w:val="20"/>
          <w:color w:val="auto"/>
        </w:rPr>
      </w:pPr>
      <w:r>
        <w:rPr>
          <w:rFonts w:ascii="Arial" w:cs="Arial" w:eastAsia="Arial" w:hAnsi="Arial"/>
          <w:sz w:val="16"/>
          <w:szCs w:val="16"/>
          <w:color w:val="auto"/>
        </w:rPr>
        <w:t>discussion of the factors considered in determining the initial public offering price of our ADSs in the U.S. offering and the price of our ordinary shares in the European private placement, see “Underwriting”.</w:t>
      </w:r>
    </w:p>
    <w:p>
      <w:pPr>
        <w:spacing w:after="0" w:line="34" w:lineRule="exact"/>
        <w:rPr>
          <w:sz w:val="20"/>
          <w:szCs w:val="20"/>
          <w:color w:val="auto"/>
        </w:rPr>
      </w:pPr>
    </w:p>
    <w:p>
      <w:pPr>
        <w:ind w:left="200" w:right="360"/>
        <w:spacing w:after="0" w:line="253" w:lineRule="auto"/>
        <w:rPr>
          <w:sz w:val="20"/>
          <w:szCs w:val="20"/>
          <w:color w:val="auto"/>
        </w:rPr>
      </w:pPr>
      <w:r>
        <w:rPr>
          <w:rFonts w:ascii="Arial" w:cs="Arial" w:eastAsia="Arial" w:hAnsi="Arial"/>
          <w:sz w:val="16"/>
          <w:szCs w:val="16"/>
          <w:color w:val="auto"/>
        </w:rPr>
        <w:t>We are an “emerging growth company” as defined in the Jumpstart Our Business Startups Act of 2012 and, as such, will be subject to reduced public company disclosure requirements. Please see “Prospectus Summary—Implications of Being an Emerging Growth Company and a Foreign Private Issuer” for additional information.</w:t>
      </w:r>
    </w:p>
    <w:p>
      <w:pPr>
        <w:spacing w:after="0" w:line="19" w:lineRule="exact"/>
        <w:rPr>
          <w:sz w:val="20"/>
          <w:szCs w:val="20"/>
          <w:color w:val="auto"/>
        </w:rPr>
      </w:pPr>
    </w:p>
    <w:p>
      <w:pPr>
        <w:ind w:left="200" w:right="280"/>
        <w:spacing w:after="0" w:line="286" w:lineRule="auto"/>
        <w:rPr>
          <w:rFonts w:ascii="Arial" w:cs="Arial" w:eastAsia="Arial" w:hAnsi="Arial"/>
          <w:sz w:val="16"/>
          <w:szCs w:val="16"/>
          <w:b w:val="1"/>
          <w:bCs w:val="1"/>
          <w:color w:val="auto"/>
        </w:rPr>
      </w:pPr>
      <w:r>
        <w:rPr>
          <w:rFonts w:ascii="Arial" w:cs="Arial" w:eastAsia="Arial" w:hAnsi="Arial"/>
          <w:sz w:val="16"/>
          <w:szCs w:val="16"/>
          <w:b w:val="1"/>
          <w:bCs w:val="1"/>
          <w:color w:val="auto"/>
        </w:rPr>
        <w:t>Our business and an investment in our ordinary shares and ADSs involve significant risks. See “</w:t>
      </w:r>
      <w:hyperlink w:anchor="page17">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13 of this prospectus.</w:t>
      </w:r>
    </w:p>
    <w:p>
      <w:pPr>
        <w:spacing w:after="0" w:line="14" w:lineRule="exact"/>
        <w:rPr>
          <w:sz w:val="20"/>
          <w:szCs w:val="20"/>
          <w:color w:val="auto"/>
        </w:rPr>
      </w:pPr>
    </w:p>
    <w:p>
      <w:pPr>
        <w:ind w:left="200" w:right="120"/>
        <w:spacing w:after="0" w:line="260"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PER</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ORDINARY</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360" w:type="dxa"/>
            <w:vAlign w:val="bottom"/>
            <w:vMerge w:val="restart"/>
          </w:tcPr>
          <w:p>
            <w:pPr>
              <w:spacing w:after="0"/>
              <w:rPr>
                <w:sz w:val="20"/>
                <w:szCs w:val="20"/>
                <w:color w:val="auto"/>
              </w:rPr>
            </w:pPr>
            <w:r>
              <w:rPr>
                <w:rFonts w:ascii="Arial" w:cs="Arial" w:eastAsia="Arial" w:hAnsi="Arial"/>
                <w:sz w:val="16"/>
                <w:szCs w:val="16"/>
                <w:b w:val="1"/>
                <w:bCs w:val="1"/>
                <w:color w:val="auto"/>
              </w:rPr>
              <w:t>Offering price</w:t>
            </w:r>
          </w:p>
        </w:tc>
        <w:tc>
          <w:tcPr>
            <w:tcW w:w="17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SHARE</w:t>
            </w:r>
          </w:p>
        </w:tc>
        <w:tc>
          <w:tcPr>
            <w:tcW w:w="2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96"/>
              </w:rPr>
              <w:t>PER ADS</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164"/>
        </w:trPr>
        <w:tc>
          <w:tcPr>
            <w:tcW w:w="636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jc w:val="right"/>
              <w:ind w:right="667"/>
              <w:spacing w:after="0" w:line="164" w:lineRule="exact"/>
              <w:rPr>
                <w:sz w:val="20"/>
                <w:szCs w:val="20"/>
                <w:color w:val="auto"/>
              </w:rPr>
            </w:pPr>
            <w:r>
              <w:rPr>
                <w:rFonts w:ascii="Arial" w:cs="Arial" w:eastAsia="Arial" w:hAnsi="Arial"/>
                <w:sz w:val="15"/>
                <w:szCs w:val="15"/>
                <w:b w:val="1"/>
                <w:bCs w:val="1"/>
                <w:color w:val="auto"/>
                <w:w w:val="71"/>
              </w:rPr>
              <w:t>£</w:t>
            </w:r>
          </w:p>
        </w:tc>
        <w:tc>
          <w:tcPr>
            <w:tcW w:w="280" w:type="dxa"/>
            <w:vAlign w:val="bottom"/>
          </w:tcPr>
          <w:p>
            <w:pPr>
              <w:spacing w:after="0"/>
              <w:rPr>
                <w:sz w:val="14"/>
                <w:szCs w:val="14"/>
                <w:color w:val="auto"/>
              </w:rPr>
            </w:pPr>
          </w:p>
        </w:tc>
        <w:tc>
          <w:tcPr>
            <w:tcW w:w="640" w:type="dxa"/>
            <w:vAlign w:val="bottom"/>
          </w:tcPr>
          <w:p>
            <w:pPr>
              <w:jc w:val="right"/>
              <w:ind w:right="486"/>
              <w:spacing w:after="0" w:line="164" w:lineRule="exact"/>
              <w:rPr>
                <w:sz w:val="20"/>
                <w:szCs w:val="20"/>
                <w:color w:val="auto"/>
              </w:rPr>
            </w:pPr>
            <w:r>
              <w:rPr>
                <w:rFonts w:ascii="Arial" w:cs="Arial" w:eastAsia="Arial" w:hAnsi="Arial"/>
                <w:sz w:val="15"/>
                <w:szCs w:val="15"/>
                <w:b w:val="1"/>
                <w:bCs w:val="1"/>
                <w:color w:val="auto"/>
                <w:w w:val="71"/>
              </w:rPr>
              <w:t>$</w:t>
            </w:r>
          </w:p>
        </w:tc>
        <w:tc>
          <w:tcPr>
            <w:tcW w:w="280" w:type="dxa"/>
            <w:vAlign w:val="bottom"/>
          </w:tcPr>
          <w:p>
            <w:pPr>
              <w:spacing w:after="0"/>
              <w:rPr>
                <w:sz w:val="14"/>
                <w:szCs w:val="14"/>
                <w:color w:val="auto"/>
              </w:rPr>
            </w:pPr>
          </w:p>
        </w:tc>
        <w:tc>
          <w:tcPr>
            <w:tcW w:w="820" w:type="dxa"/>
            <w:vAlign w:val="bottom"/>
          </w:tcPr>
          <w:p>
            <w:pPr>
              <w:jc w:val="right"/>
              <w:ind w:right="666"/>
              <w:spacing w:after="0" w:line="164" w:lineRule="exact"/>
              <w:rPr>
                <w:sz w:val="20"/>
                <w:szCs w:val="20"/>
                <w:color w:val="auto"/>
              </w:rPr>
            </w:pPr>
            <w:r>
              <w:rPr>
                <w:rFonts w:ascii="Arial" w:cs="Arial" w:eastAsia="Arial" w:hAnsi="Arial"/>
                <w:sz w:val="15"/>
                <w:szCs w:val="15"/>
                <w:b w:val="1"/>
                <w:bCs w:val="1"/>
                <w:color w:val="auto"/>
                <w:w w:val="71"/>
              </w:rPr>
              <w:t>$</w:t>
            </w:r>
          </w:p>
        </w:tc>
        <w:tc>
          <w:tcPr>
            <w:tcW w:w="0" w:type="dxa"/>
            <w:vAlign w:val="bottom"/>
          </w:tcPr>
          <w:p>
            <w:pPr>
              <w:spacing w:after="0"/>
              <w:rPr>
                <w:sz w:val="1"/>
                <w:szCs w:val="1"/>
                <w:color w:val="auto"/>
              </w:rPr>
            </w:pPr>
          </w:p>
        </w:tc>
      </w:tr>
      <w:tr>
        <w:trPr>
          <w:trHeight w:val="189"/>
        </w:trPr>
        <w:tc>
          <w:tcPr>
            <w:tcW w:w="6360" w:type="dxa"/>
            <w:vAlign w:val="bottom"/>
          </w:tcPr>
          <w:p>
            <w:pPr>
              <w:spacing w:after="0"/>
              <w:rPr>
                <w:sz w:val="20"/>
                <w:szCs w:val="20"/>
                <w:color w:val="auto"/>
              </w:rPr>
            </w:pPr>
            <w:r>
              <w:rPr>
                <w:rFonts w:ascii="Arial" w:cs="Arial" w:eastAsia="Arial" w:hAnsi="Arial"/>
                <w:sz w:val="16"/>
                <w:szCs w:val="16"/>
                <w:b w:val="1"/>
                <w:bCs w:val="1"/>
                <w:color w:val="auto"/>
              </w:rPr>
              <w:t>Underwriting discounts and commissions(1)</w:t>
            </w:r>
          </w:p>
        </w:tc>
        <w:tc>
          <w:tcPr>
            <w:tcW w:w="2600" w:type="dxa"/>
            <w:vAlign w:val="bottom"/>
            <w:gridSpan w:val="2"/>
          </w:tcPr>
          <w:p>
            <w:pPr>
              <w:jc w:val="right"/>
              <w:ind w:right="667"/>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486"/>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66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5"/>
        </w:trPr>
        <w:tc>
          <w:tcPr>
            <w:tcW w:w="6360" w:type="dxa"/>
            <w:vAlign w:val="bottom"/>
          </w:tcPr>
          <w:p>
            <w:pPr>
              <w:spacing w:after="0"/>
              <w:rPr>
                <w:sz w:val="20"/>
                <w:szCs w:val="20"/>
                <w:color w:val="auto"/>
              </w:rPr>
            </w:pPr>
            <w:r>
              <w:rPr>
                <w:rFonts w:ascii="Arial" w:cs="Arial" w:eastAsia="Arial" w:hAnsi="Arial"/>
                <w:sz w:val="16"/>
                <w:szCs w:val="16"/>
                <w:b w:val="1"/>
                <w:bCs w:val="1"/>
                <w:color w:val="auto"/>
              </w:rPr>
              <w:t>Proceeds, before expenses, to Mereo BioPharma Group plc</w:t>
            </w:r>
          </w:p>
        </w:tc>
        <w:tc>
          <w:tcPr>
            <w:tcW w:w="2600" w:type="dxa"/>
            <w:vAlign w:val="bottom"/>
            <w:gridSpan w:val="2"/>
          </w:tcPr>
          <w:p>
            <w:pPr>
              <w:jc w:val="right"/>
              <w:ind w:right="667"/>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486"/>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66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18180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  See “Underwriting” for additional information regarding underwriting compensation.</w:t>
      </w:r>
    </w:p>
    <w:p>
      <w:pPr>
        <w:spacing w:after="0" w:line="59" w:lineRule="exact"/>
        <w:rPr>
          <w:sz w:val="20"/>
          <w:szCs w:val="20"/>
          <w:color w:val="auto"/>
        </w:rPr>
      </w:pPr>
    </w:p>
    <w:p>
      <w:pPr>
        <w:ind w:left="200" w:right="420"/>
        <w:spacing w:after="0" w:line="260" w:lineRule="auto"/>
        <w:rPr>
          <w:sz w:val="20"/>
          <w:szCs w:val="20"/>
          <w:color w:val="auto"/>
        </w:rPr>
      </w:pPr>
      <w:r>
        <w:rPr>
          <w:rFonts w:ascii="Arial" w:cs="Arial" w:eastAsia="Arial" w:hAnsi="Arial"/>
          <w:sz w:val="16"/>
          <w:szCs w:val="16"/>
          <w:color w:val="auto"/>
        </w:rPr>
        <w:t>The underwriters may also purchase up to an additional ADSs from us in the U.S. offering at the initial public offering price, less underwriting discounts and commissions, within 30 days from the date of this prospectus to cover overallotments.</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underwriters expect to deliver ADSs in the U.S. offering and ordinary shares in the European private placement against payment in New York, New</w:t>
      </w:r>
    </w:p>
    <w:p>
      <w:pPr>
        <w:spacing w:after="0" w:line="5"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4380" w:type="dxa"/>
            <w:vAlign w:val="bottom"/>
          </w:tcPr>
          <w:p>
            <w:pPr>
              <w:spacing w:after="0"/>
              <w:rPr>
                <w:sz w:val="20"/>
                <w:szCs w:val="20"/>
                <w:color w:val="auto"/>
              </w:rPr>
            </w:pPr>
            <w:r>
              <w:rPr>
                <w:rFonts w:ascii="Arial" w:cs="Arial" w:eastAsia="Arial" w:hAnsi="Arial"/>
                <w:sz w:val="16"/>
                <w:szCs w:val="16"/>
                <w:color w:val="auto"/>
              </w:rPr>
              <w:t>York and London, United Kingdom, respectively, on or about</w:t>
            </w:r>
          </w:p>
        </w:tc>
        <w:tc>
          <w:tcPr>
            <w:tcW w:w="3380" w:type="dxa"/>
            <w:vAlign w:val="bottom"/>
          </w:tcPr>
          <w:p>
            <w:pPr>
              <w:jc w:val="right"/>
              <w:ind w:right="2081"/>
              <w:spacing w:after="0"/>
              <w:rPr>
                <w:sz w:val="20"/>
                <w:szCs w:val="20"/>
                <w:color w:val="auto"/>
              </w:rPr>
            </w:pPr>
            <w:r>
              <w:rPr>
                <w:rFonts w:ascii="Arial" w:cs="Arial" w:eastAsia="Arial" w:hAnsi="Arial"/>
                <w:sz w:val="16"/>
                <w:szCs w:val="16"/>
                <w:color w:val="auto"/>
              </w:rPr>
              <w:t>, 2018.</w:t>
            </w:r>
          </w:p>
        </w:tc>
        <w:tc>
          <w:tcPr>
            <w:tcW w:w="3280" w:type="dxa"/>
            <w:vAlign w:val="bottom"/>
          </w:tcPr>
          <w:p>
            <w:pPr>
              <w:spacing w:after="0"/>
              <w:rPr>
                <w:sz w:val="16"/>
                <w:szCs w:val="16"/>
                <w:color w:val="auto"/>
              </w:rPr>
            </w:pPr>
          </w:p>
        </w:tc>
      </w:tr>
      <w:tr>
        <w:trPr>
          <w:trHeight w:val="74"/>
        </w:trPr>
        <w:tc>
          <w:tcPr>
            <w:tcW w:w="4380" w:type="dxa"/>
            <w:vAlign w:val="bottom"/>
            <w:tcBorders>
              <w:bottom w:val="single" w:sz="8" w:color="auto"/>
            </w:tcBorders>
          </w:tcPr>
          <w:p>
            <w:pPr>
              <w:spacing w:after="0"/>
              <w:rPr>
                <w:sz w:val="6"/>
                <w:szCs w:val="6"/>
                <w:color w:val="auto"/>
              </w:rPr>
            </w:pPr>
          </w:p>
        </w:tc>
        <w:tc>
          <w:tcPr>
            <w:tcW w:w="338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r>
      <w:tr>
        <w:trPr>
          <w:trHeight w:val="374"/>
        </w:trPr>
        <w:tc>
          <w:tcPr>
            <w:tcW w:w="4380" w:type="dxa"/>
            <w:vAlign w:val="bottom"/>
          </w:tcPr>
          <w:p>
            <w:pPr>
              <w:spacing w:after="0"/>
              <w:rPr>
                <w:sz w:val="20"/>
                <w:szCs w:val="20"/>
                <w:color w:val="auto"/>
              </w:rPr>
            </w:pPr>
            <w:r>
              <w:rPr>
                <w:rFonts w:ascii="Arial" w:cs="Arial" w:eastAsia="Arial" w:hAnsi="Arial"/>
                <w:sz w:val="23"/>
                <w:szCs w:val="23"/>
                <w:b w:val="1"/>
                <w:bCs w:val="1"/>
                <w:color w:val="auto"/>
              </w:rPr>
              <w:t>Cowen</w:t>
            </w:r>
          </w:p>
        </w:tc>
        <w:tc>
          <w:tcPr>
            <w:tcW w:w="3380" w:type="dxa"/>
            <w:vAlign w:val="bottom"/>
          </w:tcPr>
          <w:p>
            <w:pPr>
              <w:jc w:val="right"/>
              <w:ind w:right="861"/>
              <w:spacing w:after="0"/>
              <w:rPr>
                <w:sz w:val="20"/>
                <w:szCs w:val="20"/>
                <w:color w:val="auto"/>
              </w:rPr>
            </w:pPr>
            <w:r>
              <w:rPr>
                <w:rFonts w:ascii="Arial" w:cs="Arial" w:eastAsia="Arial" w:hAnsi="Arial"/>
                <w:sz w:val="23"/>
                <w:szCs w:val="23"/>
                <w:b w:val="1"/>
                <w:bCs w:val="1"/>
                <w:color w:val="auto"/>
              </w:rPr>
              <w:t>BMO Capital Markets</w:t>
            </w:r>
          </w:p>
        </w:tc>
        <w:tc>
          <w:tcPr>
            <w:tcW w:w="3280" w:type="dxa"/>
            <w:vAlign w:val="bottom"/>
          </w:tcPr>
          <w:p>
            <w:pPr>
              <w:ind w:left="960"/>
              <w:spacing w:after="0"/>
              <w:rPr>
                <w:sz w:val="20"/>
                <w:szCs w:val="20"/>
                <w:color w:val="auto"/>
              </w:rPr>
            </w:pPr>
            <w:r>
              <w:rPr>
                <w:rFonts w:ascii="Arial" w:cs="Arial" w:eastAsia="Arial" w:hAnsi="Arial"/>
                <w:sz w:val="23"/>
                <w:szCs w:val="23"/>
                <w:b w:val="1"/>
                <w:bCs w:val="1"/>
                <w:color w:val="auto"/>
              </w:rPr>
              <w:t>RBC Capital Markets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109855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123190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Cantor Fitzgerald Europe</w:t>
      </w:r>
    </w:p>
    <w:p>
      <w:pPr>
        <w:sectPr>
          <w:pgSz w:w="11900" w:h="16838" w:orient="portrait"/>
          <w:cols w:equalWidth="0" w:num="1">
            <w:col w:w="11240"/>
          </w:cols>
          <w:pgMar w:left="240" w:top="459" w:right="419" w:bottom="1440" w:gutter="0" w:footer="0" w:header="0"/>
        </w:sectPr>
      </w:pPr>
    </w:p>
    <w:p>
      <w:pPr>
        <w:spacing w:after="0" w:line="74" w:lineRule="exact"/>
        <w:rPr>
          <w:sz w:val="20"/>
          <w:szCs w:val="20"/>
          <w:color w:val="auto"/>
        </w:rPr>
      </w:pPr>
    </w:p>
    <w:p>
      <w:pPr>
        <w:ind w:left="4480"/>
        <w:spacing w:after="0"/>
        <w:tabs>
          <w:tab w:leader="none" w:pos="6480" w:val="left"/>
        </w:tabs>
        <w:rPr>
          <w:sz w:val="20"/>
          <w:szCs w:val="20"/>
          <w:color w:val="auto"/>
        </w:rPr>
      </w:pPr>
      <w:r>
        <w:rPr>
          <w:rFonts w:ascii="Arial" w:cs="Arial" w:eastAsia="Arial" w:hAnsi="Arial"/>
          <w:sz w:val="16"/>
          <w:szCs w:val="16"/>
          <w:color w:val="auto"/>
        </w:rPr>
        <w:t>Prospectus dated</w:t>
      </w:r>
      <w:r>
        <w:rPr>
          <w:sz w:val="20"/>
          <w:szCs w:val="20"/>
          <w:color w:val="auto"/>
        </w:rPr>
        <w:tab/>
      </w:r>
      <w:r>
        <w:rPr>
          <w:rFonts w:ascii="Arial" w:cs="Arial" w:eastAsia="Arial" w:hAnsi="Arial"/>
          <w:sz w:val="16"/>
          <w:szCs w:val="16"/>
          <w:color w:val="auto"/>
        </w:rPr>
        <w:t>, 2018</w:t>
      </w:r>
    </w:p>
    <w:p>
      <w:pPr>
        <w:sectPr>
          <w:pgSz w:w="11900" w:h="16838" w:orient="portrait"/>
          <w:cols w:equalWidth="0" w:num="1">
            <w:col w:w="11240"/>
          </w:cols>
          <w:pgMar w:left="240" w:top="459" w:right="4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80" w:type="dxa"/>
            <w:vAlign w:val="bottom"/>
            <w:gridSpan w:val="3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1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80" w:type="dxa"/>
            <w:vAlign w:val="bottom"/>
            <w:gridSpan w:val="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4"/>
                <w:szCs w:val="24"/>
                <w:color w:val="auto"/>
              </w:rPr>
            </w:pPr>
          </w:p>
        </w:tc>
      </w:tr>
      <w:tr>
        <w:trPr>
          <w:trHeight w:val="527"/>
        </w:trPr>
        <w:tc>
          <w:tcPr>
            <w:tcW w:w="200" w:type="dxa"/>
            <w:vAlign w:val="bottom"/>
          </w:tcPr>
          <w:p>
            <w:pPr>
              <w:spacing w:after="0"/>
              <w:rPr>
                <w:sz w:val="24"/>
                <w:szCs w:val="24"/>
                <w:color w:val="auto"/>
              </w:rPr>
            </w:pPr>
          </w:p>
        </w:tc>
        <w:tc>
          <w:tcPr>
            <w:tcW w:w="182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About This Prospectus</w:t>
              </w:r>
            </w:hyperlink>
          </w:p>
        </w:tc>
        <w:tc>
          <w:tcPr>
            <w:tcW w:w="7060" w:type="dxa"/>
            <w:vAlign w:val="bottom"/>
            <w:gridSpan w:val="17"/>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83"/>
        </w:trPr>
        <w:tc>
          <w:tcPr>
            <w:tcW w:w="200" w:type="dxa"/>
            <w:vAlign w:val="bottom"/>
          </w:tcPr>
          <w:p>
            <w:pPr>
              <w:spacing w:after="0"/>
              <w:rPr>
                <w:sz w:val="15"/>
                <w:szCs w:val="15"/>
                <w:color w:val="auto"/>
              </w:rPr>
            </w:pPr>
          </w:p>
        </w:tc>
        <w:tc>
          <w:tcPr>
            <w:tcW w:w="294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Presentation of Financial Information</w:t>
              </w:r>
            </w:hyperlink>
          </w:p>
        </w:tc>
        <w:tc>
          <w:tcPr>
            <w:tcW w:w="5940" w:type="dxa"/>
            <w:vAlign w:val="bottom"/>
            <w:gridSpan w:val="11"/>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ii</w:t>
            </w: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17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7160" w:type="dxa"/>
            <w:vAlign w:val="bottom"/>
            <w:gridSpan w:val="18"/>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Cautionary Statement Regarding Forward-Looking Statements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r>
      <w:tr>
        <w:trPr>
          <w:trHeight w:val="183"/>
        </w:trPr>
        <w:tc>
          <w:tcPr>
            <w:tcW w:w="200" w:type="dxa"/>
            <w:vAlign w:val="bottom"/>
          </w:tcPr>
          <w:p>
            <w:pPr>
              <w:spacing w:after="0"/>
              <w:rPr>
                <w:sz w:val="15"/>
                <w:szCs w:val="15"/>
                <w:color w:val="auto"/>
              </w:rPr>
            </w:pPr>
          </w:p>
        </w:tc>
        <w:tc>
          <w:tcPr>
            <w:tcW w:w="498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Market and Industry Data</w:t>
              </w:r>
            </w:hyperlink>
          </w:p>
        </w:tc>
        <w:tc>
          <w:tcPr>
            <w:tcW w:w="3900" w:type="dxa"/>
            <w:vAlign w:val="bottom"/>
            <w:gridSpan w:val="2"/>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Trademarks, Service Marks and Tradenames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r>
      <w:tr>
        <w:trPr>
          <w:trHeight w:val="183"/>
        </w:trPr>
        <w:tc>
          <w:tcPr>
            <w:tcW w:w="200" w:type="dxa"/>
            <w:vAlign w:val="bottom"/>
          </w:tcPr>
          <w:p>
            <w:pPr>
              <w:spacing w:after="0"/>
              <w:rPr>
                <w:sz w:val="15"/>
                <w:szCs w:val="15"/>
                <w:color w:val="auto"/>
              </w:rPr>
            </w:pPr>
          </w:p>
        </w:tc>
        <w:tc>
          <w:tcPr>
            <w:tcW w:w="36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Exchange Rate Information</w:t>
              </w:r>
            </w:hyperlink>
          </w:p>
        </w:tc>
        <w:tc>
          <w:tcPr>
            <w:tcW w:w="5280" w:type="dxa"/>
            <w:vAlign w:val="bottom"/>
            <w:gridSpan w:val="6"/>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Price Range of Our Ordinary Shares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r>
      <w:tr>
        <w:trPr>
          <w:trHeight w:val="183"/>
        </w:trPr>
        <w:tc>
          <w:tcPr>
            <w:tcW w:w="20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74">
              <w:r>
                <w:rPr>
                  <w:rFonts w:ascii="Arial" w:cs="Arial" w:eastAsia="Arial" w:hAnsi="Arial"/>
                  <w:sz w:val="18"/>
                  <w:szCs w:val="18"/>
                  <w:color w:val="0000EE"/>
                  <w:w w:val="99"/>
                </w:rPr>
                <w:t>Use of Proceeds</w:t>
              </w:r>
            </w:hyperlink>
          </w:p>
        </w:tc>
        <w:tc>
          <w:tcPr>
            <w:tcW w:w="1560" w:type="dxa"/>
            <w:vAlign w:val="bottom"/>
            <w:tcBorders>
              <w:top w:val="single" w:sz="8" w:color="0000EE"/>
            </w:tcBorders>
            <w:gridSpan w:val="7"/>
          </w:tcPr>
          <w:p>
            <w:pPr>
              <w:spacing w:after="0"/>
              <w:rPr>
                <w:sz w:val="15"/>
                <w:szCs w:val="15"/>
                <w:color w:val="auto"/>
              </w:rPr>
            </w:pPr>
          </w:p>
        </w:tc>
        <w:tc>
          <w:tcPr>
            <w:tcW w:w="5980" w:type="dxa"/>
            <w:vAlign w:val="bottom"/>
            <w:gridSpan w:val="12"/>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r>
      <w:tr>
        <w:trPr>
          <w:trHeight w:val="183"/>
        </w:trPr>
        <w:tc>
          <w:tcPr>
            <w:tcW w:w="200" w:type="dxa"/>
            <w:vAlign w:val="bottom"/>
          </w:tcPr>
          <w:p>
            <w:pPr>
              <w:spacing w:after="0"/>
              <w:rPr>
                <w:sz w:val="15"/>
                <w:szCs w:val="15"/>
                <w:color w:val="auto"/>
              </w:rPr>
            </w:pPr>
          </w:p>
        </w:tc>
        <w:tc>
          <w:tcPr>
            <w:tcW w:w="12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Dividend Policy</w:t>
              </w:r>
            </w:hyperlink>
          </w:p>
        </w:tc>
        <w:tc>
          <w:tcPr>
            <w:tcW w:w="7640" w:type="dxa"/>
            <w:vAlign w:val="bottom"/>
            <w:gridSpan w:val="20"/>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Capitalization</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r>
      <w:tr>
        <w:trPr>
          <w:trHeight w:val="183"/>
        </w:trPr>
        <w:tc>
          <w:tcPr>
            <w:tcW w:w="200" w:type="dxa"/>
            <w:vAlign w:val="bottom"/>
          </w:tcPr>
          <w:p>
            <w:pPr>
              <w:spacing w:after="0"/>
              <w:rPr>
                <w:sz w:val="15"/>
                <w:szCs w:val="15"/>
                <w:color w:val="auto"/>
              </w:rPr>
            </w:pPr>
          </w:p>
        </w:tc>
        <w:tc>
          <w:tcPr>
            <w:tcW w:w="10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Dilution</w:t>
              </w:r>
            </w:hyperlink>
          </w:p>
        </w:tc>
        <w:tc>
          <w:tcPr>
            <w:tcW w:w="7800" w:type="dxa"/>
            <w:vAlign w:val="bottom"/>
            <w:gridSpan w:val="23"/>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Selected Consolidated Financial Data</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77</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Management’s Discussion and Analysis of Financial Condition and Results of Operations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r>
      <w:tr>
        <w:trPr>
          <w:trHeight w:val="183"/>
        </w:trPr>
        <w:tc>
          <w:tcPr>
            <w:tcW w:w="200" w:type="dxa"/>
            <w:vAlign w:val="bottom"/>
          </w:tcPr>
          <w:p>
            <w:pPr>
              <w:spacing w:after="0"/>
              <w:rPr>
                <w:sz w:val="15"/>
                <w:szCs w:val="15"/>
                <w:color w:val="auto"/>
              </w:rPr>
            </w:pPr>
          </w:p>
        </w:tc>
        <w:tc>
          <w:tcPr>
            <w:tcW w:w="7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100">
              <w:r>
                <w:rPr>
                  <w:rFonts w:ascii="Arial" w:cs="Arial" w:eastAsia="Arial" w:hAnsi="Arial"/>
                  <w:sz w:val="18"/>
                  <w:szCs w:val="18"/>
                  <w:color w:val="0000EE"/>
                  <w:w w:val="98"/>
                </w:rPr>
                <w:t>Business</w:t>
              </w:r>
            </w:hyperlink>
          </w:p>
        </w:tc>
        <w:tc>
          <w:tcPr>
            <w:tcW w:w="6340" w:type="dxa"/>
            <w:vAlign w:val="bottom"/>
            <w:tcBorders>
              <w:top w:val="single" w:sz="8" w:color="0000EE"/>
            </w:tcBorders>
            <w:gridSpan w:val="26"/>
          </w:tcPr>
          <w:p>
            <w:pPr>
              <w:spacing w:after="0"/>
              <w:rPr>
                <w:sz w:val="15"/>
                <w:szCs w:val="15"/>
                <w:color w:val="auto"/>
              </w:rPr>
            </w:pPr>
          </w:p>
        </w:tc>
        <w:tc>
          <w:tcPr>
            <w:tcW w:w="1800" w:type="dxa"/>
            <w:vAlign w:val="bottom"/>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r>
      <w:tr>
        <w:trPr>
          <w:trHeight w:val="183"/>
        </w:trPr>
        <w:tc>
          <w:tcPr>
            <w:tcW w:w="200" w:type="dxa"/>
            <w:vAlign w:val="bottom"/>
          </w:tcPr>
          <w:p>
            <w:pPr>
              <w:spacing w:after="0"/>
              <w:rPr>
                <w:sz w:val="15"/>
                <w:szCs w:val="15"/>
                <w:color w:val="auto"/>
              </w:rPr>
            </w:pPr>
          </w:p>
        </w:tc>
        <w:tc>
          <w:tcPr>
            <w:tcW w:w="106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145">
              <w:r>
                <w:rPr>
                  <w:rFonts w:ascii="Arial" w:cs="Arial" w:eastAsia="Arial" w:hAnsi="Arial"/>
                  <w:sz w:val="18"/>
                  <w:szCs w:val="18"/>
                  <w:color w:val="0000EE"/>
                  <w:w w:val="98"/>
                </w:rPr>
                <w:t>Management</w:t>
              </w:r>
            </w:hyperlink>
          </w:p>
        </w:tc>
        <w:tc>
          <w:tcPr>
            <w:tcW w:w="7820" w:type="dxa"/>
            <w:vAlign w:val="bottom"/>
            <w:gridSpan w:val="24"/>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141</w:t>
            </w:r>
          </w:p>
        </w:tc>
      </w:tr>
      <w:tr>
        <w:trPr>
          <w:trHeight w:val="183"/>
        </w:trPr>
        <w:tc>
          <w:tcPr>
            <w:tcW w:w="200" w:type="dxa"/>
            <w:vAlign w:val="bottom"/>
          </w:tcPr>
          <w:p>
            <w:pPr>
              <w:spacing w:after="0"/>
              <w:rPr>
                <w:sz w:val="15"/>
                <w:szCs w:val="15"/>
                <w:color w:val="auto"/>
              </w:rPr>
            </w:pPr>
          </w:p>
        </w:tc>
        <w:tc>
          <w:tcPr>
            <w:tcW w:w="182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60">
              <w:r>
                <w:rPr>
                  <w:rFonts w:ascii="Arial" w:cs="Arial" w:eastAsia="Arial" w:hAnsi="Arial"/>
                  <w:sz w:val="18"/>
                  <w:szCs w:val="18"/>
                  <w:color w:val="0000EE"/>
                  <w:w w:val="99"/>
                </w:rPr>
                <w:t>Principal Shareholders</w:t>
              </w:r>
            </w:hyperlink>
          </w:p>
        </w:tc>
        <w:tc>
          <w:tcPr>
            <w:tcW w:w="7060" w:type="dxa"/>
            <w:vAlign w:val="bottom"/>
            <w:gridSpan w:val="17"/>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156</w:t>
            </w: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162">
              <w:r>
                <w:rPr>
                  <w:rFonts w:ascii="Arial" w:cs="Arial" w:eastAsia="Arial" w:hAnsi="Arial"/>
                  <w:sz w:val="18"/>
                  <w:szCs w:val="18"/>
                  <w:color w:val="0000EE"/>
                </w:rPr>
                <w:t>Related Party Transactions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158</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164">
              <w:r>
                <w:rPr>
                  <w:rFonts w:ascii="Arial" w:cs="Arial" w:eastAsia="Arial" w:hAnsi="Arial"/>
                  <w:sz w:val="18"/>
                  <w:szCs w:val="18"/>
                  <w:color w:val="0000EE"/>
                </w:rPr>
                <w:t>Description of Share Capital and Articles of Association</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160</w:t>
            </w:r>
          </w:p>
        </w:tc>
      </w:tr>
      <w:tr>
        <w:trPr>
          <w:trHeight w:val="183"/>
        </w:trPr>
        <w:tc>
          <w:tcPr>
            <w:tcW w:w="200" w:type="dxa"/>
            <w:vAlign w:val="bottom"/>
          </w:tcPr>
          <w:p>
            <w:pPr>
              <w:spacing w:after="0"/>
              <w:rPr>
                <w:sz w:val="15"/>
                <w:szCs w:val="15"/>
                <w:color w:val="auto"/>
              </w:rPr>
            </w:pPr>
          </w:p>
        </w:tc>
        <w:tc>
          <w:tcPr>
            <w:tcW w:w="440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181">
              <w:r>
                <w:rPr>
                  <w:rFonts w:ascii="Arial" w:cs="Arial" w:eastAsia="Arial" w:hAnsi="Arial"/>
                  <w:sz w:val="18"/>
                  <w:szCs w:val="18"/>
                  <w:color w:val="0000EE"/>
                </w:rPr>
                <w:t>Description of American Depositary Shares</w:t>
              </w:r>
            </w:hyperlink>
          </w:p>
        </w:tc>
        <w:tc>
          <w:tcPr>
            <w:tcW w:w="4480" w:type="dxa"/>
            <w:vAlign w:val="bottom"/>
            <w:gridSpan w:val="3"/>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177</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192">
              <w:r>
                <w:rPr>
                  <w:rFonts w:ascii="Arial" w:cs="Arial" w:eastAsia="Arial" w:hAnsi="Arial"/>
                  <w:sz w:val="18"/>
                  <w:szCs w:val="18"/>
                  <w:color w:val="0000EE"/>
                </w:rPr>
                <w:t>Ordinary Shares and ADSs Eligible For Future Sale</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188</w:t>
            </w:r>
          </w:p>
        </w:tc>
      </w:tr>
      <w:tr>
        <w:trPr>
          <w:trHeight w:val="183"/>
        </w:trPr>
        <w:tc>
          <w:tcPr>
            <w:tcW w:w="200" w:type="dxa"/>
            <w:vAlign w:val="bottom"/>
          </w:tcPr>
          <w:p>
            <w:pPr>
              <w:spacing w:after="0"/>
              <w:rPr>
                <w:sz w:val="15"/>
                <w:szCs w:val="15"/>
                <w:color w:val="auto"/>
              </w:rPr>
            </w:pPr>
          </w:p>
        </w:tc>
        <w:tc>
          <w:tcPr>
            <w:tcW w:w="410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194">
              <w:r>
                <w:rPr>
                  <w:rFonts w:ascii="Arial" w:cs="Arial" w:eastAsia="Arial" w:hAnsi="Arial"/>
                  <w:sz w:val="18"/>
                  <w:szCs w:val="18"/>
                  <w:color w:val="0000EE"/>
                </w:rPr>
                <w:t>Material Tax Considerations</w:t>
              </w:r>
            </w:hyperlink>
          </w:p>
        </w:tc>
        <w:tc>
          <w:tcPr>
            <w:tcW w:w="4780" w:type="dxa"/>
            <w:vAlign w:val="bottom"/>
            <w:gridSpan w:val="4"/>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190</w:t>
            </w:r>
          </w:p>
        </w:tc>
      </w:tr>
      <w:tr>
        <w:trPr>
          <w:trHeight w:val="183"/>
        </w:trPr>
        <w:tc>
          <w:tcPr>
            <w:tcW w:w="200" w:type="dxa"/>
            <w:vAlign w:val="bottom"/>
          </w:tcPr>
          <w:p>
            <w:pPr>
              <w:spacing w:after="0"/>
              <w:rPr>
                <w:sz w:val="15"/>
                <w:szCs w:val="15"/>
                <w:color w:val="auto"/>
              </w:rPr>
            </w:pPr>
          </w:p>
        </w:tc>
        <w:tc>
          <w:tcPr>
            <w:tcW w:w="10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204">
              <w:r>
                <w:rPr>
                  <w:rFonts w:ascii="Arial" w:cs="Arial" w:eastAsia="Arial" w:hAnsi="Arial"/>
                  <w:sz w:val="18"/>
                  <w:szCs w:val="18"/>
                  <w:color w:val="0000EE"/>
                  <w:w w:val="98"/>
                </w:rPr>
                <w:t>Underwriting</w:t>
              </w:r>
            </w:hyperlink>
          </w:p>
        </w:tc>
        <w:tc>
          <w:tcPr>
            <w:tcW w:w="1200" w:type="dxa"/>
            <w:vAlign w:val="bottom"/>
            <w:tcBorders>
              <w:top w:val="single" w:sz="8" w:color="0000EE"/>
            </w:tcBorders>
            <w:gridSpan w:val="12"/>
          </w:tcPr>
          <w:p>
            <w:pPr>
              <w:spacing w:after="0"/>
              <w:rPr>
                <w:sz w:val="15"/>
                <w:szCs w:val="15"/>
                <w:color w:val="auto"/>
              </w:rPr>
            </w:pPr>
          </w:p>
        </w:tc>
        <w:tc>
          <w:tcPr>
            <w:tcW w:w="6660" w:type="dxa"/>
            <w:vAlign w:val="bottom"/>
            <w:gridSpan w:val="13"/>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200</w:t>
            </w: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212">
              <w:r>
                <w:rPr>
                  <w:rFonts w:ascii="Arial" w:cs="Arial" w:eastAsia="Arial" w:hAnsi="Arial"/>
                  <w:sz w:val="18"/>
                  <w:szCs w:val="18"/>
                  <w:color w:val="0000EE"/>
                </w:rPr>
                <w:t>Expenses of The Offering</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208</w:t>
            </w:r>
          </w:p>
        </w:tc>
      </w:tr>
      <w:tr>
        <w:trPr>
          <w:trHeight w:val="183"/>
        </w:trPr>
        <w:tc>
          <w:tcPr>
            <w:tcW w:w="200" w:type="dxa"/>
            <w:vAlign w:val="bottom"/>
          </w:tcPr>
          <w:p>
            <w:pPr>
              <w:spacing w:after="0"/>
              <w:rPr>
                <w:sz w:val="15"/>
                <w:szCs w:val="15"/>
                <w:color w:val="auto"/>
              </w:rPr>
            </w:pPr>
          </w:p>
        </w:tc>
        <w:tc>
          <w:tcPr>
            <w:tcW w:w="11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8"/>
              </w:rPr>
            </w:pPr>
            <w:hyperlink w:anchor="page213">
              <w:r>
                <w:rPr>
                  <w:rFonts w:ascii="Arial" w:cs="Arial" w:eastAsia="Arial" w:hAnsi="Arial"/>
                  <w:sz w:val="18"/>
                  <w:szCs w:val="18"/>
                  <w:color w:val="0000EE"/>
                  <w:w w:val="98"/>
                </w:rPr>
                <w:t>Legal Matters</w:t>
              </w:r>
            </w:hyperlink>
          </w:p>
        </w:tc>
        <w:tc>
          <w:tcPr>
            <w:tcW w:w="940" w:type="dxa"/>
            <w:vAlign w:val="bottom"/>
            <w:tcBorders>
              <w:top w:val="single" w:sz="8" w:color="0000EE"/>
            </w:tcBorders>
            <w:gridSpan w:val="7"/>
          </w:tcPr>
          <w:p>
            <w:pPr>
              <w:spacing w:after="0"/>
              <w:rPr>
                <w:sz w:val="15"/>
                <w:szCs w:val="15"/>
                <w:color w:val="auto"/>
              </w:rPr>
            </w:pPr>
          </w:p>
        </w:tc>
        <w:tc>
          <w:tcPr>
            <w:tcW w:w="6840" w:type="dxa"/>
            <w:vAlign w:val="bottom"/>
            <w:gridSpan w:val="15"/>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209</w:t>
            </w:r>
          </w:p>
        </w:tc>
      </w:tr>
      <w:tr>
        <w:trPr>
          <w:trHeight w:val="183"/>
        </w:trPr>
        <w:tc>
          <w:tcPr>
            <w:tcW w:w="200" w:type="dxa"/>
            <w:vAlign w:val="bottom"/>
          </w:tcPr>
          <w:p>
            <w:pPr>
              <w:spacing w:after="0"/>
              <w:rPr>
                <w:sz w:val="15"/>
                <w:szCs w:val="15"/>
                <w:color w:val="auto"/>
              </w:rPr>
            </w:pPr>
          </w:p>
        </w:tc>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213">
              <w:r>
                <w:rPr>
                  <w:rFonts w:ascii="Arial" w:cs="Arial" w:eastAsia="Arial" w:hAnsi="Arial"/>
                  <w:sz w:val="18"/>
                  <w:szCs w:val="18"/>
                  <w:color w:val="0000EE"/>
                  <w:w w:val="98"/>
                </w:rPr>
                <w:t>Experts</w:t>
              </w:r>
            </w:hyperlink>
          </w:p>
        </w:tc>
        <w:tc>
          <w:tcPr>
            <w:tcW w:w="8260" w:type="dxa"/>
            <w:vAlign w:val="bottom"/>
            <w:gridSpan w:val="28"/>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209</w:t>
            </w:r>
          </w:p>
        </w:tc>
      </w:tr>
      <w:tr>
        <w:trPr>
          <w:trHeight w:val="183"/>
        </w:trPr>
        <w:tc>
          <w:tcPr>
            <w:tcW w:w="200" w:type="dxa"/>
            <w:vAlign w:val="bottom"/>
          </w:tcPr>
          <w:p>
            <w:pPr>
              <w:spacing w:after="0"/>
              <w:rPr>
                <w:sz w:val="15"/>
                <w:szCs w:val="15"/>
                <w:color w:val="auto"/>
              </w:rPr>
            </w:pPr>
          </w:p>
        </w:tc>
        <w:tc>
          <w:tcPr>
            <w:tcW w:w="392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214">
              <w:r>
                <w:rPr>
                  <w:rFonts w:ascii="Arial" w:cs="Arial" w:eastAsia="Arial" w:hAnsi="Arial"/>
                  <w:sz w:val="18"/>
                  <w:szCs w:val="18"/>
                  <w:color w:val="0000EE"/>
                  <w:w w:val="99"/>
                </w:rPr>
                <w:t>Service of Process and Enforcement of Liabilities</w:t>
              </w:r>
            </w:hyperlink>
          </w:p>
        </w:tc>
        <w:tc>
          <w:tcPr>
            <w:tcW w:w="4960" w:type="dxa"/>
            <w:vAlign w:val="bottom"/>
            <w:gridSpan w:val="5"/>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210</w:t>
            </w:r>
          </w:p>
        </w:tc>
      </w:tr>
      <w:tr>
        <w:trPr>
          <w:trHeight w:val="183"/>
        </w:trPr>
        <w:tc>
          <w:tcPr>
            <w:tcW w:w="200" w:type="dxa"/>
            <w:vAlign w:val="bottom"/>
          </w:tcPr>
          <w:p>
            <w:pPr>
              <w:spacing w:after="0"/>
              <w:rPr>
                <w:sz w:val="15"/>
                <w:szCs w:val="15"/>
                <w:color w:val="auto"/>
              </w:rPr>
            </w:pPr>
          </w:p>
        </w:tc>
        <w:tc>
          <w:tcPr>
            <w:tcW w:w="3080" w:type="dxa"/>
            <w:vAlign w:val="bottom"/>
            <w:tcBorders>
              <w:bottom w:val="single" w:sz="8" w:color="0000EE"/>
            </w:tcBorders>
            <w:gridSpan w:val="21"/>
          </w:tcPr>
          <w:p>
            <w:pPr>
              <w:spacing w:after="0" w:line="182" w:lineRule="exact"/>
              <w:rPr>
                <w:rFonts w:ascii="Arial" w:cs="Arial" w:eastAsia="Arial" w:hAnsi="Arial"/>
                <w:sz w:val="18"/>
                <w:szCs w:val="18"/>
                <w:color w:val="0000EE"/>
                <w:w w:val="98"/>
              </w:rPr>
            </w:pPr>
            <w:hyperlink w:anchor="page216">
              <w:r>
                <w:rPr>
                  <w:rFonts w:ascii="Arial" w:cs="Arial" w:eastAsia="Arial" w:hAnsi="Arial"/>
                  <w:sz w:val="18"/>
                  <w:szCs w:val="18"/>
                  <w:color w:val="0000EE"/>
                  <w:w w:val="98"/>
                </w:rPr>
                <w:t>Where You Can Find More Information</w:t>
              </w:r>
            </w:hyperlink>
          </w:p>
        </w:tc>
        <w:tc>
          <w:tcPr>
            <w:tcW w:w="5800" w:type="dxa"/>
            <w:vAlign w:val="bottom"/>
            <w:gridSpan w:val="9"/>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212</w:t>
            </w:r>
          </w:p>
        </w:tc>
      </w:tr>
      <w:tr>
        <w:trPr>
          <w:trHeight w:val="183"/>
        </w:trPr>
        <w:tc>
          <w:tcPr>
            <w:tcW w:w="200" w:type="dxa"/>
            <w:vAlign w:val="bottom"/>
          </w:tcPr>
          <w:p>
            <w:pPr>
              <w:spacing w:after="0"/>
              <w:rPr>
                <w:sz w:val="15"/>
                <w:szCs w:val="15"/>
                <w:color w:val="auto"/>
              </w:rPr>
            </w:pPr>
          </w:p>
        </w:tc>
        <w:tc>
          <w:tcPr>
            <w:tcW w:w="348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217">
              <w:r>
                <w:rPr>
                  <w:rFonts w:ascii="Arial" w:cs="Arial" w:eastAsia="Arial" w:hAnsi="Arial"/>
                  <w:sz w:val="18"/>
                  <w:szCs w:val="18"/>
                  <w:color w:val="0000EE"/>
                  <w:w w:val="99"/>
                </w:rPr>
                <w:t>Index to Consolidated Financial Statements</w:t>
              </w:r>
            </w:hyperlink>
          </w:p>
        </w:tc>
        <w:tc>
          <w:tcPr>
            <w:tcW w:w="5400" w:type="dxa"/>
            <w:vAlign w:val="bottom"/>
            <w:gridSpan w:val="7"/>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231775</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00" w:firstLine="331"/>
        <w:spacing w:after="0" w:line="242" w:lineRule="auto"/>
        <w:rPr>
          <w:sz w:val="20"/>
          <w:szCs w:val="20"/>
          <w:color w:val="auto"/>
        </w:rPr>
      </w:pPr>
      <w:r>
        <w:rPr>
          <w:rFonts w:ascii="Arial" w:cs="Arial" w:eastAsia="Arial" w:hAnsi="Arial"/>
          <w:sz w:val="18"/>
          <w:szCs w:val="18"/>
          <w:b w:val="1"/>
          <w:bCs w:val="1"/>
          <w:color w:val="auto"/>
        </w:rPr>
        <w:t>We are responsible for the information contained in this prospectus and any free-writing prospectus we prepare or authorize. We have not, and the underwriters have not, authorized anyone to provide you with different information, and we and the underwriters take no responsibility for any other information others may give you. We are not, and the underwriters are not, making an offer to sell our ADSs or ordinary shares in any jurisdiction where the offer or sale is not permitted. You should not assume that the information contained in this prospectus is accurate as of any date other than the date on the front cover of this prospectus, regardless of the time of delivery of this prospectus or the sale of any ADSs or ordinary shares.</w:t>
      </w:r>
    </w:p>
    <w:p>
      <w:pPr>
        <w:spacing w:after="0" w:line="201"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the global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global offering and the distribution of this prospectus outside the United States.</w:t>
      </w:r>
    </w:p>
    <w:p>
      <w:pPr>
        <w:spacing w:after="0" w:line="202"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We are a public limited company incorporated under the laws of England and Wales and a majority of our outstanding securities are owned by non-U.S. residents. Under the rules of the U.S.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ectPr>
          <w:pgSz w:w="11900" w:h="16838" w:orient="portrait"/>
          <w:cols w:equalWidth="0" w:num="1">
            <w:col w:w="11200"/>
          </w:cols>
          <w:pgMar w:left="240" w:top="44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342"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Unless otherwise indicated or the context otherwise requires, all references in this prospectus to the terms “Mereo,” the “Company,” “we,” “us,” and “our” refer to Mereo BioPharma Group plc and our wholly owned subsidiaries Mereo BioPharma 1 Limited, Mereo BioPharma 2 Limited, Mereo BioPharma 3 Limited, and Mereo BioPharma 4 Limited.</w:t>
      </w: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342" w:lineRule="exact"/>
        <w:rPr>
          <w:sz w:val="20"/>
          <w:szCs w:val="20"/>
          <w:color w:val="auto"/>
        </w:rPr>
      </w:pPr>
    </w:p>
    <w:p>
      <w:pPr>
        <w:jc w:val="both"/>
        <w:ind w:left="200" w:right="220" w:firstLine="331"/>
        <w:spacing w:after="0"/>
        <w:rPr>
          <w:sz w:val="20"/>
          <w:szCs w:val="20"/>
          <w:color w:val="auto"/>
        </w:rPr>
      </w:pPr>
      <w:r>
        <w:rPr>
          <w:rFonts w:ascii="Arial" w:cs="Arial" w:eastAsia="Arial" w:hAnsi="Arial"/>
          <w:sz w:val="18"/>
          <w:szCs w:val="18"/>
          <w:color w:val="auto"/>
        </w:rPr>
        <w:t>This prospectus includes our audited consolidated financial statements as of and for the years ended December 31, 2016 and 2017 prepared in accordance with International Financial Reporting Standards, or IFRS, as issued by the International Accounting Standards Board, or IASB. None of our financial statements were prepared in accordance with U.S. GAAP.</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financial information is presented in pounds sterling. For the convenience of the reader, in this prospectus, unless otherwise</w:t>
      </w:r>
    </w:p>
    <w:p>
      <w:pPr>
        <w:ind w:left="200"/>
        <w:spacing w:after="0" w:line="234" w:lineRule="auto"/>
        <w:rPr>
          <w:sz w:val="20"/>
          <w:szCs w:val="20"/>
          <w:color w:val="auto"/>
        </w:rPr>
      </w:pPr>
      <w:r>
        <w:rPr>
          <w:rFonts w:ascii="Arial" w:cs="Arial" w:eastAsia="Arial" w:hAnsi="Arial"/>
          <w:sz w:val="18"/>
          <w:szCs w:val="18"/>
          <w:color w:val="auto"/>
        </w:rPr>
        <w:t>indicated, translations from pounds sterling into U.S. dollars were made at the rate of £1.00 to $ , which was the noon buying rate of the Federal Reserve Bank of New York on . Such U.S. dollar amounts are not necessarily indicative of the amounts of</w:t>
      </w:r>
    </w:p>
    <w:p>
      <w:pPr>
        <w:spacing w:after="0" w:line="2" w:lineRule="exact"/>
        <w:rPr>
          <w:sz w:val="20"/>
          <w:szCs w:val="20"/>
          <w:color w:val="auto"/>
        </w:rPr>
      </w:pPr>
    </w:p>
    <w:p>
      <w:pPr>
        <w:ind w:left="200" w:right="580"/>
        <w:spacing w:after="0" w:line="246" w:lineRule="auto"/>
        <w:rPr>
          <w:sz w:val="20"/>
          <w:szCs w:val="20"/>
          <w:color w:val="auto"/>
        </w:rPr>
      </w:pPr>
      <w:r>
        <w:rPr>
          <w:rFonts w:ascii="Arial" w:cs="Arial" w:eastAsia="Arial" w:hAnsi="Arial"/>
          <w:sz w:val="18"/>
          <w:szCs w:val="18"/>
          <w:color w:val="auto"/>
        </w:rPr>
        <w:t>U.S. dollars that could actually have been purchased upon exchange of pounds sterling at the dates indicated. All references in this prospectus to “$” mean U.S. dollars and all references to “£” and “GBP” mean pounds sterling.</w:t>
      </w:r>
    </w:p>
    <w:p>
      <w:pPr>
        <w:spacing w:after="0" w:line="197" w:lineRule="exact"/>
        <w:rPr>
          <w:sz w:val="20"/>
          <w:szCs w:val="20"/>
          <w:color w:val="auto"/>
        </w:rPr>
      </w:pPr>
    </w:p>
    <w:p>
      <w:pPr>
        <w:ind w:left="200" w:right="460" w:firstLine="331"/>
        <w:spacing w:after="0" w:line="246" w:lineRule="auto"/>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preceded them.</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61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61614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324" w:lineRule="exact"/>
        <w:rPr>
          <w:sz w:val="20"/>
          <w:szCs w:val="20"/>
          <w:color w:val="auto"/>
        </w:rPr>
      </w:pPr>
    </w:p>
    <w:p>
      <w:pPr>
        <w:ind w:left="380" w:right="40" w:firstLine="320"/>
        <w:spacing w:after="0" w:line="245"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“Risk Factors,” “Business,” “Management’s Discussion and Analysis of Financial Condition and Results of Operations” and our consolidated financial statements, including the notes thereto, before deciding to invest in our ADSs or ordinary shares.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85" w:lineRule="exact"/>
        <w:rPr>
          <w:sz w:val="20"/>
          <w:szCs w:val="20"/>
          <w:color w:val="auto"/>
        </w:rPr>
      </w:pPr>
    </w:p>
    <w:p>
      <w:pPr>
        <w:ind w:left="380" w:firstLine="320"/>
        <w:spacing w:after="0" w:line="236" w:lineRule="auto"/>
        <w:rPr>
          <w:sz w:val="20"/>
          <w:szCs w:val="20"/>
          <w:color w:val="auto"/>
        </w:rPr>
      </w:pPr>
      <w:r>
        <w:rPr>
          <w:rFonts w:ascii="Arial" w:cs="Arial" w:eastAsia="Arial" w:hAnsi="Arial"/>
          <w:sz w:val="18"/>
          <w:szCs w:val="18"/>
          <w:color w:val="auto"/>
        </w:rPr>
        <w:t>We are a multi-asset biopharmaceutical company focused on the acquisition, development, and commercialization of innovative therapeutics that aim to improve outcomes for patients with rare and specialty diseases. Our portfolio consists of four clinical-stage product candidates, each of which we acquired from large pharmaceutical companies. We are developing BPS-804 for the treatment of osteogenesis imperfecta, or OI, AZD-9668 for the treatment of severe alpha-1 antitrypsin deficiency, or AATD, BCT-197 for the treatment of acute exacerbations of chronic obstructive pulmonary disease, or AECOPD, and BGS-649 for the treatment of hypogonadotropic hypogonadism, or HH, in obese men. Each of our product candidates has generated positive clinical data for our target indication or for a related indication. We believe our portfolio is well diversified because each of our product candidates employs a different mechanism of action and targets a separate indication. We intend to develop and directly commercialize our rare disease product candidates. For our specialty disease product candidates, we intend to develop them through late-stage clinical milestones and then seek strategic relationships for further clinical development and/or commercialization.</w:t>
      </w:r>
    </w:p>
    <w:p>
      <w:pPr>
        <w:spacing w:after="0" w:line="207" w:lineRule="exact"/>
        <w:rPr>
          <w:sz w:val="20"/>
          <w:szCs w:val="20"/>
          <w:color w:val="auto"/>
        </w:rPr>
      </w:pPr>
    </w:p>
    <w:p>
      <w:pPr>
        <w:ind w:left="380" w:right="40" w:firstLine="320"/>
        <w:spacing w:after="0" w:line="237" w:lineRule="auto"/>
        <w:rPr>
          <w:sz w:val="20"/>
          <w:szCs w:val="20"/>
          <w:color w:val="auto"/>
        </w:rPr>
      </w:pPr>
      <w:r>
        <w:rPr>
          <w:rFonts w:ascii="Arial" w:cs="Arial" w:eastAsia="Arial" w:hAnsi="Arial"/>
          <w:sz w:val="18"/>
          <w:szCs w:val="18"/>
          <w:color w:val="auto"/>
        </w:rPr>
        <w:t>Our strategy is to selectively acquire product candidates that have already received significant investment from pharmaceutical companies and that have substantial pre-clinical, clinical, and manufacturing data packages. Since our inception in March 2015, we have successfully executed on this strategy by acquiring our current product candidates from Novartis Pharma AG, or Novartis, and AstraZeneca AB, or AstraZeneca. We have commenced or completed large, randomized, placebo-controlled Phase 2 clinical trials for three of our product candidates. In December 2017, we reported top-line data from our completed Phase 2 dose-ranging clinical trial for BCT-197. We intend to commence additional late-stage clinical trials in 2018.</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pipeline. We have global commercial rights to all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38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563816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firstLine="320"/>
        <w:spacing w:after="0" w:line="237" w:lineRule="auto"/>
        <w:rPr>
          <w:sz w:val="20"/>
          <w:szCs w:val="20"/>
          <w:color w:val="auto"/>
        </w:rPr>
      </w:pPr>
      <w:r>
        <w:rPr>
          <w:rFonts w:ascii="Arial" w:cs="Arial" w:eastAsia="Arial" w:hAnsi="Arial"/>
          <w:sz w:val="18"/>
          <w:szCs w:val="18"/>
          <w:color w:val="auto"/>
        </w:rPr>
        <w:t>Our team has extensive experience in the pharmaceutical and biotechnology sector in the identification, acquisition, development, manufacturing, and commercialization of product candidates in multiple therapeutic areas. Our senior management team has long-standing relationships with senior executives of large pharmaceutical companies, which we believe enhances our ability to identify and acquire additional product candidates. Since June 9, 2016, our ordinary shares have traded on AIM, a market of the London Stock Exchange, under the symbol “MPH.” Since our inception in March 2015, we have raised a total of £102.8 million in gross proceeds from private and public placements of our ordinary shares to institutional investors.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BPS-804 for the Treatment of Osteogenesis Imperfecta</w:t>
      </w:r>
    </w:p>
    <w:p>
      <w:pPr>
        <w:spacing w:after="0" w:line="85" w:lineRule="exact"/>
        <w:rPr>
          <w:sz w:val="20"/>
          <w:szCs w:val="20"/>
          <w:color w:val="auto"/>
        </w:rPr>
      </w:pPr>
    </w:p>
    <w:p>
      <w:pPr>
        <w:ind w:left="380" w:right="20" w:firstLine="320"/>
        <w:spacing w:after="0" w:line="237" w:lineRule="auto"/>
        <w:rPr>
          <w:sz w:val="20"/>
          <w:szCs w:val="20"/>
          <w:color w:val="auto"/>
        </w:rPr>
      </w:pPr>
      <w:r>
        <w:rPr>
          <w:rFonts w:ascii="Arial" w:cs="Arial" w:eastAsia="Arial" w:hAnsi="Arial"/>
          <w:sz w:val="18"/>
          <w:szCs w:val="18"/>
          <w:color w:val="auto"/>
        </w:rPr>
        <w:t>BPS-804, or setrusumab, is a novel antibody we are developing as a treatment for OI, a rare genetic disease that results in bones that can break easily and is commonly known as brittle bone disease. OI is a debilitating orphan disease for which there are no treatments approved by the U.S. Food and Drug Administration, or FDA, or European Medicines Agency, or EMA. It is estimated that OI affects a minimum of 20,000 people in the United States and approximately 32,000 people in Germany, Spain, France, Italy, and the United Kingdom. BPS-804 is designed to inhibit sclerostin, a protein that inhibits the activity of bone-forming cells. We believe BPS-804’s mechanism of action is well suited for the treatment of OI and has the potential to become a novel treatment option for patients that could reduce fractures and improve patient quality of life.</w:t>
      </w:r>
    </w:p>
    <w:p>
      <w:pPr>
        <w:spacing w:after="0" w:line="203" w:lineRule="exact"/>
        <w:rPr>
          <w:sz w:val="20"/>
          <w:szCs w:val="20"/>
          <w:color w:val="auto"/>
        </w:rPr>
      </w:pPr>
    </w:p>
    <w:p>
      <w:pPr>
        <w:ind w:left="380" w:right="20" w:firstLine="320"/>
        <w:spacing w:after="0" w:line="237" w:lineRule="auto"/>
        <w:rPr>
          <w:sz w:val="20"/>
          <w:szCs w:val="20"/>
          <w:color w:val="auto"/>
        </w:rPr>
      </w:pPr>
      <w:r>
        <w:rPr>
          <w:rFonts w:ascii="Arial" w:cs="Arial" w:eastAsia="Arial" w:hAnsi="Arial"/>
          <w:sz w:val="18"/>
          <w:szCs w:val="18"/>
          <w:color w:val="auto"/>
        </w:rPr>
        <w:t>Prior to our acquisition of BPS-804, Novartis conducted four clinical trials in 106 subjects. One of these trials was a Phase 2 randomized, open-label, intra-patient dose-escalating proof-of-concept trial in the United States, Canada, and Europe in adults with OI. Treatment with BPS-804 showed a statistically significant increase in lumbar spine bone mineral density from baseline, which was sustained at day 141 of the trial, 16 weeks after the last dose of BPS-804. Treatment with BPS-804 also showed a statistically significant improvement in all measured bone formation biomarkers and a clinically relevant reduction in a bone resorption biomarker at day 43 of the trial. We believe that the observed increase in lumbar spine bone mineral density in patients treated with BPS-804, along with the biomarker data, support the potential of BPS-804 for the treatment of OI.</w:t>
      </w:r>
    </w:p>
    <w:p>
      <w:pPr>
        <w:spacing w:after="0" w:line="203" w:lineRule="exact"/>
        <w:rPr>
          <w:sz w:val="20"/>
          <w:szCs w:val="20"/>
          <w:color w:val="auto"/>
        </w:rPr>
      </w:pPr>
    </w:p>
    <w:p>
      <w:pPr>
        <w:ind w:left="380" w:right="100" w:firstLine="320"/>
        <w:spacing w:after="0" w:line="236" w:lineRule="auto"/>
        <w:rPr>
          <w:sz w:val="20"/>
          <w:szCs w:val="20"/>
          <w:color w:val="auto"/>
        </w:rPr>
      </w:pPr>
      <w:r>
        <w:rPr>
          <w:rFonts w:ascii="Arial" w:cs="Arial" w:eastAsia="Arial" w:hAnsi="Arial"/>
          <w:sz w:val="18"/>
          <w:szCs w:val="18"/>
          <w:color w:val="auto"/>
        </w:rPr>
        <w:t>In 2016, we obtained orphan drug designation in OI for BPS-804 in the United States and the European Union, or EU, and in February 2017, BPS-804 was accepted into the adaptive pathways program in the EU. In addition, BPS-804 was admitted to the PRIME scheme of the EMA in November 2017. In May 2017, we initiated a randomized, double-blind, placebo-controlled Phase 2b clinical trial of BPS-804 in adults in the United States, Europe and Canada. We intend to enroll approximately 120 patients for this trial. We expect the results from this trial, if favorable, along with validation of our use of high resolution peripheral quantitative computerized tomography, or HRPqCT, as a biomarker for fracture, may be sufficient to support the submission of a Conditional Marketing Authorisation, or CMA, to the EMA for BPS-804 for the treatment of adults with OI in the EU. We also intend to commence a Phase 2b/3 clinical trial of BPS-804 in children with OI in 2018 in Europe and Canada. We intend to enroll approximately 150 patients for this trial, with fracture rate as the primary endpoint. We expect the results from this trial, if favorable, may be sufficient to validate our use of HRPqCT and support the submission of a CMA to the EMA for BPS-804 for the treatment of children with severe OI in the EU.</w:t>
      </w:r>
    </w:p>
    <w:p>
      <w:pPr>
        <w:spacing w:after="0" w:line="206" w:lineRule="exact"/>
        <w:rPr>
          <w:sz w:val="20"/>
          <w:szCs w:val="20"/>
          <w:color w:val="auto"/>
        </w:rPr>
      </w:pPr>
    </w:p>
    <w:p>
      <w:pPr>
        <w:ind w:left="380" w:right="60" w:firstLine="320"/>
        <w:spacing w:after="0" w:line="238" w:lineRule="auto"/>
        <w:rPr>
          <w:sz w:val="20"/>
          <w:szCs w:val="20"/>
          <w:color w:val="auto"/>
        </w:rPr>
      </w:pPr>
      <w:r>
        <w:rPr>
          <w:rFonts w:ascii="Arial" w:cs="Arial" w:eastAsia="Arial" w:hAnsi="Arial"/>
          <w:sz w:val="18"/>
          <w:szCs w:val="18"/>
          <w:color w:val="auto"/>
        </w:rPr>
        <w:t>In the United States, the FDA has denied our request for a Type C meeting to discuss the initiation of a pediatric Phase 2b study for BPS-804 for the treatment of patients with severe OI. The FDA has cited that a serious cardiovascular safety concern exists in adults treated with sclerostin inhibitors that has yet to be resolved. We do not believe the FDA’s concern is related to BPS-804. Given the undetermined risk/benefit assessment in adults, the FDA believes it is premature to conduct a study of sclerostin inhibitors in children. If this safety issue is resolved, we plan on submitting our proposed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613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556133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Phase 2b/3 study for BPS-804 in children with severe OI to the FDA to expand the proposed trial into the United States. We believe the FDA’s position does not impact our ability to conduct our clinical development activities of BPS-804 in Europe and Canada for children with severe OI and our clinical development activities of BPS-804 in Europe, the United States and Canada for adults with OI.</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AZD-9668 for the Treatment of Severe Alpha-1-Antitrypsin Deficiency</w:t>
      </w:r>
    </w:p>
    <w:p>
      <w:pPr>
        <w:spacing w:after="0" w:line="85" w:lineRule="exact"/>
        <w:rPr>
          <w:sz w:val="20"/>
          <w:szCs w:val="20"/>
          <w:color w:val="auto"/>
        </w:rPr>
      </w:pPr>
    </w:p>
    <w:p>
      <w:pPr>
        <w:ind w:left="380" w:right="140" w:firstLine="320"/>
        <w:spacing w:after="0" w:line="237" w:lineRule="auto"/>
        <w:rPr>
          <w:sz w:val="20"/>
          <w:szCs w:val="20"/>
          <w:color w:val="auto"/>
        </w:rPr>
      </w:pPr>
      <w:r>
        <w:rPr>
          <w:rFonts w:ascii="Arial" w:cs="Arial" w:eastAsia="Arial" w:hAnsi="Arial"/>
          <w:sz w:val="18"/>
          <w:szCs w:val="18"/>
          <w:color w:val="auto"/>
        </w:rPr>
        <w:t>AZD-9668, or alvelestat, is a novel, oral small molecule we are developing for the treatment of severe AATD, a potentially life-threatening rare, genetic condition. There are an estimated 50,000 patients in North America and 60,000 patients in Europe with severe AATD. Treatment of AATD involves bronchodilators and inhaled corticosteroid medications or surgical options such as lung volume reduction surgery and lung transplantation. Intravenous augmentation therapy is available for AATD using a partially purified plasma preparation highly enriched for AATD. However, this therapy was approved by the FDA based on its biochemical efficacy but not based on clinical outcome data.</w:t>
      </w:r>
    </w:p>
    <w:p>
      <w:pPr>
        <w:spacing w:after="0" w:line="205" w:lineRule="exact"/>
        <w:rPr>
          <w:sz w:val="20"/>
          <w:szCs w:val="20"/>
          <w:color w:val="auto"/>
        </w:rPr>
      </w:pPr>
    </w:p>
    <w:p>
      <w:pPr>
        <w:ind w:left="380" w:right="220" w:firstLine="320"/>
        <w:spacing w:after="0" w:line="238" w:lineRule="auto"/>
        <w:rPr>
          <w:sz w:val="20"/>
          <w:szCs w:val="20"/>
          <w:color w:val="auto"/>
        </w:rPr>
      </w:pPr>
      <w:r>
        <w:rPr>
          <w:rFonts w:ascii="Arial" w:cs="Arial" w:eastAsia="Arial" w:hAnsi="Arial"/>
          <w:sz w:val="18"/>
          <w:szCs w:val="18"/>
          <w:color w:val="auto"/>
        </w:rPr>
        <w:t>AATD is caused by a lack of alpha-1 antitrypsin, or AAT, a protein that protects the lungs from enzymatic degradation. This degradation leads to severe debilitating diseases, including early-onset pulmonary emphysema, a disease that irreversibly destroys the tissues that support lung function. AZD-9668 is designed to inhibit neutrophil elastase, or NE, a neutrophil protease and a key enzyme involved in the destruction of lung tissue. We believe the inhibition of NE has the potential to protect AATD patients from further lung damage.</w:t>
      </w:r>
    </w:p>
    <w:p>
      <w:pPr>
        <w:spacing w:after="0" w:line="203" w:lineRule="exact"/>
        <w:rPr>
          <w:sz w:val="20"/>
          <w:szCs w:val="20"/>
          <w:color w:val="auto"/>
        </w:rPr>
      </w:pPr>
    </w:p>
    <w:p>
      <w:pPr>
        <w:ind w:left="380" w:right="20" w:firstLine="320"/>
        <w:spacing w:after="0" w:line="236" w:lineRule="auto"/>
        <w:rPr>
          <w:sz w:val="20"/>
          <w:szCs w:val="20"/>
          <w:color w:val="auto"/>
        </w:rPr>
      </w:pPr>
      <w:r>
        <w:rPr>
          <w:rFonts w:ascii="Arial" w:cs="Arial" w:eastAsia="Arial" w:hAnsi="Arial"/>
          <w:sz w:val="18"/>
          <w:szCs w:val="18"/>
          <w:color w:val="auto"/>
        </w:rPr>
        <w:t>Prior to our license of AZD-9668, AstraZeneca conducted 12 clinical trials involving 1,776 subjects. Although these trials were conducted in other indications, we believe the data demonstrated potential clinical benefit and biomarker evidence of treatment effect for AATD patients. In particular, we believe the results from two Phase 2 clinical trials conducted for the treatment of bronchiectasis and cystic fibrosis, or CF, are most relevant in assessing AZD-9668’s potential to treat severe AATD. AstraZeneca conducted a double-blind, placebo-controlled Phase 2 clinical trial in bronchiectasis in a total of 38 patients, 22 of whom were treated with AZD-9668. The results of this four-week trial showed a statistically significant improvement in the amount of air that can be forcibly exhaled in one second, or FEV1, a standard measure of exhalation, and a clinically meaningful improvement of slow vital capacity, which measures the volume of air on a slow exhale. We believe that bronchiectasis and AATD share common pathological features that support the potential for AZD-9668 to treat severe AATD. Additionally, we believe that data from the Phase 2 CF trial provides proof of concept for mechanistic effect and the use of a biomarker of lung degradation in diseases of high or unopposed NE, such as severe AATD.</w:t>
      </w:r>
    </w:p>
    <w:p>
      <w:pPr>
        <w:spacing w:after="0" w:line="206" w:lineRule="exact"/>
        <w:rPr>
          <w:sz w:val="20"/>
          <w:szCs w:val="20"/>
          <w:color w:val="auto"/>
        </w:rPr>
      </w:pPr>
    </w:p>
    <w:p>
      <w:pPr>
        <w:ind w:left="380" w:right="540" w:firstLine="320"/>
        <w:spacing w:after="0"/>
        <w:rPr>
          <w:sz w:val="20"/>
          <w:szCs w:val="20"/>
          <w:color w:val="auto"/>
        </w:rPr>
      </w:pPr>
      <w:r>
        <w:rPr>
          <w:rFonts w:ascii="Arial" w:cs="Arial" w:eastAsia="Arial" w:hAnsi="Arial"/>
          <w:sz w:val="18"/>
          <w:szCs w:val="18"/>
          <w:color w:val="auto"/>
        </w:rPr>
        <w:t>We intend to initiate a Phase 2 proof-of-concept clinical trial in patients with severe AATD in 2018. We intend to enroll approximately 150 patients. If the results are favorable, we intend to seek regulatory advice on the design of, and commence, a pivotal trial.</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BCT-197 for the Treatment of AECOPD</w:t>
      </w:r>
    </w:p>
    <w:p>
      <w:pPr>
        <w:spacing w:after="0" w:line="85" w:lineRule="exact"/>
        <w:rPr>
          <w:sz w:val="20"/>
          <w:szCs w:val="20"/>
          <w:color w:val="auto"/>
        </w:rPr>
      </w:pPr>
    </w:p>
    <w:p>
      <w:pPr>
        <w:ind w:left="380" w:right="60" w:firstLine="320"/>
        <w:spacing w:after="0" w:line="238" w:lineRule="auto"/>
        <w:rPr>
          <w:sz w:val="20"/>
          <w:szCs w:val="20"/>
          <w:color w:val="auto"/>
        </w:rPr>
      </w:pPr>
      <w:r>
        <w:rPr>
          <w:rFonts w:ascii="Arial" w:cs="Arial" w:eastAsia="Arial" w:hAnsi="Arial"/>
          <w:sz w:val="18"/>
          <w:szCs w:val="18"/>
          <w:color w:val="auto"/>
        </w:rPr>
        <w:t>BCT-197, or acumapimod, is a p38 MAP kinase inhibitor we are developing as an oral first-line acute therapy for patients with AECOPD. Chronic obstructive pulmonary disease, or COPD, is a non-fully-reversible, progressive lung disease in which inflammation plays a central role. There are an estimated 16 million people in the United States and 13 million people in Europe diagnosed with COPD. Of all hospital admissions in the United States related to COPD, approximately 63% are for AECOPD patients. We believe BCT-197 offers a potential new treatment for controlling inflammation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181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55181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40"/>
        <w:spacing w:after="0" w:line="239" w:lineRule="auto"/>
        <w:rPr>
          <w:sz w:val="20"/>
          <w:szCs w:val="20"/>
          <w:color w:val="auto"/>
        </w:rPr>
      </w:pPr>
      <w:r>
        <w:rPr>
          <w:rFonts w:ascii="Arial" w:cs="Arial" w:eastAsia="Arial" w:hAnsi="Arial"/>
          <w:sz w:val="18"/>
          <w:szCs w:val="18"/>
          <w:color w:val="auto"/>
        </w:rPr>
        <w:t>by targeting pathways that drive the pathological mechanism behind AECOPD. Since there are currently no approved therapies in the United States or the EU to treat AECOPD, we believe that there is significant medical need for a drug which is disease-modifying. We believe BCT-197 could potentially prevent AECOPD instead of just treating the symptoms and improve quality of life, slow the progression of the disease, and significantly reduce direct healthcare costs.</w:t>
      </w:r>
    </w:p>
    <w:p>
      <w:pPr>
        <w:spacing w:after="0" w:line="202" w:lineRule="exact"/>
        <w:rPr>
          <w:sz w:val="20"/>
          <w:szCs w:val="20"/>
          <w:color w:val="auto"/>
        </w:rPr>
      </w:pPr>
    </w:p>
    <w:p>
      <w:pPr>
        <w:ind w:left="380" w:firstLine="320"/>
        <w:spacing w:after="0"/>
        <w:rPr>
          <w:sz w:val="20"/>
          <w:szCs w:val="20"/>
          <w:color w:val="auto"/>
        </w:rPr>
      </w:pPr>
      <w:r>
        <w:rPr>
          <w:rFonts w:ascii="Arial" w:cs="Arial" w:eastAsia="Arial" w:hAnsi="Arial"/>
          <w:sz w:val="18"/>
          <w:szCs w:val="18"/>
          <w:color w:val="auto"/>
        </w:rPr>
        <w:t>Prior to our acquisition of BCT-197, Novartis conducted five clinical trials in 459 subjects, including a double-blind, Phase 2 clinical trial in AECOPD in Europe comparing BCT-197 to the steroid prednisolone and a placebo control. AECOPD patients receiving BCT-197 showed a statistically significant improvement in lung function at the highest dose.</w:t>
      </w:r>
    </w:p>
    <w:p>
      <w:pPr>
        <w:spacing w:after="0" w:line="203" w:lineRule="exact"/>
        <w:rPr>
          <w:sz w:val="20"/>
          <w:szCs w:val="20"/>
          <w:color w:val="auto"/>
        </w:rPr>
      </w:pPr>
    </w:p>
    <w:p>
      <w:pPr>
        <w:ind w:left="380" w:right="20" w:firstLine="320"/>
        <w:spacing w:after="0" w:line="237" w:lineRule="auto"/>
        <w:rPr>
          <w:sz w:val="20"/>
          <w:szCs w:val="20"/>
          <w:color w:val="auto"/>
        </w:rPr>
      </w:pPr>
      <w:r>
        <w:rPr>
          <w:rFonts w:ascii="Arial" w:cs="Arial" w:eastAsia="Arial" w:hAnsi="Arial"/>
          <w:sz w:val="18"/>
          <w:szCs w:val="18"/>
          <w:color w:val="auto"/>
        </w:rPr>
        <w:t>In December 2017, we reported top-line data from our completed Phase 2 dose-ranging clinical trial for BCT-197. The trial was conducted in 282 patients with AECOPD to explore two different dosing regimens on top of standard of care, which included steroids, antibiotics, and bronchodilators. Both dosing regimens showed a statistically significant change in FEV1 from baseline to Day 7, meeting the trial’s primary endpoint on an intent-to-treat patient population basis. Treatment with BCT-197 also showed a statistically significant reduction in the number of COPD exacerbations that required hospitalization. In addition, BCT-197 was observed to be well tolerated. Based on these results, we plan to enter into one or more strategic relationships with third parties for further clinical development and, if approved, commercialization, of BCT-197.</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BGS-649 for the Treatment of Hypogonadotropic Hypogonadism</w:t>
      </w:r>
    </w:p>
    <w:p>
      <w:pPr>
        <w:spacing w:after="0" w:line="85" w:lineRule="exact"/>
        <w:rPr>
          <w:sz w:val="20"/>
          <w:szCs w:val="20"/>
          <w:color w:val="auto"/>
        </w:rPr>
      </w:pPr>
    </w:p>
    <w:p>
      <w:pPr>
        <w:ind w:left="380" w:right="40" w:firstLine="320"/>
        <w:spacing w:after="0" w:line="248" w:lineRule="auto"/>
        <w:rPr>
          <w:sz w:val="20"/>
          <w:szCs w:val="20"/>
          <w:color w:val="auto"/>
        </w:rPr>
      </w:pPr>
      <w:r>
        <w:rPr>
          <w:rFonts w:ascii="Arial" w:cs="Arial" w:eastAsia="Arial" w:hAnsi="Arial"/>
          <w:sz w:val="17"/>
          <w:szCs w:val="17"/>
          <w:color w:val="auto"/>
        </w:rPr>
        <w:t>BGS-649, or leflutrozole, is a once-weekly oral therapy we are developing for the treatment of HH in obese men. HH is a clinical syndrome that results from inadequate levels of testosterone. Based on World Health Organization estimates and scientific data, we estimate there are approximately seven million cases of HH in obese men in the United States and approximately five million cases of</w:t>
      </w:r>
    </w:p>
    <w:p>
      <w:pPr>
        <w:spacing w:after="0" w:line="2" w:lineRule="exact"/>
        <w:rPr>
          <w:sz w:val="20"/>
          <w:szCs w:val="20"/>
          <w:color w:val="auto"/>
        </w:rPr>
      </w:pPr>
    </w:p>
    <w:p>
      <w:pPr>
        <w:ind w:left="380" w:right="80" w:firstLine="2"/>
        <w:spacing w:after="0" w:line="237" w:lineRule="auto"/>
        <w:tabs>
          <w:tab w:leader="none" w:pos="69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obese men in Europe. In these men, a decline in testosterone is exacerbated by high levels of the aromatase enzyme, which is present in fat tissue and leads to a reduction in testosterone. BGS-649 is designed to inhibit the aromatase enzyme and is being developed to restore normal levels of testosterone without causing excessively high testosterone levels or reducing the levels of luteinizing hormone, or LH, or follicular stimulating hormone, or FSH. Both FSH and LH play key roles in sperm formation and LH plays a key role in endogenous testosterone formation. In contrast to current therapies for HH, which involve the exogenous administration of testosterone and lead to further down regulation of LH and FSH, we believe that BGS-649, by preserving sperm formation through LH and FSH production, may present a benefit to patients.</w:t>
      </w:r>
    </w:p>
    <w:p>
      <w:pPr>
        <w:spacing w:after="0" w:line="203" w:lineRule="exact"/>
        <w:rPr>
          <w:sz w:val="20"/>
          <w:szCs w:val="20"/>
          <w:color w:val="auto"/>
        </w:rPr>
      </w:pPr>
    </w:p>
    <w:p>
      <w:pPr>
        <w:ind w:left="380" w:firstLine="320"/>
        <w:spacing w:after="0" w:line="237" w:lineRule="auto"/>
        <w:rPr>
          <w:sz w:val="20"/>
          <w:szCs w:val="20"/>
          <w:color w:val="auto"/>
        </w:rPr>
      </w:pPr>
      <w:r>
        <w:rPr>
          <w:rFonts w:ascii="Arial" w:cs="Arial" w:eastAsia="Arial" w:hAnsi="Arial"/>
          <w:sz w:val="18"/>
          <w:szCs w:val="18"/>
          <w:color w:val="auto"/>
        </w:rPr>
        <w:t>Prior to our acquisition of BGS-649, Novartis conducted seven clinical trials in 131 subjects, including a two-part Phase 2 proof-of-concept trial for HH in obese men in North America. The first part was open-label to evaluate the pharmacokinetics and pharmacodynamics of a range of doses of BGS-649 administered orally once a week in obese men. Consistent with the goal of the trial, BGS-649 treatment increased testosterone into the normal range in all patients. The second part was two-arm, randomized, placebo-controlled, double-blind and lasted 12-weeks, with a three-month follow-up. Testosterone increase was statistically significant in the BGS-649 group with no evidence of increased total testosterone levels beyond the upper limit of the normal range in any patient exposed to BGS-649. Both FSH and LH levels also increased in the BGS-649 group.</w:t>
      </w:r>
    </w:p>
    <w:p>
      <w:pPr>
        <w:spacing w:after="0" w:line="203" w:lineRule="exact"/>
        <w:rPr>
          <w:sz w:val="20"/>
          <w:szCs w:val="20"/>
          <w:color w:val="auto"/>
        </w:rPr>
      </w:pPr>
    </w:p>
    <w:p>
      <w:pPr>
        <w:jc w:val="both"/>
        <w:ind w:left="380" w:right="280" w:firstLine="320"/>
        <w:spacing w:after="0"/>
        <w:rPr>
          <w:sz w:val="20"/>
          <w:szCs w:val="20"/>
          <w:color w:val="auto"/>
        </w:rPr>
      </w:pPr>
      <w:r>
        <w:rPr>
          <w:rFonts w:ascii="Arial" w:cs="Arial" w:eastAsia="Arial" w:hAnsi="Arial"/>
          <w:sz w:val="18"/>
          <w:szCs w:val="18"/>
          <w:color w:val="auto"/>
        </w:rPr>
        <w:t>In 2016, we commenced a randomized, placebo-controlled Phase 2b clinical trial of BGS-649 for the treatment of HH in obese men. We completed enrollment in this trial with 271 patients, and we expect to report top-line data in the first quarter of 2018. If the results from the Phase 2b clinical trial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081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508127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are favorable, we intend to commence a Phase 3 clinical program of BGS-649 for the treatment of HH in obese men.</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117" w:lineRule="exact"/>
        <w:rPr>
          <w:sz w:val="20"/>
          <w:szCs w:val="20"/>
          <w:color w:val="auto"/>
        </w:rPr>
      </w:pPr>
    </w:p>
    <w:p>
      <w:pPr>
        <w:ind w:left="1100" w:right="60" w:hanging="407"/>
        <w:spacing w:after="0" w:line="233" w:lineRule="auto"/>
        <w:tabs>
          <w:tab w:leader="none" w:pos="11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Rapidly develop and directly commercialize our rare disease product candidates. </w:t>
      </w:r>
      <w:r>
        <w:rPr>
          <w:rFonts w:ascii="Arial" w:cs="Arial" w:eastAsia="Arial" w:hAnsi="Arial"/>
          <w:sz w:val="18"/>
          <w:szCs w:val="18"/>
          <w:color w:val="auto"/>
        </w:rPr>
        <w:t>We have commenced a Phase 2b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 trial of BPS-804 for the treatment of OI in adults in the United States, Europe and Canada. If the results from this trial are favorable and our use of HRPqCT as a biomarker for fracture is validated, we intend to submit a CMA to the EMA for the treatment of OI in adults in the EU. We also intend to commence a Phase 2b/3 clinical trial of BPS-804 for the treatment of OI in children in 2018 in Europe and Canada. We expect that the results from this trial, if favorable, will be sufficient to validate our use of HRPqCT and support the submission of a CMA to the EMA for BPS-804 for the treatment of children with severe OI in the EU. We intend to initiate a Phase 2 clinical trial of AZD-9668 for the treatment of severe AATD in 2018 and, if the results are favorable and pending regulatory feedback, continue to develop AZD-9668 toward approval and commercialization. We plan to establish our own sales and marketing organization in the United States and Europe for BPS-804 and AZD-9668 and any future rare disease product candidates.</w:t>
      </w:r>
    </w:p>
    <w:p>
      <w:pPr>
        <w:spacing w:after="0" w:line="12" w:lineRule="exact"/>
        <w:rPr>
          <w:rFonts w:ascii="MS PGothic" w:cs="MS PGothic" w:eastAsia="MS PGothic" w:hAnsi="MS PGothic"/>
          <w:sz w:val="25"/>
          <w:szCs w:val="25"/>
          <w:color w:val="auto"/>
          <w:vertAlign w:val="superscript"/>
        </w:rPr>
      </w:pPr>
    </w:p>
    <w:p>
      <w:pPr>
        <w:ind w:left="1100" w:right="40" w:hanging="407"/>
        <w:spacing w:after="0" w:line="233" w:lineRule="auto"/>
        <w:tabs>
          <w:tab w:leader="none" w:pos="11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Efficiently advance our specialty disease product candidates and explore strategic relationships with third parties for further clinical development and/or commercialization. </w:t>
      </w:r>
      <w:r>
        <w:rPr>
          <w:rFonts w:ascii="Arial" w:cs="Arial" w:eastAsia="Arial" w:hAnsi="Arial"/>
          <w:sz w:val="18"/>
          <w:szCs w:val="18"/>
          <w:color w:val="auto"/>
        </w:rPr>
        <w:t>Based on the top-line results from our Phase 2 clinical trial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BCT-197, we plan to enter into one or more strategic relationships with third parties for BCT-197 to undertake the next phase of clinical development and, if approved, commercialization. We also expect to report top-line Phase 2b data for BGS-649 for the treatment of HH in the first quarter of 2018. If these results are favorable, we intend to commence a Phase 3 clinical program for BGS-649 and plan to enter into strategic relationships with third parties for commercialization. We may also enter into strategic relationships with third parties to complete the clinical development of BGS-649.</w:t>
      </w:r>
    </w:p>
    <w:p>
      <w:pPr>
        <w:spacing w:after="0" w:line="7" w:lineRule="exact"/>
        <w:rPr>
          <w:rFonts w:ascii="MS PGothic" w:cs="MS PGothic" w:eastAsia="MS PGothic" w:hAnsi="MS PGothic"/>
          <w:sz w:val="25"/>
          <w:szCs w:val="25"/>
          <w:color w:val="auto"/>
          <w:vertAlign w:val="superscript"/>
        </w:rPr>
      </w:pPr>
    </w:p>
    <w:p>
      <w:pPr>
        <w:ind w:left="1100" w:hanging="407"/>
        <w:spacing w:after="0" w:line="233" w:lineRule="auto"/>
        <w:tabs>
          <w:tab w:leader="none" w:pos="11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Leverage our expertise in business development to expand our pipeline of product candidates. </w:t>
      </w:r>
      <w:r>
        <w:rPr>
          <w:rFonts w:ascii="Arial" w:cs="Arial" w:eastAsia="Arial" w:hAnsi="Arial"/>
          <w:sz w:val="18"/>
          <w:szCs w:val="18"/>
          <w:color w:val="auto"/>
        </w:rPr>
        <w:t>Our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extensive relationships with large pharmaceutical and biotechnology companies, as evidenced by the acquisition of our four clinical-stage product candidates. We intend to leverage these relationships to grow our pipeline with a focus on rare diseases. We intend to continue to identify, acquire, develop, and ultimately commercialize novel product candidates that have received significant investment from large pharmaceutical companies. We will continue to focus on acquiring product candidates with either proof-of-concept clinical data in our target indication or with clinical data in a related indication and a strong scientific rationale that supports development in our target indication. Using a disciplined approach, we intend to continue building a diverse portfolio of product candidates that we believe have compelling market potential, robust pre-clinical, clinical, and manufacturing data packages, and a clear regulatory pathway.</w:t>
      </w:r>
    </w:p>
    <w:p>
      <w:pPr>
        <w:spacing w:after="0" w:line="10" w:lineRule="exact"/>
        <w:rPr>
          <w:rFonts w:ascii="MS PGothic" w:cs="MS PGothic" w:eastAsia="MS PGothic" w:hAnsi="MS PGothic"/>
          <w:sz w:val="25"/>
          <w:szCs w:val="25"/>
          <w:color w:val="auto"/>
          <w:vertAlign w:val="superscript"/>
        </w:rPr>
      </w:pPr>
    </w:p>
    <w:p>
      <w:pPr>
        <w:ind w:left="1100" w:hanging="407"/>
        <w:spacing w:after="0" w:line="233" w:lineRule="auto"/>
        <w:tabs>
          <w:tab w:leader="none" w:pos="11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Continue to be a partner of choice for large pharmaceutical and biotechnology companies. </w:t>
      </w:r>
      <w:r>
        <w:rPr>
          <w:rFonts w:ascii="Arial" w:cs="Arial" w:eastAsia="Arial" w:hAnsi="Arial"/>
          <w:sz w:val="18"/>
          <w:szCs w:val="18"/>
          <w:color w:val="auto"/>
        </w:rPr>
        <w:t>We believe that we are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partner for large 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and AstraZeneca, and a track record of structuring transactions that enable us to leverage our core capabilities while creating value for all stakeholders. We intend to continue to enter into strategic relationships that align our interests with those of large pharmaceutical and biotechnology companies and that we believe to be mutually beneficial.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06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57067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85" w:lineRule="exact"/>
        <w:rPr>
          <w:sz w:val="20"/>
          <w:szCs w:val="20"/>
          <w:color w:val="auto"/>
        </w:rPr>
      </w:pPr>
    </w:p>
    <w:p>
      <w:pPr>
        <w:ind w:left="380" w:firstLine="320"/>
        <w:spacing w:after="0" w:line="237"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were re-registered as a public limited company with the legal name Mereo BioPharma Group plc. Since June 9, 2016, our ordinary shares have traded on AIM under the symbol “MPH.”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Our agent for service of process in the United States is Cogency Global Inc.</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85" w:lineRule="exact"/>
        <w:rPr>
          <w:sz w:val="20"/>
          <w:szCs w:val="20"/>
          <w:color w:val="auto"/>
        </w:rPr>
      </w:pPr>
    </w:p>
    <w:p>
      <w:pPr>
        <w:jc w:val="both"/>
        <w:ind w:left="380" w:right="360" w:firstLine="320"/>
        <w:spacing w:after="0" w:line="261"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under “Risk Factors” in deciding whether to invest in our ADSs or ordinary shares. Among these important risks are the following:</w:t>
      </w:r>
    </w:p>
    <w:p>
      <w:pPr>
        <w:spacing w:after="0" w:line="92" w:lineRule="exact"/>
        <w:rPr>
          <w:sz w:val="20"/>
          <w:szCs w:val="20"/>
          <w:color w:val="auto"/>
        </w:rPr>
      </w:pPr>
    </w:p>
    <w:p>
      <w:pPr>
        <w:ind w:left="1100" w:right="200" w:hanging="407"/>
        <w:spacing w:after="0" w:line="22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have a limited operating history, have never generated any product revenue, have incurred significant operating losses since our inception, expect to incur significant operating losses for the foreseeable future, and may never achieve or maintain profitability.</w:t>
      </w:r>
    </w:p>
    <w:p>
      <w:pPr>
        <w:spacing w:after="0" w:line="2"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be successful in our efforts to identify and acquire additional product candidates.</w:t>
      </w:r>
    </w:p>
    <w:p>
      <w:pPr>
        <w:spacing w:after="0" w:line="26" w:lineRule="exact"/>
        <w:rPr>
          <w:rFonts w:ascii="MS PGothic" w:cs="MS PGothic" w:eastAsia="MS PGothic" w:hAnsi="MS PGothic"/>
          <w:sz w:val="25"/>
          <w:szCs w:val="25"/>
          <w:color w:val="auto"/>
          <w:vertAlign w:val="superscript"/>
        </w:rPr>
      </w:pPr>
    </w:p>
    <w:p>
      <w:pPr>
        <w:ind w:left="1100" w:right="20" w:hanging="407"/>
        <w:spacing w:after="0" w:line="22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will need additional funding to complete the development and commercialization of our product candidates, if approved, and to acquire additional product candidates, and if we are unable to raise capital when needed, we could be forced to delay, reduce, or eliminate our product development programs or future commercialization efforts.</w:t>
      </w:r>
    </w:p>
    <w:p>
      <w:pPr>
        <w:spacing w:after="0" w:line="28" w:lineRule="exact"/>
        <w:rPr>
          <w:rFonts w:ascii="MS PGothic" w:cs="MS PGothic" w:eastAsia="MS PGothic" w:hAnsi="MS PGothic"/>
          <w:sz w:val="25"/>
          <w:szCs w:val="25"/>
          <w:color w:val="auto"/>
          <w:vertAlign w:val="superscript"/>
        </w:rPr>
      </w:pPr>
    </w:p>
    <w:p>
      <w:pPr>
        <w:ind w:left="1100" w:right="640" w:hanging="407"/>
        <w:spacing w:after="0" w:line="229" w:lineRule="auto"/>
        <w:tabs>
          <w:tab w:leader="none" w:pos="1100" w:val="left"/>
        </w:tabs>
        <w:numPr>
          <w:ilvl w:val="0"/>
          <w:numId w:val="6"/>
        </w:numPr>
        <w:rPr>
          <w:rFonts w:ascii="MS PGothic" w:cs="MS PGothic" w:eastAsia="MS PGothic" w:hAnsi="MS PGothic"/>
          <w:sz w:val="24"/>
          <w:szCs w:val="24"/>
          <w:color w:val="auto"/>
          <w:vertAlign w:val="superscript"/>
        </w:rPr>
      </w:pPr>
      <w:r>
        <w:rPr>
          <w:rFonts w:ascii="Arial" w:cs="Arial" w:eastAsia="Arial" w:hAnsi="Arial"/>
          <w:sz w:val="17"/>
          <w:szCs w:val="17"/>
          <w:color w:val="auto"/>
        </w:rPr>
        <w:t>We depend heavily on the success of our product candidates, and we cannot give any assurance that our product candidates will receive regulatory approval for any indication, which is necessary before they can be commercialized.</w:t>
      </w:r>
    </w:p>
    <w:p>
      <w:pPr>
        <w:spacing w:after="0" w:line="27" w:lineRule="exact"/>
        <w:rPr>
          <w:rFonts w:ascii="MS PGothic" w:cs="MS PGothic" w:eastAsia="MS PGothic" w:hAnsi="MS PGothic"/>
          <w:sz w:val="24"/>
          <w:szCs w:val="24"/>
          <w:color w:val="auto"/>
          <w:vertAlign w:val="superscript"/>
        </w:rPr>
      </w:pPr>
    </w:p>
    <w:p>
      <w:pPr>
        <w:jc w:val="both"/>
        <w:ind w:left="1100" w:right="200" w:hanging="407"/>
        <w:spacing w:after="0" w:line="226"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are, and will continue to be, dependent on pre-clinical and clinical trials conducted prior to our acquisition of a product candidate having been conducted in compliance with all applicable regulatory requirements and clinical standards and the results having been accurately reported, including for trials conducted by Novartis and AstraZeneca for our current product candidates.</w:t>
      </w:r>
    </w:p>
    <w:p>
      <w:pPr>
        <w:spacing w:after="0" w:line="27" w:lineRule="exact"/>
        <w:rPr>
          <w:rFonts w:ascii="MS PGothic" w:cs="MS PGothic" w:eastAsia="MS PGothic" w:hAnsi="MS PGothic"/>
          <w:sz w:val="25"/>
          <w:szCs w:val="25"/>
          <w:color w:val="auto"/>
          <w:vertAlign w:val="superscript"/>
        </w:rPr>
      </w:pPr>
    </w:p>
    <w:p>
      <w:pPr>
        <w:ind w:left="1100" w:right="160" w:hanging="407"/>
        <w:spacing w:after="0" w:line="22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Undesirable side effects that may be caused by BPS-804, AZD-9668, BCT-197, and BGS-649 could cause us or regulatory authorities to interrupt, delay or halt clinical trials, and could result in a more restrictive label or the delay or denial of regulatory approval by the FDA, the EMA, or other comparable foreign authorities.</w:t>
      </w:r>
    </w:p>
    <w:p>
      <w:pPr>
        <w:spacing w:after="0" w:line="28" w:lineRule="exact"/>
        <w:rPr>
          <w:rFonts w:ascii="MS PGothic" w:cs="MS PGothic" w:eastAsia="MS PGothic" w:hAnsi="MS PGothic"/>
          <w:sz w:val="25"/>
          <w:szCs w:val="25"/>
          <w:color w:val="auto"/>
          <w:vertAlign w:val="superscript"/>
        </w:rPr>
      </w:pPr>
    </w:p>
    <w:p>
      <w:pPr>
        <w:ind w:left="1100" w:right="280" w:hanging="407"/>
        <w:spacing w:after="0" w:line="22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rely, and expect to continue to rely, on third parties to conduct our clinical trials and to manufacture our product candidates for pre-clinical and clinical testing, and those third parties may not perform satisfactorily, which could delay our product development activities.</w:t>
      </w:r>
    </w:p>
    <w:p>
      <w:pPr>
        <w:spacing w:after="0" w:line="28" w:lineRule="exact"/>
        <w:rPr>
          <w:rFonts w:ascii="MS PGothic" w:cs="MS PGothic" w:eastAsia="MS PGothic" w:hAnsi="MS PGothic"/>
          <w:sz w:val="25"/>
          <w:szCs w:val="25"/>
          <w:color w:val="auto"/>
          <w:vertAlign w:val="superscript"/>
        </w:rPr>
      </w:pPr>
    </w:p>
    <w:p>
      <w:pPr>
        <w:ind w:left="1100" w:right="180" w:hanging="407"/>
        <w:spacing w:after="0" w:line="22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are unable to adequately protect our technology, or to secure and maintain freedom to operate or issued patents protecting our product candidates, others could preclude us from commercializing our technology and products or compete against us more directly.</w:t>
      </w:r>
    </w:p>
    <w:p>
      <w:pPr>
        <w:spacing w:after="0" w:line="2"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face significant competition from other biotechnology and pharmaceutical companies.</w:t>
      </w:r>
    </w:p>
    <w:p>
      <w:pPr>
        <w:spacing w:after="0" w:line="26" w:lineRule="exact"/>
        <w:rPr>
          <w:rFonts w:ascii="MS PGothic" w:cs="MS PGothic" w:eastAsia="MS PGothic" w:hAnsi="MS PGothic"/>
          <w:sz w:val="25"/>
          <w:szCs w:val="25"/>
          <w:color w:val="auto"/>
          <w:vertAlign w:val="superscript"/>
        </w:rPr>
      </w:pPr>
    </w:p>
    <w:p>
      <w:pPr>
        <w:ind w:left="1100" w:right="240" w:hanging="407"/>
        <w:spacing w:after="0" w:line="22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will likely be classified as a passive foreign investment company in the current taxable year and may be classified as a passive foreign investment company in any future taxable year, which may result in adverse U.S. federal income tax consequences to U.S. holders of our ADSs or ordinary shares.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181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55181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00" w:right="440" w:hanging="407"/>
        <w:spacing w:after="0" w:line="223" w:lineRule="auto"/>
        <w:tabs>
          <w:tab w:leader="none" w:pos="11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a foreign private issuer, we are exempt from a number of rules under the U.S. securities laws and Nasdaq corporate governance rules and are permitted to file less information with the SEC than U.S. companies, which may limit the information available to holders of our ADSs and ordinary shares.</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85" w:lineRule="exact"/>
        <w:rPr>
          <w:sz w:val="20"/>
          <w:szCs w:val="20"/>
          <w:color w:val="auto"/>
        </w:rPr>
      </w:pPr>
    </w:p>
    <w:p>
      <w:pPr>
        <w:jc w:val="both"/>
        <w:ind w:left="380" w:right="180" w:firstLine="320"/>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As an emerging growth company we may take advantage of certain exemptions from various reporting requirements that are applicable to other publicly traded entities that are not emerging growth companies. These exemptions include:</w:t>
      </w:r>
    </w:p>
    <w:p>
      <w:pPr>
        <w:spacing w:after="0" w:line="230" w:lineRule="exact"/>
        <w:rPr>
          <w:sz w:val="20"/>
          <w:szCs w:val="20"/>
          <w:color w:val="auto"/>
        </w:rPr>
      </w:pPr>
    </w:p>
    <w:p>
      <w:pPr>
        <w:ind w:left="1100" w:right="100" w:hanging="407"/>
        <w:spacing w:after="0" w:line="218"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option to present only two years of audited financial statements and only two years of related Management’s Discussion and Analysis of Financial Condition and Results of Operations in this prospectus;</w:t>
      </w:r>
    </w:p>
    <w:p>
      <w:pPr>
        <w:spacing w:after="0" w:line="1"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6" w:lineRule="exact"/>
        <w:rPr>
          <w:rFonts w:ascii="MS PGothic" w:cs="MS PGothic" w:eastAsia="MS PGothic" w:hAnsi="MS PGothic"/>
          <w:sz w:val="25"/>
          <w:szCs w:val="25"/>
          <w:color w:val="auto"/>
          <w:vertAlign w:val="superscript"/>
        </w:rPr>
      </w:pPr>
    </w:p>
    <w:p>
      <w:pPr>
        <w:ind w:left="1100" w:right="40" w:hanging="407"/>
        <w:spacing w:after="0" w:line="223"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8" w:lineRule="exact"/>
        <w:rPr>
          <w:rFonts w:ascii="MS PGothic" w:cs="MS PGothic" w:eastAsia="MS PGothic" w:hAnsi="MS PGothic"/>
          <w:sz w:val="25"/>
          <w:szCs w:val="25"/>
          <w:color w:val="auto"/>
          <w:vertAlign w:val="superscript"/>
        </w:rPr>
      </w:pPr>
    </w:p>
    <w:p>
      <w:pPr>
        <w:ind w:left="1100" w:right="280" w:hanging="407"/>
        <w:spacing w:after="0" w:line="218"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stockholder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1100" w:right="520" w:hanging="407"/>
        <w:spacing w:after="0" w:line="223"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4" w:lineRule="exact"/>
        <w:rPr>
          <w:sz w:val="20"/>
          <w:szCs w:val="20"/>
          <w:color w:val="auto"/>
        </w:rPr>
      </w:pPr>
    </w:p>
    <w:p>
      <w:pPr>
        <w:ind w:left="380" w:right="300" w:firstLine="320"/>
        <w:spacing w:after="0" w:line="238" w:lineRule="auto"/>
        <w:rPr>
          <w:sz w:val="20"/>
          <w:szCs w:val="20"/>
          <w:color w:val="auto"/>
        </w:rPr>
      </w:pPr>
      <w:r>
        <w:rPr>
          <w:rFonts w:ascii="Arial" w:cs="Arial" w:eastAsia="Arial" w:hAnsi="Arial"/>
          <w:sz w:val="18"/>
          <w:szCs w:val="18"/>
          <w:color w:val="auto"/>
        </w:rPr>
        <w:t>We may take advantage of these provisions until the earliest of: (i) the last day of the first fiscal year in which our annual gross revenues exceed $1.07 billion; (ii) the last day of 2023; (iii) the date that we become a “large accelerated filer” as defined in Rule 12b-2 under the Exchange Act, which would occur if the market value of our common equity held by non-affiliates exceeds $700 million as of the last business day of our most recently completed second fiscal quarter; or (iv) the date on which we have issued more than $1.0 billion in non-convertible debt securities during any three-year period.</w:t>
      </w:r>
    </w:p>
    <w:p>
      <w:pPr>
        <w:spacing w:after="0" w:line="203" w:lineRule="exact"/>
        <w:rPr>
          <w:sz w:val="20"/>
          <w:szCs w:val="20"/>
          <w:color w:val="auto"/>
        </w:rPr>
      </w:pPr>
    </w:p>
    <w:p>
      <w:pPr>
        <w:ind w:left="380" w:right="20" w:firstLine="320"/>
        <w:spacing w:after="0" w:line="246" w:lineRule="auto"/>
        <w:rPr>
          <w:sz w:val="20"/>
          <w:szCs w:val="20"/>
          <w:color w:val="auto"/>
        </w:rPr>
      </w:pPr>
      <w:r>
        <w:rPr>
          <w:rFonts w:ascii="Arial" w:cs="Arial" w:eastAsia="Arial" w:hAnsi="Arial"/>
          <w:sz w:val="18"/>
          <w:szCs w:val="18"/>
          <w:color w:val="auto"/>
        </w:rPr>
        <w:t>As a result, we do not know if some investors will find our ADSs or ordinary shares less attractive. The result may be a less active trading market for our ADSs or ordinary shares, and the price of our ADSs or ordinary shares may become more volatile.</w:t>
      </w:r>
    </w:p>
    <w:p>
      <w:pPr>
        <w:spacing w:after="0" w:line="197" w:lineRule="exact"/>
        <w:rPr>
          <w:sz w:val="20"/>
          <w:szCs w:val="20"/>
          <w:color w:val="auto"/>
        </w:rPr>
      </w:pPr>
    </w:p>
    <w:p>
      <w:pPr>
        <w:ind w:left="380" w:firstLine="320"/>
        <w:spacing w:after="0" w:line="237" w:lineRule="auto"/>
        <w:rPr>
          <w:sz w:val="20"/>
          <w:szCs w:val="20"/>
          <w:color w:val="auto"/>
        </w:rPr>
      </w:pPr>
      <w:r>
        <w:rPr>
          <w:rFonts w:ascii="Arial" w:cs="Arial" w:eastAsia="Arial" w:hAnsi="Arial"/>
          <w:sz w:val="18"/>
          <w:szCs w:val="18"/>
          <w:color w:val="auto"/>
        </w:rPr>
        <w:t>Section 107 of the JOBS Act also provides that an emerging growth company can take advantage of the extended transition period provided in Section 13(a) of the Securities Exchange Act of 1934, as amended, or the Exchange Act, for complying with new or revised accounting standards. In other words, an emerging growth company can delay the adoption of certain accounting standards until those standards would otherwise apply to private companies. We are choosing to irrevocably opt out of this extended transition period and, as a result, we will comply with new or revised accounting standards on the relevant dates on which adoption of such standards is required for non-emerging growth companies. Under federal securities laws, our decision to opt out of the extended transition period is irrevocable.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602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26028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Foreign Private Issuer</w:t>
      </w:r>
    </w:p>
    <w:p>
      <w:pPr>
        <w:spacing w:after="0" w:line="85" w:lineRule="exact"/>
        <w:rPr>
          <w:sz w:val="20"/>
          <w:szCs w:val="20"/>
          <w:color w:val="auto"/>
        </w:rPr>
      </w:pPr>
    </w:p>
    <w:p>
      <w:pPr>
        <w:ind w:left="380" w:firstLine="320"/>
        <w:spacing w:after="0" w:line="239" w:lineRule="auto"/>
        <w:rPr>
          <w:sz w:val="20"/>
          <w:szCs w:val="20"/>
          <w:color w:val="auto"/>
        </w:rPr>
      </w:pPr>
      <w:r>
        <w:rPr>
          <w:rFonts w:ascii="Arial" w:cs="Arial" w:eastAsia="Arial" w:hAnsi="Arial"/>
          <w:sz w:val="18"/>
          <w:szCs w:val="18"/>
          <w:color w:val="auto"/>
        </w:rPr>
        <w:t>Upon the completion of the U.S. offering, we will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29" w:lineRule="exact"/>
        <w:rPr>
          <w:sz w:val="20"/>
          <w:szCs w:val="20"/>
          <w:color w:val="auto"/>
        </w:rPr>
      </w:pPr>
    </w:p>
    <w:p>
      <w:pPr>
        <w:ind w:left="1100" w:right="400" w:hanging="407"/>
        <w:spacing w:after="0" w:line="218" w:lineRule="auto"/>
        <w:tabs>
          <w:tab w:leader="none" w:pos="11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7" w:lineRule="exact"/>
        <w:rPr>
          <w:rFonts w:ascii="MS PGothic" w:cs="MS PGothic" w:eastAsia="MS PGothic" w:hAnsi="MS PGothic"/>
          <w:sz w:val="25"/>
          <w:szCs w:val="25"/>
          <w:color w:val="auto"/>
          <w:vertAlign w:val="superscript"/>
        </w:rPr>
      </w:pPr>
    </w:p>
    <w:p>
      <w:pPr>
        <w:ind w:left="1100" w:right="300" w:hanging="407"/>
        <w:spacing w:after="0" w:line="218" w:lineRule="auto"/>
        <w:tabs>
          <w:tab w:leader="none" w:pos="11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7" w:lineRule="exact"/>
        <w:rPr>
          <w:rFonts w:ascii="MS PGothic" w:cs="MS PGothic" w:eastAsia="MS PGothic" w:hAnsi="MS PGothic"/>
          <w:sz w:val="25"/>
          <w:szCs w:val="25"/>
          <w:color w:val="auto"/>
          <w:vertAlign w:val="superscript"/>
        </w:rPr>
      </w:pPr>
    </w:p>
    <w:p>
      <w:pPr>
        <w:ind w:left="1100" w:right="160" w:hanging="407"/>
        <w:spacing w:after="0" w:line="218" w:lineRule="auto"/>
        <w:tabs>
          <w:tab w:leader="none" w:pos="11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3" w:lineRule="exact"/>
        <w:rPr>
          <w:sz w:val="20"/>
          <w:szCs w:val="20"/>
          <w:color w:val="auto"/>
        </w:rPr>
      </w:pPr>
    </w:p>
    <w:p>
      <w:pPr>
        <w:ind w:left="380" w:right="360" w:firstLine="320"/>
        <w:spacing w:after="0" w:line="239"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24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4680" w:type="dxa"/>
            <w:vAlign w:val="bottom"/>
            <w:tcBorders>
              <w:top w:val="single" w:sz="8" w:color="auto"/>
              <w:left w:val="single" w:sz="8" w:color="auto"/>
            </w:tcBorders>
          </w:tcPr>
          <w:p>
            <w:pPr>
              <w:spacing w:after="0"/>
              <w:rPr>
                <w:sz w:val="24"/>
                <w:szCs w:val="24"/>
                <w:color w:val="auto"/>
              </w:rPr>
            </w:pPr>
          </w:p>
        </w:tc>
        <w:tc>
          <w:tcPr>
            <w:tcW w:w="238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The Offering</w:t>
            </w:r>
          </w:p>
        </w:tc>
        <w:tc>
          <w:tcPr>
            <w:tcW w:w="2000" w:type="dxa"/>
            <w:vAlign w:val="bottom"/>
            <w:tcBorders>
              <w:top w:val="single" w:sz="8" w:color="auto"/>
            </w:tcBorders>
          </w:tcPr>
          <w:p>
            <w:pPr>
              <w:spacing w:after="0"/>
              <w:rPr>
                <w:sz w:val="24"/>
                <w:szCs w:val="24"/>
                <w:color w:val="auto"/>
              </w:rPr>
            </w:pPr>
          </w:p>
        </w:tc>
        <w:tc>
          <w:tcPr>
            <w:tcW w:w="1980" w:type="dxa"/>
            <w:vAlign w:val="bottom"/>
            <w:tcBorders>
              <w:top w:val="single" w:sz="8" w:color="auto"/>
              <w:right w:val="single" w:sz="8" w:color="auto"/>
            </w:tcBorders>
          </w:tcPr>
          <w:p>
            <w:pPr>
              <w:spacing w:after="0"/>
              <w:rPr>
                <w:sz w:val="24"/>
                <w:szCs w:val="24"/>
                <w:color w:val="auto"/>
              </w:rPr>
            </w:pPr>
          </w:p>
        </w:tc>
      </w:tr>
      <w:tr>
        <w:trPr>
          <w:trHeight w:val="553"/>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Global offering</w:t>
            </w:r>
          </w:p>
        </w:tc>
        <w:tc>
          <w:tcPr>
            <w:tcW w:w="6360" w:type="dxa"/>
            <w:vAlign w:val="bottom"/>
            <w:tcBorders>
              <w:right w:val="single" w:sz="8" w:color="auto"/>
            </w:tcBorders>
            <w:gridSpan w:val="4"/>
          </w:tcPr>
          <w:p>
            <w:pPr>
              <w:ind w:left="740"/>
              <w:spacing w:after="0"/>
              <w:rPr>
                <w:sz w:val="20"/>
                <w:szCs w:val="20"/>
                <w:color w:val="auto"/>
              </w:rPr>
            </w:pPr>
            <w:r>
              <w:rPr>
                <w:rFonts w:ascii="Arial" w:cs="Arial" w:eastAsia="Arial" w:hAnsi="Arial"/>
                <w:sz w:val="18"/>
                <w:szCs w:val="18"/>
                <w:color w:val="auto"/>
              </w:rPr>
              <w:t>ordinary shares offered by us, consisting of ordinary shares in the</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4"/>
          </w:tcPr>
          <w:p>
            <w:pPr>
              <w:ind w:left="80"/>
              <w:spacing w:after="0" w:line="202" w:lineRule="exact"/>
              <w:rPr>
                <w:sz w:val="20"/>
                <w:szCs w:val="20"/>
                <w:color w:val="auto"/>
              </w:rPr>
            </w:pPr>
            <w:r>
              <w:rPr>
                <w:rFonts w:ascii="Arial" w:cs="Arial" w:eastAsia="Arial" w:hAnsi="Arial"/>
                <w:sz w:val="18"/>
                <w:szCs w:val="18"/>
                <w:color w:val="auto"/>
              </w:rPr>
              <w:t>form of ADSs offered in the U.S. offering and ordinary shares offered in the</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4"/>
          </w:tcPr>
          <w:p>
            <w:pPr>
              <w:ind w:left="80"/>
              <w:spacing w:after="0" w:line="202" w:lineRule="exact"/>
              <w:rPr>
                <w:sz w:val="20"/>
                <w:szCs w:val="20"/>
                <w:color w:val="auto"/>
              </w:rPr>
            </w:pPr>
            <w:r>
              <w:rPr>
                <w:rFonts w:ascii="Arial" w:cs="Arial" w:eastAsia="Arial" w:hAnsi="Arial"/>
                <w:sz w:val="18"/>
                <w:szCs w:val="18"/>
                <w:color w:val="auto"/>
              </w:rPr>
              <w:t>European private placement. The closing of each of the U.S. offering and</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4"/>
          </w:tcPr>
          <w:p>
            <w:pPr>
              <w:ind w:left="80"/>
              <w:spacing w:after="0" w:line="202" w:lineRule="exact"/>
              <w:rPr>
                <w:sz w:val="20"/>
                <w:szCs w:val="20"/>
                <w:color w:val="auto"/>
              </w:rPr>
            </w:pPr>
            <w:r>
              <w:rPr>
                <w:rFonts w:ascii="Arial" w:cs="Arial" w:eastAsia="Arial" w:hAnsi="Arial"/>
                <w:sz w:val="18"/>
                <w:szCs w:val="18"/>
                <w:color w:val="auto"/>
              </w:rPr>
              <w:t>the European private placement is conditioned upon the other. The total</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4"/>
          </w:tcPr>
          <w:p>
            <w:pPr>
              <w:ind w:left="80"/>
              <w:spacing w:after="0" w:line="202" w:lineRule="exact"/>
              <w:rPr>
                <w:sz w:val="20"/>
                <w:szCs w:val="20"/>
                <w:color w:val="auto"/>
              </w:rPr>
            </w:pPr>
            <w:r>
              <w:rPr>
                <w:rFonts w:ascii="Arial" w:cs="Arial" w:eastAsia="Arial" w:hAnsi="Arial"/>
                <w:sz w:val="18"/>
                <w:szCs w:val="18"/>
                <w:color w:val="auto"/>
              </w:rPr>
              <w:t>number of ordinary shares in the U.S. offering and European private</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4"/>
          </w:tcPr>
          <w:p>
            <w:pPr>
              <w:ind w:left="80"/>
              <w:spacing w:after="0" w:line="202" w:lineRule="exact"/>
              <w:rPr>
                <w:sz w:val="20"/>
                <w:szCs w:val="20"/>
                <w:color w:val="auto"/>
              </w:rPr>
            </w:pPr>
            <w:r>
              <w:rPr>
                <w:rFonts w:ascii="Arial" w:cs="Arial" w:eastAsia="Arial" w:hAnsi="Arial"/>
                <w:sz w:val="18"/>
                <w:szCs w:val="18"/>
                <w:color w:val="auto"/>
              </w:rPr>
              <w:t>placement is subject to reallocation between these offerings as permitted</w:t>
            </w:r>
          </w:p>
        </w:tc>
      </w:tr>
      <w:tr>
        <w:trPr>
          <w:trHeight w:val="217"/>
        </w:trPr>
        <w:tc>
          <w:tcPr>
            <w:tcW w:w="4680" w:type="dxa"/>
            <w:vAlign w:val="bottom"/>
            <w:tcBorders>
              <w:left w:val="single" w:sz="8" w:color="auto"/>
            </w:tcBorders>
          </w:tcPr>
          <w:p>
            <w:pPr>
              <w:spacing w:after="0"/>
              <w:rPr>
                <w:sz w:val="18"/>
                <w:szCs w:val="18"/>
                <w:color w:val="auto"/>
              </w:rPr>
            </w:pPr>
          </w:p>
        </w:tc>
        <w:tc>
          <w:tcPr>
            <w:tcW w:w="4380" w:type="dxa"/>
            <w:vAlign w:val="bottom"/>
            <w:gridSpan w:val="3"/>
          </w:tcPr>
          <w:p>
            <w:pPr>
              <w:ind w:left="80"/>
              <w:spacing w:after="0"/>
              <w:rPr>
                <w:sz w:val="20"/>
                <w:szCs w:val="20"/>
                <w:color w:val="auto"/>
              </w:rPr>
            </w:pPr>
            <w:r>
              <w:rPr>
                <w:rFonts w:ascii="Arial" w:cs="Arial" w:eastAsia="Arial" w:hAnsi="Arial"/>
                <w:sz w:val="18"/>
                <w:szCs w:val="18"/>
                <w:color w:val="auto"/>
              </w:rPr>
              <w:t>under applicable laws and regulations.</w:t>
            </w:r>
          </w:p>
        </w:tc>
        <w:tc>
          <w:tcPr>
            <w:tcW w:w="1980" w:type="dxa"/>
            <w:vAlign w:val="bottom"/>
            <w:tcBorders>
              <w:right w:val="single" w:sz="8" w:color="auto"/>
            </w:tcBorders>
          </w:tcPr>
          <w:p>
            <w:pPr>
              <w:spacing w:after="0"/>
              <w:rPr>
                <w:sz w:val="18"/>
                <w:szCs w:val="18"/>
                <w:color w:val="auto"/>
              </w:rPr>
            </w:pPr>
          </w:p>
        </w:tc>
      </w:tr>
      <w:tr>
        <w:trPr>
          <w:trHeight w:val="446"/>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 offering</w:t>
            </w:r>
          </w:p>
        </w:tc>
        <w:tc>
          <w:tcPr>
            <w:tcW w:w="2380" w:type="dxa"/>
            <w:vAlign w:val="bottom"/>
            <w:gridSpan w:val="2"/>
          </w:tcPr>
          <w:p>
            <w:pPr>
              <w:ind w:left="740"/>
              <w:spacing w:after="0"/>
              <w:rPr>
                <w:sz w:val="20"/>
                <w:szCs w:val="20"/>
                <w:color w:val="auto"/>
              </w:rPr>
            </w:pPr>
            <w:r>
              <w:rPr>
                <w:rFonts w:ascii="Arial" w:cs="Arial" w:eastAsia="Arial" w:hAnsi="Arial"/>
                <w:sz w:val="18"/>
                <w:szCs w:val="18"/>
                <w:color w:val="auto"/>
              </w:rPr>
              <w:t>ADSs</w:t>
            </w:r>
          </w:p>
        </w:tc>
        <w:tc>
          <w:tcPr>
            <w:tcW w:w="200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459"/>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European private placement</w:t>
            </w:r>
          </w:p>
        </w:tc>
        <w:tc>
          <w:tcPr>
            <w:tcW w:w="2380" w:type="dxa"/>
            <w:vAlign w:val="bottom"/>
            <w:gridSpan w:val="2"/>
          </w:tcPr>
          <w:p>
            <w:pPr>
              <w:ind w:left="740"/>
              <w:spacing w:after="0"/>
              <w:rPr>
                <w:sz w:val="20"/>
                <w:szCs w:val="20"/>
                <w:color w:val="auto"/>
              </w:rPr>
            </w:pPr>
            <w:r>
              <w:rPr>
                <w:rFonts w:ascii="Arial" w:cs="Arial" w:eastAsia="Arial" w:hAnsi="Arial"/>
                <w:sz w:val="18"/>
                <w:szCs w:val="18"/>
                <w:color w:val="auto"/>
              </w:rPr>
              <w:t>ordinary shares</w:t>
            </w:r>
          </w:p>
        </w:tc>
        <w:tc>
          <w:tcPr>
            <w:tcW w:w="200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445"/>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Ordinary shares to be outstanding immediately after the</w:t>
            </w:r>
          </w:p>
        </w:tc>
        <w:tc>
          <w:tcPr>
            <w:tcW w:w="2380" w:type="dxa"/>
            <w:vAlign w:val="bottom"/>
            <w:gridSpan w:val="2"/>
          </w:tcPr>
          <w:p>
            <w:pPr>
              <w:ind w:left="740"/>
              <w:spacing w:after="0"/>
              <w:rPr>
                <w:sz w:val="20"/>
                <w:szCs w:val="20"/>
                <w:color w:val="auto"/>
              </w:rPr>
            </w:pPr>
            <w:r>
              <w:rPr>
                <w:rFonts w:ascii="Arial" w:cs="Arial" w:eastAsia="Arial" w:hAnsi="Arial"/>
                <w:sz w:val="18"/>
                <w:szCs w:val="18"/>
                <w:color w:val="auto"/>
              </w:rPr>
              <w:t>ordinary shares (or</w:t>
            </w:r>
          </w:p>
        </w:tc>
        <w:tc>
          <w:tcPr>
            <w:tcW w:w="3980" w:type="dxa"/>
            <w:vAlign w:val="bottom"/>
            <w:tcBorders>
              <w:right w:val="single" w:sz="8" w:color="auto"/>
            </w:tcBorders>
            <w:gridSpan w:val="2"/>
          </w:tcPr>
          <w:p>
            <w:pPr>
              <w:ind w:left="560"/>
              <w:spacing w:after="0"/>
              <w:rPr>
                <w:sz w:val="20"/>
                <w:szCs w:val="20"/>
                <w:color w:val="auto"/>
              </w:rPr>
            </w:pPr>
            <w:r>
              <w:rPr>
                <w:rFonts w:ascii="Arial" w:cs="Arial" w:eastAsia="Arial" w:hAnsi="Arial"/>
                <w:sz w:val="18"/>
                <w:szCs w:val="18"/>
                <w:color w:val="auto"/>
              </w:rPr>
              <w:t>ordinary shares if the underwriters</w:t>
            </w:r>
          </w:p>
        </w:tc>
      </w:tr>
      <w:tr>
        <w:trPr>
          <w:trHeight w:val="203"/>
        </w:trPr>
        <w:tc>
          <w:tcPr>
            <w:tcW w:w="4680" w:type="dxa"/>
            <w:vAlign w:val="bottom"/>
            <w:tcBorders>
              <w:left w:val="single" w:sz="8" w:color="auto"/>
            </w:tcBorders>
          </w:tcPr>
          <w:p>
            <w:pPr>
              <w:ind w:left="280"/>
              <w:spacing w:after="0" w:line="202" w:lineRule="exact"/>
              <w:rPr>
                <w:sz w:val="20"/>
                <w:szCs w:val="20"/>
                <w:color w:val="auto"/>
              </w:rPr>
            </w:pPr>
            <w:r>
              <w:rPr>
                <w:rFonts w:ascii="Arial" w:cs="Arial" w:eastAsia="Arial" w:hAnsi="Arial"/>
                <w:sz w:val="18"/>
                <w:szCs w:val="18"/>
                <w:color w:val="auto"/>
              </w:rPr>
              <w:t>global offering</w:t>
            </w:r>
          </w:p>
        </w:tc>
        <w:tc>
          <w:tcPr>
            <w:tcW w:w="438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exercise in full their option to purchase an additional</w:t>
            </w:r>
          </w:p>
        </w:tc>
        <w:tc>
          <w:tcPr>
            <w:tcW w:w="1980" w:type="dxa"/>
            <w:vAlign w:val="bottom"/>
            <w:tcBorders>
              <w:right w:val="single" w:sz="8" w:color="auto"/>
            </w:tcBorders>
          </w:tcPr>
          <w:p>
            <w:pPr>
              <w:ind w:left="540"/>
              <w:spacing w:after="0" w:line="202" w:lineRule="exact"/>
              <w:rPr>
                <w:sz w:val="20"/>
                <w:szCs w:val="20"/>
                <w:color w:val="auto"/>
              </w:rPr>
            </w:pPr>
            <w:r>
              <w:rPr>
                <w:rFonts w:ascii="Arial" w:cs="Arial" w:eastAsia="Arial" w:hAnsi="Arial"/>
                <w:sz w:val="18"/>
                <w:szCs w:val="18"/>
                <w:color w:val="auto"/>
              </w:rPr>
              <w:t>ADSs),</w:t>
            </w:r>
          </w:p>
        </w:tc>
      </w:tr>
      <w:tr>
        <w:trPr>
          <w:trHeight w:val="217"/>
        </w:trPr>
        <w:tc>
          <w:tcPr>
            <w:tcW w:w="4680" w:type="dxa"/>
            <w:vAlign w:val="bottom"/>
            <w:tcBorders>
              <w:left w:val="single" w:sz="8" w:color="auto"/>
            </w:tcBorders>
          </w:tcPr>
          <w:p>
            <w:pPr>
              <w:spacing w:after="0"/>
              <w:rPr>
                <w:sz w:val="18"/>
                <w:szCs w:val="18"/>
                <w:color w:val="auto"/>
              </w:rPr>
            </w:pPr>
          </w:p>
        </w:tc>
        <w:tc>
          <w:tcPr>
            <w:tcW w:w="4380" w:type="dxa"/>
            <w:vAlign w:val="bottom"/>
            <w:gridSpan w:val="3"/>
          </w:tcPr>
          <w:p>
            <w:pPr>
              <w:ind w:left="80"/>
              <w:spacing w:after="0"/>
              <w:rPr>
                <w:sz w:val="20"/>
                <w:szCs w:val="20"/>
                <w:color w:val="auto"/>
              </w:rPr>
            </w:pPr>
            <w:r>
              <w:rPr>
                <w:rFonts w:ascii="Arial" w:cs="Arial" w:eastAsia="Arial" w:hAnsi="Arial"/>
                <w:sz w:val="18"/>
                <w:szCs w:val="18"/>
                <w:color w:val="auto"/>
              </w:rPr>
              <w:t>including ordinary shares in the form of ADSs</w:t>
            </w:r>
          </w:p>
        </w:tc>
        <w:tc>
          <w:tcPr>
            <w:tcW w:w="1980" w:type="dxa"/>
            <w:vAlign w:val="bottom"/>
            <w:tcBorders>
              <w:right w:val="single" w:sz="8" w:color="auto"/>
            </w:tcBorders>
          </w:tcPr>
          <w:p>
            <w:pPr>
              <w:spacing w:after="0"/>
              <w:rPr>
                <w:sz w:val="18"/>
                <w:szCs w:val="18"/>
                <w:color w:val="auto"/>
              </w:rPr>
            </w:pPr>
          </w:p>
        </w:tc>
      </w:tr>
      <w:tr>
        <w:trPr>
          <w:trHeight w:val="431"/>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Underwriters’ option to purchase additional ADSs in the</w:t>
            </w:r>
          </w:p>
        </w:tc>
        <w:tc>
          <w:tcPr>
            <w:tcW w:w="2380" w:type="dxa"/>
            <w:vAlign w:val="bottom"/>
            <w:gridSpan w:val="2"/>
          </w:tcPr>
          <w:p>
            <w:pPr>
              <w:ind w:left="720"/>
              <w:spacing w:after="0"/>
              <w:rPr>
                <w:sz w:val="20"/>
                <w:szCs w:val="20"/>
                <w:color w:val="auto"/>
              </w:rPr>
            </w:pPr>
            <w:r>
              <w:rPr>
                <w:rFonts w:ascii="Arial" w:cs="Arial" w:eastAsia="Arial" w:hAnsi="Arial"/>
                <w:sz w:val="18"/>
                <w:szCs w:val="18"/>
                <w:color w:val="auto"/>
              </w:rPr>
              <w:t>ADSs</w:t>
            </w:r>
          </w:p>
        </w:tc>
        <w:tc>
          <w:tcPr>
            <w:tcW w:w="200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217"/>
        </w:trPr>
        <w:tc>
          <w:tcPr>
            <w:tcW w:w="468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U.S. offering</w:t>
            </w: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45"/>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Offering price</w:t>
            </w:r>
          </w:p>
        </w:tc>
        <w:tc>
          <w:tcPr>
            <w:tcW w:w="1040" w:type="dxa"/>
            <w:vAlign w:val="bottom"/>
          </w:tcPr>
          <w:p>
            <w:pPr>
              <w:ind w:left="80"/>
              <w:spacing w:after="0"/>
              <w:rPr>
                <w:sz w:val="20"/>
                <w:szCs w:val="20"/>
                <w:color w:val="auto"/>
              </w:rPr>
            </w:pPr>
            <w:r>
              <w:rPr>
                <w:rFonts w:ascii="Arial" w:cs="Arial" w:eastAsia="Arial" w:hAnsi="Arial"/>
                <w:sz w:val="18"/>
                <w:szCs w:val="18"/>
                <w:color w:val="auto"/>
              </w:rPr>
              <w:t>On</w:t>
            </w:r>
          </w:p>
        </w:tc>
        <w:tc>
          <w:tcPr>
            <w:tcW w:w="53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 2018, the last reported sale price of our ordinary shares on</w:t>
            </w:r>
          </w:p>
        </w:tc>
      </w:tr>
      <w:tr>
        <w:trPr>
          <w:trHeight w:val="203"/>
        </w:trPr>
        <w:tc>
          <w:tcPr>
            <w:tcW w:w="4680" w:type="dxa"/>
            <w:vAlign w:val="bottom"/>
            <w:tcBorders>
              <w:left w:val="single" w:sz="8" w:color="auto"/>
            </w:tcBorders>
          </w:tcPr>
          <w:p>
            <w:pPr>
              <w:spacing w:after="0"/>
              <w:rPr>
                <w:sz w:val="17"/>
                <w:szCs w:val="17"/>
                <w:color w:val="auto"/>
              </w:rPr>
            </w:pPr>
          </w:p>
        </w:tc>
        <w:tc>
          <w:tcPr>
            <w:tcW w:w="1040" w:type="dxa"/>
            <w:vAlign w:val="bottom"/>
          </w:tcPr>
          <w:p>
            <w:pPr>
              <w:ind w:left="80"/>
              <w:spacing w:after="0" w:line="202" w:lineRule="exact"/>
              <w:rPr>
                <w:sz w:val="20"/>
                <w:szCs w:val="20"/>
                <w:color w:val="auto"/>
              </w:rPr>
            </w:pPr>
            <w:r>
              <w:rPr>
                <w:rFonts w:ascii="Arial" w:cs="Arial" w:eastAsia="Arial" w:hAnsi="Arial"/>
                <w:sz w:val="18"/>
                <w:szCs w:val="18"/>
                <w:color w:val="auto"/>
              </w:rPr>
              <w:t>AIM was £</w:t>
            </w:r>
          </w:p>
        </w:tc>
        <w:tc>
          <w:tcPr>
            <w:tcW w:w="33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per ordinary share (equivalent to $</w:t>
            </w:r>
          </w:p>
        </w:tc>
        <w:tc>
          <w:tcPr>
            <w:tcW w:w="1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per ADS). For a</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4"/>
          </w:tcPr>
          <w:p>
            <w:pPr>
              <w:ind w:left="80"/>
              <w:spacing w:after="0" w:line="202" w:lineRule="exact"/>
              <w:rPr>
                <w:sz w:val="20"/>
                <w:szCs w:val="20"/>
                <w:color w:val="auto"/>
              </w:rPr>
            </w:pPr>
            <w:r>
              <w:rPr>
                <w:rFonts w:ascii="Arial" w:cs="Arial" w:eastAsia="Arial" w:hAnsi="Arial"/>
                <w:sz w:val="18"/>
                <w:szCs w:val="18"/>
                <w:color w:val="auto"/>
              </w:rPr>
              <w:t>discussion of the factors considered in determining the initial public offering</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4"/>
          </w:tcPr>
          <w:p>
            <w:pPr>
              <w:ind w:left="80"/>
              <w:spacing w:after="0" w:line="202" w:lineRule="exact"/>
              <w:rPr>
                <w:sz w:val="20"/>
                <w:szCs w:val="20"/>
                <w:color w:val="auto"/>
              </w:rPr>
            </w:pPr>
            <w:r>
              <w:rPr>
                <w:rFonts w:ascii="Arial" w:cs="Arial" w:eastAsia="Arial" w:hAnsi="Arial"/>
                <w:sz w:val="18"/>
                <w:szCs w:val="18"/>
                <w:color w:val="auto"/>
              </w:rPr>
              <w:t>price of our ADSs in the U.S. offering and the price of our ordinary shares in</w:t>
            </w:r>
          </w:p>
        </w:tc>
      </w:tr>
      <w:tr>
        <w:trPr>
          <w:trHeight w:val="217"/>
        </w:trPr>
        <w:tc>
          <w:tcPr>
            <w:tcW w:w="4680" w:type="dxa"/>
            <w:vAlign w:val="bottom"/>
            <w:tcBorders>
              <w:left w:val="single" w:sz="8" w:color="auto"/>
            </w:tcBorders>
          </w:tcPr>
          <w:p>
            <w:pPr>
              <w:spacing w:after="0"/>
              <w:rPr>
                <w:sz w:val="18"/>
                <w:szCs w:val="18"/>
                <w:color w:val="auto"/>
              </w:rPr>
            </w:pPr>
          </w:p>
        </w:tc>
        <w:tc>
          <w:tcPr>
            <w:tcW w:w="4380" w:type="dxa"/>
            <w:vAlign w:val="bottom"/>
            <w:gridSpan w:val="3"/>
          </w:tcPr>
          <w:p>
            <w:pPr>
              <w:ind w:left="80"/>
              <w:spacing w:after="0"/>
              <w:rPr>
                <w:sz w:val="20"/>
                <w:szCs w:val="20"/>
                <w:color w:val="auto"/>
              </w:rPr>
            </w:pPr>
            <w:r>
              <w:rPr>
                <w:rFonts w:ascii="Arial" w:cs="Arial" w:eastAsia="Arial" w:hAnsi="Arial"/>
                <w:sz w:val="18"/>
                <w:szCs w:val="18"/>
                <w:color w:val="auto"/>
              </w:rPr>
              <w:t>the European private placement, see “Underwriting”.</w:t>
            </w:r>
          </w:p>
        </w:tc>
        <w:tc>
          <w:tcPr>
            <w:tcW w:w="1980" w:type="dxa"/>
            <w:vAlign w:val="bottom"/>
            <w:tcBorders>
              <w:right w:val="single" w:sz="8" w:color="auto"/>
            </w:tcBorders>
          </w:tcPr>
          <w:p>
            <w:pPr>
              <w:spacing w:after="0"/>
              <w:rPr>
                <w:sz w:val="18"/>
                <w:szCs w:val="18"/>
                <w:color w:val="auto"/>
              </w:rPr>
            </w:pPr>
          </w:p>
        </w:tc>
      </w:tr>
      <w:tr>
        <w:trPr>
          <w:trHeight w:val="431"/>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American Depositary Shares</w:t>
            </w:r>
          </w:p>
        </w:tc>
        <w:tc>
          <w:tcPr>
            <w:tcW w:w="2380" w:type="dxa"/>
            <w:vAlign w:val="bottom"/>
            <w:gridSpan w:val="2"/>
          </w:tcPr>
          <w:p>
            <w:pPr>
              <w:ind w:left="80"/>
              <w:spacing w:after="0"/>
              <w:rPr>
                <w:sz w:val="20"/>
                <w:szCs w:val="20"/>
                <w:color w:val="auto"/>
              </w:rPr>
            </w:pPr>
            <w:r>
              <w:rPr>
                <w:rFonts w:ascii="Arial" w:cs="Arial" w:eastAsia="Arial" w:hAnsi="Arial"/>
                <w:sz w:val="18"/>
                <w:szCs w:val="18"/>
                <w:color w:val="auto"/>
              </w:rPr>
              <w:t>Each ADS represents</w:t>
            </w:r>
          </w:p>
        </w:tc>
        <w:tc>
          <w:tcPr>
            <w:tcW w:w="398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ordinary shares, nominal value £0.003 per</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4"/>
          </w:tcPr>
          <w:p>
            <w:pPr>
              <w:ind w:left="80"/>
              <w:spacing w:after="0" w:line="202" w:lineRule="exact"/>
              <w:rPr>
                <w:sz w:val="20"/>
                <w:szCs w:val="20"/>
                <w:color w:val="auto"/>
              </w:rPr>
            </w:pPr>
            <w:r>
              <w:rPr>
                <w:rFonts w:ascii="Arial" w:cs="Arial" w:eastAsia="Arial" w:hAnsi="Arial"/>
                <w:sz w:val="18"/>
                <w:szCs w:val="18"/>
                <w:color w:val="auto"/>
              </w:rPr>
              <w:t>ordinary share. As an ADS holder, you will not be treated as one of our</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4"/>
          </w:tcPr>
          <w:p>
            <w:pPr>
              <w:ind w:left="80"/>
              <w:spacing w:after="0" w:line="202" w:lineRule="exact"/>
              <w:rPr>
                <w:sz w:val="20"/>
                <w:szCs w:val="20"/>
                <w:color w:val="auto"/>
              </w:rPr>
            </w:pPr>
            <w:r>
              <w:rPr>
                <w:rFonts w:ascii="Arial" w:cs="Arial" w:eastAsia="Arial" w:hAnsi="Arial"/>
                <w:sz w:val="18"/>
                <w:szCs w:val="18"/>
                <w:color w:val="auto"/>
              </w:rPr>
              <w:t>shareholders and you will not have shareholder rights. You will have the</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4"/>
          </w:tcPr>
          <w:p>
            <w:pPr>
              <w:ind w:left="80"/>
              <w:spacing w:after="0" w:line="202" w:lineRule="exact"/>
              <w:rPr>
                <w:sz w:val="20"/>
                <w:szCs w:val="20"/>
                <w:color w:val="auto"/>
              </w:rPr>
            </w:pPr>
            <w:r>
              <w:rPr>
                <w:rFonts w:ascii="Arial" w:cs="Arial" w:eastAsia="Arial" w:hAnsi="Arial"/>
                <w:sz w:val="18"/>
                <w:szCs w:val="18"/>
                <w:color w:val="auto"/>
              </w:rPr>
              <w:t>rights of an ADS holder or beneficial owner of ADSs as provided in the</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4"/>
          </w:tcPr>
          <w:p>
            <w:pPr>
              <w:ind w:left="80"/>
              <w:spacing w:after="0" w:line="202" w:lineRule="exact"/>
              <w:rPr>
                <w:sz w:val="20"/>
                <w:szCs w:val="20"/>
                <w:color w:val="auto"/>
              </w:rPr>
            </w:pPr>
            <w:r>
              <w:rPr>
                <w:rFonts w:ascii="Arial" w:cs="Arial" w:eastAsia="Arial" w:hAnsi="Arial"/>
                <w:sz w:val="18"/>
                <w:szCs w:val="18"/>
                <w:color w:val="auto"/>
              </w:rPr>
              <w:t>deposit agreement among us, the depositary, and holders and beneficial</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4"/>
          </w:tcPr>
          <w:p>
            <w:pPr>
              <w:ind w:left="80"/>
              <w:spacing w:after="0" w:line="202" w:lineRule="exact"/>
              <w:rPr>
                <w:sz w:val="20"/>
                <w:szCs w:val="20"/>
                <w:color w:val="auto"/>
              </w:rPr>
            </w:pPr>
            <w:r>
              <w:rPr>
                <w:rFonts w:ascii="Arial" w:cs="Arial" w:eastAsia="Arial" w:hAnsi="Arial"/>
                <w:sz w:val="18"/>
                <w:szCs w:val="18"/>
                <w:color w:val="auto"/>
              </w:rPr>
              <w:t>owners of ADSs from time to time. To better understand the terms of our</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4"/>
          </w:tcPr>
          <w:p>
            <w:pPr>
              <w:ind w:left="80"/>
              <w:spacing w:after="0" w:line="202" w:lineRule="exact"/>
              <w:rPr>
                <w:sz w:val="20"/>
                <w:szCs w:val="20"/>
                <w:color w:val="auto"/>
              </w:rPr>
            </w:pPr>
            <w:r>
              <w:rPr>
                <w:rFonts w:ascii="Arial" w:cs="Arial" w:eastAsia="Arial" w:hAnsi="Arial"/>
                <w:sz w:val="18"/>
                <w:szCs w:val="18"/>
                <w:color w:val="auto"/>
              </w:rPr>
              <w:t>ADSs, see “Description of American Depositary Shares.” We also</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4"/>
          </w:tcPr>
          <w:p>
            <w:pPr>
              <w:ind w:left="80"/>
              <w:spacing w:after="0" w:line="202" w:lineRule="exact"/>
              <w:rPr>
                <w:sz w:val="20"/>
                <w:szCs w:val="20"/>
                <w:color w:val="auto"/>
              </w:rPr>
            </w:pPr>
            <w:r>
              <w:rPr>
                <w:rFonts w:ascii="Arial" w:cs="Arial" w:eastAsia="Arial" w:hAnsi="Arial"/>
                <w:sz w:val="18"/>
                <w:szCs w:val="18"/>
                <w:color w:val="auto"/>
              </w:rPr>
              <w:t>encourage you to read the deposit agreement, the form of which is filed as</w:t>
            </w:r>
          </w:p>
        </w:tc>
      </w:tr>
      <w:tr>
        <w:trPr>
          <w:trHeight w:val="203"/>
        </w:trPr>
        <w:tc>
          <w:tcPr>
            <w:tcW w:w="4680" w:type="dxa"/>
            <w:vAlign w:val="bottom"/>
            <w:tcBorders>
              <w:left w:val="single" w:sz="8" w:color="auto"/>
            </w:tcBorders>
          </w:tcPr>
          <w:p>
            <w:pPr>
              <w:spacing w:after="0"/>
              <w:rPr>
                <w:sz w:val="17"/>
                <w:szCs w:val="17"/>
                <w:color w:val="auto"/>
              </w:rPr>
            </w:pPr>
          </w:p>
        </w:tc>
        <w:tc>
          <w:tcPr>
            <w:tcW w:w="6360" w:type="dxa"/>
            <w:vAlign w:val="bottom"/>
            <w:tcBorders>
              <w:right w:val="single" w:sz="8" w:color="auto"/>
            </w:tcBorders>
            <w:gridSpan w:val="4"/>
          </w:tcPr>
          <w:p>
            <w:pPr>
              <w:ind w:left="80"/>
              <w:spacing w:after="0" w:line="202" w:lineRule="exact"/>
              <w:rPr>
                <w:sz w:val="20"/>
                <w:szCs w:val="20"/>
                <w:color w:val="auto"/>
              </w:rPr>
            </w:pPr>
            <w:r>
              <w:rPr>
                <w:rFonts w:ascii="Arial" w:cs="Arial" w:eastAsia="Arial" w:hAnsi="Arial"/>
                <w:sz w:val="18"/>
                <w:szCs w:val="18"/>
                <w:color w:val="auto"/>
              </w:rPr>
              <w:t>an exhibit to the registration statement of which this prospectus forms a</w:t>
            </w:r>
          </w:p>
        </w:tc>
      </w:tr>
      <w:tr>
        <w:trPr>
          <w:trHeight w:val="217"/>
        </w:trPr>
        <w:tc>
          <w:tcPr>
            <w:tcW w:w="4680" w:type="dxa"/>
            <w:vAlign w:val="bottom"/>
            <w:tcBorders>
              <w:left w:val="single" w:sz="8" w:color="auto"/>
            </w:tcBorders>
          </w:tcPr>
          <w:p>
            <w:pPr>
              <w:spacing w:after="0"/>
              <w:rPr>
                <w:sz w:val="18"/>
                <w:szCs w:val="18"/>
                <w:color w:val="auto"/>
              </w:rPr>
            </w:pPr>
          </w:p>
        </w:tc>
        <w:tc>
          <w:tcPr>
            <w:tcW w:w="1040" w:type="dxa"/>
            <w:vAlign w:val="bottom"/>
          </w:tcPr>
          <w:p>
            <w:pPr>
              <w:ind w:left="80"/>
              <w:spacing w:after="0"/>
              <w:rPr>
                <w:sz w:val="20"/>
                <w:szCs w:val="20"/>
                <w:color w:val="auto"/>
              </w:rPr>
            </w:pPr>
            <w:r>
              <w:rPr>
                <w:rFonts w:ascii="Arial" w:cs="Arial" w:eastAsia="Arial" w:hAnsi="Arial"/>
                <w:sz w:val="18"/>
                <w:szCs w:val="18"/>
                <w:color w:val="auto"/>
              </w:rPr>
              <w:t>part.</w:t>
            </w:r>
          </w:p>
        </w:tc>
        <w:tc>
          <w:tcPr>
            <w:tcW w:w="1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446"/>
        </w:trPr>
        <w:tc>
          <w:tcPr>
            <w:tcW w:w="46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Depositary</w:t>
            </w:r>
          </w:p>
        </w:tc>
        <w:tc>
          <w:tcPr>
            <w:tcW w:w="2380" w:type="dxa"/>
            <w:vAlign w:val="bottom"/>
            <w:gridSpan w:val="2"/>
          </w:tcPr>
          <w:p>
            <w:pPr>
              <w:ind w:left="80"/>
              <w:spacing w:after="0"/>
              <w:rPr>
                <w:sz w:val="20"/>
                <w:szCs w:val="20"/>
                <w:color w:val="auto"/>
              </w:rPr>
            </w:pPr>
            <w:r>
              <w:rPr>
                <w:rFonts w:ascii="Arial" w:cs="Arial" w:eastAsia="Arial" w:hAnsi="Arial"/>
                <w:sz w:val="18"/>
                <w:szCs w:val="18"/>
                <w:color w:val="auto"/>
              </w:rPr>
              <w:t>Citibank, N.A.</w:t>
            </w:r>
          </w:p>
        </w:tc>
        <w:tc>
          <w:tcPr>
            <w:tcW w:w="200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r>
      <w:tr>
        <w:trPr>
          <w:trHeight w:val="240"/>
        </w:trPr>
        <w:tc>
          <w:tcPr>
            <w:tcW w:w="4680" w:type="dxa"/>
            <w:vAlign w:val="bottom"/>
            <w:tcBorders>
              <w:left w:val="single" w:sz="8" w:color="auto"/>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r>
      <w:tr>
        <w:trPr>
          <w:trHeight w:val="604"/>
        </w:trPr>
        <w:tc>
          <w:tcPr>
            <w:tcW w:w="4680" w:type="dxa"/>
            <w:vAlign w:val="bottom"/>
          </w:tcPr>
          <w:p>
            <w:pPr>
              <w:spacing w:after="0"/>
              <w:rPr>
                <w:sz w:val="24"/>
                <w:szCs w:val="24"/>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9</w:t>
            </w:r>
          </w:p>
        </w:tc>
        <w:tc>
          <w:tcPr>
            <w:tcW w:w="1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21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562102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Use of proceeds</w:t>
            </w:r>
          </w:p>
        </w:tc>
        <w:tc>
          <w:tcPr>
            <w:tcW w:w="6980" w:type="dxa"/>
            <w:vAlign w:val="bottom"/>
            <w:gridSpan w:val="5"/>
          </w:tcPr>
          <w:p>
            <w:pPr>
              <w:ind w:left="960"/>
              <w:spacing w:after="0"/>
              <w:rPr>
                <w:sz w:val="20"/>
                <w:szCs w:val="20"/>
                <w:color w:val="auto"/>
              </w:rPr>
            </w:pPr>
            <w:r>
              <w:rPr>
                <w:rFonts w:ascii="Arial" w:cs="Arial" w:eastAsia="Arial" w:hAnsi="Arial"/>
                <w:sz w:val="18"/>
                <w:szCs w:val="18"/>
                <w:color w:val="auto"/>
              </w:rPr>
              <w:t>We estimate that the net proceeds to us from the global offering will be</w:t>
            </w:r>
          </w:p>
        </w:tc>
      </w:tr>
      <w:tr>
        <w:trPr>
          <w:trHeight w:val="203"/>
        </w:trPr>
        <w:tc>
          <w:tcPr>
            <w:tcW w:w="3620" w:type="dxa"/>
            <w:vAlign w:val="bottom"/>
          </w:tcPr>
          <w:p>
            <w:pPr>
              <w:spacing w:after="0"/>
              <w:rPr>
                <w:sz w:val="17"/>
                <w:szCs w:val="17"/>
                <w:color w:val="auto"/>
              </w:rPr>
            </w:pPr>
          </w:p>
        </w:tc>
        <w:tc>
          <w:tcPr>
            <w:tcW w:w="2440" w:type="dxa"/>
            <w:vAlign w:val="bottom"/>
          </w:tcPr>
          <w:p>
            <w:pPr>
              <w:ind w:left="960"/>
              <w:spacing w:after="0" w:line="202" w:lineRule="exact"/>
              <w:rPr>
                <w:sz w:val="20"/>
                <w:szCs w:val="20"/>
                <w:color w:val="auto"/>
              </w:rPr>
            </w:pPr>
            <w:r>
              <w:rPr>
                <w:rFonts w:ascii="Arial" w:cs="Arial" w:eastAsia="Arial" w:hAnsi="Arial"/>
                <w:sz w:val="18"/>
                <w:szCs w:val="18"/>
                <w:color w:val="auto"/>
              </w:rPr>
              <w:t>approximately $</w:t>
            </w:r>
          </w:p>
        </w:tc>
        <w:tc>
          <w:tcPr>
            <w:tcW w:w="2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million (or approximately $</w:t>
            </w:r>
          </w:p>
        </w:tc>
        <w:tc>
          <w:tcPr>
            <w:tcW w:w="20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million if the</w:t>
            </w:r>
          </w:p>
        </w:tc>
      </w:tr>
      <w:tr>
        <w:trPr>
          <w:trHeight w:val="203"/>
        </w:trPr>
        <w:tc>
          <w:tcPr>
            <w:tcW w:w="3620" w:type="dxa"/>
            <w:vAlign w:val="bottom"/>
          </w:tcPr>
          <w:p>
            <w:pPr>
              <w:spacing w:after="0"/>
              <w:rPr>
                <w:sz w:val="17"/>
                <w:szCs w:val="17"/>
                <w:color w:val="auto"/>
              </w:rPr>
            </w:pPr>
          </w:p>
        </w:tc>
        <w:tc>
          <w:tcPr>
            <w:tcW w:w="6980" w:type="dxa"/>
            <w:vAlign w:val="bottom"/>
            <w:gridSpan w:val="5"/>
          </w:tcPr>
          <w:p>
            <w:pPr>
              <w:ind w:left="960"/>
              <w:spacing w:after="0" w:line="202" w:lineRule="exact"/>
              <w:rPr>
                <w:sz w:val="20"/>
                <w:szCs w:val="20"/>
                <w:color w:val="auto"/>
              </w:rPr>
            </w:pPr>
            <w:r>
              <w:rPr>
                <w:rFonts w:ascii="Arial" w:cs="Arial" w:eastAsia="Arial" w:hAnsi="Arial"/>
                <w:sz w:val="18"/>
                <w:szCs w:val="18"/>
                <w:color w:val="auto"/>
              </w:rPr>
              <w:t>underwriters exercise in full their option to purchase additional ADSs),</w:t>
            </w:r>
          </w:p>
        </w:tc>
      </w:tr>
      <w:tr>
        <w:trPr>
          <w:trHeight w:val="203"/>
        </w:trPr>
        <w:tc>
          <w:tcPr>
            <w:tcW w:w="3620" w:type="dxa"/>
            <w:vAlign w:val="bottom"/>
          </w:tcPr>
          <w:p>
            <w:pPr>
              <w:spacing w:after="0"/>
              <w:rPr>
                <w:sz w:val="17"/>
                <w:szCs w:val="17"/>
                <w:color w:val="auto"/>
              </w:rPr>
            </w:pPr>
          </w:p>
        </w:tc>
        <w:tc>
          <w:tcPr>
            <w:tcW w:w="5180" w:type="dxa"/>
            <w:vAlign w:val="bottom"/>
            <w:gridSpan w:val="4"/>
          </w:tcPr>
          <w:p>
            <w:pPr>
              <w:ind w:left="960"/>
              <w:spacing w:after="0" w:line="202" w:lineRule="exact"/>
              <w:rPr>
                <w:sz w:val="20"/>
                <w:szCs w:val="20"/>
                <w:color w:val="auto"/>
              </w:rPr>
            </w:pPr>
            <w:r>
              <w:rPr>
                <w:rFonts w:ascii="Arial" w:cs="Arial" w:eastAsia="Arial" w:hAnsi="Arial"/>
                <w:sz w:val="18"/>
                <w:szCs w:val="18"/>
                <w:color w:val="auto"/>
              </w:rPr>
              <w:t>based on an assumed initial public offering price of $</w:t>
            </w:r>
          </w:p>
        </w:tc>
        <w:tc>
          <w:tcPr>
            <w:tcW w:w="1800" w:type="dxa"/>
            <w:vAlign w:val="bottom"/>
          </w:tcPr>
          <w:p>
            <w:pPr>
              <w:ind w:left="360"/>
              <w:spacing w:after="0" w:line="202" w:lineRule="exact"/>
              <w:rPr>
                <w:sz w:val="20"/>
                <w:szCs w:val="20"/>
                <w:color w:val="auto"/>
              </w:rPr>
            </w:pPr>
            <w:r>
              <w:rPr>
                <w:rFonts w:ascii="Arial" w:cs="Arial" w:eastAsia="Arial" w:hAnsi="Arial"/>
                <w:sz w:val="18"/>
                <w:szCs w:val="18"/>
                <w:color w:val="auto"/>
              </w:rPr>
              <w:t>per ADS in the</w:t>
            </w:r>
          </w:p>
        </w:tc>
      </w:tr>
      <w:tr>
        <w:trPr>
          <w:trHeight w:val="203"/>
        </w:trPr>
        <w:tc>
          <w:tcPr>
            <w:tcW w:w="3620" w:type="dxa"/>
            <w:vAlign w:val="bottom"/>
          </w:tcPr>
          <w:p>
            <w:pPr>
              <w:spacing w:after="0"/>
              <w:rPr>
                <w:sz w:val="17"/>
                <w:szCs w:val="17"/>
                <w:color w:val="auto"/>
              </w:rPr>
            </w:pPr>
          </w:p>
        </w:tc>
        <w:tc>
          <w:tcPr>
            <w:tcW w:w="496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U.S. offering and an assumed offering price of £</w:t>
            </w:r>
          </w:p>
        </w:tc>
        <w:tc>
          <w:tcPr>
            <w:tcW w:w="220" w:type="dxa"/>
            <w:vAlign w:val="bottom"/>
          </w:tcPr>
          <w:p>
            <w:pPr>
              <w:spacing w:after="0"/>
              <w:rPr>
                <w:sz w:val="17"/>
                <w:szCs w:val="17"/>
                <w:color w:val="auto"/>
              </w:rPr>
            </w:pPr>
          </w:p>
        </w:tc>
        <w:tc>
          <w:tcPr>
            <w:tcW w:w="1800" w:type="dxa"/>
            <w:vAlign w:val="bottom"/>
          </w:tcPr>
          <w:p>
            <w:pPr>
              <w:ind w:left="40"/>
              <w:spacing w:after="0" w:line="202" w:lineRule="exact"/>
              <w:rPr>
                <w:sz w:val="20"/>
                <w:szCs w:val="20"/>
                <w:color w:val="auto"/>
              </w:rPr>
            </w:pPr>
            <w:r>
              <w:rPr>
                <w:rFonts w:ascii="Arial" w:cs="Arial" w:eastAsia="Arial" w:hAnsi="Arial"/>
                <w:sz w:val="18"/>
                <w:szCs w:val="18"/>
                <w:color w:val="auto"/>
              </w:rPr>
              <w:t>per ordinary share in</w:t>
            </w:r>
          </w:p>
        </w:tc>
      </w:tr>
      <w:tr>
        <w:trPr>
          <w:trHeight w:val="203"/>
        </w:trPr>
        <w:tc>
          <w:tcPr>
            <w:tcW w:w="3620" w:type="dxa"/>
            <w:vAlign w:val="bottom"/>
          </w:tcPr>
          <w:p>
            <w:pPr>
              <w:spacing w:after="0"/>
              <w:rPr>
                <w:sz w:val="17"/>
                <w:szCs w:val="17"/>
                <w:color w:val="auto"/>
              </w:rPr>
            </w:pPr>
          </w:p>
        </w:tc>
        <w:tc>
          <w:tcPr>
            <w:tcW w:w="6980" w:type="dxa"/>
            <w:vAlign w:val="bottom"/>
            <w:gridSpan w:val="5"/>
          </w:tcPr>
          <w:p>
            <w:pPr>
              <w:ind w:left="960"/>
              <w:spacing w:after="0" w:line="202" w:lineRule="exact"/>
              <w:rPr>
                <w:sz w:val="20"/>
                <w:szCs w:val="20"/>
                <w:color w:val="auto"/>
              </w:rPr>
            </w:pPr>
            <w:r>
              <w:rPr>
                <w:rFonts w:ascii="Arial" w:cs="Arial" w:eastAsia="Arial" w:hAnsi="Arial"/>
                <w:sz w:val="18"/>
                <w:szCs w:val="18"/>
                <w:color w:val="auto"/>
                <w:w w:val="99"/>
              </w:rPr>
              <w:t>the European private placement, which reflect the last reported sale price of</w:t>
            </w:r>
          </w:p>
        </w:tc>
      </w:tr>
      <w:tr>
        <w:trPr>
          <w:trHeight w:val="203"/>
        </w:trPr>
        <w:tc>
          <w:tcPr>
            <w:tcW w:w="3620" w:type="dxa"/>
            <w:vAlign w:val="bottom"/>
          </w:tcPr>
          <w:p>
            <w:pPr>
              <w:spacing w:after="0"/>
              <w:rPr>
                <w:sz w:val="17"/>
                <w:szCs w:val="17"/>
                <w:color w:val="auto"/>
              </w:rPr>
            </w:pPr>
          </w:p>
        </w:tc>
        <w:tc>
          <w:tcPr>
            <w:tcW w:w="396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our ordinary shares on AIM on</w:t>
            </w:r>
          </w:p>
        </w:tc>
        <w:tc>
          <w:tcPr>
            <w:tcW w:w="302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 2018, after deducting the</w:t>
            </w:r>
          </w:p>
        </w:tc>
      </w:tr>
      <w:tr>
        <w:trPr>
          <w:trHeight w:val="203"/>
        </w:trPr>
        <w:tc>
          <w:tcPr>
            <w:tcW w:w="3620" w:type="dxa"/>
            <w:vAlign w:val="bottom"/>
          </w:tcPr>
          <w:p>
            <w:pPr>
              <w:spacing w:after="0"/>
              <w:rPr>
                <w:sz w:val="17"/>
                <w:szCs w:val="17"/>
                <w:color w:val="auto"/>
              </w:rPr>
            </w:pPr>
          </w:p>
        </w:tc>
        <w:tc>
          <w:tcPr>
            <w:tcW w:w="6980" w:type="dxa"/>
            <w:vAlign w:val="bottom"/>
            <w:gridSpan w:val="5"/>
          </w:tcPr>
          <w:p>
            <w:pPr>
              <w:ind w:left="960"/>
              <w:spacing w:after="0" w:line="202" w:lineRule="exact"/>
              <w:rPr>
                <w:sz w:val="20"/>
                <w:szCs w:val="20"/>
                <w:color w:val="auto"/>
              </w:rPr>
            </w:pPr>
            <w:r>
              <w:rPr>
                <w:rFonts w:ascii="Arial" w:cs="Arial" w:eastAsia="Arial" w:hAnsi="Arial"/>
                <w:sz w:val="18"/>
                <w:szCs w:val="18"/>
                <w:color w:val="auto"/>
              </w:rPr>
              <w:t>estimated underwriting discounts and commissions and estimated offering</w:t>
            </w:r>
          </w:p>
        </w:tc>
      </w:tr>
      <w:tr>
        <w:trPr>
          <w:trHeight w:val="203"/>
        </w:trPr>
        <w:tc>
          <w:tcPr>
            <w:tcW w:w="3620" w:type="dxa"/>
            <w:vAlign w:val="bottom"/>
          </w:tcPr>
          <w:p>
            <w:pPr>
              <w:spacing w:after="0"/>
              <w:rPr>
                <w:sz w:val="17"/>
                <w:szCs w:val="17"/>
                <w:color w:val="auto"/>
              </w:rPr>
            </w:pPr>
          </w:p>
        </w:tc>
        <w:tc>
          <w:tcPr>
            <w:tcW w:w="6980" w:type="dxa"/>
            <w:vAlign w:val="bottom"/>
            <w:gridSpan w:val="5"/>
          </w:tcPr>
          <w:p>
            <w:pPr>
              <w:ind w:left="960"/>
              <w:spacing w:after="0" w:line="202" w:lineRule="exact"/>
              <w:rPr>
                <w:sz w:val="20"/>
                <w:szCs w:val="20"/>
                <w:color w:val="auto"/>
              </w:rPr>
            </w:pPr>
            <w:r>
              <w:rPr>
                <w:rFonts w:ascii="Arial" w:cs="Arial" w:eastAsia="Arial" w:hAnsi="Arial"/>
                <w:sz w:val="18"/>
                <w:szCs w:val="18"/>
                <w:color w:val="auto"/>
                <w:w w:val="99"/>
              </w:rPr>
              <w:t>expenses payable by us. We intend to use the net proceeds from the global</w:t>
            </w:r>
          </w:p>
        </w:tc>
      </w:tr>
      <w:tr>
        <w:trPr>
          <w:trHeight w:val="203"/>
        </w:trPr>
        <w:tc>
          <w:tcPr>
            <w:tcW w:w="3620" w:type="dxa"/>
            <w:vAlign w:val="bottom"/>
          </w:tcPr>
          <w:p>
            <w:pPr>
              <w:spacing w:after="0"/>
              <w:rPr>
                <w:sz w:val="17"/>
                <w:szCs w:val="17"/>
                <w:color w:val="auto"/>
              </w:rPr>
            </w:pPr>
          </w:p>
        </w:tc>
        <w:tc>
          <w:tcPr>
            <w:tcW w:w="6980" w:type="dxa"/>
            <w:vAlign w:val="bottom"/>
            <w:gridSpan w:val="5"/>
          </w:tcPr>
          <w:p>
            <w:pPr>
              <w:ind w:left="960"/>
              <w:spacing w:after="0" w:line="202" w:lineRule="exact"/>
              <w:rPr>
                <w:sz w:val="20"/>
                <w:szCs w:val="20"/>
                <w:color w:val="auto"/>
              </w:rPr>
            </w:pPr>
            <w:r>
              <w:rPr>
                <w:rFonts w:ascii="Arial" w:cs="Arial" w:eastAsia="Arial" w:hAnsi="Arial"/>
                <w:sz w:val="18"/>
                <w:szCs w:val="18"/>
                <w:color w:val="auto"/>
              </w:rPr>
              <w:t>offering, together with our existing cash resources, to fund our clinical</w:t>
            </w:r>
          </w:p>
        </w:tc>
      </w:tr>
      <w:tr>
        <w:trPr>
          <w:trHeight w:val="203"/>
        </w:trPr>
        <w:tc>
          <w:tcPr>
            <w:tcW w:w="3620" w:type="dxa"/>
            <w:vAlign w:val="bottom"/>
          </w:tcPr>
          <w:p>
            <w:pPr>
              <w:spacing w:after="0"/>
              <w:rPr>
                <w:sz w:val="17"/>
                <w:szCs w:val="17"/>
                <w:color w:val="auto"/>
              </w:rPr>
            </w:pPr>
          </w:p>
        </w:tc>
        <w:tc>
          <w:tcPr>
            <w:tcW w:w="6980" w:type="dxa"/>
            <w:vAlign w:val="bottom"/>
            <w:gridSpan w:val="5"/>
          </w:tcPr>
          <w:p>
            <w:pPr>
              <w:ind w:left="960"/>
              <w:spacing w:after="0" w:line="202" w:lineRule="exact"/>
              <w:rPr>
                <w:sz w:val="20"/>
                <w:szCs w:val="20"/>
                <w:color w:val="auto"/>
              </w:rPr>
            </w:pPr>
            <w:r>
              <w:rPr>
                <w:rFonts w:ascii="Arial" w:cs="Arial" w:eastAsia="Arial" w:hAnsi="Arial"/>
                <w:sz w:val="18"/>
                <w:szCs w:val="18"/>
                <w:color w:val="auto"/>
              </w:rPr>
              <w:t>development program and for working capital and other general corporate</w:t>
            </w:r>
          </w:p>
        </w:tc>
      </w:tr>
      <w:tr>
        <w:trPr>
          <w:trHeight w:val="217"/>
        </w:trPr>
        <w:tc>
          <w:tcPr>
            <w:tcW w:w="3620" w:type="dxa"/>
            <w:vAlign w:val="bottom"/>
          </w:tcPr>
          <w:p>
            <w:pPr>
              <w:spacing w:after="0"/>
              <w:rPr>
                <w:sz w:val="18"/>
                <w:szCs w:val="18"/>
                <w:color w:val="auto"/>
              </w:rPr>
            </w:pPr>
          </w:p>
        </w:tc>
        <w:tc>
          <w:tcPr>
            <w:tcW w:w="3960" w:type="dxa"/>
            <w:vAlign w:val="bottom"/>
            <w:gridSpan w:val="2"/>
          </w:tcPr>
          <w:p>
            <w:pPr>
              <w:ind w:left="960"/>
              <w:spacing w:after="0"/>
              <w:rPr>
                <w:sz w:val="20"/>
                <w:szCs w:val="20"/>
                <w:color w:val="auto"/>
              </w:rPr>
            </w:pPr>
            <w:r>
              <w:rPr>
                <w:rFonts w:ascii="Arial" w:cs="Arial" w:eastAsia="Arial" w:hAnsi="Arial"/>
                <w:sz w:val="18"/>
                <w:szCs w:val="18"/>
                <w:color w:val="auto"/>
              </w:rPr>
              <w:t>purposes. See “Use of Proceeds.”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31"/>
        </w:trPr>
        <w:tc>
          <w:tcPr>
            <w:tcW w:w="3620" w:type="dxa"/>
            <w:vAlign w:val="bottom"/>
          </w:tcPr>
          <w:p>
            <w:pPr>
              <w:spacing w:after="0"/>
              <w:rPr>
                <w:sz w:val="20"/>
                <w:szCs w:val="20"/>
                <w:color w:val="auto"/>
              </w:rPr>
            </w:pPr>
            <w:r>
              <w:rPr>
                <w:rFonts w:ascii="Arial" w:cs="Arial" w:eastAsia="Arial" w:hAnsi="Arial"/>
                <w:sz w:val="18"/>
                <w:szCs w:val="18"/>
                <w:color w:val="auto"/>
              </w:rPr>
              <w:t>Risk factors</w:t>
            </w:r>
          </w:p>
        </w:tc>
        <w:tc>
          <w:tcPr>
            <w:tcW w:w="6980" w:type="dxa"/>
            <w:vAlign w:val="bottom"/>
            <w:gridSpan w:val="5"/>
          </w:tcPr>
          <w:p>
            <w:pPr>
              <w:ind w:left="960"/>
              <w:spacing w:after="0"/>
              <w:rPr>
                <w:sz w:val="20"/>
                <w:szCs w:val="20"/>
                <w:color w:val="auto"/>
              </w:rPr>
            </w:pPr>
            <w:r>
              <w:rPr>
                <w:rFonts w:ascii="Arial" w:cs="Arial" w:eastAsia="Arial" w:hAnsi="Arial"/>
                <w:sz w:val="18"/>
                <w:szCs w:val="18"/>
                <w:color w:val="auto"/>
              </w:rPr>
              <w:t>See “Risk Factors” and the other information included in this prospectus for</w:t>
            </w:r>
          </w:p>
        </w:tc>
      </w:tr>
      <w:tr>
        <w:trPr>
          <w:trHeight w:val="203"/>
        </w:trPr>
        <w:tc>
          <w:tcPr>
            <w:tcW w:w="3620" w:type="dxa"/>
            <w:vAlign w:val="bottom"/>
          </w:tcPr>
          <w:p>
            <w:pPr>
              <w:spacing w:after="0"/>
              <w:rPr>
                <w:sz w:val="17"/>
                <w:szCs w:val="17"/>
                <w:color w:val="auto"/>
              </w:rPr>
            </w:pPr>
          </w:p>
        </w:tc>
        <w:tc>
          <w:tcPr>
            <w:tcW w:w="6980" w:type="dxa"/>
            <w:vAlign w:val="bottom"/>
            <w:gridSpan w:val="5"/>
          </w:tcPr>
          <w:p>
            <w:pPr>
              <w:ind w:left="960"/>
              <w:spacing w:after="0" w:line="202" w:lineRule="exact"/>
              <w:rPr>
                <w:sz w:val="20"/>
                <w:szCs w:val="20"/>
                <w:color w:val="auto"/>
              </w:rPr>
            </w:pPr>
            <w:r>
              <w:rPr>
                <w:rFonts w:ascii="Arial" w:cs="Arial" w:eastAsia="Arial" w:hAnsi="Arial"/>
                <w:sz w:val="18"/>
                <w:szCs w:val="18"/>
                <w:color w:val="auto"/>
              </w:rPr>
              <w:t>a discussion of factors you should consider before deciding to invest in our</w:t>
            </w:r>
          </w:p>
        </w:tc>
      </w:tr>
      <w:tr>
        <w:trPr>
          <w:trHeight w:val="217"/>
        </w:trPr>
        <w:tc>
          <w:tcPr>
            <w:tcW w:w="3620" w:type="dxa"/>
            <w:vAlign w:val="bottom"/>
          </w:tcPr>
          <w:p>
            <w:pPr>
              <w:spacing w:after="0"/>
              <w:rPr>
                <w:sz w:val="18"/>
                <w:szCs w:val="18"/>
                <w:color w:val="auto"/>
              </w:rPr>
            </w:pPr>
          </w:p>
        </w:tc>
        <w:tc>
          <w:tcPr>
            <w:tcW w:w="3960" w:type="dxa"/>
            <w:vAlign w:val="bottom"/>
            <w:gridSpan w:val="2"/>
          </w:tcPr>
          <w:p>
            <w:pPr>
              <w:ind w:left="960"/>
              <w:spacing w:after="0"/>
              <w:rPr>
                <w:sz w:val="20"/>
                <w:szCs w:val="20"/>
                <w:color w:val="auto"/>
              </w:rPr>
            </w:pPr>
            <w:r>
              <w:rPr>
                <w:rFonts w:ascii="Arial" w:cs="Arial" w:eastAsia="Arial" w:hAnsi="Arial"/>
                <w:sz w:val="18"/>
                <w:szCs w:val="18"/>
                <w:color w:val="auto"/>
              </w:rPr>
              <w:t>ADSs or ordinary shares.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46"/>
        </w:trPr>
        <w:tc>
          <w:tcPr>
            <w:tcW w:w="3620" w:type="dxa"/>
            <w:vAlign w:val="bottom"/>
          </w:tcPr>
          <w:p>
            <w:pPr>
              <w:spacing w:after="0"/>
              <w:rPr>
                <w:sz w:val="20"/>
                <w:szCs w:val="20"/>
                <w:color w:val="auto"/>
              </w:rPr>
            </w:pPr>
            <w:r>
              <w:rPr>
                <w:rFonts w:ascii="Arial" w:cs="Arial" w:eastAsia="Arial" w:hAnsi="Arial"/>
                <w:sz w:val="18"/>
                <w:szCs w:val="18"/>
                <w:color w:val="auto"/>
              </w:rPr>
              <w:t>Proposed Nasdaq trading symbol</w:t>
            </w:r>
          </w:p>
        </w:tc>
        <w:tc>
          <w:tcPr>
            <w:tcW w:w="2440" w:type="dxa"/>
            <w:vAlign w:val="bottom"/>
          </w:tcPr>
          <w:p>
            <w:pPr>
              <w:ind w:left="960"/>
              <w:spacing w:after="0"/>
              <w:rPr>
                <w:sz w:val="20"/>
                <w:szCs w:val="20"/>
                <w:color w:val="auto"/>
              </w:rPr>
            </w:pPr>
            <w:r>
              <w:rPr>
                <w:rFonts w:ascii="Arial" w:cs="Arial" w:eastAsia="Arial" w:hAnsi="Arial"/>
                <w:sz w:val="18"/>
                <w:szCs w:val="18"/>
                <w:color w:val="auto"/>
              </w:rPr>
              <w:t>“MREO”</w:t>
            </w: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59"/>
        </w:trPr>
        <w:tc>
          <w:tcPr>
            <w:tcW w:w="3620" w:type="dxa"/>
            <w:vAlign w:val="bottom"/>
          </w:tcPr>
          <w:p>
            <w:pPr>
              <w:spacing w:after="0"/>
              <w:rPr>
                <w:sz w:val="20"/>
                <w:szCs w:val="20"/>
                <w:color w:val="auto"/>
              </w:rPr>
            </w:pPr>
            <w:r>
              <w:rPr>
                <w:rFonts w:ascii="Arial" w:cs="Arial" w:eastAsia="Arial" w:hAnsi="Arial"/>
                <w:sz w:val="18"/>
                <w:szCs w:val="18"/>
                <w:color w:val="auto"/>
              </w:rPr>
              <w:t>AIM trading symbol</w:t>
            </w:r>
          </w:p>
        </w:tc>
        <w:tc>
          <w:tcPr>
            <w:tcW w:w="2440" w:type="dxa"/>
            <w:vAlign w:val="bottom"/>
          </w:tcPr>
          <w:p>
            <w:pPr>
              <w:ind w:left="960"/>
              <w:spacing w:after="0"/>
              <w:rPr>
                <w:sz w:val="20"/>
                <w:szCs w:val="20"/>
                <w:color w:val="auto"/>
              </w:rPr>
            </w:pPr>
            <w:r>
              <w:rPr>
                <w:rFonts w:ascii="Arial" w:cs="Arial" w:eastAsia="Arial" w:hAnsi="Arial"/>
                <w:sz w:val="18"/>
                <w:szCs w:val="18"/>
                <w:color w:val="auto"/>
              </w:rPr>
              <w:t>“MPH”</w:t>
            </w: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040"/>
          </w:cols>
          <w:pgMar w:left="240" w:top="459" w:right="619" w:bottom="1440" w:gutter="0" w:footer="0" w:header="0"/>
        </w:sectPr>
      </w:pPr>
    </w:p>
    <w:p>
      <w:pPr>
        <w:spacing w:after="0" w:line="15" w:lineRule="exact"/>
        <w:rPr>
          <w:sz w:val="20"/>
          <w:szCs w:val="20"/>
          <w:color w:val="auto"/>
        </w:rPr>
      </w:pPr>
    </w:p>
    <w:p>
      <w:pPr>
        <w:ind w:left="380" w:right="340" w:firstLine="320"/>
        <w:spacing w:after="0" w:line="246" w:lineRule="auto"/>
        <w:rPr>
          <w:sz w:val="20"/>
          <w:szCs w:val="20"/>
          <w:color w:val="auto"/>
        </w:rPr>
      </w:pPr>
      <w:r>
        <w:rPr>
          <w:rFonts w:ascii="Arial" w:cs="Arial" w:eastAsia="Arial" w:hAnsi="Arial"/>
          <w:sz w:val="18"/>
          <w:szCs w:val="18"/>
          <w:color w:val="auto"/>
        </w:rPr>
        <w:t>The number of our ordinary shares to be outstanding after the global offering is based on as of , 2018 and excludes: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ordinary shares outstanding</w:t>
      </w:r>
    </w:p>
    <w:p>
      <w:pPr>
        <w:spacing w:after="0" w:line="427" w:lineRule="exact"/>
        <w:rPr>
          <w:sz w:val="20"/>
          <w:szCs w:val="20"/>
          <w:color w:val="auto"/>
        </w:rPr>
      </w:pPr>
    </w:p>
    <w:p>
      <w:pPr>
        <w:sectPr>
          <w:pgSz w:w="11900" w:h="16838" w:orient="portrait"/>
          <w:cols w:equalWidth="0" w:num="2">
            <w:col w:w="8100" w:space="720"/>
            <w:col w:w="2220"/>
          </w:cols>
          <w:pgMar w:left="240" w:top="459" w:right="619" w:bottom="1440" w:gutter="0" w:footer="0" w:header="0"/>
          <w:type w:val="continuous"/>
        </w:sectPr>
      </w:pPr>
    </w:p>
    <w:p>
      <w:pPr>
        <w:ind w:left="70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340" w:firstLine="850"/>
        <w:spacing w:after="0" w:line="244" w:lineRule="auto"/>
        <w:rPr>
          <w:sz w:val="20"/>
          <w:szCs w:val="20"/>
          <w:color w:val="auto"/>
        </w:rPr>
      </w:pPr>
      <w:r>
        <w:rPr>
          <w:rFonts w:ascii="Arial" w:cs="Arial" w:eastAsia="Arial" w:hAnsi="Arial"/>
          <w:sz w:val="18"/>
          <w:szCs w:val="18"/>
          <w:color w:val="auto"/>
        </w:rPr>
        <w:t>ordinary shares issuable upon the exercise of share options outstanding as of average exercise price of £ per ordinary share;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 2018 at a weighted</w:t>
      </w:r>
    </w:p>
    <w:p>
      <w:pPr>
        <w:spacing w:after="0" w:line="226" w:lineRule="exact"/>
        <w:rPr>
          <w:sz w:val="20"/>
          <w:szCs w:val="20"/>
          <w:color w:val="auto"/>
        </w:rPr>
      </w:pPr>
    </w:p>
    <w:p>
      <w:pPr>
        <w:sectPr>
          <w:pgSz w:w="11900" w:h="16838" w:orient="portrait"/>
          <w:cols w:equalWidth="0" w:num="3">
            <w:col w:w="780" w:space="320"/>
            <w:col w:w="7360" w:space="720"/>
            <w:col w:w="1860"/>
          </w:cols>
          <w:pgMar w:left="240" w:top="459" w:right="619" w:bottom="1440" w:gutter="0" w:footer="0" w:header="0"/>
          <w:type w:val="continuous"/>
        </w:sectPr>
      </w:pPr>
    </w:p>
    <w:p>
      <w:pPr>
        <w:ind w:left="1940" w:hanging="1247"/>
        <w:spacing w:after="0" w:line="215" w:lineRule="auto"/>
        <w:tabs>
          <w:tab w:leader="none" w:pos="194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shares that may be issued under our existing share incentive plans, as described in “Management—</w:t>
      </w:r>
    </w:p>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17"/>
        </w:trPr>
        <w:tc>
          <w:tcPr>
            <w:tcW w:w="3860" w:type="dxa"/>
            <w:vAlign w:val="bottom"/>
          </w:tcPr>
          <w:p>
            <w:pPr>
              <w:spacing w:after="0"/>
              <w:rPr>
                <w:sz w:val="20"/>
                <w:szCs w:val="20"/>
                <w:color w:val="auto"/>
              </w:rPr>
            </w:pPr>
            <w:r>
              <w:rPr>
                <w:rFonts w:ascii="Arial" w:cs="Arial" w:eastAsia="Arial" w:hAnsi="Arial"/>
                <w:sz w:val="18"/>
                <w:szCs w:val="18"/>
                <w:color w:val="auto"/>
              </w:rPr>
              <w:t>Equity Compensation Arrangements,” as of</w:t>
            </w:r>
          </w:p>
        </w:tc>
        <w:tc>
          <w:tcPr>
            <w:tcW w:w="980" w:type="dxa"/>
            <w:vAlign w:val="bottom"/>
          </w:tcPr>
          <w:p>
            <w:pPr>
              <w:jc w:val="right"/>
              <w:spacing w:after="0"/>
              <w:rPr>
                <w:sz w:val="20"/>
                <w:szCs w:val="20"/>
                <w:color w:val="auto"/>
              </w:rPr>
            </w:pPr>
            <w:r>
              <w:rPr>
                <w:rFonts w:ascii="Arial" w:cs="Arial" w:eastAsia="Arial" w:hAnsi="Arial"/>
                <w:sz w:val="18"/>
                <w:szCs w:val="18"/>
                <w:color w:val="auto"/>
              </w:rPr>
              <w:t>, 2018;</w:t>
            </w:r>
          </w:p>
        </w:tc>
      </w:tr>
    </w:tbl>
    <w:p>
      <w:pPr>
        <w:ind w:left="1940" w:hanging="1247"/>
        <w:spacing w:after="0" w:line="230" w:lineRule="auto"/>
        <w:tabs>
          <w:tab w:leader="none" w:pos="194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shares that may be issued upon conversion of certain convertible notes issued to Novartis, as described</w:t>
      </w:r>
    </w:p>
    <w:p>
      <w:pPr>
        <w:sectPr>
          <w:pgSz w:w="11900" w:h="16838" w:orient="portrait"/>
          <w:cols w:equalWidth="0" w:num="1">
            <w:col w:w="11040"/>
          </w:cols>
          <w:pgMar w:left="240" w:top="459" w:right="619" w:bottom="1440" w:gutter="0" w:footer="0" w:header="0"/>
          <w:type w:val="continuous"/>
        </w:sectPr>
      </w:pPr>
    </w:p>
    <w:p>
      <w:pPr>
        <w:ind w:left="1100"/>
        <w:spacing w:after="0"/>
        <w:tabs>
          <w:tab w:leader="none" w:pos="9900" w:val="left"/>
        </w:tabs>
        <w:rPr>
          <w:sz w:val="20"/>
          <w:szCs w:val="20"/>
          <w:color w:val="auto"/>
        </w:rPr>
      </w:pPr>
      <w:r>
        <w:rPr>
          <w:rFonts w:ascii="Arial" w:cs="Arial" w:eastAsia="Arial" w:hAnsi="Arial"/>
          <w:sz w:val="18"/>
          <w:szCs w:val="18"/>
          <w:color w:val="auto"/>
        </w:rPr>
        <w:t>in “Related Parties—Other Transactions with Novartis—Novartis Notes,” or the Novartis Notes, as of</w:t>
      </w:r>
      <w:r>
        <w:rPr>
          <w:sz w:val="20"/>
          <w:szCs w:val="20"/>
          <w:color w:val="auto"/>
        </w:rPr>
        <w:tab/>
      </w:r>
      <w:r>
        <w:rPr>
          <w:rFonts w:ascii="Arial" w:cs="Arial" w:eastAsia="Arial" w:hAnsi="Arial"/>
          <w:sz w:val="17"/>
          <w:szCs w:val="17"/>
          <w:color w:val="auto"/>
        </w:rPr>
        <w:t>, 2018; and</w:t>
      </w:r>
    </w:p>
    <w:p>
      <w:pPr>
        <w:sectPr>
          <w:pgSz w:w="11900" w:h="16838" w:orient="portrait"/>
          <w:cols w:equalWidth="0" w:num="1">
            <w:col w:w="11040"/>
          </w:cols>
          <w:pgMar w:left="240" w:top="459" w:right="619" w:bottom="1440" w:gutter="0" w:footer="0" w:header="0"/>
          <w:type w:val="continuous"/>
        </w:sectPr>
      </w:pPr>
    </w:p>
    <w:p>
      <w:pPr>
        <w:spacing w:after="0" w:line="2" w:lineRule="exact"/>
        <w:rPr>
          <w:sz w:val="20"/>
          <w:szCs w:val="20"/>
          <w:color w:val="auto"/>
        </w:rPr>
      </w:pPr>
    </w:p>
    <w:p>
      <w:pPr>
        <w:ind w:left="70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120" w:firstLine="850"/>
        <w:spacing w:after="0" w:line="246" w:lineRule="auto"/>
        <w:rPr>
          <w:sz w:val="20"/>
          <w:szCs w:val="20"/>
          <w:color w:val="auto"/>
        </w:rPr>
      </w:pPr>
      <w:r>
        <w:rPr>
          <w:rFonts w:ascii="Arial" w:cs="Arial" w:eastAsia="Arial" w:hAnsi="Arial"/>
          <w:sz w:val="18"/>
          <w:szCs w:val="18"/>
          <w:color w:val="auto"/>
        </w:rPr>
        <w:t>ordinary shares issuable upon the exercise of warrants to purchase ordinary shares outstanding as of 2018 at a weighted average exercise price of £ per ordinary share.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14" w:lineRule="exact"/>
        <w:rPr>
          <w:sz w:val="20"/>
          <w:szCs w:val="20"/>
          <w:color w:val="auto"/>
        </w:rPr>
      </w:pPr>
    </w:p>
    <w:p>
      <w:pPr>
        <w:sectPr>
          <w:pgSz w:w="11900" w:h="16838" w:orient="portrait"/>
          <w:cols w:equalWidth="0" w:num="3">
            <w:col w:w="780" w:space="320"/>
            <w:col w:w="9040" w:space="720"/>
            <w:col w:w="180"/>
          </w:cols>
          <w:pgMar w:left="240" w:top="459" w:right="619" w:bottom="1440" w:gutter="0" w:footer="0" w:header="0"/>
          <w:type w:val="continuous"/>
        </w:sectPr>
      </w:pPr>
    </w:p>
    <w:p>
      <w:pPr>
        <w:ind w:left="70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w:t>
      </w:r>
    </w:p>
    <w:p>
      <w:pPr>
        <w:spacing w:after="0" w:line="214" w:lineRule="exact"/>
        <w:rPr>
          <w:sz w:val="20"/>
          <w:szCs w:val="20"/>
          <w:color w:val="auto"/>
        </w:rPr>
      </w:pPr>
    </w:p>
    <w:tbl>
      <w:tblPr>
        <w:tblLayout w:type="fixed"/>
        <w:tblInd w:w="700" w:type="dxa"/>
        <w:tblCellMar>
          <w:top w:w="0" w:type="dxa"/>
          <w:left w:w="0" w:type="dxa"/>
          <w:bottom w:w="0" w:type="dxa"/>
          <w:right w:w="0" w:type="dxa"/>
        </w:tblCellMar>
      </w:tblPr>
      <w:tr>
        <w:trPr>
          <w:trHeight w:val="241"/>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180" w:type="dxa"/>
            <w:vAlign w:val="bottom"/>
          </w:tcPr>
          <w:p>
            <w:pPr>
              <w:ind w:left="160"/>
              <w:spacing w:after="0"/>
              <w:rPr>
                <w:sz w:val="20"/>
                <w:szCs w:val="20"/>
                <w:color w:val="auto"/>
              </w:rPr>
            </w:pPr>
            <w:r>
              <w:rPr>
                <w:rFonts w:ascii="Arial" w:cs="Arial" w:eastAsia="Arial" w:hAnsi="Arial"/>
                <w:sz w:val="18"/>
                <w:szCs w:val="18"/>
                <w:color w:val="auto"/>
              </w:rPr>
              <w:t>no exercise of the outstanding share options after</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 2018;</w:t>
            </w:r>
          </w:p>
        </w:tc>
        <w:tc>
          <w:tcPr>
            <w:tcW w:w="1080" w:type="dxa"/>
            <w:vAlign w:val="bottom"/>
          </w:tcPr>
          <w:p>
            <w:pPr>
              <w:spacing w:after="0"/>
              <w:rPr>
                <w:sz w:val="20"/>
                <w:szCs w:val="20"/>
                <w:color w:val="auto"/>
              </w:rPr>
            </w:pPr>
          </w:p>
        </w:tc>
      </w:tr>
      <w:tr>
        <w:trPr>
          <w:trHeight w:val="243"/>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180" w:type="dxa"/>
            <w:vAlign w:val="bottom"/>
          </w:tcPr>
          <w:p>
            <w:pPr>
              <w:ind w:left="160"/>
              <w:spacing w:after="0"/>
              <w:rPr>
                <w:sz w:val="20"/>
                <w:szCs w:val="20"/>
                <w:color w:val="auto"/>
              </w:rPr>
            </w:pPr>
            <w:r>
              <w:rPr>
                <w:rFonts w:ascii="Arial" w:cs="Arial" w:eastAsia="Arial" w:hAnsi="Arial"/>
                <w:sz w:val="18"/>
                <w:szCs w:val="18"/>
                <w:color w:val="auto"/>
              </w:rPr>
              <w:t>no conversion of the Novartis Notes after</w:t>
            </w:r>
          </w:p>
        </w:tc>
        <w:tc>
          <w:tcPr>
            <w:tcW w:w="1500" w:type="dxa"/>
            <w:vAlign w:val="bottom"/>
          </w:tcPr>
          <w:p>
            <w:pPr>
              <w:jc w:val="right"/>
              <w:ind w:right="770"/>
              <w:spacing w:after="0"/>
              <w:rPr>
                <w:sz w:val="20"/>
                <w:szCs w:val="20"/>
                <w:color w:val="auto"/>
              </w:rPr>
            </w:pPr>
            <w:r>
              <w:rPr>
                <w:rFonts w:ascii="Arial" w:cs="Arial" w:eastAsia="Arial" w:hAnsi="Arial"/>
                <w:sz w:val="18"/>
                <w:szCs w:val="18"/>
                <w:color w:val="auto"/>
              </w:rPr>
              <w:t>, 2018;</w:t>
            </w:r>
          </w:p>
        </w:tc>
        <w:tc>
          <w:tcPr>
            <w:tcW w:w="1080" w:type="dxa"/>
            <w:vAlign w:val="bottom"/>
          </w:tcPr>
          <w:p>
            <w:pPr>
              <w:spacing w:after="0"/>
              <w:rPr>
                <w:sz w:val="21"/>
                <w:szCs w:val="21"/>
                <w:color w:val="auto"/>
              </w:rPr>
            </w:pPr>
          </w:p>
        </w:tc>
      </w:tr>
      <w:tr>
        <w:trPr>
          <w:trHeight w:val="243"/>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no exercise of the warrants to purchase ordinary shares after</w:t>
            </w:r>
          </w:p>
        </w:tc>
        <w:tc>
          <w:tcPr>
            <w:tcW w:w="1080" w:type="dxa"/>
            <w:vAlign w:val="bottom"/>
          </w:tcPr>
          <w:p>
            <w:pPr>
              <w:ind w:left="180"/>
              <w:spacing w:after="0"/>
              <w:rPr>
                <w:sz w:val="20"/>
                <w:szCs w:val="20"/>
                <w:color w:val="auto"/>
              </w:rPr>
            </w:pPr>
            <w:r>
              <w:rPr>
                <w:rFonts w:ascii="Arial" w:cs="Arial" w:eastAsia="Arial" w:hAnsi="Arial"/>
                <w:sz w:val="18"/>
                <w:szCs w:val="18"/>
                <w:color w:val="auto"/>
                <w:w w:val="97"/>
              </w:rPr>
              <w:t>, 2018; and</w:t>
            </w:r>
          </w:p>
        </w:tc>
      </w:tr>
    </w:tbl>
    <w:p>
      <w:pPr>
        <w:spacing w:after="0" w:line="26" w:lineRule="exact"/>
        <w:rPr>
          <w:sz w:val="20"/>
          <w:szCs w:val="20"/>
          <w:color w:val="auto"/>
        </w:rPr>
      </w:pPr>
    </w:p>
    <w:p>
      <w:pPr>
        <w:ind w:left="5620" w:right="3920" w:hanging="4927"/>
        <w:spacing w:after="0" w:line="944" w:lineRule="auto"/>
        <w:tabs>
          <w:tab w:leader="none" w:pos="1104"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exercise by the underwriters of their option to purchase additional ADSs. 10</w:t>
      </w:r>
    </w:p>
    <w:p>
      <w:pPr>
        <w:sectPr>
          <w:pgSz w:w="11900" w:h="16838" w:orient="portrait"/>
          <w:cols w:equalWidth="0" w:num="1">
            <w:col w:w="11040"/>
          </w:cols>
          <w:pgMar w:left="240" w:top="459" w:right="6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8152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48152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42" w:lineRule="exact"/>
        <w:rPr>
          <w:sz w:val="20"/>
          <w:szCs w:val="20"/>
          <w:color w:val="auto"/>
        </w:rPr>
      </w:pPr>
    </w:p>
    <w:p>
      <w:pPr>
        <w:ind w:left="380" w:right="240" w:firstLine="320"/>
        <w:spacing w:after="0" w:line="237" w:lineRule="auto"/>
        <w:rPr>
          <w:sz w:val="20"/>
          <w:szCs w:val="20"/>
          <w:color w:val="auto"/>
        </w:rPr>
      </w:pPr>
      <w:r>
        <w:rPr>
          <w:rFonts w:ascii="Arial" w:cs="Arial" w:eastAsia="Arial" w:hAnsi="Arial"/>
          <w:sz w:val="18"/>
          <w:szCs w:val="18"/>
          <w:color w:val="auto"/>
        </w:rPr>
        <w:t>The following tables set forth our summary consolidated financial data for the period indicated. We have derived the consolidated statement of comprehensive loss data for the years ended December 31, 2016 and 2017 and the consolidated balance sheet data as of December 31, 2017 from our audited consolidated financial statements included elsewhere in this prospectus. Our historical results are not necessarily indicative of the results that should be expected for any future period. You should read the following summary consolidated financial data together with the audited consolidated financial statements included elsewhere in this prospectus and the sections titled “Exchange Rate Information” and “Management’s Discussion and Analysis of Financial Condition and Results of Operations.”</w:t>
      </w:r>
    </w:p>
    <w:p>
      <w:pPr>
        <w:spacing w:after="0" w:line="203" w:lineRule="exact"/>
        <w:rPr>
          <w:sz w:val="20"/>
          <w:szCs w:val="20"/>
          <w:color w:val="auto"/>
        </w:rPr>
      </w:pPr>
    </w:p>
    <w:p>
      <w:pPr>
        <w:ind w:left="380" w:right="220" w:firstLine="320"/>
        <w:spacing w:after="0" w:line="237"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financial results in pounds sterling. For the convenience of the reader, we have translated pound sterling amounts in the tables below as of December 31, 2017 and for the years ended December 31, 2016 and 2017 into U.S. dollars at the noon buying rate of the Federal Reserve Bank of New York on December 29, 2017, which was £1.00 to $1.3529. These translations should not be considered representations that any such amounts have been, could have been, or could be converted into U.S. dollars at that or any other exchange rate as of that or any other date.</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8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880" w:type="dxa"/>
            <w:vAlign w:val="bottom"/>
            <w:gridSpan w:val="7"/>
          </w:tcPr>
          <w:p>
            <w:pPr>
              <w:jc w:val="center"/>
              <w:ind w:left="554"/>
              <w:spacing w:after="0"/>
              <w:rPr>
                <w:sz w:val="20"/>
                <w:szCs w:val="20"/>
                <w:color w:val="auto"/>
              </w:rPr>
            </w:pPr>
            <w:r>
              <w:rPr>
                <w:rFonts w:ascii="Arial" w:cs="Arial" w:eastAsia="Arial" w:hAnsi="Arial"/>
                <w:sz w:val="14"/>
                <w:szCs w:val="14"/>
                <w:b w:val="1"/>
                <w:bCs w:val="1"/>
                <w:color w:val="auto"/>
              </w:rPr>
              <w:t>(in thousands, except per ordinary share data)</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80" w:type="dxa"/>
            <w:vAlign w:val="bottom"/>
            <w:vMerge w:val="restart"/>
          </w:tcPr>
          <w:p>
            <w:pPr>
              <w:spacing w:after="0"/>
              <w:rPr>
                <w:sz w:val="12"/>
                <w:szCs w:val="12"/>
                <w:color w:val="auto"/>
              </w:rPr>
            </w:pPr>
          </w:p>
        </w:tc>
        <w:tc>
          <w:tcPr>
            <w:tcW w:w="6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8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 of Comprehensive Loss Data:</w:t>
            </w: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(24,563)</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(33,231)</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(34,607)</w:t>
            </w: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(46,819)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(11,617)</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(15,716)</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(10,697)</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(14,472)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Operating loss</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(36,179)</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(48,947)</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(45,304)</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(61,292)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827</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020" w:type="dxa"/>
            <w:vAlign w:val="bottom"/>
          </w:tcPr>
          <w:p>
            <w:pPr>
              <w:spacing w:after="0" w:line="202" w:lineRule="exact"/>
              <w:rPr>
                <w:sz w:val="20"/>
                <w:szCs w:val="20"/>
                <w:color w:val="auto"/>
              </w:rPr>
            </w:pPr>
            <w:r>
              <w:rPr>
                <w:rFonts w:ascii="Arial" w:cs="Arial" w:eastAsia="Arial" w:hAnsi="Arial"/>
                <w:sz w:val="18"/>
                <w:szCs w:val="18"/>
                <w:color w:val="auto"/>
              </w:rPr>
              <w:t>Finance charge</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(180)</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(243)</w:t>
            </w: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(1,090)</w:t>
            </w: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(1,475)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2,263</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3,061</w:t>
            </w:r>
          </w:p>
        </w:tc>
        <w:tc>
          <w:tcPr>
            <w:tcW w:w="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(1,384)</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(1,873)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Net loss before tax</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(33,722)</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(45,622)</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(46,951)</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(63,520)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5,331</w:t>
            </w:r>
          </w:p>
        </w:tc>
        <w:tc>
          <w:tcPr>
            <w:tcW w:w="4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7,213</w:t>
            </w:r>
          </w:p>
        </w:tc>
        <w:tc>
          <w:tcPr>
            <w:tcW w:w="4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8,152</w:t>
            </w:r>
          </w:p>
        </w:tc>
        <w:tc>
          <w:tcPr>
            <w:tcW w:w="4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11,029</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Loss attributable to equity holders of the Company</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(28,390)</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(38,409)</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(38,799)</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(52,491)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comprehensive loss attributable to equity holders of the Company</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(28,390)</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(38,409)</w:t>
            </w: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(38,799)</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(52,491)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Basic and diluted loss per share</w:t>
            </w:r>
          </w:p>
        </w:tc>
        <w:tc>
          <w:tcPr>
            <w:tcW w:w="12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(0.63)</w:t>
            </w:r>
          </w:p>
        </w:tc>
        <w:tc>
          <w:tcPr>
            <w:tcW w:w="122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(0.85)</w:t>
            </w:r>
          </w:p>
        </w:tc>
        <w:tc>
          <w:tcPr>
            <w:tcW w:w="12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(0.58)</w:t>
            </w: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(0.78)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200" w:type="dxa"/>
            <w:vAlign w:val="bottom"/>
            <w:gridSpan w:val="2"/>
          </w:tcPr>
          <w:p>
            <w:pPr>
              <w:jc w:val="right"/>
              <w:ind w:right="490"/>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446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444627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31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As of December 31, 2017,</w:t>
            </w: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Actual</w:t>
            </w:r>
          </w:p>
        </w:tc>
        <w:tc>
          <w:tcPr>
            <w:tcW w:w="74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Borders>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As Adjusted(1)(2)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240" w:type="dxa"/>
            <w:vAlign w:val="bottom"/>
            <w:tcBorders>
              <w:bottom w:val="single" w:sz="8" w:color="auto"/>
            </w:tcBorders>
          </w:tcPr>
          <w:p>
            <w:pPr>
              <w:jc w:val="right"/>
              <w:ind w:right="695"/>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68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Cash and short-term deposits and short-term investments</w:t>
            </w:r>
          </w:p>
        </w:tc>
        <w:tc>
          <w:tcPr>
            <w:tcW w:w="1240" w:type="dxa"/>
            <w:vAlign w:val="bottom"/>
          </w:tcPr>
          <w:p>
            <w:pPr>
              <w:jc w:val="right"/>
              <w:ind w:right="435"/>
              <w:spacing w:after="0" w:line="202" w:lineRule="exact"/>
              <w:rPr>
                <w:sz w:val="20"/>
                <w:szCs w:val="20"/>
                <w:color w:val="auto"/>
              </w:rPr>
            </w:pPr>
            <w:r>
              <w:rPr>
                <w:rFonts w:ascii="Arial" w:cs="Arial" w:eastAsia="Arial" w:hAnsi="Arial"/>
                <w:sz w:val="18"/>
                <w:szCs w:val="18"/>
                <w:color w:val="auto"/>
              </w:rPr>
              <w:t>52,545</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71,088</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240" w:type="dxa"/>
            <w:vAlign w:val="bottom"/>
            <w:shd w:val="clear" w:color="auto" w:fill="CCEEFF"/>
          </w:tcPr>
          <w:p>
            <w:pPr>
              <w:jc w:val="right"/>
              <w:ind w:right="435"/>
              <w:spacing w:after="0" w:line="202" w:lineRule="exact"/>
              <w:rPr>
                <w:sz w:val="20"/>
                <w:szCs w:val="20"/>
                <w:color w:val="auto"/>
              </w:rPr>
            </w:pPr>
            <w:r>
              <w:rPr>
                <w:rFonts w:ascii="Arial" w:cs="Arial" w:eastAsia="Arial" w:hAnsi="Arial"/>
                <w:sz w:val="18"/>
                <w:szCs w:val="18"/>
                <w:color w:val="auto"/>
              </w:rPr>
              <w:t>96,335</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130,332</w:t>
            </w: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Issued capital</w:t>
            </w:r>
          </w:p>
        </w:tc>
        <w:tc>
          <w:tcPr>
            <w:tcW w:w="1240" w:type="dxa"/>
            <w:vAlign w:val="bottom"/>
          </w:tcPr>
          <w:p>
            <w:pPr>
              <w:jc w:val="right"/>
              <w:ind w:right="435"/>
              <w:spacing w:after="0"/>
              <w:rPr>
                <w:sz w:val="20"/>
                <w:szCs w:val="20"/>
                <w:color w:val="auto"/>
              </w:rPr>
            </w:pPr>
            <w:r>
              <w:rPr>
                <w:rFonts w:ascii="Arial" w:cs="Arial" w:eastAsia="Arial" w:hAnsi="Arial"/>
                <w:sz w:val="18"/>
                <w:szCs w:val="18"/>
                <w:color w:val="auto"/>
              </w:rPr>
              <w:t>213</w:t>
            </w:r>
          </w:p>
        </w:tc>
        <w:tc>
          <w:tcPr>
            <w:tcW w:w="740" w:type="dxa"/>
            <w:vAlign w:val="bottom"/>
          </w:tcPr>
          <w:p>
            <w:pPr>
              <w:jc w:val="right"/>
              <w:spacing w:after="0"/>
              <w:rPr>
                <w:sz w:val="20"/>
                <w:szCs w:val="20"/>
                <w:color w:val="auto"/>
              </w:rPr>
            </w:pPr>
            <w:r>
              <w:rPr>
                <w:rFonts w:ascii="Arial" w:cs="Arial" w:eastAsia="Arial" w:hAnsi="Arial"/>
                <w:sz w:val="18"/>
                <w:szCs w:val="18"/>
                <w:color w:val="auto"/>
              </w:rPr>
              <w:t>289</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12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118,227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159,949</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12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(79,316)</w:t>
            </w: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(107,307)</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1240" w:type="dxa"/>
            <w:vAlign w:val="bottom"/>
            <w:shd w:val="clear" w:color="auto" w:fill="CCEEFF"/>
          </w:tcPr>
          <w:p>
            <w:pPr>
              <w:jc w:val="right"/>
              <w:ind w:right="435"/>
              <w:spacing w:after="0" w:line="202" w:lineRule="exact"/>
              <w:rPr>
                <w:sz w:val="20"/>
                <w:szCs w:val="20"/>
                <w:color w:val="auto"/>
              </w:rPr>
            </w:pPr>
            <w:r>
              <w:rPr>
                <w:rFonts w:ascii="Arial" w:cs="Arial" w:eastAsia="Arial" w:hAnsi="Arial"/>
                <w:sz w:val="18"/>
                <w:szCs w:val="18"/>
                <w:color w:val="auto"/>
              </w:rPr>
              <w:t>62,483</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84,534</w:t>
            </w: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Total liabilities(3)</w:t>
            </w:r>
          </w:p>
        </w:tc>
        <w:tc>
          <w:tcPr>
            <w:tcW w:w="1240" w:type="dxa"/>
            <w:vAlign w:val="bottom"/>
          </w:tcPr>
          <w:p>
            <w:pPr>
              <w:jc w:val="right"/>
              <w:ind w:right="435"/>
              <w:spacing w:after="0"/>
              <w:rPr>
                <w:sz w:val="20"/>
                <w:szCs w:val="20"/>
                <w:color w:val="auto"/>
              </w:rPr>
            </w:pPr>
            <w:r>
              <w:rPr>
                <w:rFonts w:ascii="Arial" w:cs="Arial" w:eastAsia="Arial" w:hAnsi="Arial"/>
                <w:sz w:val="18"/>
                <w:szCs w:val="18"/>
                <w:color w:val="auto"/>
              </w:rPr>
              <w:t>33,852</w:t>
            </w:r>
          </w:p>
        </w:tc>
        <w:tc>
          <w:tcPr>
            <w:tcW w:w="740" w:type="dxa"/>
            <w:vAlign w:val="bottom"/>
          </w:tcPr>
          <w:p>
            <w:pPr>
              <w:jc w:val="right"/>
              <w:spacing w:after="0"/>
              <w:rPr>
                <w:sz w:val="20"/>
                <w:szCs w:val="20"/>
                <w:color w:val="auto"/>
              </w:rPr>
            </w:pPr>
            <w:r>
              <w:rPr>
                <w:rFonts w:ascii="Arial" w:cs="Arial" w:eastAsia="Arial" w:hAnsi="Arial"/>
                <w:sz w:val="18"/>
                <w:szCs w:val="18"/>
                <w:color w:val="auto"/>
              </w:rPr>
              <w:t>45,798</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00" w:hanging="310"/>
        <w:spacing w:after="0"/>
        <w:rPr>
          <w:sz w:val="20"/>
          <w:szCs w:val="20"/>
          <w:color w:val="auto"/>
        </w:rPr>
      </w:pPr>
      <w:r>
        <w:rPr>
          <w:rFonts w:ascii="Arial" w:cs="Arial" w:eastAsia="Arial" w:hAnsi="Arial"/>
          <w:sz w:val="18"/>
          <w:szCs w:val="18"/>
          <w:color w:val="auto"/>
        </w:rPr>
        <w:t>(1) The as adjusted balance sheet data give effect to the sale by us of</w:t>
      </w:r>
      <w:r>
        <w:rPr>
          <w:sz w:val="20"/>
          <w:szCs w:val="20"/>
          <w:color w:val="auto"/>
        </w:rPr>
        <w:t xml:space="preserve"> </w:t>
      </w:r>
      <w:r>
        <w:rPr>
          <w:rFonts w:ascii="Arial" w:cs="Arial" w:eastAsia="Arial" w:hAnsi="Arial"/>
          <w:sz w:val="18"/>
          <w:szCs w:val="18"/>
          <w:color w:val="auto"/>
        </w:rPr>
        <w:t>ordinary shares (including ordinary shares in the form of ADSs) in the global offering at an assumed initial public offering price of $ per ADS in the U.S. offering and an assumed offering price of £ per ordinary share in the European private placement, which reflect the last reported sale price of our ordinary shares on AIM on , 2018, after deducting the estimated underwriting discounts and commissions and estimated offering expenses payable by us.</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 This as adjusted information is illustrative only and will depend on the actual offering prices and other terms of the global offering</w:t>
      </w:r>
    </w:p>
    <w:p>
      <w:pPr>
        <w:ind w:left="700"/>
        <w:spacing w:after="0" w:line="234" w:lineRule="auto"/>
        <w:tabs>
          <w:tab w:leader="none" w:pos="3460" w:val="left"/>
          <w:tab w:leader="none" w:pos="8300" w:val="left"/>
        </w:tabs>
        <w:rPr>
          <w:sz w:val="20"/>
          <w:szCs w:val="20"/>
          <w:color w:val="auto"/>
        </w:rPr>
      </w:pPr>
      <w:r>
        <w:rPr>
          <w:rFonts w:ascii="Arial" w:cs="Arial" w:eastAsia="Arial" w:hAnsi="Arial"/>
          <w:sz w:val="18"/>
          <w:szCs w:val="18"/>
          <w:color w:val="auto"/>
        </w:rPr>
        <w:t>determined at pricing. Each £</w:t>
      </w:r>
      <w:r>
        <w:rPr>
          <w:sz w:val="20"/>
          <w:szCs w:val="20"/>
          <w:color w:val="auto"/>
        </w:rPr>
        <w:tab/>
      </w:r>
      <w:r>
        <w:rPr>
          <w:rFonts w:ascii="Arial" w:cs="Arial" w:eastAsia="Arial" w:hAnsi="Arial"/>
          <w:sz w:val="18"/>
          <w:szCs w:val="18"/>
          <w:color w:val="auto"/>
        </w:rPr>
        <w:t>increase or decrease in the assumed offering price of £</w:t>
      </w:r>
      <w:r>
        <w:rPr>
          <w:sz w:val="20"/>
          <w:szCs w:val="20"/>
          <w:color w:val="auto"/>
        </w:rPr>
        <w:tab/>
      </w:r>
      <w:r>
        <w:rPr>
          <w:rFonts w:ascii="Arial" w:cs="Arial" w:eastAsia="Arial" w:hAnsi="Arial"/>
          <w:sz w:val="18"/>
          <w:szCs w:val="18"/>
          <w:color w:val="auto"/>
        </w:rPr>
        <w:t>per ordinary share, which reflects</w:t>
      </w:r>
    </w:p>
    <w:p>
      <w:pPr>
        <w:ind w:left="700"/>
        <w:spacing w:after="0"/>
        <w:tabs>
          <w:tab w:leader="none" w:pos="6320" w:val="left"/>
        </w:tabs>
        <w:rPr>
          <w:sz w:val="20"/>
          <w:szCs w:val="20"/>
          <w:color w:val="auto"/>
        </w:rPr>
      </w:pPr>
      <w:r>
        <w:rPr>
          <w:rFonts w:ascii="Arial" w:cs="Arial" w:eastAsia="Arial" w:hAnsi="Arial"/>
          <w:sz w:val="18"/>
          <w:szCs w:val="18"/>
          <w:color w:val="auto"/>
        </w:rPr>
        <w:t>the last reported sale price of our ordinary shares on AIM on</w:t>
      </w:r>
      <w:r>
        <w:rPr>
          <w:sz w:val="20"/>
          <w:szCs w:val="20"/>
          <w:color w:val="auto"/>
        </w:rPr>
        <w:tab/>
      </w:r>
      <w:r>
        <w:rPr>
          <w:rFonts w:ascii="Arial" w:cs="Arial" w:eastAsia="Arial" w:hAnsi="Arial"/>
          <w:sz w:val="17"/>
          <w:szCs w:val="17"/>
          <w:color w:val="auto"/>
        </w:rPr>
        <w:t>, 2018, would increase or decrease the as adjusted</w:t>
      </w:r>
    </w:p>
    <w:p>
      <w:pPr>
        <w:ind w:left="700"/>
        <w:spacing w:after="0" w:line="235" w:lineRule="auto"/>
        <w:tabs>
          <w:tab w:leader="none" w:pos="9880" w:val="left"/>
        </w:tabs>
        <w:rPr>
          <w:sz w:val="20"/>
          <w:szCs w:val="20"/>
          <w:color w:val="auto"/>
        </w:rPr>
      </w:pPr>
      <w:r>
        <w:rPr>
          <w:rFonts w:ascii="Arial" w:cs="Arial" w:eastAsia="Arial" w:hAnsi="Arial"/>
          <w:sz w:val="18"/>
          <w:szCs w:val="18"/>
          <w:color w:val="auto"/>
        </w:rPr>
        <w:t>amount of each of cash and short-term deposits and short-term investments, total assets, and total equity by £</w:t>
      </w:r>
      <w:r>
        <w:rPr>
          <w:sz w:val="20"/>
          <w:szCs w:val="20"/>
          <w:color w:val="auto"/>
        </w:rPr>
        <w:tab/>
      </w:r>
      <w:r>
        <w:rPr>
          <w:rFonts w:ascii="Arial" w:cs="Arial" w:eastAsia="Arial" w:hAnsi="Arial"/>
          <w:sz w:val="18"/>
          <w:szCs w:val="18"/>
          <w:color w:val="auto"/>
        </w:rPr>
        <w:t>million</w:t>
      </w:r>
    </w:p>
    <w:p>
      <w:pPr>
        <w:ind w:left="700"/>
        <w:spacing w:after="0"/>
        <w:tabs>
          <w:tab w:leader="none" w:pos="1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million), assuming that the number of ordinary shares (including ordinary shares in the form of ADSs) offered by us in</w:t>
      </w:r>
    </w:p>
    <w:p>
      <w:pPr>
        <w:ind w:left="700" w:right="20"/>
        <w:spacing w:after="0" w:line="248" w:lineRule="auto"/>
        <w:rPr>
          <w:sz w:val="20"/>
          <w:szCs w:val="20"/>
          <w:color w:val="auto"/>
        </w:rPr>
      </w:pPr>
      <w:r>
        <w:rPr>
          <w:rFonts w:ascii="Arial" w:cs="Arial" w:eastAsia="Arial" w:hAnsi="Arial"/>
          <w:sz w:val="17"/>
          <w:szCs w:val="17"/>
          <w:color w:val="auto"/>
        </w:rPr>
        <w:t>the global offering, as set forth on the cover page of this prospectus, remains the same and after deducting the estimated underwriting discounts and commissions and estimated offering expenses payable by us. An increase or decrease of 1,000,000 in the number of ordinary shares (including ordinary shares in the form of ADSs) offered by us in the global offering, as set forth on the cover page of this prospectus, would increase or decrease the as adjusted amount of each of cash and short-term deposits</w:t>
      </w:r>
    </w:p>
    <w:p>
      <w:pPr>
        <w:spacing w:after="0" w:line="2" w:lineRule="exact"/>
        <w:rPr>
          <w:sz w:val="20"/>
          <w:szCs w:val="20"/>
          <w:color w:val="auto"/>
        </w:rPr>
      </w:pPr>
    </w:p>
    <w:p>
      <w:pPr>
        <w:ind w:left="700" w:right="180"/>
        <w:spacing w:after="0"/>
        <w:rPr>
          <w:sz w:val="20"/>
          <w:szCs w:val="20"/>
          <w:color w:val="auto"/>
        </w:rPr>
      </w:pPr>
      <w:r>
        <w:rPr>
          <w:rFonts w:ascii="Arial" w:cs="Arial" w:eastAsia="Arial" w:hAnsi="Arial"/>
          <w:sz w:val="18"/>
          <w:szCs w:val="18"/>
          <w:color w:val="auto"/>
        </w:rPr>
        <w:t>and short-term investments, total assets, and total equity by £ million ($ million), assuming no change in the assumed initial public offering price per ADS or in the assumed offering price per ordinary share and after deducting the estimated underwriting discounts and commissions and estimated offering expenses payable by us.</w:t>
      </w:r>
    </w:p>
    <w:p>
      <w:pPr>
        <w:spacing w:after="0" w:line="27" w:lineRule="exact"/>
        <w:rPr>
          <w:sz w:val="20"/>
          <w:szCs w:val="20"/>
          <w:color w:val="auto"/>
        </w:rPr>
      </w:pPr>
    </w:p>
    <w:p>
      <w:pPr>
        <w:ind w:left="700" w:right="20" w:hanging="318"/>
        <w:spacing w:after="0" w:line="246"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£2.0 million ($2.7 million) aggregate principal amount of, and accrued interest on, the Novartis Notes. See “Related Party Transactions—Other Transactions with Novartis—Novartis Notes.”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459" w:right="6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ind w:left="200" w:firstLine="331"/>
        <w:spacing w:after="0" w:line="241" w:lineRule="auto"/>
        <w:rPr>
          <w:sz w:val="20"/>
          <w:szCs w:val="20"/>
          <w:color w:val="auto"/>
        </w:rPr>
      </w:pPr>
      <w:r>
        <w:rPr>
          <w:rFonts w:ascii="Arial" w:cs="Arial" w:eastAsia="Arial" w:hAnsi="Arial"/>
          <w:sz w:val="18"/>
          <w:szCs w:val="18"/>
          <w:i w:val="1"/>
          <w:iCs w:val="1"/>
          <w:color w:val="auto"/>
        </w:rPr>
        <w:t>You should carefully consider the risks and uncertainties described below and the other information in this prospectus before making an investment in our ADSs or ordinary shares. Our business, financial condition, results of operations, or prospects could be materially and adversely affected if any of these risks occurs, and as a result, the market price of our ADSs or ordinary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w:t>
      </w:r>
    </w:p>
    <w:p>
      <w:pPr>
        <w:spacing w:after="0" w:line="99"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We are a multi-asset, clinical-stage biopharmaceutical company with a limited operating history, and have incurred significant operating losses since our inception. We had net losses of £28.4 million and £38.8 million in the years ended December 31, 2016 and 2017, respectively. As of December 31, 2016 and 2017, we had an accumulated loss of £40.6 million and £ 79.3 million, respectively. Our losses have resulted principally from expenses incurred from the research and development of our product candidates and from general and administrative costs that we have incurred while building our business infrastructure. We expect to continue to incur significant operating losses for the foreseeable future as we seek to acquire new product candidates, expand our research and development efforts, and seek to obtain regulatory approval and potentially commercialize our product candidates. We anticipate that our expenses will increase substantially as we:</w:t>
      </w:r>
    </w:p>
    <w:p>
      <w:pPr>
        <w:spacing w:after="0" w:line="235" w:lineRule="exact"/>
        <w:rPr>
          <w:sz w:val="20"/>
          <w:szCs w:val="20"/>
          <w:color w:val="auto"/>
        </w:rPr>
      </w:pPr>
    </w:p>
    <w:p>
      <w:pPr>
        <w:ind w:left="960" w:right="180" w:hanging="432"/>
        <w:spacing w:after="0" w:line="218"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 to conduct our ongoing Phase 2b clinical trial of BPS-804 for the treatment of OI in adults, and our ongoing Phase 2b clinical trial of BGS-649 for the treatment of HH;</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23"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commence our planned pediatric Phase 2b/3 clinical trial of BPS-804 for the treatment of OI in Europe and Canada, our planned Phase 2 clinical trial of AZD-9668 for the treatment of severe AATD, and our planned Phase 3 clinical program of BGS-649 for the treatment of HH;</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to acquire additional novel product candidates to treat rare and specialty diseases;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regulatory approvals for our product candidates;</w:t>
      </w:r>
    </w:p>
    <w:p>
      <w:pPr>
        <w:spacing w:after="0" w:line="26"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establish a commercial infrastructure and work with CMOs to scale up manufacturing processes to commercialize selected product candidates, if approved;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maintain, expand, and protect our intellectual property portfolio;</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secure, maintain, or obtain freedom to operate for our technologies and products;</w:t>
      </w:r>
    </w:p>
    <w:p>
      <w:pPr>
        <w:spacing w:after="0" w:line="26"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 clinical, scientific, operational, financial, and management personnel, including personnel to support the development of our product candidates and potential future commercialization efforts;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expand our operations in the United Kingdom and potentially hire employees in the United States.</w:t>
      </w:r>
    </w:p>
    <w:p>
      <w:pPr>
        <w:spacing w:after="0" w:line="202"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Our expenses may also increase substantially if we experience any delays or encounter any issues with any of the above, including, but not limited to, failed clinical trials, complex results, safety issues, or unforeseen regulatory challenges.</w:t>
      </w:r>
    </w:p>
    <w:p>
      <w:pPr>
        <w:spacing w:after="0" w:line="197"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We have devoted substantially all of our financial resources and efforts to the acquisition and clinical development of BPS-804, AZD-9668, BCT-197, and BGS-649. We have not completed the clinical development of any product candidate through approval.</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60"/>
          </w:cols>
          <w:pgMar w:left="24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firstLine="331"/>
        <w:spacing w:after="0" w:line="237" w:lineRule="auto"/>
        <w:rPr>
          <w:sz w:val="20"/>
          <w:szCs w:val="20"/>
          <w:color w:val="auto"/>
        </w:rPr>
      </w:pPr>
      <w:r>
        <w:rPr>
          <w:rFonts w:ascii="Arial" w:cs="Arial" w:eastAsia="Arial" w:hAnsi="Arial"/>
          <w:sz w:val="18"/>
          <w:szCs w:val="18"/>
          <w:color w:val="auto"/>
        </w:rPr>
        <w:t>To become and remain profitable, we must succeed in developing and commercializing products that generate significant revenue. This will require us to be successful in a range of challenging activities, including completing clinical trials of our current or any future product candidates, obtaining regulatory approval for our product candidates that successfully complete clinical trials, establishing manufacturing supplies and marketing capabilities, and ultimately commercializing or entering into strategic relationships for our current and future product candidates, if approved. We are only in the preliminary stages of many of these activities. We may never succeed in these activities and, even if we do, we may never generate revenue that is significant enough to achieve profitability.</w:t>
      </w:r>
    </w:p>
    <w:p>
      <w:pPr>
        <w:spacing w:after="0" w:line="20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We may be subject to different or contradictory regulatory requirements in different countries, and different regulatory authorities may not be aligned on the clinical trials necessary to support approval of our product candidates. If we are required by the FDA, the EMA, or other regulatory authorities to perform studies in addition to those we currently anticipate, or if there are any delays in completing our clinical trials or the development of our current product candidates, our expenses could increase and our ability to generate revenue could be further delayed. In addition, we may not be able to acquire new product candidates or may encounter unexpected difficulties or delays in such acquisitions, which would impair our business.</w:t>
      </w:r>
    </w:p>
    <w:p>
      <w:pPr>
        <w:spacing w:after="0" w:line="208" w:lineRule="exact"/>
        <w:rPr>
          <w:sz w:val="20"/>
          <w:szCs w:val="20"/>
          <w:color w:val="auto"/>
        </w:rPr>
      </w:pPr>
    </w:p>
    <w:p>
      <w:pPr>
        <w:ind w:left="200" w:right="280" w:firstLine="331"/>
        <w:spacing w:after="0" w:line="239" w:lineRule="auto"/>
        <w:rPr>
          <w:sz w:val="20"/>
          <w:szCs w:val="20"/>
          <w:color w:val="auto"/>
        </w:rPr>
      </w:pPr>
      <w:r>
        <w:rPr>
          <w:rFonts w:ascii="Arial" w:cs="Arial" w:eastAsia="Arial" w:hAnsi="Arial"/>
          <w:sz w:val="18"/>
          <w:szCs w:val="18"/>
          <w:color w:val="auto"/>
        </w:rPr>
        <w:t>Even if we do generate product royalties or product sales, we may never achieve or sustain profitability. Our failure to sustain profitability would depress the market price of our ADSs and ordinary shares and could impair our ability to raise capital, acquire new product candidates, expand our business, or continue our operations. A decline in the market price of our ADSs or ordinary shares also could cause you to lose all or a part of your investment.</w:t>
      </w:r>
    </w:p>
    <w:p>
      <w:pPr>
        <w:spacing w:after="0" w:line="180" w:lineRule="exact"/>
        <w:rPr>
          <w:sz w:val="20"/>
          <w:szCs w:val="20"/>
          <w:color w:val="auto"/>
        </w:rPr>
      </w:pPr>
    </w:p>
    <w:p>
      <w:pPr>
        <w:ind w:left="200" w:right="420"/>
        <w:spacing w:after="0" w:line="271"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4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Since our inception, we have devoted substantially all of our resources to acquiring and developing BPS-804, AZD-9668, BCT-197, and BGS-649; building our intellectual property portfolio; developing our supply chain; planning our business; raising capital; and providing general and administrative support for these operations. We have not yet demonstrated our ability to successfully complete any Phase 3 or other pivotal clinical trials, obtain regulatory approval, arrange for third parties to manufacture commercial-scale products, or conduct or partner with others to conduct sales and marketing activities necessary for successful product commercialization. Additionally, although we have acquired product candidates from two large pharmaceutical companies, we have not demonstrated the sustainability of our business model of acquiring and developing product candidates for rare and specialty diseases from, and becoming a partner of choice for, large pharmaceutical companies, nor have we demonstrated our ability to obtain approvals for or to commercialize these product candidates. Consequently, any predictions you make about our future success or viability may not be as accurate as they could be if we had a longer operating history.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successful in our efforts to identify and acquire additional product candidates.</w:t>
      </w:r>
    </w:p>
    <w:p>
      <w:pPr>
        <w:spacing w:after="0" w:line="85"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Part of our strategy involves identifying and acquiring novel product candidates that have received significant investment from large pharmaceutical companies and that have substantial pre-clinical, clinical, and manufacturing data packages. The process by which we identify product candidates may fail to yield product candidates for clinical development for a number of reasons, including those discussed in these risk factors and also:</w:t>
      </w:r>
    </w:p>
    <w:p>
      <w:pPr>
        <w:spacing w:after="0" w:line="229" w:lineRule="exact"/>
        <w:rPr>
          <w:sz w:val="20"/>
          <w:szCs w:val="20"/>
          <w:color w:val="auto"/>
        </w:rPr>
      </w:pPr>
    </w:p>
    <w:p>
      <w:pPr>
        <w:ind w:left="960" w:right="260" w:hanging="432"/>
        <w:spacing w:after="0" w:line="218" w:lineRule="auto"/>
        <w:tabs>
          <w:tab w:leader="none" w:pos="9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product candidates we acquire that have generated positive clinical data for our target indication or in diseases other than our target indications may not prove to be effective in treating our target indications;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432"/>
        <w:spacing w:after="0" w:line="218" w:lineRule="auto"/>
        <w:tabs>
          <w:tab w:leader="none" w:pos="96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product candidates may, with further studies, be shown to have harmful side effects or other characteristics that indicate that they are unlikely to be products that will receive marketing approval and achieve market acceptance;</w:t>
      </w:r>
    </w:p>
    <w:p>
      <w:pPr>
        <w:spacing w:after="0" w:line="27" w:lineRule="exact"/>
        <w:rPr>
          <w:rFonts w:ascii="MS PGothic" w:cs="MS PGothic" w:eastAsia="MS PGothic" w:hAnsi="MS PGothic"/>
          <w:sz w:val="25"/>
          <w:szCs w:val="25"/>
          <w:color w:val="auto"/>
          <w:vertAlign w:val="superscript"/>
        </w:rPr>
      </w:pPr>
    </w:p>
    <w:p>
      <w:pPr>
        <w:ind w:left="960" w:right="1020" w:hanging="432"/>
        <w:spacing w:after="0" w:line="218" w:lineRule="auto"/>
        <w:tabs>
          <w:tab w:leader="none" w:pos="96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regulatory pathway for a potential product candidate may be too complex and difficult to navigate successfully or economically; or</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may be competitive bids for potential product candidates which we do not seek to or are unable to match.</w:t>
      </w:r>
    </w:p>
    <w:p>
      <w:pPr>
        <w:spacing w:after="0" w:line="202" w:lineRule="exact"/>
        <w:rPr>
          <w:sz w:val="20"/>
          <w:szCs w:val="20"/>
          <w:color w:val="auto"/>
        </w:rPr>
      </w:pPr>
    </w:p>
    <w:p>
      <w:pPr>
        <w:ind w:left="200" w:right="260" w:firstLine="331"/>
        <w:spacing w:after="0" w:line="238" w:lineRule="auto"/>
        <w:rPr>
          <w:sz w:val="20"/>
          <w:szCs w:val="20"/>
          <w:color w:val="auto"/>
        </w:rPr>
      </w:pPr>
      <w:r>
        <w:rPr>
          <w:rFonts w:ascii="Arial" w:cs="Arial" w:eastAsia="Arial" w:hAnsi="Arial"/>
          <w:sz w:val="18"/>
          <w:szCs w:val="18"/>
          <w:color w:val="auto"/>
        </w:rPr>
        <w:t>In addition, we may choose to focus our efforts and resources on a potential product candidate that ultimately proves to be unsuccessful. Further, time and resources spent searching for, identifying, acquiring, and developing potential product candidates may distract our management’s attention from our primary business or other development programs. If we are unable to identify and acquire additional suitable product candidates for clinical development, this would adversely impact our business strategy and our financial position and share price.</w:t>
      </w:r>
    </w:p>
    <w:p>
      <w:pPr>
        <w:spacing w:after="0" w:line="181" w:lineRule="exact"/>
        <w:rPr>
          <w:sz w:val="20"/>
          <w:szCs w:val="20"/>
          <w:color w:val="auto"/>
        </w:rPr>
      </w:pPr>
    </w:p>
    <w:p>
      <w:pPr>
        <w:ind w:left="200"/>
        <w:spacing w:after="0" w:line="247" w:lineRule="auto"/>
        <w:rPr>
          <w:sz w:val="20"/>
          <w:szCs w:val="20"/>
          <w:color w:val="auto"/>
        </w:rPr>
      </w:pPr>
      <w:r>
        <w:rPr>
          <w:rFonts w:ascii="Arial" w:cs="Arial" w:eastAsia="Arial" w:hAnsi="Arial"/>
          <w:sz w:val="18"/>
          <w:szCs w:val="18"/>
          <w:b w:val="1"/>
          <w:bCs w:val="1"/>
          <w:i w:val="1"/>
          <w:iCs w:val="1"/>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our product development programs or any future commercialization efforts.</w:t>
      </w:r>
    </w:p>
    <w:p>
      <w:pPr>
        <w:spacing w:after="0" w:line="61"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conduct our ongoing Phase 2b clinical trials for BPS-804 and BGS-649, our planned pediatric Phase 2b/3 study for BPS-804 and our planned Phase 2 clinical trial for AZD-9668. We also expect our expenses to rise as we seek to acquire and develop new product candidates. In addition, if we obtain regulatory approval for any of our product candidates, we expect to incur significant commercialization expenses related to product manufacturing, marketing, sales, and distribution for any products we commercialize directly. Furthermore, upon the closing of the global offering, we expect to incur additional costs associated with operating as a public company in the United Kingdom and the United States and maintaining listings on both AIM and The Nasdaq Global Market, or Nasdaq. Accordingly, we will need to obtain substantial additional funding in connection with our continuing operations. If we are unable to raise capital when needed or on attractive terms, we could be forced to delay, reduce, or eliminate our research and development programs, any future commercialization efforts, or acquisitions of potential product candidates.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expect that our existing cash resources, together with anticipated net proceeds from the global offering, will enable us to fund our</w:t>
      </w:r>
    </w:p>
    <w:p>
      <w:pPr>
        <w:jc w:val="both"/>
        <w:ind w:left="200" w:right="80"/>
        <w:spacing w:after="0" w:line="238" w:lineRule="auto"/>
        <w:rPr>
          <w:sz w:val="20"/>
          <w:szCs w:val="20"/>
          <w:color w:val="auto"/>
        </w:rPr>
      </w:pPr>
      <w:r>
        <w:rPr>
          <w:rFonts w:ascii="Arial" w:cs="Arial" w:eastAsia="Arial" w:hAnsi="Arial"/>
          <w:sz w:val="18"/>
          <w:szCs w:val="18"/>
          <w:color w:val="auto"/>
        </w:rPr>
        <w:t>operating expenses and capital expenditure requirements through . We have based this estimate on assumptions that may prove to be wrong, and we could use our capital resources sooner than we currently expect, or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39" w:lineRule="exact"/>
        <w:rPr>
          <w:sz w:val="20"/>
          <w:szCs w:val="20"/>
          <w:color w:val="auto"/>
        </w:rPr>
      </w:pPr>
    </w:p>
    <w:p>
      <w:pPr>
        <w:ind w:left="960" w:right="20" w:hanging="432"/>
        <w:spacing w:after="0" w:line="218" w:lineRule="auto"/>
        <w:tabs>
          <w:tab w:leader="none" w:pos="9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results of our ongoing Phase 2b clinical trials for BPS-804 and BGS-649; our planned pediatric Phase 2b/3 study for BPS-804; our planned Phase 2 clinical trial for AZD-9668; and our planned Phase 3 clinical program for BGS-649;</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manufacturing clinical supplies of our product candidates;</w:t>
      </w:r>
    </w:p>
    <w:p>
      <w:pPr>
        <w:spacing w:after="0" w:line="26"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320" w:hanging="432"/>
        <w:spacing w:after="0" w:line="218"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amount of revenue, if any, received from commercial sales of our product candidates;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23"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sales price and availability of adequate third-party coverage and reimbursement for our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competitors and market developments; and</w:t>
      </w:r>
    </w:p>
    <w:p>
      <w:pPr>
        <w:spacing w:after="0" w:line="26"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ADSs or ordinary shares.</w:t>
      </w:r>
    </w:p>
    <w:p>
      <w:pPr>
        <w:spacing w:after="0" w:line="202"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our research and development programs or any commercialization efforts; be unable to expand our operations or acquire product candidates; or be unable to otherwise capitalize on our business opportunities, as desired, which could harm our business and potentially force us to discontinue operations.</w:t>
      </w:r>
    </w:p>
    <w:p>
      <w:pPr>
        <w:spacing w:after="0" w:line="180"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b w:val="1"/>
          <w:bCs w:val="1"/>
          <w:i w:val="1"/>
          <w:iCs w:val="1"/>
          <w:color w:val="auto"/>
        </w:rPr>
        <w:t>Raising additional capital may cause dilution to, or adversely affect the rights of, our security holders, including purchasers of our ADSs or ordinary shares in the global offering; restrict our operations; or require us to relinquish rights to our technologies or product candidates.</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Until such time, if ever, as we can generate substantial product revenues, we may finance our cash needs through securities offerings, debt financings, license and collaboration agreements, or other capital raising transactions. If we raise capital through securities offerings, your ownership interest will be diluted, and the terms of the securities we issue in such transaction may include liquidation or other preferences that adversely affect your rights as a holder of our ADSs or ordinary shares.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For example, our credit facility with Silicon Valley Bank and Kreos Capital V (UK) Limited, or the credit facility, requires us to seek consent for certain corporate transactions, dispositions, or incurrences of certain debt.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Raising additional capital through any of these or other means could adversely affect our business and the holdings or rights of our security holders, and may cause the market price of our ADSs or ordinary shares to decline.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200"/>
        <w:spacing w:after="0" w:line="244" w:lineRule="auto"/>
        <w:rPr>
          <w:sz w:val="20"/>
          <w:szCs w:val="20"/>
          <w:color w:val="auto"/>
        </w:rPr>
      </w:pPr>
      <w:r>
        <w:rPr>
          <w:rFonts w:ascii="Arial" w:cs="Arial" w:eastAsia="Arial" w:hAnsi="Arial"/>
          <w:sz w:val="18"/>
          <w:szCs w:val="18"/>
          <w:b w:val="1"/>
          <w:bCs w:val="1"/>
          <w:i w:val="1"/>
          <w:iCs w:val="1"/>
          <w:color w:val="auto"/>
        </w:rPr>
        <w:t>We depend heavily on the success of BPS-804, AZD-9668, BCT-197, and BGS-649. We cannot give any assurance that any of these product candidates will receive regulatory approval, which is necessary before they can be commercialized. If we are unable to commercialize, whether on our own or through agreements with third parties, BPS-804, AZD-9668, BCT-197, or BGS-649, or experience significant delays in doing so, our ability to generate revenue and our financial condition will be adversely affected.</w:t>
      </w:r>
    </w:p>
    <w:p>
      <w:pPr>
        <w:spacing w:after="0" w:line="6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do not currently generate any revenue from sales of any products, and we may never be able to develop or commercialize a marketable product. We have invested substantially all of our efforts and financial resources in the acquisition and development of BPS-804, AZD-9668, BCT-197, and BGS-649, and we do not have any other product candidates currently under development. Our ability to generate royalty and product revenues, which we do not expect will occur for at least the next several years, if ever, will depend heavily on the successful development and eventual commercialization of our current product candidates, if approved, which may never occur. Our current product candidates will require additional clinical development, management of clinical and manufacturing activities, regulatory approval in multiple jurisdictions, procurement of manufacturing supply, commercialization, substantial additional investment, and significant marketing efforts before we generate any revenue from product sales. For example, we intend to commence a Phase 2b/3 clinical trial of BPS-804, our most advanced product candidate, in children with OI in 2018. We are currently in communication with the EMA regarding the endpoints for the trial, and the EMA has not approved the pediatric investigation plan, or PIP, for this trial. While we anticipate approval of the PIP from the EMA, we may not receive such approval. In addition, the FDA may not approve our pediatric trial for BPS-804 in the future. Either of these occurrences would adversely affect the clinical development of BPS-804, which would adversely affect our commercialization plans.</w:t>
      </w:r>
    </w:p>
    <w:p>
      <w:pPr>
        <w:spacing w:after="0" w:line="204"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are not permitted to market or promote any product candidates in the United States, Europe, or other countries before we receive regulatory approval from the FDA, the EMA, or comparable foreign regulatory authorities, and we may never receive such regulatory approval for our current product candidates. We have not submitted a Biologics License application, or BLA, or a New Drug Application, or NDA, to the FDA; a Marketing Authorization Application, or MAA, to the EMA; or comparable applications to other regulatory authorities, and do not expect to be in a position to do so in the foreseeable future. The success of our current product candidates will depend on many factors, including the following:</w:t>
      </w:r>
    </w:p>
    <w:p>
      <w:pPr>
        <w:spacing w:after="0" w:line="232" w:lineRule="exact"/>
        <w:rPr>
          <w:sz w:val="20"/>
          <w:szCs w:val="20"/>
          <w:color w:val="auto"/>
        </w:rPr>
      </w:pPr>
    </w:p>
    <w:p>
      <w:pPr>
        <w:ind w:left="960" w:right="62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be able to demonstrate that any of our current product candidates is safe and effective as a treatment for the targeted indications to the satisfaction of the applicable regulatory authorities;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require additional clinical trials of our current product candidates, which would increase our costs and prolong development;</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results of clinical trials of our current product candidates may not meet the level of statistical or clinical significance required by the applicable regulatory authorities for marketing approval;</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disagree with the number, design, size, conduct, or implementation of our planned and future clinical trials for our current product candidates;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contract research organizations, or CROs, that we retain to conduct clinical trials may take actions outside of our control that materially adversely impact clinical trials for our current product candidates;</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not find the data from clinical trials sufficient to demonstrate that the clinical and other benefits of our current product candidates outweigh their safety risks;</w:t>
      </w:r>
    </w:p>
    <w:p>
      <w:pPr>
        <w:spacing w:after="0" w:line="27"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disagree with our interpretation of data from our clinical trials or may require that we conduct additional trials;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not accept data generated at our clinical trial sites;</w:t>
      </w:r>
    </w:p>
    <w:p>
      <w:pPr>
        <w:spacing w:after="0" w:line="26" w:lineRule="exact"/>
        <w:rPr>
          <w:rFonts w:ascii="MS PGothic" w:cs="MS PGothic" w:eastAsia="MS PGothic" w:hAnsi="MS PGothic"/>
          <w:sz w:val="25"/>
          <w:szCs w:val="25"/>
          <w:color w:val="auto"/>
          <w:vertAlign w:val="superscript"/>
        </w:rPr>
      </w:pPr>
    </w:p>
    <w:p>
      <w:pPr>
        <w:ind w:left="960" w:hanging="432"/>
        <w:spacing w:after="0" w:line="226"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submit a BLA or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27" w:lineRule="exact"/>
        <w:rPr>
          <w:rFonts w:ascii="MS PGothic" w:cs="MS PGothic" w:eastAsia="MS PGothic" w:hAnsi="MS PGothic"/>
          <w:sz w:val="25"/>
          <w:szCs w:val="25"/>
          <w:color w:val="auto"/>
          <w:vertAlign w:val="superscript"/>
        </w:rPr>
      </w:pPr>
    </w:p>
    <w:p>
      <w:pPr>
        <w:ind w:left="960" w:right="620" w:hanging="432"/>
        <w:spacing w:after="0" w:line="218"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require development of a risk evaluation and mitigation strategy, or REMS, as a condition of approval;</w:t>
      </w:r>
    </w:p>
    <w:p>
      <w:pPr>
        <w:spacing w:after="0" w:line="27" w:lineRule="exact"/>
        <w:rPr>
          <w:rFonts w:ascii="MS PGothic" w:cs="MS PGothic" w:eastAsia="MS PGothic" w:hAnsi="MS PGothic"/>
          <w:sz w:val="25"/>
          <w:szCs w:val="25"/>
          <w:color w:val="auto"/>
          <w:vertAlign w:val="superscript"/>
        </w:rPr>
      </w:pPr>
    </w:p>
    <w:p>
      <w:pPr>
        <w:ind w:left="960" w:right="560" w:hanging="432"/>
        <w:spacing w:after="0" w:line="218"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identify deficiencies in the manufacturing processes or facilities of our third-party manufacturers;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change its approval policies or adopt new regulations;</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our clinical trials, we may discover factors that limit the commercial viability of our current product candidates or make the commercialization of any of our current product candidates unfeasible;</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26"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approved, acceptance of our current product candidates by patients, the medical community, and third-party payors; our ability to compete with other therapies to treat OI, AATD, AECOPD, or HH; continued acceptable safety profiles following approval of our current product candidates; and our ability to qualify for, maintain, enforce, and defend our intellectual property rights and claims.</w:t>
      </w:r>
    </w:p>
    <w:p>
      <w:pPr>
        <w:spacing w:after="0" w:line="20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may not be able to successfully commercialize our current product candidates.</w:t>
      </w:r>
    </w:p>
    <w:p>
      <w:pPr>
        <w:spacing w:after="0" w:line="19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cannot be certain that our current product candidates will be successful in clinical trials or receive regulatory approval. Further, our current product candidates may not receive regulatory approval even if they are successful in clinical trials. If we do not receive regulatory approvals for our current product candidates, we may not be able to continue our operations. Even if we successfully obtain regulatory approvals to manufacture and market our current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20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plan to seek regulatory approval to commercialize our current product candidates both in the United States and the EU, and potentially in additional foreign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and we cannot predict success in these jurisdictions.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may become subject to economic, political, regulatory and other risks associated with international operations.</w:t>
      </w:r>
    </w:p>
    <w:p>
      <w:pPr>
        <w:spacing w:after="0" w:line="99"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Our business is subject to risks associated with conducting business internationally. We source research and development, manufacturing, consulting, and other services from companies based throughout the United States, the EU, and Switzerland, and we conduct our clinical trials in the United States, Canada, certain European countries, and other countries. Accordingly, our future results could be harmed by a variety of factors, including:</w:t>
      </w:r>
    </w:p>
    <w:p>
      <w:pPr>
        <w:spacing w:after="0" w:line="193" w:lineRule="exact"/>
        <w:rPr>
          <w:sz w:val="20"/>
          <w:szCs w:val="20"/>
          <w:color w:val="auto"/>
        </w:rPr>
      </w:pPr>
    </w:p>
    <w:p>
      <w:pPr>
        <w:ind w:left="960" w:hanging="432"/>
        <w:spacing w:after="0"/>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economic weakness, including inflation, or political instability in particular non-U.K. economies and markets;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regulatory requirements for drug approvals in non-U.K. countries;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60" w:hanging="432"/>
        <w:spacing w:after="0" w:line="218"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jurisdictions could present different issues for securing, maintaining, or obtaining freedom to operate for our intellectual property in such jurisdictions;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reduced protection for intellectual property rights;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difficulties in compliance with non-U.K. laws and regulations;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non-U.K. regulations and customs, tariffs, and trade barriers;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non-U.K. currency exchange rates of the pound sterling and currency controls;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a specific country’s or region’s political or economic environment, including the implications of the United Kingdom’s withdrawal from the EU;</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trade protection measures, import or export licensing requirements or other restrictive actions by U.K. or non-U.K. governments;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reimbursement regimes and price controls in certain non-U.K. markets;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negative consequences from changes in tax laws;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tax, employment, immigration, and labor laws for employees living or traveling outside of the United Kingdom;</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workforce uncertainty in countries where labor unrest is more common than in the United Kingdom;</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difficulties associated with staffing and managing international operations, including differing labor relations;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production shortages resulting from any events affecting raw material supply or manufacturing capabilities abroad; and</w:t>
      </w:r>
    </w:p>
    <w:p>
      <w:pPr>
        <w:spacing w:after="0" w:line="26" w:lineRule="exact"/>
        <w:rPr>
          <w:rFonts w:ascii="MS PGothic" w:cs="MS PGothic" w:eastAsia="MS PGothic" w:hAnsi="MS PGothic"/>
          <w:sz w:val="25"/>
          <w:szCs w:val="25"/>
          <w:color w:val="auto"/>
          <w:vertAlign w:val="superscript"/>
        </w:rPr>
      </w:pPr>
    </w:p>
    <w:p>
      <w:pPr>
        <w:ind w:left="960" w:right="1080" w:hanging="432"/>
        <w:spacing w:after="0" w:line="218" w:lineRule="auto"/>
        <w:tabs>
          <w:tab w:leader="none" w:pos="96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hurricanes, floods, and fires.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Exchange rate fluctuations may materially affect our results of operations and financial condition.</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Owing to the international scope of our operations, fluctuations in exchange rates, particularly between the pound sterling and the U.S. dollar, the euro, or the Swiss Franc, may adversely affect us. Further, potential future revenue may be derived from multiple jurisdictions and in multiple currencies. As a result, our business and the price of our ADSs and ordinary shares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83"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The United Kingdom’s withdrawal from the EU may have a negative effect on global economic conditions, financial markets and our business, which could reduce the price of our ADSs and ordinary shares.</w:t>
      </w:r>
    </w:p>
    <w:p>
      <w:pPr>
        <w:spacing w:after="0" w:line="27"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Following the vote of a majority of the eligible members of the electorate in the United Kingdom to withdraw from the EU in a national referendum held on June 23, 2016, the U.K. government served notice under Article 50 of the Treaty of the European Union on March 29, 2017 to formally initiate a withdrawal process. The United Kingdom and the EU have a two-year period under Article 50 to negotiate the terms for withdrawal. Any extension of the negotiation period for withdrawal will require the consent of all of the remaining 27 member states.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referendum and withdrawal have created significant uncertainty about the future relationship between the United Kingdom and the EU. Lack of clarity about future U.K. laws and regulations as the United Kingdom determines which EU-derived laws and regulations to replace or replicate as part of a withdrawal, including healthcare and pharmaceutical regulations; financial laws and regulations; tax and free trade agreements; intellectual property rights; supply chain logistics; environmental, health,</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and safety laws and regulations; immigration laws; and employment laws, could decrease foreign direct investment in the United Kingdom, increase costs, depress economic activity, and restrict our access to capital. If the United Kingdom and the EU are unable to negotiate acceptable withdrawal terms or if other EU member states pursue withdrawal, barrier-free access between the United Kingdom and other EU member states or among the European economic area overall could be diminished or eliminated. These developments, or the perception that any of them could occur,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In addition, changes to U.K. border and immigration policy could occur as a result of the United Kingdom’s withdrawal from the EU, affecting our ability to recruit and retain employees from outside the United Kingdom. Any of these factors could have a significant adverse effect on our business, financial condition, results of operations, and prospects.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Development, Clinical Testing, Manufacturing and Regulatory Approval</w:t>
      </w:r>
    </w:p>
    <w:p>
      <w:pPr>
        <w:spacing w:after="0" w:line="212"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b w:val="1"/>
          <w:bCs w:val="1"/>
          <w:i w:val="1"/>
          <w:iCs w:val="1"/>
          <w:color w:val="auto"/>
        </w:rPr>
        <w:t>BPS-804, AZD-9668, BCT-197, and BGS-649 are in clinical development. Clinical drug development is a lengthy and expensive process with uncertain timelines and uncertain outcomes, and results of earlier studies and trials may not be predictive of future results. If clinical trials of our product candidates are prolonged or delayed, or if our product candidates fail to show the desired safety and efficacy in later stage clinical trials, we may be unable to obtain required regulatory approvals and be unable to commercialize our product candidates on a timely basis, or at all.</w:t>
      </w:r>
    </w:p>
    <w:p>
      <w:pPr>
        <w:spacing w:after="0" w:line="64"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To obtain the requisite regulatory approvals to market and sell any of our product candidates, we must demonstrate through extensive clinical trials that such product candidates are safe and effective in humans. Clinical testing is expensive and can take many years to complete, and its outcome is inherently uncertain. Failure can occur at any time during the clinical trial process. The results of pre-clinical studies and early-stage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208" w:lineRule="exact"/>
        <w:rPr>
          <w:sz w:val="20"/>
          <w:szCs w:val="20"/>
          <w:color w:val="auto"/>
        </w:rPr>
      </w:pPr>
    </w:p>
    <w:p>
      <w:pPr>
        <w:jc w:val="both"/>
        <w:ind w:left="200" w:right="120" w:firstLine="331"/>
        <w:spacing w:after="0"/>
        <w:rPr>
          <w:sz w:val="20"/>
          <w:szCs w:val="20"/>
          <w:color w:val="auto"/>
        </w:rPr>
      </w:pPr>
      <w:r>
        <w:rPr>
          <w:rFonts w:ascii="Arial" w:cs="Arial" w:eastAsia="Arial" w:hAnsi="Arial"/>
          <w:sz w:val="18"/>
          <w:szCs w:val="18"/>
          <w:color w:val="auto"/>
        </w:rPr>
        <w:t>We may experience delays in our ongoing clinical trials and we do not know whether planned clinical trials will begin on time, need to be redesigned, enroll patients on time or be completed on schedule, if at all. Our clinical trials can be delayed, suspended, or terminated for a variety of reasons, including the following:</w:t>
      </w:r>
    </w:p>
    <w:p>
      <w:pPr>
        <w:spacing w:after="0" w:line="230" w:lineRule="exact"/>
        <w:rPr>
          <w:sz w:val="20"/>
          <w:szCs w:val="20"/>
          <w:color w:val="auto"/>
        </w:rPr>
      </w:pPr>
    </w:p>
    <w:p>
      <w:pPr>
        <w:ind w:left="960" w:right="480" w:hanging="432"/>
        <w:spacing w:after="0" w:line="223"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obtain regulatory or ethics committee approval to commence a trial, for example, if we fail to obtain approval by the EMA for the PIP for BPS-804 or if we are unable to submit our proposed protocol to the FDA for a pediatric clinical trial for BPS-804;</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of our CROs to execute our trials in accordance with the clinical trial protocol; good laboratory, clinical, and manufacturing practices, or GxP; or other regulatory or contractual obligations;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obtain institutional review board, or IRB, approval, centrally or at each site;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recruit suitable patients to participate in a trial;</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to have patients complete a trial or return for post-treatment follow-up;</w:t>
      </w:r>
    </w:p>
    <w:p>
      <w:pPr>
        <w:spacing w:after="0" w:line="26" w:lineRule="exact"/>
        <w:rPr>
          <w:rFonts w:ascii="MS PGothic" w:cs="MS PGothic" w:eastAsia="MS PGothic" w:hAnsi="MS PGothic"/>
          <w:sz w:val="25"/>
          <w:szCs w:val="25"/>
          <w:color w:val="auto"/>
          <w:vertAlign w:val="superscript"/>
        </w:rPr>
      </w:pPr>
    </w:p>
    <w:p>
      <w:pPr>
        <w:ind w:left="960" w:right="20" w:hanging="432"/>
        <w:spacing w:after="0" w:line="226"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our rare disease product candidates, failure to enroll a sufficient number of patients with the rare disease and clinical trial design challenges such as, but not limited to, the off-label use of drugs to treat rare disease or where the most common treatment method has not been clinically tested or has been approved on the basis of a different endpoint and not directly tied to a clinical outcome study, for example, augmentation therapy for AATD;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clinical sites deviating from trial protocol or dropping out of a trial or committing gross misconduct or fraud;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adding new clinical trial sites;</w:t>
      </w:r>
    </w:p>
    <w:p>
      <w:pPr>
        <w:spacing w:after="0" w:line="26"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technical issues during manufacture, storage, or transport of our product candidates and the corresponding drug product;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inability to manufacture sufficient quantities of our product candidates for use in clinical trials;</w:t>
      </w:r>
    </w:p>
    <w:p>
      <w:pPr>
        <w:spacing w:after="0" w:line="26"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actions claiming infringement by our product candidates in clinical trials inside or outside of the United States and obtaining injunctions interfering with our progress;</w:t>
      </w:r>
    </w:p>
    <w:p>
      <w:pPr>
        <w:spacing w:after="0" w:line="27" w:lineRule="exact"/>
        <w:rPr>
          <w:rFonts w:ascii="MS PGothic" w:cs="MS PGothic" w:eastAsia="MS PGothic" w:hAnsi="MS PGothic"/>
          <w:sz w:val="25"/>
          <w:szCs w:val="25"/>
          <w:color w:val="auto"/>
          <w:vertAlign w:val="superscript"/>
        </w:rPr>
      </w:pPr>
    </w:p>
    <w:p>
      <w:pPr>
        <w:ind w:left="960" w:right="1020" w:hanging="432"/>
        <w:spacing w:after="0" w:line="218"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hurricanes, floods, and fires;</w:t>
      </w:r>
    </w:p>
    <w:p>
      <w:pPr>
        <w:spacing w:after="0" w:line="27" w:lineRule="exact"/>
        <w:rPr>
          <w:rFonts w:ascii="MS PGothic" w:cs="MS PGothic" w:eastAsia="MS PGothic" w:hAnsi="MS PGothic"/>
          <w:sz w:val="25"/>
          <w:szCs w:val="25"/>
          <w:color w:val="auto"/>
          <w:vertAlign w:val="superscript"/>
        </w:rPr>
      </w:pPr>
    </w:p>
    <w:p>
      <w:pPr>
        <w:ind w:left="960" w:right="780" w:hanging="432"/>
        <w:spacing w:after="0" w:line="218"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safety or tolerability concerns causing us or our collaborators, as applicable, to suspend or terminate a trial if we or our collaborators find that the participants are being exposed to unacceptable health risks;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regulatory requirements, policies, and guidelines;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lower than anticipated retention rates of patients and healthy volunteers in clinical trials;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technical issues with the equipment used to conduct clinical trials or analyze the results;</w:t>
      </w:r>
    </w:p>
    <w:p>
      <w:pPr>
        <w:spacing w:after="0" w:line="26"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third-party research contractors failing to comply with regulatory requirements or to meet their contractual obligations to us in a timely manner, or at all;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establishing the appropriate dosage levels or frequency of dosing or treatment in clinical trials;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difficulty in identifying the populations that we are trying to treat in a particular trial, which may delay enrollment and reduce the power of a clinical trial to detect statistically significant results;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quality or stability of our product candidates falling below acceptable standards for either safety or efficacy;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discoveries that may reduce the commercial viability of our product candidates.</w:t>
      </w:r>
    </w:p>
    <w:p>
      <w:pPr>
        <w:spacing w:after="0" w:line="203" w:lineRule="exact"/>
        <w:rPr>
          <w:sz w:val="20"/>
          <w:szCs w:val="20"/>
          <w:color w:val="auto"/>
        </w:rPr>
      </w:pPr>
    </w:p>
    <w:p>
      <w:pPr>
        <w:ind w:left="200" w:firstLine="331"/>
        <w:spacing w:after="0" w:line="253" w:lineRule="auto"/>
        <w:rPr>
          <w:sz w:val="20"/>
          <w:szCs w:val="20"/>
          <w:color w:val="auto"/>
        </w:rPr>
      </w:pPr>
      <w:r>
        <w:rPr>
          <w:rFonts w:ascii="Arial" w:cs="Arial" w:eastAsia="Arial" w:hAnsi="Arial"/>
          <w:sz w:val="17"/>
          <w:szCs w:val="17"/>
          <w:color w:val="auto"/>
        </w:rPr>
        <w:t>We could encounter delays if a clinical trial is suspended or terminated by us, by the IRBs, centrally or at the institutions in which such trials are being conducted, by the Data Monitoring Committee or Data Safety Monitoring Board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the EMA,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192"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A number of academic institutions are currently conducting and sponsoring clinical trials relating to our product candidate AZD-9668, including a clinical trial in patients with Type 2 diabetes and a clinical trial in patients with bronchiolitis obliterans. We do not control the design or administration of investigator-sponsored trials, and the investigator-sponsored trials could identify significant concerns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with respect to AZD-9668 that could impact our findings from our clinical trials, and adversely affect our ability to obtain marketing approval from the FDA or other applicable authorities. To the extent the results of these or other investigator-sponsored trials are inconsistent with, or different from, the results of our company-sponsored trials or raise concerns regarding AZD-9668, the FDA or a foreign regulatory authority may question the results of the company-sponsored trial, or subject such results to greater scrutiny than it otherwise would. In these circumstances, the FDA or such foreign regulatory authorities may require us to conduct additional clinical studies or submit additional clinical data, which could delay clinical development or marketing approval of AZD-9668.</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the EMA, or another regulatory authority. The FDA, the EMA, or the other regulatory authority may conclude that a financial relationship between us and a principal investigator has created a conflict of interest or otherwise affected interpretation of the study. The FDA, the EMA, or the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the EMA, or the other regulatory authority, as the case may be, and may ultimately lead to the denial of marketing approval of our product candidates.</w:t>
      </w:r>
    </w:p>
    <w:p>
      <w:pPr>
        <w:spacing w:after="0" w:line="208"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If we experience delays in the completion of any clinical trial of our product candidates or any clinical trial of our product candidates is terminated, the commercial prospects of our product candidates may be harmed, and our ability to generate product revenues from our product candidates, if any, will be delayed. Moreover, any delays in completing our clinical trials will increase our costs, slow down the development and approval process of our product candidates, and jeopardize our ability to commence product sales and generate revenue, if any. Significant clinical trial delays could also allow our competitors to bring products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our product candidates.</w:t>
      </w:r>
    </w:p>
    <w:p>
      <w:pPr>
        <w:spacing w:after="0" w:line="208"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centrally or at the institutions where the clinical trials are conducted. In addition, clinical trials must be conducted with supplies of our product candidates produced in compliance with the requirements of current good manufacturing practice, or cGMP,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b w:val="1"/>
          <w:bCs w:val="1"/>
          <w:i w:val="1"/>
          <w:iCs w:val="1"/>
          <w:color w:val="auto"/>
        </w:rPr>
        <w:t>Prior to our acquisition of BPS-804, AZD-9668, BCT-197, and BGS-649, we were not involved in the development of these product candidates and, as a result, we are dependent on Novartis and AstraZeneca having accurately reported the results and correctly collected and interpreted the data from all clinical trials conducted prior to our acquisition.</w:t>
      </w:r>
    </w:p>
    <w:p>
      <w:pPr>
        <w:spacing w:after="0" w:line="56"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We were not involved in the development of our current product candidates prior to our acquisition of them. We licensed AZD-9668 from AstraZeneca only in October 2017, and we may experience difficulties in the transition of this product candidate from AstraZeneca to us, which may result in delays in our clinical trial, including regulatory approval of the trial, for AZD-9668, particularly if we do not receive all of the necessary clinical trial materials, information, reports, and data in a timely manner. For all of our current product candidates, we have had no involvement with or control over their pre-clinical and clinical development prior to our acquisition of them. We are dependent on Novartis and AstraZeneca having conducted their research and development in accordance with the applicable protocols and legal, regulatory, and scientific standards; having accurately reported the results of all clinical trials conducted prior to our acquisition; and having correctly collected and interpreted the data from these trials. To the extent Novartis or AstraZeneca have not complied, the clinical development, regulatory approval, or commercialization of our product candidates may be adversely affected.</w:t>
      </w:r>
    </w:p>
    <w:p>
      <w:pPr>
        <w:spacing w:after="0" w:line="185"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83" w:lineRule="exact"/>
        <w:rPr>
          <w:sz w:val="20"/>
          <w:szCs w:val="20"/>
          <w:color w:val="auto"/>
        </w:rPr>
      </w:pPr>
    </w:p>
    <w:p>
      <w:pPr>
        <w:ind w:left="200" w:right="220"/>
        <w:spacing w:after="0" w:line="244" w:lineRule="auto"/>
        <w:rPr>
          <w:sz w:val="20"/>
          <w:szCs w:val="20"/>
          <w:color w:val="auto"/>
        </w:rPr>
      </w:pPr>
      <w:r>
        <w:rPr>
          <w:rFonts w:ascii="Arial" w:cs="Arial" w:eastAsia="Arial" w:hAnsi="Arial"/>
          <w:sz w:val="18"/>
          <w:szCs w:val="18"/>
          <w:b w:val="1"/>
          <w:bCs w:val="1"/>
          <w:i w:val="1"/>
          <w:iCs w:val="1"/>
          <w:color w:val="auto"/>
        </w:rPr>
        <w:t>Our product candidates may have serious adverse, undesirable, or unacceptable side effects which may delay or prevent marketing approval or lead to the withdrawal of approval after it has been granted. If such side effects are identified during the development of these product candidates or following approval, if any, we may need to abandon our development of these product candidates, the commercial profile of any approved label may be limited, or we may be subject to other significant negative consequences following marketing approval, if any.</w:t>
      </w:r>
    </w:p>
    <w:p>
      <w:pPr>
        <w:spacing w:after="0" w:line="50"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Undesirable side effects that may be caused by BPS-804, AZD-9668, BCT-197, and BGS-649 could cause us or regulatory authorities to interrupt, delay or halt clinical trials, and could result in a more restrictive label or the delay or denial of regulatory approval by the FDA, the EMA, or other comparable foreign authorities. Each of our product candidates has completed one or more Phase 2 clinical trials. In these trials, the most common adverse events observed have been the following:</w:t>
      </w:r>
    </w:p>
    <w:p>
      <w:pPr>
        <w:spacing w:after="0" w:line="193" w:lineRule="exact"/>
        <w:rPr>
          <w:sz w:val="20"/>
          <w:szCs w:val="20"/>
          <w:color w:val="auto"/>
        </w:rPr>
      </w:pPr>
    </w:p>
    <w:p>
      <w:pPr>
        <w:ind w:left="960" w:hanging="432"/>
        <w:spacing w:after="0"/>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BPS-804, headache, influenza, arthralgia, and fatigue;</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1"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AZD-9668, headache, nasopharyngitis, and elevated levels of the liver enzymes aspartate aminotransferase and alanine aminotransferase;</w:t>
      </w:r>
    </w:p>
    <w:p>
      <w:pPr>
        <w:ind w:left="960" w:hanging="432"/>
        <w:spacing w:after="0" w:line="205"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BCT-197, a mild acne-like rash, dizziness, and headache;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BGS-649, headache, nasal congestion, somnolence, and spontaneous penile erection.</w:t>
      </w:r>
    </w:p>
    <w:p>
      <w:pPr>
        <w:spacing w:after="0" w:line="24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Clinical development for all of these product candidates is ongoing. Results of our ongoing and future clinical trials, or results from clinical trials for other similar product candidates, could reveal a high and unacceptable severity and prevalence of adverse side effects. In such an event, our trials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could be suspended or terminated and the FDA, EMA, or other comparable foreign regulatory authorities could order us to cease further development of or deny approval of our product candidates for any or all targeted indications.</w:t>
      </w:r>
    </w:p>
    <w:p>
      <w:pPr>
        <w:spacing w:after="0" w:line="1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For example, in the United States, the FDA has denied our request for a Type C meeting to discuss the initiation of a pediatric Phase 2b study for BPS-804 for the treatment of patients with severe OI. The FDA has cited that a serious cardiovascular safety concern exists in adults treated with sclerostin inhibitors that has yet to be resolved. We do not believe the FDA’s concern is related to BPS-804. Given the undetermined risk/benefit assessment in adults, the FDA believes it is premature to conduct a study of sclerostin inhibitors in children. If this safety issue is resolved, we plan on submitting our proposed Phase 2b/3 study for BPS-804 in children with severe OI to the FDA to expand the proposed trial into the United States. We believe the FDA’s position does not impact our ability to conduct our clinical development activities of BPS-804 in Europe and Canada for children with severe OI and our clinical development activities of BPS-804 in Europe, the United States and Canada for adults with OI.</w:t>
      </w:r>
    </w:p>
    <w:p>
      <w:pPr>
        <w:spacing w:after="0" w:line="208"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Drug-related side effects could affect patient recruitment or the ability of enrolled patients to complete a trial or result in potential product liability claims. 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93" w:lineRule="exact"/>
        <w:rPr>
          <w:sz w:val="20"/>
          <w:szCs w:val="20"/>
          <w:color w:val="auto"/>
        </w:rPr>
      </w:pPr>
    </w:p>
    <w:p>
      <w:pPr>
        <w:ind w:left="960" w:hanging="432"/>
        <w:spacing w:after="0"/>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withdraw approvals of any such product and require us to take it off the market;</w:t>
      </w:r>
    </w:p>
    <w:p>
      <w:pPr>
        <w:spacing w:after="0" w:line="26" w:lineRule="exact"/>
        <w:rPr>
          <w:rFonts w:ascii="MS PGothic" w:cs="MS PGothic" w:eastAsia="MS PGothic" w:hAnsi="MS PGothic"/>
          <w:sz w:val="25"/>
          <w:szCs w:val="25"/>
          <w:color w:val="auto"/>
          <w:vertAlign w:val="superscript"/>
        </w:rPr>
      </w:pPr>
    </w:p>
    <w:p>
      <w:pPr>
        <w:ind w:left="960" w:right="480" w:hanging="432"/>
        <w:spacing w:after="0" w:line="218"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require a medication guide outlining the risks of such side effects for distribution to patients, or that we implement a REMS plan to ensure that the benefits of the product outweigh its risks;</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required to change the way a product is administered, conduct additional clinical trials, or change the labeling of a product;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subject to limitations on how we may promote the product;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the product may decrease significantly;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subject to litigation or product liability claims;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reputation may suffer.</w:t>
      </w:r>
    </w:p>
    <w:p>
      <w:pPr>
        <w:spacing w:after="0" w:line="203"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81"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pacing w:after="0" w:line="56" w:lineRule="exact"/>
        <w:rPr>
          <w:sz w:val="20"/>
          <w:szCs w:val="20"/>
          <w:color w:val="auto"/>
        </w:rPr>
      </w:pPr>
    </w:p>
    <w:p>
      <w:pPr>
        <w:jc w:val="both"/>
        <w:ind w:left="200" w:right="260" w:firstLine="331"/>
        <w:spacing w:after="0" w:line="261" w:lineRule="auto"/>
        <w:rPr>
          <w:sz w:val="20"/>
          <w:szCs w:val="20"/>
          <w:color w:val="auto"/>
        </w:rPr>
      </w:pPr>
      <w:r>
        <w:rPr>
          <w:rFonts w:ascii="Arial" w:cs="Arial" w:eastAsia="Arial" w:hAnsi="Arial"/>
          <w:sz w:val="17"/>
          <w:szCs w:val="17"/>
          <w:color w:val="auto"/>
        </w:rPr>
        <w:t>Successful and timely completion of clinical trials for our product candidates will require that we enroll a sufficient number of patient candidates. Trials may be subject to delays as a result of the limited number of patients with the diseases that these product candidates target, patient enrollment taking longer than anticipated, or patient withdrawal. Due to the small number of patients for any rare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disease, it may be difficult for us to enroll a sufficient number of patients in our clinical trials for our product candidates with indications in rare diseases or enrollment for these product candidates may take significantly longer than we anticipate. In addition, we will compete with other companies in enrolling the same limited population of patients, which may further challenge our ability to timely enroll patients in our clinical trials. It is estimated that OI, the target indication for BPS-804, affects a minimum of 20,000 people in the United States and approximately 32,000 people in Germany, Spain, France, Italy, and the United Kingdom, respectively. There are an estimated 50,000 and 60,000 persons in North America and Europe, respectively, with the genotypes that we intend to enroll in our clinical trials for AATD, the target indication for AZD-9668.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or biologics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Delays in the completion of any clinical trial of our product candidates will increase our costs, slow down our development and approval of our product candidates,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80" w:lineRule="exact"/>
        <w:rPr>
          <w:sz w:val="20"/>
          <w:szCs w:val="20"/>
          <w:color w:val="auto"/>
        </w:rPr>
      </w:pPr>
    </w:p>
    <w:p>
      <w:pPr>
        <w:ind w:left="200" w:right="200"/>
        <w:spacing w:after="0" w:line="271"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41" w:lineRule="exact"/>
        <w:rPr>
          <w:sz w:val="20"/>
          <w:szCs w:val="20"/>
          <w:color w:val="auto"/>
        </w:rPr>
      </w:pPr>
    </w:p>
    <w:p>
      <w:pPr>
        <w:ind w:left="200" w:right="200" w:firstLine="331"/>
        <w:spacing w:after="0" w:line="236"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development, manufacturing, marketing, and use of pharmaceutical products. Currently, we have no products that have been approved for commercial sale; however, the current and future use of our product candidates by us and any collaborators, in clinical trials, and the sale of these product candidates, if approved, in the future, may expose us to liability claims. These claims might be made by patients that use the product, healthcare providers, pharmaceutical companies, our collaborators, or others selling these product candidates. Any claims against us, regardless of their merit, could be difficult and costly to defend and could adversely affect the market for our product candidates or any prospects for commercialization of our product candidates. In addition, regardless of the merits or eventual outcome, liability claims may result in:</w:t>
      </w:r>
    </w:p>
    <w:p>
      <w:pPr>
        <w:spacing w:after="0" w:line="199" w:lineRule="exact"/>
        <w:rPr>
          <w:sz w:val="20"/>
          <w:szCs w:val="20"/>
          <w:color w:val="auto"/>
        </w:rPr>
      </w:pPr>
    </w:p>
    <w:p>
      <w:pPr>
        <w:ind w:left="960" w:hanging="432"/>
        <w:spacing w:after="0"/>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decreased demand for our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injury to our reputation;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withdrawal of clinical trial participants;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to defend related litigation;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diversion of management’s time and our resources;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substantial monetary awards to trial participants or patients;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investigation, product recalls or withdrawals, or labeling, marketing or promotional restrictions;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loss of revenue;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inability to commercialize or promote our product candidates.</w:t>
      </w:r>
    </w:p>
    <w:p>
      <w:pPr>
        <w:spacing w:after="0" w:line="203"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our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140"/>
        <w:spacing w:after="0"/>
        <w:rPr>
          <w:sz w:val="20"/>
          <w:szCs w:val="20"/>
          <w:color w:val="auto"/>
        </w:rPr>
      </w:pPr>
      <w:r>
        <w:rPr>
          <w:rFonts w:ascii="Arial" w:cs="Arial" w:eastAsia="Arial" w:hAnsi="Arial"/>
          <w:sz w:val="18"/>
          <w:szCs w:val="18"/>
          <w:color w:val="auto"/>
        </w:rPr>
        <w:t>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Although we maintain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83"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the EMA, and comparable foreign authorities are lengthy, time consuming, and inherently unpredictable, and if we are ultimately unable to obtain regulatory approval for our product candidates, our business will be substantially harmed.</w:t>
      </w:r>
    </w:p>
    <w:p>
      <w:pPr>
        <w:spacing w:after="0" w:line="56"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none of our product candidates will obtain regulatory approval.</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39" w:lineRule="exact"/>
        <w:rPr>
          <w:sz w:val="20"/>
          <w:szCs w:val="20"/>
          <w:color w:val="auto"/>
        </w:rPr>
      </w:pPr>
    </w:p>
    <w:p>
      <w:pPr>
        <w:ind w:left="960" w:right="240" w:hanging="432"/>
        <w:spacing w:after="0" w:line="218"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disagree with the design or implementation of our clinical trials;</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unable to demonstrate to the satisfaction of the FDA, the EMA, or comparable foreign regulatory authorities that a product candidates is safe and effective for its proposed indication;</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unable to demonstrate that a product candidate’s clinical and other benefits outweigh its safety risks;</w:t>
      </w:r>
    </w:p>
    <w:p>
      <w:pPr>
        <w:spacing w:after="0" w:line="26" w:lineRule="exact"/>
        <w:rPr>
          <w:rFonts w:ascii="MS PGothic" w:cs="MS PGothic" w:eastAsia="MS PGothic" w:hAnsi="MS PGothic"/>
          <w:sz w:val="25"/>
          <w:szCs w:val="25"/>
          <w:color w:val="auto"/>
          <w:vertAlign w:val="superscript"/>
        </w:rPr>
      </w:pPr>
    </w:p>
    <w:p>
      <w:pPr>
        <w:ind w:left="960" w:right="380" w:hanging="432"/>
        <w:spacing w:after="0" w:line="218"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disagree with our interpretation of data from pre-clinical studies or clinical trials or may find the data to be unacceptable;</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data collected from clinical trials may not be sufficient to support the submission of a BLA or NDA in the United States, an MAA in the EU, or other comparable submission to obtain regulatory approval in other countries;</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fail to approve the manufacturing processes or facilities of third-party manufacturers with which we contract for clinical and commercial supplies; and</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203"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product candidates. The FDA, the EMA, and</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other regulatory authorities have substantial discretion in the approval process, and determining when or whether regulatory approval will be obtained for a product candidate. Even if we believe the data collected from clinical trials are promising, such data may not be sufficient to support approval by the FDA, the EMA, or any other regulatory authority.</w:t>
      </w:r>
    </w:p>
    <w:p>
      <w:pPr>
        <w:spacing w:after="0" w:line="203"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In addition, even if we were to obtain approval for any jurisdiction, regulatory authorities may approve our product candidates for fewer or more limited indications than we request, may not approve the price we intend to charge for our product candidates, may grant approval contingent on the performance of costly post-marketing clinical trials, or may approve a product candidate with a label that does not include the labeling claims necessary or desirable for the successful commercialization of such product candidate. Any of the foregoing scenarios could materially harm our commercial prospects and business.</w:t>
      </w:r>
    </w:p>
    <w:p>
      <w:pPr>
        <w:spacing w:after="0" w:line="181"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b w:val="1"/>
          <w:bCs w:val="1"/>
          <w:i w:val="1"/>
          <w:iCs w:val="1"/>
          <w:color w:val="auto"/>
        </w:rPr>
        <w:t>Even if any of our product candidates obtains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such product candidate.</w:t>
      </w:r>
    </w:p>
    <w:p>
      <w:pPr>
        <w:spacing w:after="0" w:line="6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the FDA, the EMA, or a comparable foreign regulatory authority approves any of our product candidates, the manufacturing processes, labeling, packaging, distribution, adverse event reporting, storage, advertising, promotion, and recordkeeping for such product candidate will be subject to extensive and ongoing regulatory requirements. These requirements include submissions of safety and other post-marketing information and reports, facility registration, and drug listing, as well as continued compliance with cGMP requirements for manufacturing, GDP, or good distribution practice, requirements for product distribution, and GCP requirements for any clinical trials that we conduct post-approval, all of which may result in significant expense and limit our ability to commercialize a product candidate. We and our contract manufacturers will also be subject to user fees and periodic inspection by the FDA, the EMA, and other regulatory authorities to monitor compliance with these requirements and the terms of any product approval we may obtain. In addition, any regulatory approvals that we receive for a product candidate may also be subject to limitations on the approved indicated uses for which such product may be marketed or to the conditions of approval, or contain requirements for potentially costly post-marketing testing, including Phase 4 clinical trials, and surveillance to monitor the safety and efficacy of such product.</w:t>
      </w:r>
    </w:p>
    <w:p>
      <w:pPr>
        <w:spacing w:after="0" w:line="206"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If there are changes in the application of legislation or regulatory policies, or if problems are discovered with a product or the manufacture of a product, or if we or one of our distributors, licensees, or co-marketers fails to comply with regulatory requirements, the regulatory authorities could take various actions. These include imposing fines on us, imposing restrictions on our product or its manufacture, and requiring us to recall or remove a product from the market. The regulatory authorities could also suspend or withdraw our marketing authorizations, or require us to conduct additional clinical trials, change our product labeling, or submit additional MAAs. If any of these events occurs, our ability to sell our product may be impaired, and we may incur substantial additional expense to comply with regulatory requirements.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policies of the FDA,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the United Kingdom, Europe, or other jurisdictions. For example, the current U.S. presidential administration has taken several executive actions, including the issuance of a number of Executive Orders, that could impose significant burdens on, or otherwise materially delay, the FDA’s ability to</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engage in routine oversight activities such as implementing statutes through rulemaking, issuance of guidance, and review and approval of marketing applications. Notably, in January 2017, an Executive Order was issued directing all executive agencies, including the FDA, that, for each notice of proposed rulemaking or final regulation to be issued in fiscal year 2017, the agency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in February 2017, the administration indicated that the “two-for-one” provisions may apply not only to agency regulations, but also to significant agency guidance documents, and in September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0"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b w:val="1"/>
          <w:bCs w:val="1"/>
          <w:i w:val="1"/>
          <w:iCs w:val="1"/>
          <w:color w:val="auto"/>
        </w:rPr>
        <w:t>Even if we obtain marketing approval of any of our product candidates in a major pharmaceutical market such as the United States or the EU, we may not be able to obtain approval or commercialize that product candidate in other markets, which would limit our ability to realize its full market potential.</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multiple markets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the United States, the EU, or any other markets, and our management team does not have experience in obtaining regulatory approval in markets outside of the United States and the EU. If we seek regulatory approval in other markets and fail to obtain marketing approval in those markets or, if our product candidates are approved in such markets but we fail to maintain such approvals, our ability to realize the full market potential of our product candidates will be compromised.</w:t>
      </w:r>
    </w:p>
    <w:p>
      <w:pPr>
        <w:spacing w:after="0" w:line="182" w:lineRule="exact"/>
        <w:rPr>
          <w:sz w:val="20"/>
          <w:szCs w:val="20"/>
          <w:color w:val="auto"/>
        </w:rPr>
      </w:pPr>
    </w:p>
    <w:p>
      <w:pPr>
        <w:ind w:left="200" w:right="20"/>
        <w:spacing w:after="0" w:line="24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CMOs, consultants, vendors, and any other third parties we may engage in connection with the development and commercialization of our product candidates may engage in misconduct or other improper activities, including noncompliance with regulatory standards and requirements, which could adversely affect our business.</w:t>
      </w:r>
    </w:p>
    <w:p>
      <w:pPr>
        <w:spacing w:after="0" w:line="48"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Misconduct by our employees and independent contractors, including principal investigators, CROs, CMOs, consultants, vendors, and any other third parties we may engage in connection with the</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development and commercialization of our product candidates, could include intentional, reckless, or negligent conduct or unauthorized activities that violate: (i) the laws and regulations of the FDA, the EMA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Healthcare Laws and Other Legal Compliance Matters</w:t>
      </w:r>
    </w:p>
    <w:p>
      <w:pPr>
        <w:spacing w:after="0" w:line="212" w:lineRule="exact"/>
        <w:rPr>
          <w:sz w:val="20"/>
          <w:szCs w:val="20"/>
          <w:color w:val="auto"/>
        </w:rPr>
      </w:pPr>
    </w:p>
    <w:p>
      <w:pPr>
        <w:ind w:left="200" w:right="720"/>
        <w:spacing w:after="0" w:line="271"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obtain marketing approval of and commercialize our product candidates and may affect the prices we may set.</w:t>
      </w:r>
    </w:p>
    <w:p>
      <w:pPr>
        <w:spacing w:after="0" w:line="41"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In the United States, EU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230" w:lineRule="exact"/>
        <w:rPr>
          <w:sz w:val="20"/>
          <w:szCs w:val="20"/>
          <w:color w:val="auto"/>
        </w:rPr>
      </w:pPr>
    </w:p>
    <w:p>
      <w:pPr>
        <w:ind w:left="960" w:hanging="432"/>
        <w:spacing w:after="0" w:line="223" w:lineRule="auto"/>
        <w:tabs>
          <w:tab w:leader="none" w:pos="9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28"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80" w:hanging="432"/>
        <w:spacing w:after="0" w:line="223" w:lineRule="auto"/>
        <w:tabs>
          <w:tab w:leader="none" w:pos="9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 and capped the total rebate amount for innovator drugs at 100% of the Average Manufacturer Price, or AMP;</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methodology by which rebates owed by manufacturers under the Medicaid Drug Rebate Program are calculated for drugs and biologics, including our product candidates, that are inhaled, infused, instilled, implanted, or injected;</w:t>
      </w:r>
    </w:p>
    <w:p>
      <w:pPr>
        <w:spacing w:after="0" w:line="27" w:lineRule="exact"/>
        <w:rPr>
          <w:rFonts w:ascii="MS PGothic" w:cs="MS PGothic" w:eastAsia="MS PGothic" w:hAnsi="MS PGothic"/>
          <w:sz w:val="25"/>
          <w:szCs w:val="25"/>
          <w:color w:val="auto"/>
          <w:vertAlign w:val="superscript"/>
        </w:rPr>
      </w:pPr>
    </w:p>
    <w:p>
      <w:pPr>
        <w:ind w:left="960" w:right="240" w:hanging="432"/>
        <w:spacing w:after="0" w:line="218" w:lineRule="auto"/>
        <w:tabs>
          <w:tab w:leader="none" w:pos="9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27" w:lineRule="exact"/>
        <w:rPr>
          <w:rFonts w:ascii="MS PGothic" w:cs="MS PGothic" w:eastAsia="MS PGothic" w:hAnsi="MS PGothic"/>
          <w:sz w:val="25"/>
          <w:szCs w:val="25"/>
          <w:color w:val="auto"/>
          <w:vertAlign w:val="superscript"/>
        </w:rPr>
      </w:pPr>
    </w:p>
    <w:p>
      <w:pPr>
        <w:ind w:left="960" w:right="360" w:hanging="432"/>
        <w:spacing w:after="0" w:line="223" w:lineRule="auto"/>
        <w:tabs>
          <w:tab w:leader="none" w:pos="9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28" w:lineRule="exact"/>
        <w:rPr>
          <w:rFonts w:ascii="MS PGothic" w:cs="MS PGothic" w:eastAsia="MS PGothic" w:hAnsi="MS PGothic"/>
          <w:sz w:val="25"/>
          <w:szCs w:val="25"/>
          <w:color w:val="auto"/>
          <w:vertAlign w:val="superscript"/>
        </w:rPr>
      </w:pPr>
    </w:p>
    <w:p>
      <w:pPr>
        <w:ind w:left="960" w:right="780" w:hanging="432"/>
        <w:spacing w:after="0" w:line="218" w:lineRule="auto"/>
        <w:tabs>
          <w:tab w:leader="none" w:pos="9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7" w:lineRule="exact"/>
        <w:rPr>
          <w:rFonts w:ascii="MS PGothic" w:cs="MS PGothic" w:eastAsia="MS PGothic" w:hAnsi="MS PGothic"/>
          <w:sz w:val="25"/>
          <w:szCs w:val="25"/>
          <w:color w:val="auto"/>
          <w:vertAlign w:val="superscript"/>
        </w:rPr>
      </w:pPr>
    </w:p>
    <w:p>
      <w:pPr>
        <w:jc w:val="both"/>
        <w:ind w:left="960" w:right="380" w:hanging="432"/>
        <w:spacing w:after="0" w:line="223" w:lineRule="auto"/>
        <w:tabs>
          <w:tab w:leader="none" w:pos="9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creation of the Independent Payment Advisory Board, which, once empaneled, will have the authority to recommend certain changes to the Medicare program that could result in reduced payments for prescription drugs and those recommendations could have the effect of law unless overruled by a supermajority vote of Congress;</w:t>
      </w:r>
    </w:p>
    <w:p>
      <w:pPr>
        <w:spacing w:after="0" w:line="28" w:lineRule="exact"/>
        <w:rPr>
          <w:rFonts w:ascii="MS PGothic" w:cs="MS PGothic" w:eastAsia="MS PGothic" w:hAnsi="MS PGothic"/>
          <w:sz w:val="25"/>
          <w:szCs w:val="25"/>
          <w:color w:val="auto"/>
          <w:vertAlign w:val="superscript"/>
        </w:rPr>
      </w:pPr>
    </w:p>
    <w:p>
      <w:pPr>
        <w:ind w:left="960" w:hanging="432"/>
        <w:spacing w:after="0" w:line="229" w:lineRule="auto"/>
        <w:tabs>
          <w:tab w:leader="none" w:pos="960" w:val="left"/>
        </w:tabs>
        <w:numPr>
          <w:ilvl w:val="0"/>
          <w:numId w:val="30"/>
        </w:numPr>
        <w:rPr>
          <w:rFonts w:ascii="MS PGothic" w:cs="MS PGothic" w:eastAsia="MS PGothic" w:hAnsi="MS PGothic"/>
          <w:sz w:val="24"/>
          <w:szCs w:val="24"/>
          <w:color w:val="auto"/>
          <w:vertAlign w:val="superscript"/>
        </w:rPr>
      </w:pPr>
      <w:r>
        <w:rPr>
          <w:rFonts w:ascii="Arial" w:cs="Arial" w:eastAsia="Arial" w:hAnsi="Arial"/>
          <w:sz w:val="17"/>
          <w:szCs w:val="17"/>
          <w:color w:val="auto"/>
        </w:rPr>
        <w:t>establishment of a Center for Medicare Innovation at the Centers for Medicare &amp; Medicaid Services, or CMS, to test innovative payment and service delivery models to lower Medicare and Medicaid spending, potentially including prescription drug spending;</w:t>
      </w:r>
    </w:p>
    <w:p>
      <w:pPr>
        <w:spacing w:after="0" w:line="1" w:lineRule="exact"/>
        <w:rPr>
          <w:rFonts w:ascii="MS PGothic" w:cs="MS PGothic" w:eastAsia="MS PGothic" w:hAnsi="MS PGothic"/>
          <w:sz w:val="24"/>
          <w:szCs w:val="24"/>
          <w:color w:val="auto"/>
          <w:vertAlign w:val="superscript"/>
        </w:rPr>
      </w:pPr>
    </w:p>
    <w:p>
      <w:pPr>
        <w:ind w:left="960" w:hanging="432"/>
        <w:spacing w:after="0" w:line="230" w:lineRule="auto"/>
        <w:tabs>
          <w:tab w:leader="none" w:pos="9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expansion of the entities eligible for discounts under the Public Health Service program;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licensure framework for follow on biologic products.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as well as recent efforts by the Trump administration to repeal or replace certain aspects of the ACA. Since January 2017, President Trump has signed two Executive Orders designed to delay the implementation of any certain provisions of the ACA or otherwise circumvent some of the requirements for health insurance mandated by the ACA. The Trump administration has also announced that it will discontinue the payment of cost-sharing reduction, or CSR, payments to insurance companies until Congress approves the appropriation of funds for the CSR payments. The loss of the CSR payments is expected to increase premiums on certain policies issued by qualified health plans under the ACA. A bipartisan bill to appropriate funds for CSR payments has been introduced in the Senate, but the future of that bill is uncertain.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each chamber of Congress have put forth multiple bills this year designed to repeal or repeal and replace portions of the ACA. Although none of these measures have been enacted by Congress to date, Congress may consider other legislation to repeal and replace elements of the ACA. Congress will likely consider other legislation to replace elements of the ACA. We continue to evaluate the effect that the ACA and its possible repeal and replacement has on our business. It is uncertain the extent to which any such changes may impact our business or financial condition.</w:t>
      </w:r>
    </w:p>
    <w:p>
      <w:pPr>
        <w:spacing w:after="0" w:line="203"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in April 2013 and, due to subsequent legislative</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amendments to the statute, will remain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20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208"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208"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207"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In markets outside of the United States and EU, reimbursement and healthcare payment systems vary significantly by country, and many countries have instituted price ceilings on specific products and therapies.</w:t>
      </w:r>
    </w:p>
    <w:p>
      <w:pPr>
        <w:spacing w:after="0" w:line="197"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 or any other jurisdiction. If we or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rPr>
          <w:sz w:val="20"/>
          <w:szCs w:val="20"/>
          <w:color w:val="auto"/>
        </w:rPr>
      </w:pPr>
      <w:r>
        <w:rPr>
          <w:rFonts w:ascii="Arial" w:cs="Arial" w:eastAsia="Arial" w:hAnsi="Arial"/>
          <w:sz w:val="18"/>
          <w:szCs w:val="18"/>
          <w:color w:val="auto"/>
        </w:rPr>
        <w:t>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1" w:lineRule="exact"/>
        <w:rPr>
          <w:sz w:val="20"/>
          <w:szCs w:val="20"/>
          <w:color w:val="auto"/>
        </w:rPr>
      </w:pPr>
    </w:p>
    <w:p>
      <w:pPr>
        <w:ind w:left="200" w:right="280"/>
        <w:spacing w:after="0" w:line="253"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56"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229" w:lineRule="exact"/>
        <w:rPr>
          <w:sz w:val="20"/>
          <w:szCs w:val="20"/>
          <w:color w:val="auto"/>
        </w:rPr>
      </w:pPr>
    </w:p>
    <w:p>
      <w:pPr>
        <w:ind w:left="960" w:hanging="432"/>
        <w:spacing w:after="0" w:line="230"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w:t>
      </w:r>
    </w:p>
    <w:p>
      <w:pPr>
        <w:spacing w:after="0" w:line="30" w:lineRule="exact"/>
        <w:rPr>
          <w:rFonts w:ascii="MS PGothic" w:cs="MS PGothic" w:eastAsia="MS PGothic" w:hAnsi="MS PGothic"/>
          <w:sz w:val="25"/>
          <w:szCs w:val="25"/>
          <w:color w:val="auto"/>
          <w:vertAlign w:val="superscript"/>
        </w:rPr>
      </w:pPr>
    </w:p>
    <w:p>
      <w:pPr>
        <w:ind w:left="960" w:right="40" w:hanging="432"/>
        <w:spacing w:after="0" w:line="231"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false claims and civil monetary penalties laws, including the civil False Claims Act, or FCA,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FCA.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w:t>
      </w:r>
    </w:p>
    <w:p>
      <w:pPr>
        <w:spacing w:after="0" w:line="29" w:lineRule="exact"/>
        <w:rPr>
          <w:rFonts w:ascii="MS PGothic" w:cs="MS PGothic" w:eastAsia="MS PGothic" w:hAnsi="MS PGothic"/>
          <w:sz w:val="25"/>
          <w:szCs w:val="25"/>
          <w:color w:val="auto"/>
          <w:vertAlign w:val="superscript"/>
        </w:rPr>
      </w:pPr>
    </w:p>
    <w:p>
      <w:pPr>
        <w:ind w:left="960" w:right="40" w:hanging="432"/>
        <w:spacing w:after="0" w:line="230"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432"/>
        <w:spacing w:after="0" w:line="230"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among other things, specified requirements relating to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30"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Food, Drug and Cosmetic Act, or FDCA, which prohibits, among other things, the adulteration or misbranding of drugs, biologics, and medical devices;</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28"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and teaching hospitals, as well as ownership and investment interests held by the physicians described above and their immediate family members;</w:t>
      </w:r>
    </w:p>
    <w:p>
      <w:pPr>
        <w:spacing w:after="0" w:line="26" w:lineRule="exact"/>
        <w:rPr>
          <w:rFonts w:ascii="MS PGothic" w:cs="MS PGothic" w:eastAsia="MS PGothic" w:hAnsi="MS PGothic"/>
          <w:sz w:val="25"/>
          <w:szCs w:val="25"/>
          <w:color w:val="auto"/>
          <w:vertAlign w:val="superscript"/>
        </w:rPr>
      </w:pPr>
    </w:p>
    <w:p>
      <w:pPr>
        <w:ind w:left="960" w:hanging="432"/>
        <w:spacing w:after="0" w:line="231"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and</w:t>
      </w:r>
    </w:p>
    <w:p>
      <w:pPr>
        <w:spacing w:after="0" w:line="29"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Ensuring that our current and future internal operations and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laws and regulations that may apply to us, we may be subject to the imposition of civil, criminal and administrative penalties, damages, disgorgement, monetary fines, possible exclusion from participation in Medicare, Medicaid and other federal healthcare programs, individual imprisonment, contractual damages, reputational harm,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84" w:lineRule="exact"/>
        <w:rPr>
          <w:sz w:val="20"/>
          <w:szCs w:val="20"/>
          <w:color w:val="auto"/>
        </w:rPr>
      </w:pPr>
    </w:p>
    <w:p>
      <w:pPr>
        <w:ind w:left="200" w:right="440"/>
        <w:spacing w:after="0" w:line="253" w:lineRule="auto"/>
        <w:rPr>
          <w:sz w:val="20"/>
          <w:szCs w:val="20"/>
          <w:color w:val="auto"/>
        </w:rPr>
      </w:pPr>
      <w:r>
        <w:rPr>
          <w:rFonts w:ascii="Arial" w:cs="Arial" w:eastAsia="Arial" w:hAnsi="Arial"/>
          <w:sz w:val="18"/>
          <w:szCs w:val="18"/>
          <w:b w:val="1"/>
          <w:bCs w:val="1"/>
          <w:i w:val="1"/>
          <w:iCs w:val="1"/>
          <w:color w:val="auto"/>
        </w:rPr>
        <w:t>Due to our international operations, 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by, or providing prohibited payments or anything else of value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207" w:lineRule="exact"/>
        <w:rPr>
          <w:sz w:val="20"/>
          <w:szCs w:val="20"/>
          <w:color w:val="auto"/>
        </w:rPr>
      </w:pPr>
    </w:p>
    <w:p>
      <w:pPr>
        <w:ind w:left="200" w:right="280" w:firstLine="331"/>
        <w:spacing w:after="0" w:line="239" w:lineRule="auto"/>
        <w:rPr>
          <w:sz w:val="20"/>
          <w:szCs w:val="20"/>
          <w:color w:val="auto"/>
        </w:rPr>
      </w:pPr>
      <w:r>
        <w:rPr>
          <w:rFonts w:ascii="Arial" w:cs="Arial" w:eastAsia="Arial" w:hAnsi="Arial"/>
          <w:sz w:val="18"/>
          <w:szCs w:val="18"/>
          <w:color w:val="auto"/>
        </w:rPr>
        <w:t>We also are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or, collectively, the Trade Control laws.</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w:t>
      </w:r>
    </w:p>
    <w:p>
      <w:pPr>
        <w:spacing w:after="0" w:line="205"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Commercialization</w:t>
      </w:r>
    </w:p>
    <w:p>
      <w:pPr>
        <w:spacing w:after="0" w:line="212" w:lineRule="exact"/>
        <w:rPr>
          <w:sz w:val="20"/>
          <w:szCs w:val="20"/>
          <w:color w:val="auto"/>
        </w:rPr>
      </w:pPr>
    </w:p>
    <w:p>
      <w:pPr>
        <w:ind w:left="200" w:right="860"/>
        <w:spacing w:after="0" w:line="271" w:lineRule="auto"/>
        <w:rPr>
          <w:sz w:val="20"/>
          <w:szCs w:val="20"/>
          <w:color w:val="auto"/>
        </w:rPr>
      </w:pPr>
      <w:r>
        <w:rPr>
          <w:rFonts w:ascii="Arial" w:cs="Arial" w:eastAsia="Arial" w:hAnsi="Arial"/>
          <w:sz w:val="18"/>
          <w:szCs w:val="18"/>
          <w:b w:val="1"/>
          <w:bCs w:val="1"/>
          <w:i w:val="1"/>
          <w:iCs w:val="1"/>
          <w:color w:val="auto"/>
        </w:rPr>
        <w:t>We operate in a highly competitive and rapidly changing industry, which may result in others acquiring, developing, or commercializing competing products before or more successfully than we do.</w:t>
      </w:r>
    </w:p>
    <w:p>
      <w:pPr>
        <w:spacing w:after="0" w:line="41"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acquire, develop, and obtain marketing approval for new products on a cost-effective basis and to market them successfully. If BPS-804, AZD-9668, BCT-197, or BGS-649 is approved, we will face intense competition from a variety of businesses, including large, fully integrated pharmaceutical companies, specialty pharmaceutical companies, and biopharmaceutical companies in the United States, Europe, and other jurisdictions. These organizations may have significantly greater resources than we do and conduct similar research; seek patent protection; and establish collaborative arrangements for research, development, manufacturing, and marketing of products that may compete with our product candidates.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expect to face competition for each of our current product candidates, including specifically:</w:t>
      </w:r>
    </w:p>
    <w:p>
      <w:pPr>
        <w:spacing w:after="0" w:line="239" w:lineRule="exact"/>
        <w:rPr>
          <w:sz w:val="20"/>
          <w:szCs w:val="20"/>
          <w:color w:val="auto"/>
        </w:rPr>
      </w:pPr>
    </w:p>
    <w:p>
      <w:pPr>
        <w:ind w:left="960" w:right="40" w:hanging="432"/>
        <w:spacing w:after="0" w:line="229" w:lineRule="auto"/>
        <w:tabs>
          <w:tab w:leader="none" w:pos="9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BPS-804’s current closest potential competitors in development for the treatment of OI to be denosumab (Prolia) from Amgen Inc., or Amgen, an anti-resorptive agent, and UCB S.A., or UCB, and Amgen’s anti-sclerostin antibody, romosozumab. Blosozumab, an anti-sclerostin antibody, was in Phase 1 development for osteoporosis by Eli Lilly and Company, or Eli Lilly; however, we are not aware of any ongoing clinical trials for this product candidate and we do not believe this product candidate remains under active development. Additionally, Bone Therapeutics SA, or Bone Therapeutics, is developing osteoblastic cell therapy products.</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29" w:lineRule="auto"/>
        <w:tabs>
          <w:tab w:leader="none" w:pos="9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AZD-9668’s current closest potential competitors for the treatment of severe AATD to be alpha1-proteinase inhibitors that are administered intravenously in AAT augmentation therapy. Currently, there are four inhibitors on the market in the United States: Prolastin-C from Grifols, S.A., or Grifols, Aralast from Shire plc, or Shire, Zemaira from CSL Limited, or CSL, and Glassia from Kamada Ltd., or Kamada. Kamada is also investigating an inhaled version of augmentation therapy and Apic Bio, Inc., or Apic Bio and Adverum Biotechnologies, Inc., or Adverum, are in the early stages of developing gene-therapy approaches for AATD. Santhera Pharmaceuticals, or Santhera, has in-licensed an inhaled neutrophil elastase inhibitor and is planning a multiple ascending dose study, with the initial indication targeted being cystic fibrosis.</w:t>
      </w:r>
    </w:p>
    <w:p>
      <w:pPr>
        <w:spacing w:after="0" w:line="32" w:lineRule="exact"/>
        <w:rPr>
          <w:rFonts w:ascii="MS PGothic" w:cs="MS PGothic" w:eastAsia="MS PGothic" w:hAnsi="MS PGothic"/>
          <w:sz w:val="25"/>
          <w:szCs w:val="25"/>
          <w:color w:val="auto"/>
          <w:vertAlign w:val="superscript"/>
        </w:rPr>
      </w:pPr>
    </w:p>
    <w:p>
      <w:pPr>
        <w:ind w:left="960" w:right="160" w:hanging="432"/>
        <w:spacing w:after="0" w:line="226" w:lineRule="auto"/>
        <w:tabs>
          <w:tab w:leader="none" w:pos="9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BCT-197, although we are not aware of any approved therapies for the treatment of AECOPD, there are a wide range of established therapies available for COPD as well as a number of products in development, with Verona Pharma plc, or Verona Pharma, GlaxoSmithKline plc. or GlaxoSmithKline, and AstraZeneca each conducting Phase 2 trials on drugs for the treatment of COPD.</w:t>
      </w:r>
    </w:p>
    <w:p>
      <w:pPr>
        <w:spacing w:after="0" w:line="27" w:lineRule="exact"/>
        <w:rPr>
          <w:rFonts w:ascii="MS PGothic" w:cs="MS PGothic" w:eastAsia="MS PGothic" w:hAnsi="MS PGothic"/>
          <w:sz w:val="25"/>
          <w:szCs w:val="25"/>
          <w:color w:val="auto"/>
          <w:vertAlign w:val="superscript"/>
        </w:rPr>
      </w:pPr>
    </w:p>
    <w:p>
      <w:pPr>
        <w:ind w:left="960" w:hanging="432"/>
        <w:spacing w:after="0" w:line="231" w:lineRule="auto"/>
        <w:tabs>
          <w:tab w:leader="none" w:pos="9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BGS-649’s current closest potential competitors for the treatment of HH to be testosterone replacement therapies, or TRT. These include Androgel from AbbVie Inc., or Abbvie, and Eli Lilly’s Axiron, both administered transdermally by applying a gel formulation, which are approved in the United States and Europe, and Andriol from Merck &amp; Co., Inc., or Merck, an oral testosterone therapy, which is approved in Europe but not in the United States. There are also other approved TRT products that are administered via injection and other oral TRTs that are still in the development or registration stages, such as JATENZO from Clarus Therapeutics, Inc., or Clarus, and TLANDO from Lipocine, Inc., or Lipocine. The FDA held Advisory Committee meetings in January 2018 for JATENZO and TLANDO. Lipocine has a Prescription Drug User Fee Act, or PDUFA, date of May 8, 2018. In addition, Repros Therapeutics, Inc., or Repros, is developing a selective estrogen receptor modulator and the EMA’s Committee for Medicinal Products for Human Use, or CHMP, adopted a negative opinion recommending the refusal of its marketing authorization. In December 2017, Allergan announced the acquisition of Repros.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We also anticipate that new companies will enter these markets in the future. If we successfully develop and commercialize any of BPS-804, AZD-9668, BCT-197, or BGS-649, they will compete with existing therapies and new therapies that may become available in the future. The highly competitive nature of and rapid technological changes in the biopharmaceutical and pharmaceutical industries could render our product candidates obsolete, less competitive, or uneconomical. Our competitors may, among other things:</w:t>
      </w:r>
    </w:p>
    <w:p>
      <w:pPr>
        <w:spacing w:after="0" w:line="229" w:lineRule="exact"/>
        <w:rPr>
          <w:sz w:val="20"/>
          <w:szCs w:val="20"/>
          <w:color w:val="auto"/>
        </w:rPr>
      </w:pPr>
    </w:p>
    <w:p>
      <w:pPr>
        <w:ind w:left="960" w:right="60" w:hanging="432"/>
        <w:spacing w:after="0" w:line="223"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28"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 and commercialize products that are safer, more effective, less expensive, more convenient, or easier to administer, or have fewer or less severe effects, or in certain cases could be curative for the condition;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obtain quicker regulatory approval;</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 superior proprietary positions covering our products and technologies;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implement more effective approaches to sales and marketing;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 more advantageous strategic alliances.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and in acquiring technologies complementary to, or necessary for, our programs. Our commercial opportunity could be reduced or eliminated if our competitors develop and commercialize products that are more effective, have fewer or less severe side effects, are more convenient or are less expensive than our product candidates. Our competitors may also obtain FDA, EMA, or other regulatory approval for their product candidates more rapidly than we may obtain approval for ours, which could result in our competitors establishing or strengthening their market position before we are able to enter the market.</w:t>
      </w:r>
    </w:p>
    <w:p>
      <w:pPr>
        <w:spacing w:after="0" w:line="186" w:lineRule="exact"/>
        <w:rPr>
          <w:sz w:val="20"/>
          <w:szCs w:val="20"/>
          <w:color w:val="auto"/>
        </w:rPr>
      </w:pPr>
    </w:p>
    <w:p>
      <w:pPr>
        <w:ind w:left="200" w:right="160"/>
        <w:spacing w:after="0" w:line="247" w:lineRule="auto"/>
        <w:rPr>
          <w:sz w:val="20"/>
          <w:szCs w:val="20"/>
          <w:color w:val="auto"/>
        </w:rPr>
      </w:pPr>
      <w:r>
        <w:rPr>
          <w:rFonts w:ascii="Arial" w:cs="Arial" w:eastAsia="Arial" w:hAnsi="Arial"/>
          <w:sz w:val="18"/>
          <w:szCs w:val="18"/>
          <w:b w:val="1"/>
          <w:bCs w:val="1"/>
          <w:i w:val="1"/>
          <w:iCs w:val="1"/>
          <w:color w:val="auto"/>
        </w:rPr>
        <w:t>We have obtained orphan drug designation for BPS-804 for the treatment of OI in the United States and EU, but we may be unable to obtain orphan drug designation for AZD-9668 or any future product candidates, and we may be unable to obtain or maintain the benefits associated with orphan drug designation, including the potential for orphan drug exclusivity, for BPS-804 or any other product candidate for which we obtain orphan drug designation.</w:t>
      </w:r>
    </w:p>
    <w:p>
      <w:pPr>
        <w:spacing w:after="0" w:line="6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and ten years of market exclusivity following approval. This period may be reduced to six years if the orphan drug designation criteria are no longer met, including where it is shown that the drug is sufficiently profitable not to justify maintenance of market exclusivity. In the EU, a marketing authorization for an orphan designated product will not be granted if a similar drug has been approved in the EU for the same therapeutic indication, unless the applicant can establish that its product is safer, more effective or otherwise clinically superior. A similar drug is a product containing a similar active substance or substances as those contained in an already authorized product. Similar active substance is defined as an identical active substance, or an active substance with the same principal molecular structural features (but not necessarily all of the same molecular features) and which acts via the same mechanism.</w:t>
      </w:r>
    </w:p>
    <w:p>
      <w:pPr>
        <w:spacing w:after="0" w:line="21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We have obtained orphan drug designation from the FDA and EMA for BPS-804 for the treatment of OI, and we plan to seek orphan drug designation for AZD-9668 and future product candidates. Even with orphan drug designation, we may not be the first to obtain marketing approval for any particular orphan indication due to the uncertainties associated with developing pharmaceutical products, which could prevent us from marketing our product candidates if another company is able to obtain orphan drug exclusivity before we do. In addition, exclusive marketing rights in the United States may be unavailable if we seek approval for an indication broader than the orphan-designated indication or may be lost in the United States if the FDA later determines that the request for designation was materially defective or if we are unable to assure sufficient quantities of the drug to meet the needs of patients with the rare disease or condition following approval. Further, even if we obtain orphan drug exclusivity, that exclusivity may not effectively protect our product candidates from competition because different drugs with different active moieties can be approved for the same condition. In addition, the FDA and the EMA can subsequently approve products with the same active moiety for the same condition if the FDA or the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intend to seek orphan drug designation for other existing and future product candidates, including AZD-9668, we may never receive such designations.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There have been legal challenges to aspects of the FDA’s regulations and policies concerning the exclusivity provisions of the Orphan Drug Act, and future challenges could lead to changes that affect the protections afforded our product candidates in ways that are difficult to predict. In 2014, a U.S. district court invalidated the FDA’s denial of orphan exclusivity to an orphan designated drug, which the FDA had based on its determination that the drug was not proven to be clinically superior to a previously approved “same drug.” In response to the decision, the FDA released a policy statement stating that the court’s decision is limited to the facts of that particular case and that the FDA will continue to deny orphan drug exclusivity to a designated drug upon approval if the drug is the “same”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as a previously approved drug, unless the drug is demonstrated to be clinically superior to that previously approved drug. Since then, similar legal challenges have been initiated against the FDA for its denial of orphan drug exclusivity to other designated drugs, and in 2017, Congress amended the Orphan Drug Act to require a demonstration of clinical superiority upon approval as a condition of receiving orphan drug exclusivity when another “same drug” has already been approved for the same indication. In the future, there is the potential for additional legal challenges to the FDA’s orphan drug regulations and policies, and it is uncertain how ongoing and future challenges might affect our business.</w:t>
      </w:r>
    </w:p>
    <w:p>
      <w:pPr>
        <w:spacing w:after="0" w:line="183" w:lineRule="exact"/>
        <w:rPr>
          <w:sz w:val="20"/>
          <w:szCs w:val="20"/>
          <w:color w:val="auto"/>
        </w:rPr>
      </w:pPr>
    </w:p>
    <w:p>
      <w:pPr>
        <w:ind w:left="200" w:right="200"/>
        <w:spacing w:after="0" w:line="247" w:lineRule="auto"/>
        <w:rPr>
          <w:sz w:val="20"/>
          <w:szCs w:val="20"/>
          <w:color w:val="auto"/>
        </w:rPr>
      </w:pPr>
      <w:r>
        <w:rPr>
          <w:rFonts w:ascii="Arial" w:cs="Arial" w:eastAsia="Arial" w:hAnsi="Arial"/>
          <w:sz w:val="18"/>
          <w:szCs w:val="18"/>
          <w:b w:val="1"/>
          <w:bCs w:val="1"/>
          <w:i w:val="1"/>
          <w:iCs w:val="1"/>
          <w:color w:val="auto"/>
        </w:rPr>
        <w:t>We may seek and fail to obtain breakthrough therapy designation by the FDA for BPS-804 or AZD-9668, or any future product candidates or access to the PRIME scheme by the EMA for AZD-9668 or any future product candidates. Even if we obtain such designation or access, the designation or access may not lead to faster development or regulatory review or approval, and it does not increase the likelihood that our product candidates will receive marketing approval.</w:t>
      </w:r>
    </w:p>
    <w:p>
      <w:pPr>
        <w:spacing w:after="0" w:line="6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2012, the FDA established a breakthrough therapy designation which is intended to expedite the development and review of product candidates that treat serious or life-threatening diseases where preliminary clinical evidence indicates that the product candidate may demonstrate substantial improvement over existing therapies on one or more clinically-significant endpoints, such as substantial treatment effects observed early in clinical development. The designation of a product candidate as a breakthrough therapy provides potential benefits that include but are not limited to more frequent meetings with the FDA to discuss the development plan for the product candidate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 Drugs and biologics designated as breakthrough therapies by the FDA are also eligible for accelerated approval. Similarly, the EMA has established the PRIME scheme to expedite the development and review of product candidates that show a potential to address to a significant extent an unmet medical need, based on early clinical data. In November 2017, BPS-804 was admitted to the PRIME scheme of the EMA.</w:t>
      </w:r>
    </w:p>
    <w:p>
      <w:pPr>
        <w:spacing w:after="0" w:line="205"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We cannot be sure that our evaluation of our product candidates as qualifying for breakthrough therapy designation will meet the FDA’s expectations. In any event, the receipt of a breakthrough therapy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 Similarly, access to the PRIME scheme is at the discretion of the EMA, and we cannot be sure that AZD-9668 or any future product candidates will be granted access to the scheme; that participation in the scheme will result in expedited regulatory review or approval of our product candidates; or that access to the scheme, once granted, will not be revoked.</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products and decrease our ability to generate revenue.</w:t>
      </w:r>
    </w:p>
    <w:p>
      <w:pPr>
        <w:spacing w:after="0" w:line="6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approval. Our ability to achieve acceptable levels of coverage and reimbursement for products by governmental authorities, private health insurers, and other organizations will have an effect on our ability to successfully commercialize our product candidates. Assuming we obtain coverage for our product candidates by a third-party payor, the resulting reimbursement payment rates may not be adequate or may require co-payments that patients find unacceptably high. We cannot be sure that coverage and reimbursement in the United States, the EU, or elsewhere will be available for our product candidates or any product that we may develop, and any reimbursement that may become available may be decreased or eliminated in the future.</w:t>
      </w:r>
    </w:p>
    <w:p>
      <w:pPr>
        <w:spacing w:after="0" w:line="208"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207" w:lineRule="exact"/>
        <w:rPr>
          <w:sz w:val="20"/>
          <w:szCs w:val="20"/>
          <w:color w:val="auto"/>
        </w:rPr>
      </w:pPr>
    </w:p>
    <w:p>
      <w:pPr>
        <w:ind w:left="200" w:right="300" w:firstLine="331"/>
        <w:spacing w:after="0" w:line="23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 candidates.</w:t>
      </w:r>
    </w:p>
    <w:p>
      <w:pPr>
        <w:spacing w:after="0" w:line="203" w:lineRule="exact"/>
        <w:rPr>
          <w:sz w:val="20"/>
          <w:szCs w:val="20"/>
          <w:color w:val="auto"/>
        </w:rPr>
      </w:pPr>
    </w:p>
    <w:p>
      <w:pPr>
        <w:ind w:left="200" w:right="220" w:firstLine="331"/>
        <w:spacing w:after="0" w:line="237" w:lineRule="auto"/>
        <w:rPr>
          <w:sz w:val="20"/>
          <w:szCs w:val="20"/>
          <w:color w:val="auto"/>
        </w:rPr>
      </w:pPr>
      <w:r>
        <w:rPr>
          <w:rFonts w:ascii="Arial" w:cs="Arial" w:eastAsia="Arial" w:hAnsi="Arial"/>
          <w:sz w:val="18"/>
          <w:szCs w:val="18"/>
          <w:color w:val="auto"/>
        </w:rPr>
        <w:t>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205" w:lineRule="exact"/>
        <w:rPr>
          <w:sz w:val="20"/>
          <w:szCs w:val="20"/>
          <w:color w:val="auto"/>
        </w:rPr>
      </w:pPr>
    </w:p>
    <w:p>
      <w:pPr>
        <w:jc w:val="both"/>
        <w:ind w:left="200" w:right="400" w:firstLine="331"/>
        <w:spacing w:after="0"/>
        <w:rPr>
          <w:sz w:val="20"/>
          <w:szCs w:val="20"/>
          <w:color w:val="auto"/>
        </w:rPr>
      </w:pPr>
      <w:r>
        <w:rPr>
          <w:rFonts w:ascii="Arial" w:cs="Arial" w:eastAsia="Arial" w:hAnsi="Arial"/>
          <w:sz w:val="18"/>
          <w:szCs w:val="18"/>
          <w:color w:val="auto"/>
        </w:rPr>
        <w:t>Our operations are also subject to extensive governmental price controls and other market regulations in the United Kingdom and other countries outside of the United States, and we believe the increasing emphasis on cost-containment initiatives in European and other countries have and will</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205"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81" w:lineRule="exact"/>
        <w:rPr>
          <w:sz w:val="20"/>
          <w:szCs w:val="20"/>
          <w:color w:val="auto"/>
        </w:rPr>
      </w:pPr>
    </w:p>
    <w:p>
      <w:pPr>
        <w:ind w:left="200" w:right="580"/>
        <w:spacing w:after="0" w:line="271" w:lineRule="auto"/>
        <w:rPr>
          <w:sz w:val="20"/>
          <w:szCs w:val="20"/>
          <w:color w:val="auto"/>
        </w:rPr>
      </w:pPr>
      <w:r>
        <w:rPr>
          <w:rFonts w:ascii="Arial" w:cs="Arial" w:eastAsia="Arial" w:hAnsi="Arial"/>
          <w:sz w:val="18"/>
          <w:szCs w:val="18"/>
          <w:b w:val="1"/>
          <w:bCs w:val="1"/>
          <w:i w:val="1"/>
          <w:iCs w:val="1"/>
          <w:color w:val="auto"/>
        </w:rPr>
        <w:t>Our existing and future product candidates may not gain market acceptance, in which case our ability to generate product revenues will be compromised.</w:t>
      </w:r>
    </w:p>
    <w:p>
      <w:pPr>
        <w:spacing w:after="0" w:line="4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Even if the FDA, the EMA, or any other regulatory authority approves the marketing of our product candidates, whether developed on our own or with a collaborator, physicians, healthcare providers, patients, or the medical community may not accept or use our product candidates. If our product candidates do not achieve an adequate level of acceptance, we may not generate significant product revenue or any profits from operations. The degree of market acceptance of our product candidates will depend on a variety of factors, including:</w:t>
      </w:r>
    </w:p>
    <w:p>
      <w:pPr>
        <w:spacing w:after="0" w:line="193" w:lineRule="exact"/>
        <w:rPr>
          <w:sz w:val="20"/>
          <w:szCs w:val="20"/>
          <w:color w:val="auto"/>
        </w:rPr>
      </w:pPr>
    </w:p>
    <w:p>
      <w:pPr>
        <w:ind w:left="960" w:hanging="432"/>
        <w:spacing w:after="0"/>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of market introduction;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number and clinical profile of competing products;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clinical indications for which our product candidates are approved;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provide acceptable evidence of safety and efficacy;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prevalence and severity of any side effects;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relative convenience and ease of administration;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cost-effectiveness;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marketing and distribution support;</w:t>
      </w:r>
    </w:p>
    <w:p>
      <w:pPr>
        <w:spacing w:after="0" w:line="26"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availability of adequate coverage, reimbursement, and adequate payment from health maintenance organizations and other insurers, both public and private;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potential advantages over alternative treatment methods.</w:t>
      </w:r>
    </w:p>
    <w:p>
      <w:pPr>
        <w:spacing w:after="0" w:line="20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If our product candidates fail to gain market acceptance, our ability to generate revenues will be adversely affected. Even if our product candidates achieve market acceptance, the market may prove not to be large enough to allow us to generate significant revenues.</w:t>
      </w:r>
    </w:p>
    <w:p>
      <w:pPr>
        <w:spacing w:after="0" w:line="175" w:lineRule="exact"/>
        <w:rPr>
          <w:sz w:val="20"/>
          <w:szCs w:val="20"/>
          <w:color w:val="auto"/>
        </w:rPr>
      </w:pPr>
    </w:p>
    <w:p>
      <w:pPr>
        <w:ind w:left="200" w:right="160"/>
        <w:spacing w:after="0" w:line="247" w:lineRule="auto"/>
        <w:rPr>
          <w:sz w:val="20"/>
          <w:szCs w:val="20"/>
          <w:color w:val="auto"/>
        </w:rPr>
      </w:pPr>
      <w:r>
        <w:rPr>
          <w:rFonts w:ascii="Arial" w:cs="Arial" w:eastAsia="Arial" w:hAnsi="Arial"/>
          <w:sz w:val="18"/>
          <w:szCs w:val="18"/>
          <w:b w:val="1"/>
          <w:bCs w:val="1"/>
          <w:i w:val="1"/>
          <w:iCs w:val="1"/>
          <w:color w:val="auto"/>
        </w:rPr>
        <w:t>We intend to directly commercialize our product candidates for rare diseases and to seek strategic relationships with third parties for the commercialization of our product candidates for specialty diseases. If we are unable to develop our own sales, marketing, and distribution capabilities or enter into business arrangements, we may not be successful in commercializing our product candidates.</w:t>
      </w:r>
    </w:p>
    <w:p>
      <w:pPr>
        <w:spacing w:after="0" w:line="48" w:lineRule="exact"/>
        <w:rPr>
          <w:sz w:val="20"/>
          <w:szCs w:val="20"/>
          <w:color w:val="auto"/>
        </w:rPr>
      </w:pPr>
    </w:p>
    <w:p>
      <w:pPr>
        <w:ind w:left="200" w:right="1040" w:firstLine="331"/>
        <w:spacing w:after="0" w:line="246" w:lineRule="auto"/>
        <w:rPr>
          <w:sz w:val="20"/>
          <w:szCs w:val="20"/>
          <w:color w:val="auto"/>
        </w:rPr>
      </w:pPr>
      <w:r>
        <w:rPr>
          <w:rFonts w:ascii="Arial" w:cs="Arial" w:eastAsia="Arial" w:hAnsi="Arial"/>
          <w:sz w:val="18"/>
          <w:szCs w:val="18"/>
          <w:color w:val="auto"/>
        </w:rPr>
        <w:t>We have no marketing, sales, or distribution capabilities and we have no experience with marketing, selling or distributing pharmaceutical products. We also have no strategic relationships in</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place for the commercialization of our product candidates. For BPS-804 and AZD-9668, if approved, and for any future product candidates for rare diseases, we intend either to establish a sales and marketing organization with technical expertise and supporting distribution capabilities to commercialize these product candidates in major markets or potentially to outsource aspects of these functions to third parties. We may not be able to hire a sales force that is sufficient in size or has adequate expertise in OI, AATD, or other relevant rare diseases. Any failure or delay in the development of our internal sales, marketing, and distribution capabilities would adversely impact the commercialization of these product candidates.</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For BCT-197 and BGS-649, and for any future product candidates for specialty diseases, we intend to enter into strategic relationships for the commercialization of these product candidates. These arrangements may also include the late-stage clinical development of a product candidate. As a result, our revenue from product sales may be lower than if we directly marketed or sold these product candidates. In addition, any revenue we receive will depend upon the terms of such arrangement, which may not be as favorable to us as possible, and the efforts of the other party, which may not be adequate or successful and are likely to be beyond our control. If we are unable to enter into these arrangements on acceptable terms or at all, we may not be able to successfully commercialize these product candidates.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These commercialization approaches are expensive and time consuming, and some or all of the costs associated with such efforts may be incurred in advance of any approval of our product candidates. If we are not successful in commercializing our product candidates, either on our own or through strategic relationships with third parties, our future product revenue will suffer and we may incur significant losses.</w:t>
      </w:r>
    </w:p>
    <w:p>
      <w:pPr>
        <w:spacing w:after="0" w:line="180" w:lineRule="exact"/>
        <w:rPr>
          <w:sz w:val="20"/>
          <w:szCs w:val="20"/>
          <w:color w:val="auto"/>
        </w:rPr>
      </w:pPr>
    </w:p>
    <w:p>
      <w:pPr>
        <w:ind w:left="200" w:right="340"/>
        <w:spacing w:after="0" w:line="271" w:lineRule="auto"/>
        <w:rPr>
          <w:sz w:val="20"/>
          <w:szCs w:val="20"/>
          <w:color w:val="auto"/>
        </w:rPr>
      </w:pPr>
      <w:r>
        <w:rPr>
          <w:rFonts w:ascii="Arial" w:cs="Arial" w:eastAsia="Arial" w:hAnsi="Arial"/>
          <w:sz w:val="18"/>
          <w:szCs w:val="18"/>
          <w:b w:val="1"/>
          <w:bCs w:val="1"/>
          <w:i w:val="1"/>
          <w:iCs w:val="1"/>
          <w:color w:val="auto"/>
        </w:rPr>
        <w:t>Any product candidates for which we intend to seek approval as biologic products in the United States may face competition sooner than anticipated.</w:t>
      </w:r>
    </w:p>
    <w:p>
      <w:pPr>
        <w:spacing w:after="0" w:line="41"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In the United States, 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processes intended to implement the BPCIA may be fully adopted by the FDA, any such processes could adversely affect the future commercial prospects for any biological products.</w:t>
      </w:r>
    </w:p>
    <w:p>
      <w:pPr>
        <w:spacing w:after="0" w:line="207"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We believe that if any product candidate is approved as a biological product under a BLA, it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 reference product in a way that is similar to traditional generic substitution for non-biological products is not yet clear, and will depend on a number of marketplace and regulatory factors that are still developing.</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331"/>
        <w:spacing w:after="0" w:line="234" w:lineRule="auto"/>
        <w:rPr>
          <w:sz w:val="20"/>
          <w:szCs w:val="20"/>
          <w:color w:val="auto"/>
        </w:rPr>
      </w:pPr>
      <w:r>
        <w:rPr>
          <w:rFonts w:ascii="Arial" w:cs="Arial" w:eastAsia="Arial" w:hAnsi="Arial"/>
          <w:sz w:val="18"/>
          <w:szCs w:val="18"/>
          <w:color w:val="auto"/>
        </w:rPr>
        <w:t>In the EU, MAAs for products that are biosimilar to an already authorized biological product, the so-called reference product, can rely on the safety and efficacy data contained in the dossier of the reference product. To qualify as a biosimilar product the marketing authorization applicant must demonstrate, through comprehensive comparability studies with the reference product, that its product is:</w:t>
      </w:r>
    </w:p>
    <w:p>
      <w:pPr>
        <w:spacing w:after="0" w:line="2" w:lineRule="exact"/>
        <w:rPr>
          <w:sz w:val="20"/>
          <w:szCs w:val="20"/>
          <w:color w:val="auto"/>
        </w:rPr>
      </w:pPr>
    </w:p>
    <w:p>
      <w:pPr>
        <w:ind w:left="200" w:right="160" w:firstLine="4"/>
        <w:spacing w:after="0" w:line="238" w:lineRule="auto"/>
        <w:tabs>
          <w:tab w:leader="none" w:pos="4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highly similar to the reference product notwithstanding the natural variability inherent to all biological medicines, and (ii) that there are no clinically meaningful differences between the biosimilar and the reference product in terms of safety, quality, and efficacy. Biosimilars can only be authorized for use after the period of exclusivity of the reference biological medicine has expired. In general, this means that the biological reference product must have been authorized for at least 10 years before a biosimilar can be made available by another company.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2" w:lineRule="exact"/>
        <w:rPr>
          <w:sz w:val="20"/>
          <w:szCs w:val="20"/>
          <w:color w:val="auto"/>
        </w:rPr>
      </w:pPr>
    </w:p>
    <w:p>
      <w:pPr>
        <w:ind w:left="200" w:right="20"/>
        <w:spacing w:after="0" w:line="247"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6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have relied upon and plan to continue to rely upon independent clinical investigators and CROs to conduct our clinical trials and to monitor and manage data for our ongoing clinical programs. We rely on these parties for the execution of our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independent investigators and CROs are required to comply with GxP requirements, which are regulations and guidelines enforced by the FDA, the Competent Authorities of the Member States of the European Economic Area, and comparable foreign regulatory authorities for all of our product candidates in clinical development. Regulatory authorities enforce these GxP requirements through periodic inspections of trial sponsors, principal investigators and trial sites. If we fail to exercise adequate oversight over any of our independent investigators or CROs or if we or any of our independent investigators or CROs fail to comply with applicable GxP requirements,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or our independent investigators or CROs, such regulatory authority will determine that any of our clinical trials complies with GxP requirements. Our failure to comply with these regulations may require us to repeat clinical trials, which would delay the regulatory approval process.</w:t>
      </w:r>
    </w:p>
    <w:p>
      <w:pPr>
        <w:spacing w:after="0" w:line="203"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Further, these independent investigators and CROs are not our employees and we are not able to control, other than by contract, the amount of resources, including time, which they devote to our clinical trials. If our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is misappropriated.</w:t>
      </w:r>
    </w:p>
    <w:p>
      <w:pPr>
        <w:spacing w:after="0" w:line="203"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If any of our relationships with our independent investigators or CROs terminate, we may not be able to enter into arrangements with alternative independent investigators or CROs or to do so on commercially reasonable terms. Switching or adding additional investigators or CROs involves additional cost and potential delays and requires our management’s time and focus. In addition, there is a natural transition period when a new independent investigator or CRO commences work. As a</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result, delays could occur, which could materially impact our ability to meet our desired clinical development timelines.</w:t>
      </w:r>
    </w:p>
    <w:p>
      <w:pPr>
        <w:spacing w:after="0" w:line="212"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If our independent investigators or CROs do not successfully carry out their contractual duties or obligations or meet expected deadlines, if they need to be replaced or if the quality or accuracy of the clinical data they obtain is compromised due to a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 could be delayed.</w:t>
      </w:r>
    </w:p>
    <w:p>
      <w:pPr>
        <w:spacing w:after="0" w:line="183" w:lineRule="exact"/>
        <w:rPr>
          <w:sz w:val="20"/>
          <w:szCs w:val="20"/>
          <w:color w:val="auto"/>
        </w:rPr>
      </w:pPr>
    </w:p>
    <w:p>
      <w:pPr>
        <w:ind w:left="200" w:right="80"/>
        <w:spacing w:after="0" w:line="247" w:lineRule="auto"/>
        <w:rPr>
          <w:sz w:val="20"/>
          <w:szCs w:val="20"/>
          <w:color w:val="auto"/>
        </w:rPr>
      </w:pPr>
      <w:r>
        <w:rPr>
          <w:rFonts w:ascii="Arial" w:cs="Arial" w:eastAsia="Arial" w:hAnsi="Arial"/>
          <w:sz w:val="18"/>
          <w:szCs w:val="18"/>
          <w:b w:val="1"/>
          <w:bCs w:val="1"/>
          <w:i w:val="1"/>
          <w:iCs w:val="1"/>
          <w:color w:val="auto"/>
        </w:rPr>
        <w:t>We currently rely on third-party contract manufacturing organizations, or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61"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We have limited personnel with experience in manufacturing, and we do not own facilities for manufacturing our product candidates. Instead, we rely on and expect to continue to rely on CMOs for the supply of cGMP grade clinical trial materials and commercial quantities of our product candidates, if approved. Reliance on CMOs may expose us to more risk than if we were to manufacture our product candidates ourselves. Novartis previously provided clinical supplies for BPS-804, BCT-197, and BGS-649 and certain transitional services. We have moved the clinical supply manufacture for these product candidates to CMOs. We also intend to contract with CMOs for the clinical supply of AZD-9668.</w:t>
      </w:r>
    </w:p>
    <w:p>
      <w:pPr>
        <w:spacing w:after="0" w:line="205"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The facilities used to manufacture our product candidates must be approved by the FDA, the EMA, and comparable foreign authorities pursuant to inspections. While we provide oversight of manufacturing activities, we do not and will not control the execution of our manufacturing activities by, and are or will be essentially dependent on, our CMOs for compliance with cGMP requirements for the manufacture of our product candidates. As a result, we are subject to the risk that our product candidates may have manufacturing defects that we have limited ability to prevent. If a CMO cannot successfully manufacture material that conforms to our specifications and the regulatory requirements, we will not be able to secure or maintain regulatory approval for the use of our investigational medicinal products in clinical trials, or for commercial distribution of our product candidates, if approved. In addition, we have limited control over the ability of our CMOs to maintain adequate quality control, quality assurance and qualified personnel. If the FDA, the EMA or comparable foreign regulatory authority does not approve these facilities for the manufacture of our product candidates or if it withdraws any such approval in the future, we may need to find alternative manufacturing facilities, which would delay our development program and significantly impact our ability to develop, obtain regulatory approval for or commercialize our product candidates, if approved. In addition, any failure to achieve and maintain compliance with these laws, regulations and standards could subject us to the risk that we may have to suspend the manufacturing of our product candidates or that obtained approvals could be revoked. Furthermore, CMOs may breach existing agreements they have with us because of factors beyond our control. They may also terminate or refuse to renew their agreement at a time that is costly or otherwise inconvenient for us. In addition, the manufacture of biologics involves expensive and complex processes and worldwide capacity at CMOs for the manufacture of biologics is currently limited. In addition, Novartis has a contractual right to approve or reject any additional CMO we wish to engage for the manufacture of BPS-804. If we were unable to find an adequate CMO or another acceptable solution in time, our clinical trials could be delayed or our commercial activities could be harmed.</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We rely on and will continue to rely on CMOs to purchase from third-party suppliers the raw materials necessary to produce our product candidates. We do not and will not have control over the process or timing of the acquisition of these raw materials by our CMOs. Moreover, we currently do not have any agreements for the production of these raw materials. Supplies of raw material could be interrupted from time to time and we cannot be certain that alternative supplies could be obtained within a reasonable timeframe,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alternate suppliers to prevent a possible disruption of the manufacture of our product candidates.</w:t>
      </w:r>
    </w:p>
    <w:p>
      <w:pPr>
        <w:spacing w:after="0" w:line="207"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Finding new CMOs or third-party suppliers involves additional cost and requires our management’s time and focus. In addition, there is typically a transition period when a new CMO commences work. Although we generally do not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spacing w:after="0" w:line="20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As part of their manufacture of our product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w:t>
      </w:r>
    </w:p>
    <w:p>
      <w:pPr>
        <w:spacing w:after="0" w:line="181" w:lineRule="exact"/>
        <w:rPr>
          <w:sz w:val="20"/>
          <w:szCs w:val="20"/>
          <w:color w:val="auto"/>
        </w:rPr>
      </w:pPr>
    </w:p>
    <w:p>
      <w:pPr>
        <w:ind w:left="200" w:right="420"/>
        <w:spacing w:after="0" w:line="253" w:lineRule="auto"/>
        <w:rPr>
          <w:sz w:val="20"/>
          <w:szCs w:val="20"/>
          <w:color w:val="auto"/>
        </w:rPr>
      </w:pPr>
      <w:r>
        <w:rPr>
          <w:rFonts w:ascii="Arial" w:cs="Arial" w:eastAsia="Arial" w:hAnsi="Arial"/>
          <w:sz w:val="18"/>
          <w:szCs w:val="18"/>
          <w:b w:val="1"/>
          <w:bCs w:val="1"/>
          <w:i w:val="1"/>
          <w:iCs w:val="1"/>
          <w:color w:val="auto"/>
        </w:rPr>
        <w:t>We intend to enter into strategic relationships with third parties, based on a product-by-product assessment, for the development of some of our product candidates. If we fail to enter into these arrangements, our business, development and commercialization prospects could be adversely affected.</w:t>
      </w:r>
    </w:p>
    <w:p>
      <w:pPr>
        <w:spacing w:after="0" w:line="56" w:lineRule="exact"/>
        <w:rPr>
          <w:sz w:val="20"/>
          <w:szCs w:val="20"/>
          <w:color w:val="auto"/>
        </w:rPr>
      </w:pPr>
    </w:p>
    <w:p>
      <w:pPr>
        <w:ind w:left="200" w:right="380" w:firstLine="331"/>
        <w:spacing w:after="0"/>
        <w:rPr>
          <w:sz w:val="20"/>
          <w:szCs w:val="20"/>
          <w:color w:val="auto"/>
        </w:rPr>
      </w:pPr>
      <w:r>
        <w:rPr>
          <w:rFonts w:ascii="Arial" w:cs="Arial" w:eastAsia="Arial" w:hAnsi="Arial"/>
          <w:sz w:val="18"/>
          <w:szCs w:val="18"/>
          <w:color w:val="auto"/>
        </w:rPr>
        <w:t>Our development program for our product candidates, particularly as we enter late-stage development, will require substantial additional funds. We currently intend to enter into a strategic relationship with a pharmaceutical or biopharmaceutical company for the continued development of BCT-197 and potentially for BGS-649, and we may take the same approach for other product candidates.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These types of development arrangements are complex and time-consuming to negotiate and document, and we may not be able to enter into these arrangements on favorable terms or at all. In addition, we face significant competition from other companies in seeking out these types of development arrangements. If we are successful in entering into such an arrangement, we will be subject to other risks, including our inability to control the amount of time and resources the third party will dedicate to our product candidates, financial or other difficulties experienced by such third party, relinquishing important rights to such third party, and the arrangement failing to be profitable to us.</w:t>
      </w:r>
    </w:p>
    <w:p>
      <w:pPr>
        <w:spacing w:after="0" w:line="205"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If we are unable to enter into an appropriate arrangement for the development of BCT-197 and potentially for BGS-649 or other product candidates, we may have to reduce, delay, or terminate the development of such product candidates. If we, instead, decide to increase our expenditures to fund development activities on our own, we will need to obtain additional capital, which may not be available to us on acceptable terms or at all. As a result, our business may be substantially harmed.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Intellectual Property and Data Protection</w:t>
      </w:r>
    </w:p>
    <w:p>
      <w:pPr>
        <w:spacing w:after="0" w:line="212" w:lineRule="exact"/>
        <w:rPr>
          <w:sz w:val="20"/>
          <w:szCs w:val="20"/>
          <w:color w:val="auto"/>
        </w:rPr>
      </w:pPr>
    </w:p>
    <w:p>
      <w:pPr>
        <w:ind w:left="200" w:right="300"/>
        <w:spacing w:after="0" w:line="253" w:lineRule="auto"/>
        <w:rPr>
          <w:sz w:val="20"/>
          <w:szCs w:val="20"/>
          <w:color w:val="auto"/>
        </w:rPr>
      </w:pPr>
      <w:r>
        <w:rPr>
          <w:rFonts w:ascii="Arial" w:cs="Arial" w:eastAsia="Arial" w:hAnsi="Arial"/>
          <w:sz w:val="18"/>
          <w:szCs w:val="18"/>
          <w:b w:val="1"/>
          <w:bCs w:val="1"/>
          <w:i w:val="1"/>
          <w:iCs w:val="1"/>
          <w:color w:val="auto"/>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56"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Our commercial success depends in part on obtaining and maintaining patents and other forms of intellectual property protection, for example, for compositions-of-matter of our product candidates, formulations of our product candidates, polymorphs, salts and analogs of our product candidates, methods used to manufacture our product candidates, methods for manufacturing of the final drug products, and methods of using our product candidates for the treatment of the indications we are developing or plan to develop, or on in-licensing such rights. Our patent portfolio comprises patents and patent applications which cover our BPS-804, BCT-197, and BGS-649 product candidates acquired or exclusively licensed from Novartis, and patents and patent applications which cover our AZD-9668 product candidate exclusively licensed (with the option to purchase) from AstraZeneca. The assignments of those patents and patent applications which we acquired from Novartis have been registered with the relevant authorities in key territories and the exclusive licenses from AstraZeneca are in the process of being registered with the relevant authorities in key territories. There is no assurance that our pending patent applications will result in issued patents, or if issued as patents, will include claims with sufficient scope of coverage to protect our product candidates, or that any pending patent applications will be issued as patents in a timely manner. Failure to obtain, maintain or extend adequate patent and other intellectual property rights could adversely affect our ability to develop and market our product candidates, resulting in harm to our business.</w:t>
      </w:r>
    </w:p>
    <w:p>
      <w:pPr>
        <w:spacing w:after="0" w:line="204"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Further, the issuance, scope, validity, enforceability, and commercial value of our and our current or future licensors’ patent rights are highly uncertain. Our and our licensors’ pending and future patent applications may not result in issued patents that protect our technology or product candidates, in whole or in part, or that effectively prevent others from commercializing competitive technologies and products. The patent examination process may require us or our licensors to narrow the scope of the claims of our or our licensors’ pending and future patent applications, which may limit the scope of patent protection that may be obtained. We cannot assure that all of the potentially relevant prior art relating to our patents and patent applications has been found. If such prior art exists, it can invalidate a patent or prevent a patent application from being issued as a patent. Even if patent applications do successfully issue as patents and even if such patents cover our product candidates, third parties may initiate an opposition, interference, reexamination, post grant review, inter partes review, nullification or derivation action in courts or before patent offices, or similar proceedings challenging the validity, enforceability, or scope of such patents, which may result in the patent claims being narrowed or invalidated. Our and our licensors’ patent applications cannot be enforced against third parties practicing the technology claimed in such applications unless and until a patent issues from such patent applications, and then only to the extent the issued claims cover the technology.</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Because patent applications are confidential for a period of time after filing, and some remain so until issued, we cannot be certain</w:t>
      </w:r>
    </w:p>
    <w:p>
      <w:pPr>
        <w:ind w:left="200"/>
        <w:spacing w:after="0" w:line="234" w:lineRule="auto"/>
        <w:rPr>
          <w:sz w:val="20"/>
          <w:szCs w:val="20"/>
          <w:color w:val="auto"/>
        </w:rPr>
      </w:pPr>
      <w:r>
        <w:rPr>
          <w:rFonts w:ascii="Arial" w:cs="Arial" w:eastAsia="Arial" w:hAnsi="Arial"/>
          <w:sz w:val="18"/>
          <w:szCs w:val="18"/>
          <w:color w:val="auto"/>
        </w:rPr>
        <w:t>that we or our licensors were the first to file any patent application related to our product candidates. Furthermore, in the United States, if</w:t>
      </w:r>
    </w:p>
    <w:p>
      <w:pPr>
        <w:ind w:left="200"/>
        <w:spacing w:after="0" w:line="235" w:lineRule="auto"/>
        <w:rPr>
          <w:sz w:val="20"/>
          <w:szCs w:val="20"/>
          <w:color w:val="auto"/>
        </w:rPr>
      </w:pPr>
      <w:r>
        <w:rPr>
          <w:rFonts w:ascii="Arial" w:cs="Arial" w:eastAsia="Arial" w:hAnsi="Arial"/>
          <w:sz w:val="18"/>
          <w:szCs w:val="18"/>
          <w:color w:val="auto"/>
        </w:rPr>
        <w:t>third parties have filed such patent applications on or before March 15, 2013, the date on which the United States changed from a first to</w:t>
      </w:r>
    </w:p>
    <w:p>
      <w:pPr>
        <w:ind w:left="200"/>
        <w:spacing w:after="0" w:line="235" w:lineRule="auto"/>
        <w:rPr>
          <w:sz w:val="20"/>
          <w:szCs w:val="20"/>
          <w:color w:val="auto"/>
        </w:rPr>
      </w:pPr>
      <w:r>
        <w:rPr>
          <w:rFonts w:ascii="Arial" w:cs="Arial" w:eastAsia="Arial" w:hAnsi="Arial"/>
          <w:sz w:val="18"/>
          <w:szCs w:val="18"/>
          <w:color w:val="auto"/>
        </w:rPr>
        <w:t>invent to a first to file patent system, an interference proceeding can be initiated by such third parties to determine who was the first to</w:t>
      </w:r>
    </w:p>
    <w:p>
      <w:pPr>
        <w:ind w:left="200"/>
        <w:spacing w:after="0" w:line="235" w:lineRule="auto"/>
        <w:rPr>
          <w:sz w:val="20"/>
          <w:szCs w:val="20"/>
          <w:color w:val="auto"/>
        </w:rPr>
      </w:pPr>
      <w:r>
        <w:rPr>
          <w:rFonts w:ascii="Arial" w:cs="Arial" w:eastAsia="Arial" w:hAnsi="Arial"/>
          <w:sz w:val="18"/>
          <w:szCs w:val="18"/>
          <w:color w:val="auto"/>
        </w:rPr>
        <w:t>invent any of the subject matter covered by the patent claims of our applications. If third parties have filed such applications after</w:t>
      </w:r>
    </w:p>
    <w:p>
      <w:pPr>
        <w:ind w:left="200"/>
        <w:spacing w:after="0" w:line="235" w:lineRule="auto"/>
        <w:rPr>
          <w:sz w:val="20"/>
          <w:szCs w:val="20"/>
          <w:color w:val="auto"/>
        </w:rPr>
      </w:pPr>
      <w:r>
        <w:rPr>
          <w:rFonts w:ascii="Arial" w:cs="Arial" w:eastAsia="Arial" w:hAnsi="Arial"/>
          <w:sz w:val="18"/>
          <w:szCs w:val="18"/>
          <w:color w:val="auto"/>
        </w:rPr>
        <w:t>March 15, 2013, a derivation proceeding can be initiated by such third parties to determine whether our invention was derived from theirs.</w:t>
      </w:r>
    </w:p>
    <w:p>
      <w:pPr>
        <w:ind w:left="200"/>
        <w:spacing w:after="0" w:line="235" w:lineRule="auto"/>
        <w:rPr>
          <w:sz w:val="20"/>
          <w:szCs w:val="20"/>
          <w:color w:val="auto"/>
        </w:rPr>
      </w:pPr>
      <w:r>
        <w:rPr>
          <w:rFonts w:ascii="Arial" w:cs="Arial" w:eastAsia="Arial" w:hAnsi="Arial"/>
          <w:sz w:val="18"/>
          <w:szCs w:val="18"/>
          <w:color w:val="auto"/>
        </w:rPr>
        <w:t>Even where we have a valid and enforceable patent, we may not be able to exclude others from practicing our invention where the other</w:t>
      </w:r>
    </w:p>
    <w:p>
      <w:pPr>
        <w:ind w:left="200"/>
        <w:spacing w:after="0"/>
        <w:rPr>
          <w:sz w:val="20"/>
          <w:szCs w:val="20"/>
          <w:color w:val="auto"/>
        </w:rPr>
      </w:pPr>
      <w:r>
        <w:rPr>
          <w:rFonts w:ascii="Arial" w:cs="Arial" w:eastAsia="Arial" w:hAnsi="Arial"/>
          <w:sz w:val="18"/>
          <w:szCs w:val="18"/>
          <w:color w:val="auto"/>
        </w:rPr>
        <w:t>party can show that they used the invention in commerce before our filing date or the other party benefits from a compulsory license.</w:t>
      </w:r>
    </w:p>
    <w:p>
      <w:pPr>
        <w:spacing w:after="0" w:line="190" w:lineRule="exact"/>
        <w:rPr>
          <w:sz w:val="20"/>
          <w:szCs w:val="20"/>
          <w:color w:val="auto"/>
        </w:rPr>
      </w:pPr>
    </w:p>
    <w:p>
      <w:pPr>
        <w:ind w:left="200" w:right="120"/>
        <w:spacing w:after="0" w:line="271" w:lineRule="auto"/>
        <w:rPr>
          <w:sz w:val="20"/>
          <w:szCs w:val="20"/>
          <w:color w:val="auto"/>
        </w:rPr>
      </w:pPr>
      <w:r>
        <w:rPr>
          <w:rFonts w:ascii="Arial" w:cs="Arial" w:eastAsia="Arial" w:hAnsi="Arial"/>
          <w:sz w:val="18"/>
          <w:szCs w:val="18"/>
          <w:b w:val="1"/>
          <w:bCs w:val="1"/>
          <w:i w:val="1"/>
          <w:iCs w:val="1"/>
          <w:color w:val="auto"/>
        </w:rPr>
        <w:t>We enjoy only limited geographical protection with respect to certain patents and we may not be able to protect our intellectual property rights throughout the world.</w:t>
      </w:r>
    </w:p>
    <w:p>
      <w:pPr>
        <w:spacing w:after="0" w:line="41"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Filing and prosecuting patent applications and defending patents covering our product candidates in all countries throughout the world would be prohibitively expensive. Competitors may use our and our licensors’ technologies in jurisdictions where we have not obtained patent protection to develop their own products and, further, may export otherwise infringing products to territories where we and our licensors have patent protection, but enforcement rights are not as strong as that in the United States or Europe. These products may compete with our product candidates, and our and our licensors’ patents or other intellectual property rights may not be effective or sufficient to prevent them from competing.</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such as in China, which has different requirements for patentability, including a stringent requirement for a detailed description of medical uses of a claimed drug. It is also quite common that depending on the country, the scope of patent protection may vary for the same product candidate or technology.</w:t>
      </w:r>
    </w:p>
    <w:p>
      <w:pPr>
        <w:spacing w:after="0" w:line="205"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line="246" w:lineRule="auto"/>
        <w:rPr>
          <w:sz w:val="20"/>
          <w:szCs w:val="20"/>
          <w:color w:val="auto"/>
        </w:rPr>
      </w:pPr>
      <w:r>
        <w:rPr>
          <w:rFonts w:ascii="Arial" w:cs="Arial" w:eastAsia="Arial" w:hAnsi="Arial"/>
          <w:sz w:val="18"/>
          <w:szCs w:val="18"/>
          <w:color w:val="auto"/>
        </w:rPr>
        <w:t>business in such jurisdictions, the value of these rights may be diminished and we may face additional competition from others in those jurisdictions.</w:t>
      </w:r>
    </w:p>
    <w:p>
      <w:pPr>
        <w:spacing w:after="0" w:line="197" w:lineRule="exact"/>
        <w:rPr>
          <w:sz w:val="20"/>
          <w:szCs w:val="20"/>
          <w:color w:val="auto"/>
        </w:rPr>
      </w:pPr>
    </w:p>
    <w:p>
      <w:pPr>
        <w:ind w:left="200" w:right="100" w:firstLine="331"/>
        <w:spacing w:after="0" w:line="257" w:lineRule="auto"/>
        <w:rPr>
          <w:sz w:val="20"/>
          <w:szCs w:val="20"/>
          <w:color w:val="auto"/>
        </w:rPr>
      </w:pPr>
      <w:r>
        <w:rPr>
          <w:rFonts w:ascii="Arial" w:cs="Arial" w:eastAsia="Arial" w:hAnsi="Arial"/>
          <w:sz w:val="17"/>
          <w:szCs w:val="17"/>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w:t>
      </w:r>
    </w:p>
    <w:p>
      <w:pPr>
        <w:spacing w:after="0" w:line="167" w:lineRule="exact"/>
        <w:rPr>
          <w:sz w:val="20"/>
          <w:szCs w:val="20"/>
          <w:color w:val="auto"/>
        </w:rPr>
      </w:pPr>
    </w:p>
    <w:p>
      <w:pPr>
        <w:ind w:left="200" w:right="440"/>
        <w:spacing w:after="0" w:line="271" w:lineRule="auto"/>
        <w:rPr>
          <w:sz w:val="20"/>
          <w:szCs w:val="20"/>
          <w:color w:val="auto"/>
        </w:rPr>
      </w:pPr>
      <w:r>
        <w:rPr>
          <w:rFonts w:ascii="Arial" w:cs="Arial" w:eastAsia="Arial" w:hAnsi="Arial"/>
          <w:sz w:val="18"/>
          <w:szCs w:val="18"/>
          <w:b w:val="1"/>
          <w:bCs w:val="1"/>
          <w:i w:val="1"/>
          <w:iCs w:val="1"/>
          <w:color w:val="auto"/>
        </w:rPr>
        <w:t>Our patents and other proprietary rights may not adequately protect our technologies and product candidates, and may not necessarily address all potential threats to our competitive advantage.</w:t>
      </w:r>
    </w:p>
    <w:p>
      <w:pPr>
        <w:spacing w:after="0" w:line="41" w:lineRule="exact"/>
        <w:rPr>
          <w:sz w:val="20"/>
          <w:szCs w:val="20"/>
          <w:color w:val="auto"/>
        </w:rPr>
      </w:pPr>
    </w:p>
    <w:p>
      <w:pPr>
        <w:ind w:left="200" w:right="80" w:firstLine="331"/>
        <w:spacing w:after="0" w:line="275" w:lineRule="auto"/>
        <w:rPr>
          <w:sz w:val="20"/>
          <w:szCs w:val="20"/>
          <w:color w:val="auto"/>
        </w:rPr>
      </w:pPr>
      <w:r>
        <w:rPr>
          <w:rFonts w:ascii="Arial" w:cs="Arial" w:eastAsia="Arial" w:hAnsi="Arial"/>
          <w:sz w:val="17"/>
          <w:szCs w:val="17"/>
          <w:color w:val="auto"/>
        </w:rPr>
        <w:t>The degree of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00" w:lineRule="exact"/>
        <w:rPr>
          <w:sz w:val="20"/>
          <w:szCs w:val="20"/>
          <w:color w:val="auto"/>
        </w:rPr>
      </w:pPr>
    </w:p>
    <w:p>
      <w:pPr>
        <w:ind w:left="96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may be able to make compounds that are the same as or similar to our product candidates but that are not covered by the claims of the patents that we own or have exclusively licensed;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patents of third parties may impair our ability to develop or commercialize our product candidates;</w:t>
      </w:r>
    </w:p>
    <w:p>
      <w:pPr>
        <w:spacing w:after="0" w:line="26" w:lineRule="exact"/>
        <w:rPr>
          <w:rFonts w:ascii="MS PGothic" w:cs="MS PGothic" w:eastAsia="MS PGothic" w:hAnsi="MS PGothic"/>
          <w:sz w:val="25"/>
          <w:szCs w:val="25"/>
          <w:color w:val="auto"/>
          <w:vertAlign w:val="superscript"/>
        </w:rPr>
      </w:pPr>
    </w:p>
    <w:p>
      <w:pPr>
        <w:ind w:left="960" w:right="46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patents of third parties may be extended beyond the expected patent term and thus may impair our ability to develop or commercialize our product candidates;</w:t>
      </w:r>
    </w:p>
    <w:p>
      <w:pPr>
        <w:spacing w:after="0" w:line="27" w:lineRule="exact"/>
        <w:rPr>
          <w:rFonts w:ascii="MS PGothic" w:cs="MS PGothic" w:eastAsia="MS PGothic" w:hAnsi="MS PGothic"/>
          <w:sz w:val="25"/>
          <w:szCs w:val="25"/>
          <w:color w:val="auto"/>
          <w:vertAlign w:val="superscript"/>
        </w:rPr>
      </w:pPr>
    </w:p>
    <w:p>
      <w:pPr>
        <w:ind w:left="960" w:right="58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or our licensors or any future strategic collaborators might not have been the first to conceive or reduce to practice the inventions covered by the issued patents or pending patent applications that we own or have exclusively licensed;</w:t>
      </w:r>
    </w:p>
    <w:p>
      <w:pPr>
        <w:spacing w:after="0" w:line="27" w:lineRule="exact"/>
        <w:rPr>
          <w:rFonts w:ascii="MS PGothic" w:cs="MS PGothic" w:eastAsia="MS PGothic" w:hAnsi="MS PGothic"/>
          <w:sz w:val="25"/>
          <w:szCs w:val="25"/>
          <w:color w:val="auto"/>
          <w:vertAlign w:val="superscript"/>
        </w:rPr>
      </w:pPr>
    </w:p>
    <w:p>
      <w:pPr>
        <w:ind w:left="960" w:right="460" w:hanging="432"/>
        <w:spacing w:after="0" w:line="223"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or our licensors or any future strategic collaborators might not have been the first to file patent applications covering our inventions, our product candidates, or uses of the product candidates in the indications under our development or to be developed;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possible that the pending patent applications that we own or have exclusively licensed may not lead to issued patents;</w:t>
      </w:r>
    </w:p>
    <w:p>
      <w:pPr>
        <w:spacing w:after="0" w:line="26"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issued patents that we own or have exclusively licensed may not provide coverage for all aspects of our product candidates in all countries, such as for uses of our product candidates in the indications under our development or to be developed;</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performing manufacturing or testing for us using our products or technologies could use the intellectual property of others without obtaining a proper license;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or our licensors’ inventions or technologies may be found to be not patentable;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develop additional technologies that are patentable.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240"/>
        <w:spacing w:after="0" w:line="247" w:lineRule="auto"/>
        <w:rPr>
          <w:sz w:val="20"/>
          <w:szCs w:val="20"/>
          <w:color w:val="auto"/>
        </w:rPr>
      </w:pPr>
      <w:r>
        <w:rPr>
          <w:rFonts w:ascii="Arial" w:cs="Arial" w:eastAsia="Arial" w:hAnsi="Arial"/>
          <w:sz w:val="18"/>
          <w:szCs w:val="18"/>
          <w:b w:val="1"/>
          <w:bCs w:val="1"/>
          <w:i w:val="1"/>
          <w:iCs w:val="1"/>
          <w:color w:val="auto"/>
        </w:rPr>
        <w:t>We may become subject to third parties’ claims alleging infringement of their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61"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Our commercial success depends, in part, upon our ability to develop, manufacture, market, and sell our product candidates without alleged or actual infringement, misappropriation, or other violation of the patents and proprietary rights of third parties. Litigation relating to patents and other intellectual property rights in the biopharmaceutical and pharmaceutical industries is common, including patent infringement lawsuits and interferences, oppositions, and reexamination proceedings before the U.S. Patent and Trademark Office, or USPTO, and foreign patent offices. The various markets in which we plan to operate are subject to frequent and extensive litigation regarding patents and other intellectual property rights. In addition, many companies in intellectual property-dependent industries, including in the biopharmaceutical and pharmaceutical industries, have employed intellectual property litigation as a means to gain an advantage over their competitors. Numerous U.S., European, and foreign issued patents and pending patent applications, which are owned by third parties, exist in the fields in which we are developing product candidates.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biopharmaceutical and pharmaceutical industries expand and more patents are issued, the risk increases that our product candidates may be subject to claims of infringement of the intellectual property rights of third parties.</w:t>
      </w:r>
    </w:p>
    <w:p>
      <w:pPr>
        <w:spacing w:after="0" w:line="204"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We may be subject to third-party claims including infringement, interference or derivation proceedings, post-grant review and inter partes review before the USPTO, or similar adversarial proceedings or litigation in the U.S. and other jurisdictions. Even if we believe such claims are without merit, a court of competent jurisdiction could hold that these third-party patents are valid, enforceable and infringed, and the holders of any such patents may be able to block our ability to commercialize the applicable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candidate unless we obtained a license or until such patent expires or is finally determined to be invalid or unenforceable. In addition, defending such claims would cause us to incur substantial expenses and could cause us to pay substantial damages, if we are found to be infringing a third party’s patent rights. These damages potentially include increased damages and attorneys’ fees if we are found to have infringed such rights willfully. As an example of the foregoing risks, we are aware of a third-party patent family which currently includes a patent granted by the European Patent Office, or EPO, containing claims that appear to cover the use of BPS-804 in the treatment of OI. The patent owner could assert such patent against us, which could present the foregoing risks and impose limitations in our ability to develop, manufacture or sell BPS-804 for such use in the EU, unless we obtain a license under such patent, such patent is determined to be invalid or unenforceable by the EPO or a national court in one or more relevant territories, or such patent is revoked or otherwise limited by the EPO. This patent is currently the subject of ongoing opposition proceedings before the EPO, but there can be no assurance as to the outcome of such proceedings.</w:t>
      </w:r>
    </w:p>
    <w:p>
      <w:pPr>
        <w:spacing w:after="0" w:line="214" w:lineRule="exact"/>
        <w:rPr>
          <w:sz w:val="20"/>
          <w:szCs w:val="20"/>
          <w:color w:val="auto"/>
        </w:rPr>
      </w:pPr>
    </w:p>
    <w:p>
      <w:pPr>
        <w:ind w:left="200" w:right="340" w:firstLine="331"/>
        <w:spacing w:after="0" w:line="239" w:lineRule="auto"/>
        <w:rPr>
          <w:sz w:val="20"/>
          <w:szCs w:val="20"/>
          <w:color w:val="auto"/>
        </w:rPr>
      </w:pPr>
      <w:r>
        <w:rPr>
          <w:rFonts w:ascii="Arial" w:cs="Arial" w:eastAsia="Arial" w:hAnsi="Arial"/>
          <w:sz w:val="18"/>
          <w:szCs w:val="18"/>
          <w:color w:val="auto"/>
        </w:rPr>
        <w:t>Further, if a patent infringement suit is brought against us or our third-party service providers, our development, manufacturing or sales activities relating to the product or product candidate that is the subject of the suit may be delayed or terminated. As a result of patent infringement claims, or in order to avoid potential infringement claims, we may choose to seek, or be required to seek, a license from</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third party, which would be likely to include a requirement to pay license fees or royalties or both. These licenses may not be available on acceptable terms or at all. Even if a license can be obtained on acceptable terms, the rights may be nonexclusive, which would give our competitors access to the same intellectual property rights. If we are unable to enter into a license on acceptable terms, we could be prevented from commercializing one or more of our product candidates, or forced to modify such product candidates, or to cease some aspect of our business operations, which could harm our business significantly. We might, if possible, also be forced to redesign our product candidates so that we no longer infringe the third-party intellectual property rights, which may result in significant cost and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208"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If we were to initiate legal proceedings against a third party to enforce a patent covering one of our product candidates, the defendant could counterclaim that our patent is invalid or unenforceable. In patent litigation in the United States and in Europe, defendant counterclaims alleging invalidity or unenforceability are commonplace. Grounds for a validity challenge could be an alleged failure to meet any of several statutory requirements, for example, lack of novelty, obviousness, or non-enablement. Third parties might allege unenforceability of our patents because someone connected with prosecution of the patent withheld relevant information, or made a misleading statement, during prosecution.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There is a risk that in connection with such proceedings, a court will decide that a patent of ours is invalid or unenforceable, in whole or in part, and that we do not have the right to stop the other party from using the invention at issue. If a defendant were to prevail on a legal assertion of invalidity or unenforceability, we would lose at least part, and perhaps all, of the patent protection on our product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Even if we establish infringement, the court may decide not to grant an injunction against further infringing activity and instead award only monetary damages, which may or may not be an adequate remedy.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In addition, if the breadth or strength of protection provided by our patents is threatened, it could dissuade companies from collaborating with us to license, develop, or commercialize our current or future product candidates. Furthermore, our patents and other intellectual property rights also will not protect our technology if competitors design around our protected technology without infringing our patents or other intellectual property rights.</w:t>
      </w:r>
    </w:p>
    <w:p>
      <w:pPr>
        <w:spacing w:after="0" w:line="214"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 There could also be public announcements of the results of hearings, motions, or other</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interim proceedings or developments. If securities analysts or investors view these announcements in a negative light, the price of our ADSs and ordinary shares could be adversely affected.</w:t>
      </w:r>
    </w:p>
    <w:p>
      <w:pPr>
        <w:spacing w:after="0" w:line="175" w:lineRule="exact"/>
        <w:rPr>
          <w:sz w:val="20"/>
          <w:szCs w:val="20"/>
          <w:color w:val="auto"/>
        </w:rPr>
      </w:pPr>
    </w:p>
    <w:p>
      <w:pPr>
        <w:ind w:left="200" w:right="260"/>
        <w:spacing w:after="0" w:line="271"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manufacture and market our product candidates.</w:t>
      </w:r>
    </w:p>
    <w:p>
      <w:pPr>
        <w:spacing w:after="0" w:line="41"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We cannot guarantee that any of our, our licensors’, or the previous owners’ patent searches or analyses, including but not limited to the identification of relevant patents, the scope of patent claims, or the expiration of relevant patent applications or patents, are complete or thorough, nor can we be certain that we have identified each and every third-party patent and patent application in the United States, Europe and elsewhere that is relevant to or necessary for the commercialization of our product candidates in any jurisdiction. For example, in the United States, patent applications filed before November 29, 2000 and, upon request, certain patent applications filed after that date that will not be filed outside the United States, remain confidential until those patent applications issue as patents. Patent applications in the United States, EU, and elsewhere are published approximately 18 months after the earliest filing for which priority is claimed, with such earliest filing date being commonly referred to as the priority date. Therefore, patent applications covering our product candidates could have been filed by others without our knowledge, including any such patent applications that may claim priority from patent applications for patents that we have determined will expire before we commercialize our products. Additionally, pending patent applications that have been published can, subject to certain limitations, be later amended in a manner that could cover our product candidates or the use of our product candidates. Moreover, as we study our product candidates during development, we may learn new information regarding their structure, composition, properties, or functions that may render third-party patent applications or patents that we had not identified as being, or that we had not believed to be, relevant to our product candidates instead to be relevant to or necessary for the commercialization of our product candidates in a jurisdiction. The scope of a patent claim is determined by an interpretation of the law, the written disclosure in the patent, and the patent’s prosecution history. Our interpretation of the relevance or the scope of a patent or a pending patent application may be incorrect. We may incorrectly determine that our product candidates are not covered by a third-party patent or may incorrectly predict whether a third party’s pending patent application will issue with claims of relevant scope. Our determination of the expiration date or the possibility of an extension of patent term of any patent in the United States, Europe, or elsewhere that we consider relevant also may be incorrect. Any of the foregoing circumstances, failures, or errors may negatively impact our ability to develop and market our product candidates.</w:t>
      </w:r>
    </w:p>
    <w:p>
      <w:pPr>
        <w:spacing w:after="0" w:line="192" w:lineRule="exact"/>
        <w:rPr>
          <w:sz w:val="20"/>
          <w:szCs w:val="20"/>
          <w:color w:val="auto"/>
        </w:rPr>
      </w:pPr>
    </w:p>
    <w:p>
      <w:pPr>
        <w:ind w:left="200" w:right="360"/>
        <w:spacing w:after="0" w:line="271"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important to our business, and our business may be substantially harmed as a result.</w:t>
      </w:r>
    </w:p>
    <w:p>
      <w:pPr>
        <w:spacing w:after="0" w:line="27" w:lineRule="exact"/>
        <w:rPr>
          <w:sz w:val="20"/>
          <w:szCs w:val="20"/>
          <w:color w:val="auto"/>
        </w:rPr>
      </w:pPr>
    </w:p>
    <w:p>
      <w:pPr>
        <w:ind w:left="200" w:right="220" w:firstLine="331"/>
        <w:spacing w:after="0" w:line="253" w:lineRule="auto"/>
        <w:rPr>
          <w:sz w:val="20"/>
          <w:szCs w:val="20"/>
          <w:color w:val="auto"/>
        </w:rPr>
      </w:pPr>
      <w:r>
        <w:rPr>
          <w:rFonts w:ascii="Arial" w:cs="Arial" w:eastAsia="Arial" w:hAnsi="Arial"/>
          <w:sz w:val="17"/>
          <w:szCs w:val="17"/>
          <w:color w:val="auto"/>
        </w:rPr>
        <w:t>We are party to agreements with Novartis and AstraZeneca, under which we in-license certain intellectual property and were assigned, in the case of Novartis, or granted an option to acquire, in the case of AstraZeneca, certain patents and patent applications related to our business. We may enter into additional license agreements in the future. Our existing license agreements impose and any future license agreements are likely to impose various diligence, milestone payment, royalty, insurance and other obligations on us. Any uncured, material breach under these license agreements could result in the loss of our rights to practice such in-licensed intellectual property, and could compromise our development and commercialization efforts for any current or future product candidates.</w:t>
      </w:r>
    </w:p>
    <w:p>
      <w:pPr>
        <w:spacing w:after="0" w:line="173" w:lineRule="exact"/>
        <w:rPr>
          <w:sz w:val="20"/>
          <w:szCs w:val="20"/>
          <w:color w:val="auto"/>
        </w:rPr>
      </w:pPr>
    </w:p>
    <w:p>
      <w:pPr>
        <w:ind w:left="200" w:right="340"/>
        <w:spacing w:after="0" w:line="271" w:lineRule="auto"/>
        <w:rPr>
          <w:sz w:val="20"/>
          <w:szCs w:val="20"/>
          <w:color w:val="auto"/>
        </w:rPr>
      </w:pPr>
      <w:r>
        <w:rPr>
          <w:rFonts w:ascii="Arial" w:cs="Arial" w:eastAsia="Arial" w:hAnsi="Arial"/>
          <w:sz w:val="18"/>
          <w:szCs w:val="18"/>
          <w:b w:val="1"/>
          <w:bCs w:val="1"/>
          <w:i w:val="1"/>
          <w:iCs w:val="1"/>
          <w:color w:val="auto"/>
        </w:rPr>
        <w:t>We may not be successful in maintaining necessary rights to our product candidates or obtaining patent or other intellectual property rights important to our business through acquisitions and in-licenses.</w:t>
      </w:r>
    </w:p>
    <w:p>
      <w:pPr>
        <w:spacing w:after="0" w:line="27"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We currently own and have in-licensed rights to intellectual property, including patents, patent applications and know-how, relating to our product candidates, and our success will likely depend on</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maintaining these rights. Because our programs may require the use of proprietary rights held by third parties, the growth of our business will likely depend in part on our ability to continue to acquire, in-license, maintain, or use these proprietary rights. In addition, our product candidates may require specific formulations to work effectively and the rights to those formulations or methods of making those formulations may be held by others. We may be unable to acquire or in-license any compositions, methods of use, processes, or other third-party intellectual property rights that we identify as necessary for the development and commercialization of our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207"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our product candidates or a development program on acceptable terms, we may have to abandon development of our product candidates or that development program.</w:t>
      </w:r>
    </w:p>
    <w:p>
      <w:pPr>
        <w:spacing w:after="0" w:line="183" w:lineRule="exact"/>
        <w:rPr>
          <w:sz w:val="20"/>
          <w:szCs w:val="20"/>
          <w:color w:val="auto"/>
        </w:rPr>
      </w:pPr>
    </w:p>
    <w:p>
      <w:pPr>
        <w:jc w:val="both"/>
        <w:ind w:left="200" w:right="34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Periodic maintenance and annuity fees on any issued patent are due to be paid to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 in any indication for which they are approved.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85" w:lineRule="exact"/>
        <w:rPr>
          <w:sz w:val="20"/>
          <w:szCs w:val="20"/>
          <w:color w:val="auto"/>
        </w:rPr>
      </w:pPr>
    </w:p>
    <w:p>
      <w:pPr>
        <w:ind w:left="200" w:right="260" w:firstLine="331"/>
        <w:spacing w:after="0" w:line="237" w:lineRule="auto"/>
        <w:rPr>
          <w:sz w:val="20"/>
          <w:szCs w:val="20"/>
          <w:color w:val="auto"/>
        </w:rPr>
      </w:pPr>
      <w:r>
        <w:rPr>
          <w:rFonts w:ascii="Arial" w:cs="Arial" w:eastAsia="Arial" w:hAnsi="Arial"/>
          <w:sz w:val="18"/>
          <w:szCs w:val="18"/>
          <w:color w:val="auto"/>
        </w:rPr>
        <w:t>Although we are not currently experiencing any claims challenging the inventorship of our patents and patent applications or ownership of our intellectual property, we may in the future be subject to claims that former employees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83" w:lineRule="exact"/>
        <w:rPr>
          <w:sz w:val="20"/>
          <w:szCs w:val="20"/>
          <w:color w:val="auto"/>
        </w:rPr>
      </w:pPr>
    </w:p>
    <w:p>
      <w:pPr>
        <w:ind w:left="200" w:right="240"/>
        <w:spacing w:after="0" w:line="271"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41"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As is the case with other biopharmaceutical and pharmaceutical companies, our success is heavily dependent on intellectual property, particularly patents. Obtaining and enforcing patents in the biopharmaceutical and pharmaceutical industries involve both technological complexity and legal complexity. Therefore, obtaining and enforcing biopharmaceutical and pharmaceutical patents is costly, time-consuming and inherently uncertain. In addition, the America Invents Act, or the AIA, which was passed in September, 2011, resulted in significant changes to the U.S. patent system.</w:t>
      </w:r>
    </w:p>
    <w:p>
      <w:pPr>
        <w:spacing w:after="0" w:line="203" w:lineRule="exact"/>
        <w:rPr>
          <w:sz w:val="20"/>
          <w:szCs w:val="20"/>
          <w:color w:val="auto"/>
        </w:rPr>
      </w:pPr>
    </w:p>
    <w:p>
      <w:pPr>
        <w:ind w:left="200" w:right="260" w:firstLine="331"/>
        <w:spacing w:after="0" w:line="237"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205" w:lineRule="exact"/>
        <w:rPr>
          <w:sz w:val="20"/>
          <w:szCs w:val="20"/>
          <w:color w:val="auto"/>
        </w:rPr>
      </w:pPr>
    </w:p>
    <w:p>
      <w:pPr>
        <w:ind w:left="200" w:right="220" w:firstLine="331"/>
        <w:spacing w:after="0" w:line="237" w:lineRule="auto"/>
        <w:rPr>
          <w:sz w:val="20"/>
          <w:szCs w:val="20"/>
          <w:color w:val="auto"/>
        </w:rPr>
      </w:pPr>
      <w:r>
        <w:rPr>
          <w:rFonts w:ascii="Arial" w:cs="Arial" w:eastAsia="Arial" w:hAnsi="Arial"/>
          <w:sz w:val="18"/>
          <w:szCs w:val="18"/>
          <w:color w:val="auto"/>
        </w:rPr>
        <w:t>Among some of the other changes introduced by the AIA are changes to the limitation where a patent may be challenged, thus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05"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Accordingly, a third party may attempt to use the USPTO proceedings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have also increased in recent years. In addition, the European patent system is relatively stringent in the type of</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amendments that are allowed during prosecution. Complying with these laws and regulations could limit our ability to obtain new patents in the future that may be important for our business.</w:t>
      </w:r>
    </w:p>
    <w:p>
      <w:pPr>
        <w:spacing w:after="0" w:line="175" w:lineRule="exact"/>
        <w:rPr>
          <w:sz w:val="20"/>
          <w:szCs w:val="20"/>
          <w:color w:val="auto"/>
        </w:rPr>
      </w:pPr>
    </w:p>
    <w:p>
      <w:pPr>
        <w:ind w:left="200" w:right="180"/>
        <w:spacing w:after="0" w:line="271"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non-U.S. legislation for extending the term of patents covering our product candidates, our ability to compete effectively could be impaired.</w:t>
      </w:r>
    </w:p>
    <w:p>
      <w:pPr>
        <w:spacing w:after="0" w:line="41"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Depending upon the timing, duration and conditions of FDA marketing approval of our product candidates, one or more of our U.S. patents may be eligible for patent term extension under the Drug Price Competition and Patent Term Restoration Act of 1984, referred to as the Hatch Waxman Amendments. The Hatch Waxman Amendments permit a patent term extension of up to five years for a patent covering an approved product or method of use as compensation for patent term lost during product development and the FDA regulatory review process. Similar patent term extensions may be available in other jurisdictions. For example, a Supplementary Protection Certificate in Europe may be applied for approval to recover some of the time lost between the patent application filing date and the date of first marketing authorization.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84"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competitive position may be adversely affected.</w:t>
      </w:r>
    </w:p>
    <w:p>
      <w:pPr>
        <w:spacing w:after="0" w:line="27"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We currently own registered trademarks. We may not be able to obtain trademark protection in territories that we consider of significant importance to us.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customers in our markets of interest. Over the long term, if we are unable to establish name recognition based on our trademarks and trade names, we may not be able to compete effectively and our business may be adversely affected.</w:t>
      </w:r>
    </w:p>
    <w:p>
      <w:pPr>
        <w:spacing w:after="0" w:line="183" w:lineRule="exact"/>
        <w:rPr>
          <w:sz w:val="20"/>
          <w:szCs w:val="20"/>
          <w:color w:val="auto"/>
        </w:rPr>
      </w:pPr>
    </w:p>
    <w:p>
      <w:pPr>
        <w:ind w:left="200" w:right="220"/>
        <w:spacing w:after="0" w:line="27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know-how, our business and competitive position would be harmed.</w:t>
      </w:r>
    </w:p>
    <w:p>
      <w:pPr>
        <w:spacing w:after="0" w:line="27" w:lineRule="exact"/>
        <w:rPr>
          <w:sz w:val="20"/>
          <w:szCs w:val="20"/>
          <w:color w:val="auto"/>
        </w:rPr>
      </w:pPr>
    </w:p>
    <w:p>
      <w:pPr>
        <w:ind w:left="200" w:right="480" w:firstLine="331"/>
        <w:spacing w:after="0" w:line="239" w:lineRule="auto"/>
        <w:rPr>
          <w:sz w:val="20"/>
          <w:szCs w:val="20"/>
          <w:color w:val="auto"/>
        </w:rPr>
      </w:pPr>
      <w:r>
        <w:rPr>
          <w:rFonts w:ascii="Arial" w:cs="Arial" w:eastAsia="Arial" w:hAnsi="Arial"/>
          <w:sz w:val="18"/>
          <w:szCs w:val="18"/>
          <w:color w:val="auto"/>
        </w:rPr>
        <w:t>We consider proprietary trade secrets and confidential know-how and unpatented know-how to be important to our business. In addition to seeking patents for some of our technology and product candidates, we also may rely on trade secrets or confidential know-how to protect our technology, especially where patent protection is believed to be of limited value. However, trade secrets and confidential know-how are difficult to maintain as confidential.</w:t>
      </w:r>
    </w:p>
    <w:p>
      <w:pPr>
        <w:spacing w:after="0" w:line="202"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cannot know whether the steps we have taken to protect our proprietary technologies will be effective. In addition,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We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therefore cannot guarantee that our trade secrets and other proprietary and confidential information will not be disclosed or that competitors will not otherwise gain access to our trade secrets. Enforcing a claim that a third party obtained illegally and is using trade secrets 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03"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Failure to protect or maintain trade secrets and confidential know-how could adversely affect our business and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own trade secrets or confidential know-how.</w:t>
      </w:r>
    </w:p>
    <w:p>
      <w:pPr>
        <w:spacing w:after="0" w:line="180"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 These claims may be costly to defend and if we do not successfully do so, we may be required to pay monetary damages and lose valuable intellectual property rights or personnel.</w:t>
      </w:r>
    </w:p>
    <w:p>
      <w:pPr>
        <w:spacing w:after="0" w:line="61"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Some of our employees, including our senior management, were previously employed at other biopharmaceutical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know-how, trade secrets, or other proprietary information of others in their work for us, we may be subject to claims that we or these employees have used or disclosed confidential information or intellectual property, including know-how, trade secrets, or other proprietary information, of any such employee’s former employer. Litigation may be necessary to defend against these claims.</w:t>
      </w:r>
    </w:p>
    <w:p>
      <w:pPr>
        <w:spacing w:after="0" w:line="20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A loss of key research personnel or their work product could hamper or undermine our ability to develop and commercialize our product candidates, which would severely harm our business. In addition, if such intellectual property rights were to be awarded to a third party, we could be required to obtain a license from such third party to commercialize our technology or products. Such a license may not be available on commercially reasonable terms or at all, which could hamper or undermine our ability to develop and commercialize our product candidates, which would severely harm our business. Even if we successfully prosecute or defend against such claims, litigation could result in substantial costs and distract management from the development and commercialization of our product candidates.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proprietary information may be lost or we may suffer security breaches.</w:t>
      </w:r>
    </w:p>
    <w:p>
      <w:pPr>
        <w:spacing w:after="0" w:line="126"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In the ordinary course of our business, we collect and store sensitive data, including intellectual property, clinical trial data, proprietary business information, personal data and personally identifiable information of our clinical trial subjects and employees, in our data centers and on our networks. The secure processing, maintenance and transmission of this information is critical to our operations. Despite our security measures, our information technology and infrastructure and those of our CROs or other contractors or consultants may be vulnerable to attacks by hackers or breached due to employee error, malfeasance, or other disruptions. The loss of clinical trial data from completed, ongoing, or planned trials could result in delays in our regulatory approval efforts and significantly increase our</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costs to recover or reproduce the data.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our operations; damage our reputation; and cause a loss of confidence in us and our ability to conduct clinical trials, which could adversely affect our reputation and delay our clinical development of our product candidates.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99"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Our success depends upon the continued contributions of our key management, including all of our senior management team, and scientific and technical personnel, many of whom have been instrumental for us and have substantial experience with rare and specialty diseases and the biopharmaceutical and pharmaceutical industries. The loss of key managers and senior physicians or scientists could delay our acquisition and development activities. In addition, the competition for qualified personnel in the biopharmaceutical and pharmaceutical fields is intense, and our future success depends upon our ability to attract, retain and motivate highly skilled scientific, technical, and managerial employees. We face competition for personnel from other companies and organizations. If our recruitment and retention efforts are unsuccessful in the future, it may be difficult for us to achieve our development objectives, raise additional capital, and implement our business strategy.</w:t>
      </w:r>
    </w:p>
    <w:p>
      <w:pPr>
        <w:spacing w:after="0" w:line="186" w:lineRule="exact"/>
        <w:rPr>
          <w:sz w:val="20"/>
          <w:szCs w:val="20"/>
          <w:color w:val="auto"/>
        </w:rPr>
      </w:pPr>
    </w:p>
    <w:p>
      <w:pPr>
        <w:ind w:left="200" w:right="480"/>
        <w:spacing w:after="0" w:line="271" w:lineRule="auto"/>
        <w:rPr>
          <w:sz w:val="20"/>
          <w:szCs w:val="20"/>
          <w:color w:val="auto"/>
        </w:rPr>
      </w:pPr>
      <w:r>
        <w:rPr>
          <w:rFonts w:ascii="Arial" w:cs="Arial" w:eastAsia="Arial" w:hAnsi="Arial"/>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2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acquisition and development, regulatory affairs, and sales and marketing. To manage our anticipated future growth, we must continue to implement and improve our managerial, operational and financial systems, expand our facilities or acquire new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Global Offering and Our ADSs and Ordinary Shares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price of our ADSs and ordinary shares may be volatile and may fluctuate due to factors beyond our control.</w:t>
      </w:r>
    </w:p>
    <w:p>
      <w:pPr>
        <w:spacing w:after="0" w:line="85" w:lineRule="exact"/>
        <w:rPr>
          <w:sz w:val="20"/>
          <w:szCs w:val="20"/>
          <w:color w:val="auto"/>
        </w:rPr>
      </w:pPr>
    </w:p>
    <w:p>
      <w:pPr>
        <w:jc w:val="both"/>
        <w:ind w:left="200" w:right="240" w:firstLine="331"/>
        <w:spacing w:after="0" w:line="246" w:lineRule="auto"/>
        <w:rPr>
          <w:sz w:val="20"/>
          <w:szCs w:val="20"/>
          <w:color w:val="auto"/>
        </w:rPr>
      </w:pPr>
      <w:r>
        <w:rPr>
          <w:rFonts w:ascii="Arial" w:cs="Arial" w:eastAsia="Arial" w:hAnsi="Arial"/>
          <w:sz w:val="18"/>
          <w:szCs w:val="18"/>
          <w:color w:val="auto"/>
        </w:rPr>
        <w:t>The trading market for publicly traded emerging drug development companies has been highly volatile and is likely to remain highly volatile in the future. The market price of our ADSs and ordinary shares may fluctuate significantly due to a variety of factors, including:</w:t>
      </w:r>
    </w:p>
    <w:p>
      <w:pPr>
        <w:spacing w:after="0" w:line="188" w:lineRule="exact"/>
        <w:rPr>
          <w:sz w:val="20"/>
          <w:szCs w:val="20"/>
          <w:color w:val="auto"/>
        </w:rPr>
      </w:pPr>
    </w:p>
    <w:p>
      <w:pPr>
        <w:ind w:left="960" w:hanging="432"/>
        <w:spacing w:after="0"/>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positive or negative results from, or delays in, testing or clinical trials conducted by us or our competitors;</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entering into strategic relationships with respect to development or commercialization of our product candidates or entry into strategic relationships on terms that are not deemed to be favorable to us;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technological innovations or commercial product introductions by us or competitors;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government regulations;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concerning proprietary rights, including patents and litigation matters;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 concern relating to the commercial value or safety of our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financing or other corporate transactions;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publication of research reports or comments by securities or industry analysts;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general market conditions in the biopharmaceutical and pharmaceutical industries or in the economy as a whole;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loss of any of our key scientific or senior management personnel;</w:t>
      </w:r>
    </w:p>
    <w:p>
      <w:pPr>
        <w:spacing w:after="0" w:line="26"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our ADSs or ordinary shares by us, our senior management and board members, holders of our ADSs or our security holders in the future; or</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events and factors, many of which are beyond our control.</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These and other market and industry factors may cause the market price and demand for our ADSs and ordinary shares to fluctuate substantially, regardless of our actual operating performance, which may limit or prevent investors from readily selling their ADSs or ordinary shares and may otherwise negatively affect the liquidity of our ADSs and ordinary shares. In addition, the stock market in general, and emerging companies in particular, have experienced extreme price and volume fluctuations that have often been unrelated or disproportionate to the operating performance of these companies. In the past in the United States, when the market price of a security has been volatile, holders of that security have sometimes instituted securities class action litigation against the issuer. If any of the holders of our ADSs or ordinary shares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185" w:lineRule="exact"/>
        <w:rPr>
          <w:sz w:val="20"/>
          <w:szCs w:val="20"/>
          <w:color w:val="auto"/>
        </w:rPr>
      </w:pPr>
    </w:p>
    <w:p>
      <w:pPr>
        <w:ind w:left="200" w:right="340"/>
        <w:spacing w:after="0" w:line="302"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company with securities listed in the United States, and our senior management will be required to devote substantial time to new compliance initiatives and corporate governance practices.</w:t>
      </w:r>
    </w:p>
    <w:p>
      <w:pPr>
        <w:spacing w:after="0" w:line="16"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As a company with securities listed in the United States, and particularly after we no longer qualify as an emerging growth company, we will incur significant legal, accounting, and other expenses that we did not incur previously.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expensive for us to obtain director and officer liability insurance, which in turn could make it more difficult for us to attract and retain qualified senior management personnel or members for our board of directors. In addition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5"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Pursuant to Section 404 of the Sarbanes-Oxley Act of 2002, or Section 404, we will be required to furnish a report by our senior management on our internal control over financial reporting. However, while we remain an emerging growth company, we will not be required to include an attestation report on internal control over financial reporting issued by our independent registered public accounting firm.</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52" w:lineRule="auto"/>
        <w:rPr>
          <w:sz w:val="20"/>
          <w:szCs w:val="20"/>
          <w:color w:val="auto"/>
        </w:rPr>
      </w:pPr>
      <w:r>
        <w:rPr>
          <w:rFonts w:ascii="Arial" w:cs="Arial" w:eastAsia="Arial" w:hAnsi="Arial"/>
          <w:sz w:val="17"/>
          <w:szCs w:val="17"/>
          <w:color w:val="auto"/>
        </w:rPr>
        <w:t>To prepare for eventual compliance with Section 404, once we no longer qualify as an emerging growth company,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73" w:lineRule="exact"/>
        <w:rPr>
          <w:sz w:val="20"/>
          <w:szCs w:val="20"/>
          <w:color w:val="auto"/>
        </w:rPr>
      </w:pPr>
    </w:p>
    <w:p>
      <w:pPr>
        <w:ind w:left="200" w:right="780"/>
        <w:spacing w:after="0" w:line="271" w:lineRule="auto"/>
        <w:rPr>
          <w:sz w:val="20"/>
          <w:szCs w:val="20"/>
          <w:color w:val="auto"/>
        </w:rPr>
      </w:pPr>
      <w:r>
        <w:rPr>
          <w:rFonts w:ascii="Arial" w:cs="Arial" w:eastAsia="Arial" w:hAnsi="Arial"/>
          <w:sz w:val="18"/>
          <w:szCs w:val="18"/>
          <w:b w:val="1"/>
          <w:bCs w:val="1"/>
          <w:i w:val="1"/>
          <w:iCs w:val="1"/>
          <w:color w:val="auto"/>
        </w:rPr>
        <w:t>There has been no public market for our ADSs prior to the U.S. offering, and an active market may not develop in which investors can resell our ADSs.</w:t>
      </w:r>
    </w:p>
    <w:p>
      <w:pPr>
        <w:spacing w:after="0" w:line="41"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Prior to the U.S. offering, there has been no public market for our ADSs, although our ordinary shares have traded on AIM. We cannot predict the extent to which an active market for our ADSs will develop or be sustained after the U.S. offering, or how the development of such a market might affect the market price for our ADSs. The initial public offering price of our ADSs in the U.S. offering will be determined by negotiations between us and the underwriters taking into account the most recent closing price of our ordinary shares on AIM prior to the pricing date and prevailing market conditions, among other factors, and may not be indicative of the price at which our ADSs will trade following completion of the U.S. offering. Investors may not be able to sell their ADSs at or above the initial public offering price.</w:t>
      </w:r>
    </w:p>
    <w:p>
      <w:pPr>
        <w:spacing w:after="0" w:line="181" w:lineRule="exact"/>
        <w:rPr>
          <w:sz w:val="20"/>
          <w:szCs w:val="20"/>
          <w:color w:val="auto"/>
        </w:rPr>
      </w:pPr>
    </w:p>
    <w:p>
      <w:pPr>
        <w:ind w:left="200" w:right="220"/>
        <w:spacing w:after="0" w:line="271" w:lineRule="auto"/>
        <w:rPr>
          <w:sz w:val="20"/>
          <w:szCs w:val="20"/>
          <w:color w:val="auto"/>
        </w:rPr>
      </w:pPr>
      <w:r>
        <w:rPr>
          <w:rFonts w:ascii="Arial" w:cs="Arial" w:eastAsia="Arial" w:hAnsi="Arial"/>
          <w:sz w:val="18"/>
          <w:szCs w:val="18"/>
          <w:b w:val="1"/>
          <w:bCs w:val="1"/>
          <w:i w:val="1"/>
          <w:iCs w:val="1"/>
          <w:color w:val="auto"/>
        </w:rPr>
        <w:t>The dual listing of our ordinary shares and our ADSs following the U.S. offering may adversely affect the liquidity and value of our ADSs and ordinary shares.</w:t>
      </w:r>
    </w:p>
    <w:p>
      <w:pPr>
        <w:spacing w:after="0" w:line="27"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Following the global offering and after our ADSs begin trading on Nasdaq, our ordinary shares will continue to be admitted to trading on AIM. We cannot predict the effect of this dual listing on the value of our ADSs and ordinary shares. However, the dual listing of our ADSs and ordinary shares may dilute the liquidity of these securities in one or both markets and may adversely affect the development of an active trading market for our ADSs. The price of our ADSs could also be adversely affected by trading in our ordinary shares on AIM.</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Fluctuations in the exchange rate between the U.S. dollar and the pound sterling may increase the risk of holding the ADSs.</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share price is quoted on AIM in pence sterling, while the ADSs will trade on Nasdaq in U.S. dollars. Fluctuations in the exchange rate between the U.S. dollar and the pound sterling may result in temporary differences between the value of the ADSs and the value of our ordinary shares, which may result in heavy trading by investors seeking to exploit such differences. In addition, as a result of fluctuations in the exchange rate between the U.S. dollar and the pound sterling, the U.S. dollar equivalent of the proceeds that a holder of the ADSs would receive upon the sale in the United Kingdom of any shares withdrawn from the depositary, and the U.S. dollar equivalent of any cash dividends paid in pounds sterling on our shares represented by the ADSs, could also decline.</w:t>
      </w:r>
    </w:p>
    <w:p>
      <w:pPr>
        <w:spacing w:after="0" w:line="183"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b w:val="1"/>
          <w:bCs w:val="1"/>
          <w:i w:val="1"/>
          <w:iCs w:val="1"/>
          <w:color w:val="auto"/>
        </w:rPr>
        <w:t>Following the global offering, our executive officers, board of directors, and certain of our existing shareholders will continue to own a majority of our ordinary shares (including ordinary shares represented by ADSs) and as a result, will have control or significant influence over us, and your interests may conflict with the interests of these shareholders.</w:t>
      </w:r>
    </w:p>
    <w:p>
      <w:pPr>
        <w:spacing w:after="0" w:line="56"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As of , 2018, after giving effect to the closing of the global offering, our executive officers, board of directors, and greater than 3% shareholders and their respective affiliates, in the aggregate, will own approximately % of our ordinary shares (including ordinary shares in the form of ADSs). Depending on the level of attendance at our general meetings of shareholders, these shareholders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either alone or voting together as a group may be in a position to control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the approval of certain significant corporate transactions, and amendments to our Articles of Association. These shareholders may have interests that differ from yours and may vote in a way with which you disagree and which may be adverse to your interests. Among other consequences, this concentration of ownership may have the effect of delaying or preventing a change in control and might therefore negatively affect the market price of our ADSs and ordinary shares.</w:t>
      </w:r>
    </w:p>
    <w:p>
      <w:pPr>
        <w:spacing w:after="0" w:line="181"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ADSs or ordinary shares could adversely affect the price of our ADSs and ordinary shares.</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Future sales of a substantial number of our ADSs or ordinary shares, or the perception that such sales will occur, could cause a</w:t>
      </w:r>
    </w:p>
    <w:p>
      <w:pPr>
        <w:ind w:left="200" w:right="120"/>
        <w:spacing w:after="0" w:line="234" w:lineRule="auto"/>
        <w:rPr>
          <w:sz w:val="20"/>
          <w:szCs w:val="20"/>
          <w:color w:val="auto"/>
        </w:rPr>
      </w:pPr>
      <w:r>
        <w:rPr>
          <w:rFonts w:ascii="Arial" w:cs="Arial" w:eastAsia="Arial" w:hAnsi="Arial"/>
          <w:sz w:val="18"/>
          <w:szCs w:val="18"/>
          <w:color w:val="auto"/>
        </w:rPr>
        <w:t>decline in the market price of our ADSs and ordinary shares. Based on the number of ordinary shares outstanding as of , 2018, after giving effect to the closing of the global offering, we will have ordinary shares outstanding (including ordinary shares in the</w:t>
      </w:r>
    </w:p>
    <w:p>
      <w:pPr>
        <w:spacing w:after="0" w:line="2" w:lineRule="exact"/>
        <w:rPr>
          <w:sz w:val="20"/>
          <w:szCs w:val="20"/>
          <w:color w:val="auto"/>
        </w:rPr>
      </w:pPr>
    </w:p>
    <w:p>
      <w:pPr>
        <w:ind w:left="200" w:right="200"/>
        <w:spacing w:after="0" w:line="237" w:lineRule="auto"/>
        <w:rPr>
          <w:sz w:val="20"/>
          <w:szCs w:val="20"/>
          <w:color w:val="auto"/>
        </w:rPr>
      </w:pPr>
      <w:r>
        <w:rPr>
          <w:rFonts w:ascii="Arial" w:cs="Arial" w:eastAsia="Arial" w:hAnsi="Arial"/>
          <w:sz w:val="18"/>
          <w:szCs w:val="18"/>
          <w:color w:val="auto"/>
        </w:rPr>
        <w:t>form of ADSs). ADSs and ordinary shares issued and sold in the global offering may be resold in the public market immediately without restriction, unless sold in the United States by an affiliate. A significant portion of these ordinary shares, and potentially of our ADSs, will be subject to the lock-up agreements described in the sections titled “Ordinary Shares and ADSs Eligible for Future Sale” and “Underwriting.” If, after the termination of these lock-up agreements, these shareholders sell substantial amounts of ADSs or ordinary shares in the public market, or the market perceives that such sales may occur, the market price of our ADSs or ordinary shares and our ability to raise capital through an issue of equity securities in the future could be adversely affected.</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you purchase ordinary shares or ADSs in the global offering, you will suffer immediate dilution of your investment.</w:t>
      </w:r>
    </w:p>
    <w:p>
      <w:pPr>
        <w:spacing w:after="0" w:line="85" w:lineRule="exact"/>
        <w:rPr>
          <w:sz w:val="20"/>
          <w:szCs w:val="20"/>
          <w:color w:val="auto"/>
        </w:rPr>
      </w:pPr>
    </w:p>
    <w:p>
      <w:pPr>
        <w:ind w:left="200" w:right="160" w:firstLine="331"/>
        <w:spacing w:after="0" w:line="248" w:lineRule="auto"/>
        <w:rPr>
          <w:sz w:val="20"/>
          <w:szCs w:val="20"/>
          <w:color w:val="auto"/>
        </w:rPr>
      </w:pPr>
      <w:r>
        <w:rPr>
          <w:rFonts w:ascii="Arial" w:cs="Arial" w:eastAsia="Arial" w:hAnsi="Arial"/>
          <w:sz w:val="17"/>
          <w:szCs w:val="17"/>
          <w:color w:val="auto"/>
        </w:rPr>
        <w:t>We expect the initial public offering price of our ADSs in the US offering and the offering price of our ordinary shares in the European private placement to be substantially higher than the net tangible book value per ADS and per ordinary share prior to the global offering. Therefore, if you purchase ADSs or ordinary shares in the global offering, you will pay a price per ADS and per ordinary share that substantially exceeds our net tangible book value per ADS and per ordinary share after the global offering. To the extent any of our outstanding share options or warrants are exercised, or convertible notes are converted, for ordinary shares, you may experience further</w:t>
      </w:r>
    </w:p>
    <w:p>
      <w:pPr>
        <w:spacing w:after="0" w:line="3" w:lineRule="exact"/>
        <w:rPr>
          <w:sz w:val="20"/>
          <w:szCs w:val="20"/>
          <w:color w:val="auto"/>
        </w:rPr>
      </w:pPr>
    </w:p>
    <w:p>
      <w:pPr>
        <w:ind w:left="200" w:right="100"/>
        <w:spacing w:after="0" w:line="234" w:lineRule="auto"/>
        <w:rPr>
          <w:sz w:val="20"/>
          <w:szCs w:val="20"/>
          <w:color w:val="auto"/>
        </w:rPr>
      </w:pPr>
      <w:r>
        <w:rPr>
          <w:rFonts w:ascii="Arial" w:cs="Arial" w:eastAsia="Arial" w:hAnsi="Arial"/>
          <w:sz w:val="18"/>
          <w:szCs w:val="18"/>
          <w:color w:val="auto"/>
        </w:rPr>
        <w:t>dilution. Based on the assumed initial public offering price of $ per ADS and £ per ordinary share, which reflect the last reported sale price of our ordinary shares on AIM on , 2018, you will experience immediate dilution of $ per ADS and £ per</w:t>
      </w:r>
    </w:p>
    <w:p>
      <w:pPr>
        <w:spacing w:after="0" w:line="2"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ordinary share, representing the difference between our net tangible book value per ADS and per ordinary share after giving effect to the global offering and the assumed offering prices for our ADSs and ordinary shares in the global offering. See “Dilution.”</w:t>
      </w:r>
    </w:p>
    <w:p>
      <w:pPr>
        <w:spacing w:after="0" w:line="175" w:lineRule="exact"/>
        <w:rPr>
          <w:sz w:val="20"/>
          <w:szCs w:val="20"/>
          <w:color w:val="auto"/>
        </w:rPr>
      </w:pPr>
    </w:p>
    <w:p>
      <w:pPr>
        <w:ind w:left="200" w:right="580"/>
        <w:spacing w:after="0" w:line="27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ADSs or ordinary shares in the foreseeable future, capital appreciation, if any, will be your sole source of gains and you may never receive a return on your investment.</w:t>
      </w:r>
    </w:p>
    <w:p>
      <w:pPr>
        <w:spacing w:after="0" w:line="2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Under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In addition, our credit facility prohibits us from paying dividends on our equity securities, and any future debt agreements may likewise preclude us from paying dividends. As a result, capital appreciation, if any, on our ADSs or ordinary shares will be your</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sole source of gains for the foreseeable future, and you will suffer a loss on your investment if you are unable to sell your ADSs or ordinary shares at or above the offering price for each. Investors seeking cash dividends should not purchase our ADSs or ordinary shares in the global offering.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the global offering and may not use them effectively.</w:t>
      </w:r>
    </w:p>
    <w:p>
      <w:pPr>
        <w:spacing w:after="0" w:line="99"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Our senior management will have broad discretion in the application of the net proceeds from the global offering and could spend the proceeds in ways that do not improve our results of operations or enhance the value of our ADSs or ordinary shares. The failure by our senior management to apply these funds effectively could result in financial losses, cause the price of our ADSs or ordinary shares to decline, and delay the development of our product candidates. Pending their use, we may invest the net proceeds from the global offering in a manner that does not produce income or that loses value.</w:t>
      </w:r>
    </w:p>
    <w:p>
      <w:pPr>
        <w:spacing w:after="0" w:line="181" w:lineRule="exact"/>
        <w:rPr>
          <w:sz w:val="20"/>
          <w:szCs w:val="20"/>
          <w:color w:val="auto"/>
        </w:rPr>
      </w:pPr>
    </w:p>
    <w:p>
      <w:pPr>
        <w:ind w:left="200" w:right="80"/>
        <w:spacing w:after="0" w:line="271" w:lineRule="auto"/>
        <w:rPr>
          <w:sz w:val="20"/>
          <w:szCs w:val="20"/>
          <w:color w:val="auto"/>
        </w:rPr>
      </w:pPr>
      <w:r>
        <w:rPr>
          <w:rFonts w:ascii="Arial" w:cs="Arial" w:eastAsia="Arial" w:hAnsi="Arial"/>
          <w:sz w:val="18"/>
          <w:szCs w:val="18"/>
          <w:b w:val="1"/>
          <w:bCs w:val="1"/>
          <w:i w:val="1"/>
          <w:iCs w:val="1"/>
          <w:color w:val="auto"/>
        </w:rPr>
        <w:t>Securities traded on AIM may carry a higher risk than securities traded on other exchanges, which may impact the value of your investment.</w:t>
      </w:r>
    </w:p>
    <w:p>
      <w:pPr>
        <w:spacing w:after="0" w:line="27"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Our ordinary shares are currently traded on AIM. Investment in equities traded on AIM is sometimes perceived to carry a higher risk than an investment in equities quoted on exchanges with more stringent listing requirements, such as the main market of the London Stock Exchange or Nasdaq. This is because AIM imposes less stringent corporate governance and ongoing reporting requirements than these other exchanges. In addition, AIM requires only half-yearly financial reporting, rather than the quarterly financial reporting required for domestic U.S.-listed companies. You should be aware that the value of our ordinary shares may be influenced by many factors, some of which may be specific to us and some of which may affect AIM-quoted companies generally, including the depth and liquidity of the market, our performance, a large or small volume of trading in our ordinary shares, legislative changes, and general economic, political, or regulatory conditions, and that prices may be volatile and subject to significant fluctuations. Therefore, the market price of our ADSs, our ordinary shares, or the ordinary shares underlying our ADSs may not reflect the underlying value of our company.</w:t>
      </w:r>
    </w:p>
    <w:p>
      <w:pPr>
        <w:spacing w:after="0" w:line="185" w:lineRule="exact"/>
        <w:rPr>
          <w:sz w:val="20"/>
          <w:szCs w:val="20"/>
          <w:color w:val="auto"/>
        </w:rPr>
      </w:pPr>
    </w:p>
    <w:p>
      <w:pPr>
        <w:ind w:left="200" w:right="120"/>
        <w:spacing w:after="0" w:line="271" w:lineRule="auto"/>
        <w:rPr>
          <w:sz w:val="20"/>
          <w:szCs w:val="20"/>
          <w:color w:val="auto"/>
        </w:rPr>
      </w:pPr>
      <w:r>
        <w:rPr>
          <w:rFonts w:ascii="Arial" w:cs="Arial" w:eastAsia="Arial" w:hAnsi="Arial"/>
          <w:sz w:val="18"/>
          <w:szCs w:val="18"/>
          <w:b w:val="1"/>
          <w:bCs w:val="1"/>
          <w:i w:val="1"/>
          <w:iCs w:val="1"/>
          <w:color w:val="auto"/>
        </w:rPr>
        <w:t>Purchasers of ADSs in the U.S. offering may not have the same voting rights as the holders of our ordinary shares and may not receive voting materials in time to be able to exercise their right to vote.</w:t>
      </w:r>
    </w:p>
    <w:p>
      <w:pPr>
        <w:spacing w:after="0" w:line="27"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Except as described in this prospectus, holders of our ADSs will not be able to exercise voting rights attaching to the ordinary shares represented by our ADSs on an individual basis. Holders of our ADSs will appoint the depositary or its nominee as their representative to exercise the voting rights attaching to the ordinary shares represented by our ADSs. Purchasers of ADSs in the U.S. offering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purchasers of ADSs in the U.S. offering may not be able to exercise voting rights and may lack recourse if their ADSs are not voted as requested. In addition, in their capacity as ADS holders, purchasers of ADSs in the U.S. offering will not be able to call a shareholders’ meeting.</w:t>
      </w:r>
    </w:p>
    <w:p>
      <w:pPr>
        <w:spacing w:after="0" w:line="185" w:lineRule="exact"/>
        <w:rPr>
          <w:sz w:val="20"/>
          <w:szCs w:val="20"/>
          <w:color w:val="auto"/>
        </w:rPr>
      </w:pPr>
    </w:p>
    <w:p>
      <w:pPr>
        <w:ind w:left="200" w:right="280"/>
        <w:spacing w:after="0" w:line="271" w:lineRule="auto"/>
        <w:rPr>
          <w:sz w:val="20"/>
          <w:szCs w:val="20"/>
          <w:color w:val="auto"/>
        </w:rPr>
      </w:pPr>
      <w:r>
        <w:rPr>
          <w:rFonts w:ascii="Arial" w:cs="Arial" w:eastAsia="Arial" w:hAnsi="Arial"/>
          <w:sz w:val="18"/>
          <w:szCs w:val="18"/>
          <w:b w:val="1"/>
          <w:bCs w:val="1"/>
          <w:i w:val="1"/>
          <w:iCs w:val="1"/>
          <w:color w:val="auto"/>
        </w:rPr>
        <w:t>Purchasers of ADSs in the U.S. offering may not receive distributions on our ordinary shares represented by our ADSs or any value for them if it is illegal or impractical to make them available to holders of ADSs.</w:t>
      </w:r>
    </w:p>
    <w:p>
      <w:pPr>
        <w:spacing w:after="0" w:line="41"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depositary for our ADSs has agreed to pay to purchasers of ADSs in the U.S. offering cash dividends or other distributions it or the custodian receives on our ordinary shares after deducting its fees and expenses. Purchasers of our ADSs will receive these distributions in proportion to the number of our ordinary shares their ADSs represent. However, in accordance with the limitations set forth in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the deposit agreement, it may be unlawful or impractical to make a distribution available to holders of ADSs. We have no obligation to take any other action to permit the distribution of our ADSs, ordinary shares, rights or anything else to holders of our ADSs. This means that purchasers of ADSs in the U.S. offering may not receive the distributions we make on our ordinary shares or any value from them if it is unlawful or impractical to make them available to them. These restrictions may negatively impact the value of our ADSs.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Purchasers of ADSs in the U.S. offering may be subject to limitations on transfer of their ADSs.</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U.K. Companies Act 2006, and by our Articles of Association. These rights differ in certain respects from the rights of shareholders in typical U.S. corporations. See “Description of Share Capital and Articles of Association—Differences in Corporate Law” and “Description of Share Capital and Articles of Association—Articles of Association— Other U.K. Law Considerations—City Code on Takeovers and Mergers.” in this prospectus for a description of the principal differences between the provisions of the U.K. Companies Act 2006 applicable to us and, for example, the Delaware General Corporation Law relating to shareholders’ rights and protections.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85"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202"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English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181" w:lineRule="exact"/>
        <w:rPr>
          <w:sz w:val="20"/>
          <w:szCs w:val="20"/>
          <w:color w:val="auto"/>
        </w:rPr>
      </w:pPr>
    </w:p>
    <w:p>
      <w:pPr>
        <w:jc w:val="both"/>
        <w:ind w:left="200" w:right="80"/>
        <w:spacing w:after="0" w:line="253" w:lineRule="auto"/>
        <w:rPr>
          <w:sz w:val="20"/>
          <w:szCs w:val="20"/>
          <w:color w:val="auto"/>
        </w:rPr>
      </w:pPr>
      <w:r>
        <w:rPr>
          <w:rFonts w:ascii="Arial" w:cs="Arial" w:eastAsia="Arial" w:hAnsi="Arial"/>
          <w:sz w:val="18"/>
          <w:szCs w:val="18"/>
          <w:b w:val="1"/>
          <w:bCs w:val="1"/>
          <w:i w:val="1"/>
          <w:iCs w:val="1"/>
          <w:color w:val="auto"/>
        </w:rPr>
        <w:t>We qualify as a foreign private issuer and, as a result, we will not be subject to U.S. proxy rules and will be subject to reporting obligations under the Securities Exchange Act of 1934, as amended, or the Exchange Act, that, to some extent, are more lenient and less frequent than those of a U.S. domestic public company.</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Upon the closing of the U.S. offering, 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also are exempt from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83" w:lineRule="exact"/>
        <w:rPr>
          <w:sz w:val="20"/>
          <w:szCs w:val="20"/>
          <w:color w:val="auto"/>
        </w:rPr>
      </w:pPr>
    </w:p>
    <w:p>
      <w:pPr>
        <w:ind w:left="200" w:right="300"/>
        <w:spacing w:after="0" w:line="271"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may follow U.K. corporate governance rules instead of the corporate governance requirements of Nasdaq.</w:t>
      </w:r>
    </w:p>
    <w:p>
      <w:pPr>
        <w:spacing w:after="0" w:line="27" w:lineRule="exact"/>
        <w:rPr>
          <w:sz w:val="20"/>
          <w:szCs w:val="20"/>
          <w:color w:val="auto"/>
        </w:rPr>
      </w:pPr>
    </w:p>
    <w:p>
      <w:pPr>
        <w:ind w:left="200" w:right="740" w:firstLine="331"/>
        <w:spacing w:after="0" w:line="275" w:lineRule="auto"/>
        <w:rPr>
          <w:sz w:val="20"/>
          <w:szCs w:val="20"/>
          <w:color w:val="auto"/>
        </w:rPr>
      </w:pPr>
      <w:r>
        <w:rPr>
          <w:rFonts w:ascii="Arial" w:cs="Arial" w:eastAsia="Arial" w:hAnsi="Arial"/>
          <w:sz w:val="17"/>
          <w:szCs w:val="17"/>
          <w:color w:val="auto"/>
        </w:rPr>
        <w:t>As a foreign private issuer, we may follow our home country corporate governance rules instead of the corporate governance requirements of Nasdaq. For example, we are exempt from Nasdaq regulations that require a listed U.S. company to:</w:t>
      </w:r>
    </w:p>
    <w:p>
      <w:pPr>
        <w:spacing w:after="0" w:line="164" w:lineRule="exact"/>
        <w:rPr>
          <w:sz w:val="20"/>
          <w:szCs w:val="20"/>
          <w:color w:val="auto"/>
        </w:rPr>
      </w:pPr>
    </w:p>
    <w:p>
      <w:pPr>
        <w:ind w:left="960" w:hanging="432"/>
        <w:spacing w:after="0"/>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have a majority of the board of directors consist of independent directors;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require non-management directors to meet on a regular basis without management present;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promptly disclose any waivers of the code for directors or executive officers that should address certain specified items;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have an independent nominating committee;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solicit proxies and provide proxy statements for all shareholder meetings;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shareholder approval for the implementation of certain equity compensation plans and issuances of ordinary shares.</w:t>
      </w:r>
    </w:p>
    <w:p>
      <w:pPr>
        <w:spacing w:after="0" w:line="203"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For an overview of our corporate governance principles, including those which comply with certain of the requirements above, see “Description of Share Capital and Articles of Association—Articles of Association.”</w:t>
      </w:r>
    </w:p>
    <w:p>
      <w:pPr>
        <w:spacing w:after="0" w:line="197" w:lineRule="exact"/>
        <w:rPr>
          <w:sz w:val="20"/>
          <w:szCs w:val="20"/>
          <w:color w:val="auto"/>
        </w:rPr>
      </w:pPr>
    </w:p>
    <w:p>
      <w:pPr>
        <w:ind w:left="200" w:right="360" w:firstLine="331"/>
        <w:spacing w:after="0" w:line="238" w:lineRule="auto"/>
        <w:rPr>
          <w:sz w:val="20"/>
          <w:szCs w:val="20"/>
          <w:color w:val="auto"/>
        </w:rPr>
      </w:pPr>
      <w:r>
        <w:rPr>
          <w:rFonts w:ascii="Arial" w:cs="Arial" w:eastAsia="Arial" w:hAnsi="Arial"/>
          <w:sz w:val="18"/>
          <w:szCs w:val="18"/>
          <w:color w:val="auto"/>
        </w:rPr>
        <w:t>In accordance with our Nasdaq listing, our Audit Committee is required to comply with the provisions of Section 301 of the Sarbanes-Oxley Act of 2002 and Rule 10A-3 of the Exchange Act, both of which also are applicable to Nasdaq-listed U.S. companies. Because we are a foreign private issuer, however, our Audit Committee is not subject to additional Nasdaq requirements applicable to listed U.S. companies, including an affirmative determination that all members of the Audit Committee are “independent” using more stringent criteria than those applicable to us as a foreign private issuer.</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To the extent we determine to follow U.K. corporate governance practices instead of Nasdaq governance requirements, you may not have the same protections afforded to shareholders of companies that are subject to these Nasdaq requirements.</w:t>
      </w:r>
    </w:p>
    <w:p>
      <w:pPr>
        <w:spacing w:after="0" w:line="175" w:lineRule="exact"/>
        <w:rPr>
          <w:sz w:val="20"/>
          <w:szCs w:val="20"/>
          <w:color w:val="auto"/>
        </w:rPr>
      </w:pPr>
    </w:p>
    <w:p>
      <w:pPr>
        <w:ind w:left="200" w:right="740"/>
        <w:spacing w:after="0" w:line="271"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4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order to maintain our current status as a foreign private issuer, either (a) a majority of our ordinary shares, including ordinary shares in the form of ADSs, must be either directly or indirectly owned of record by non-residents of the United States or (b)(i) a majority of our executive officers or directors are not U.S. citizens or residents, (ii) more than 50 percent of our assets must be located outside the United States and (iii) our business must be administered principally outside the United States. 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the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81"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ADSs or ordinary shares less attractive to investors.</w:t>
      </w:r>
    </w:p>
    <w:p>
      <w:pPr>
        <w:spacing w:after="0" w:line="2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exemptions from the requirements of holding a nonbinding advisory vote on executive compensation and shareholder approval of any golden parachute payments not previously approved. As an emerging growth company, we are required to report only two years of financial results and selected financial data in this prospectus compared to three and five years, respectively, for comparable data reported by other public companies. We may take advantage of these exemptions until we are no longer an emerging growth company. We could be an emerging growth company for up to five years, although circumstances could cause us to lose that status earlier, including if the aggregate market value of our ADSs and ordinary shares held by non-affiliates exceeds $700 million as of any June 30 (the end of our second fiscal quarter) before that time, in which case we would no longer be an emerging growth company as of the following December 31 (our fiscal year-end). We cannot predict if investors will find our ADSs or ordinary shares less attractive because we may rely on these exemptions. If some investors find our ADSs or ordinary shares less attractive as a result, there may be a less active trading market for our ADSs or ordinary shares and the price of our ADSs or ordinary shares may be more volatile.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40"/>
        <w:spacing w:after="0" w:line="25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 or ordinary shares.</w:t>
      </w:r>
    </w:p>
    <w:p>
      <w:pPr>
        <w:spacing w:after="0" w:line="56"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ADSs or ordinary shares.</w:t>
      </w:r>
    </w:p>
    <w:p>
      <w:pPr>
        <w:spacing w:after="0" w:line="208"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Management will be required to assess the effectiveness of our internal controls annually. However, for as long as we are an “emerging growth company” under the JOBS Act,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183"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ADSs and ordinary shares and our trading volume could decline.</w:t>
      </w:r>
    </w:p>
    <w:p>
      <w:pPr>
        <w:spacing w:after="0" w:line="27" w:lineRule="exact"/>
        <w:rPr>
          <w:sz w:val="20"/>
          <w:szCs w:val="20"/>
          <w:color w:val="auto"/>
        </w:rPr>
      </w:pPr>
    </w:p>
    <w:p>
      <w:pPr>
        <w:ind w:left="200" w:right="60" w:firstLine="331"/>
        <w:spacing w:after="0" w:line="253" w:lineRule="auto"/>
        <w:rPr>
          <w:sz w:val="20"/>
          <w:szCs w:val="20"/>
          <w:color w:val="auto"/>
        </w:rPr>
      </w:pPr>
      <w:r>
        <w:rPr>
          <w:rFonts w:ascii="Arial" w:cs="Arial" w:eastAsia="Arial" w:hAnsi="Arial"/>
          <w:sz w:val="17"/>
          <w:szCs w:val="17"/>
          <w:color w:val="auto"/>
        </w:rPr>
        <w:t>The trading market for our ADSs and ordinary shares will depend in part on the research and reports that securities or industry analysts publish about us or our business. If no or too few securities or industry analysts commence or continue coverage on us, the trading price for our ADSs and ordinary shares would likely be negatively affected. If one or more of the analysts who cover us downgrade our ADSs or ordinary shares or publish inaccurate or unfavorable research about our business, the price of our ADSs and ordinary shares would likely decline. If one or more of these analysts cease coverage of us or fail to publish reports on us regularly, demand for our ADSs or ordinary shares could decrease, which might cause the price of our ADSs and ordinary shares and trading volume to decline.</w:t>
      </w:r>
    </w:p>
    <w:p>
      <w:pPr>
        <w:spacing w:after="0" w:line="173" w:lineRule="exact"/>
        <w:rPr>
          <w:sz w:val="20"/>
          <w:szCs w:val="20"/>
          <w:color w:val="auto"/>
        </w:rPr>
      </w:pPr>
    </w:p>
    <w:p>
      <w:pPr>
        <w:jc w:val="both"/>
        <w:ind w:left="200" w:right="420"/>
        <w:spacing w:after="0" w:line="253" w:lineRule="auto"/>
        <w:rPr>
          <w:sz w:val="20"/>
          <w:szCs w:val="20"/>
          <w:color w:val="auto"/>
        </w:rPr>
      </w:pPr>
      <w:r>
        <w:rPr>
          <w:rFonts w:ascii="Arial" w:cs="Arial" w:eastAsia="Arial" w:hAnsi="Arial"/>
          <w:sz w:val="18"/>
          <w:szCs w:val="18"/>
          <w:b w:val="1"/>
          <w:bCs w:val="1"/>
          <w:i w:val="1"/>
          <w:iCs w:val="1"/>
          <w:color w:val="auto"/>
        </w:rPr>
        <w:t>We believe we will likely be classified as a passive foreign investment company for U.S. federal income tax purposes for the current year, which could result in adverse U.S. federal income tax consequences to U.S. investors in our ADSs or ordinary shares.</w:t>
      </w:r>
    </w:p>
    <w:p>
      <w:pPr>
        <w:spacing w:after="0" w:line="4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Because we do not expect to earn revenue from our business operations during the current taxable year, and because our sole source of income currently is interest on bank accounts held by us, we believe we will likely be classified as a “passive foreign investment company,” or PFIC, for the current taxable year. A non-U.S. company will be considered a PFIC for any taxable year if (i) at least 75% of its gross income is passive income (including interest income), or (ii) at least 50% of the value of its assets (based on an average of the quarterly values of the assets during a taxable year) is attributable to assets that produce or are held for the production of passive income. If we are classified as a PFIC in any year with respect to which a U.S. Holder (as defined below under “Material Tax Considerations—U.S. Federal Income Taxation”) owns our ADSs or ordinary shares, we will continue to be treated as a PFIC with respect to such U.S. Holder in all succeeding years during which the U.S. Holder owns ADSs or ordinary shares, regardless of whether we continue to meet the PFIC test</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described above, unless the U.S. Holder makes a specified election once we cease to be a PFIC. If we are classified as a PFIC for any taxable year during which a U.S. Holder holds our ADSs or ordinary shares, certain adverse U.S. federal income tax consequences could apply to such U.S. Holder, including (i) the treatment of all or a portion of any gain on disposition as ordinary income, (ii) the application of a deferred interest charge on such gain and the receipt of certain dividends and (iii) the obligation to comply with certain reporting requirements. See “Material Tax Considerations—Passive Foreign Investment Company Rules.”</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240" w:top="459" w:right="5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42"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This prospectus contains statements that constitute forward-looking statements. Many of the forward-looking statements contained in this prospectus can be identified by the use of forward-looking words such as “anticipate,” “believe,” “could,” “estimate,” “expect,” “intend,” “plan,” “potential” and “should,” among others.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960" w:right="660" w:hanging="432"/>
        <w:spacing w:after="0" w:line="218"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 of our product candidates and their competitive position;</w:t>
      </w:r>
    </w:p>
    <w:p>
      <w:pPr>
        <w:spacing w:after="0" w:line="26" w:lineRule="exact"/>
        <w:rPr>
          <w:rFonts w:ascii="MS PGothic" w:cs="MS PGothic" w:eastAsia="MS PGothic" w:hAnsi="MS PGothic"/>
          <w:sz w:val="25"/>
          <w:szCs w:val="25"/>
          <w:color w:val="auto"/>
          <w:vertAlign w:val="superscript"/>
        </w:rPr>
      </w:pPr>
    </w:p>
    <w:p>
      <w:pPr>
        <w:ind w:left="960" w:right="380" w:hanging="432"/>
        <w:spacing w:after="0" w:line="218"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expectations regarding the use of proceeds from the global offering;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acquire or in-license new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strategic relationships;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03"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3"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60"/>
          </w:cols>
          <w:pgMar w:left="24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MARKET AND INDUSTRY DATA</w:t>
      </w:r>
    </w:p>
    <w:p>
      <w:pPr>
        <w:spacing w:after="0" w:line="34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Certain industry data and market data included in this prospectus were obtained from independent third-party surveys, market research, publicly available information, reports of governmental agencies, and industry publications and surveys. All of the market data used in this prospectus involves a number of assumptions and limitations, and you are cautioned not to give undue weight to such estimates. We believe that the information from these industry publications and surveys included in this prospectus is reliable. The industry in which we operate is subject to a high degree of uncertainty and risk due to a variety of factors, including those described in “Risk Factors.” These and other factors could cause results to differ materially from those expressed in the estimates made by the independent parties and by us.</w:t>
      </w:r>
    </w:p>
    <w:p>
      <w:pPr>
        <w:spacing w:after="0" w:line="13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240" w:top="459" w:right="6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33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 xml:space="preserve">Solely for convenience, the trademarks, service marks, logos and trade names referred to in this prospectus are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24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EXCHANGE RATE INFORMATION</w:t>
      </w:r>
    </w:p>
    <w:p>
      <w:pPr>
        <w:spacing w:after="0" w:line="342"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The following table presents information on the exchange rates between the pound sterling and the U.S. dollar for the periods indicated. Such U.S. dollar amounts are not necessarily indicative of the amounts of U.S. dollars that could actually have been purchased upon exchange of pounds sterling at the dates indicated.</w:t>
      </w: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jc w:val="right"/>
              <w:ind w:right="177"/>
              <w:spacing w:after="0"/>
              <w:rPr>
                <w:sz w:val="20"/>
                <w:szCs w:val="20"/>
                <w:color w:val="auto"/>
              </w:rPr>
            </w:pPr>
            <w:r>
              <w:rPr>
                <w:rFonts w:ascii="Arial" w:cs="Arial" w:eastAsia="Arial" w:hAnsi="Arial"/>
                <w:sz w:val="14"/>
                <w:szCs w:val="14"/>
                <w:b w:val="1"/>
                <w:bCs w:val="1"/>
                <w:color w:val="auto"/>
              </w:rPr>
              <w:t>Average for</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59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9"/>
              </w:rPr>
              <w:t>Period-end(1)</w:t>
            </w:r>
          </w:p>
        </w:tc>
        <w:tc>
          <w:tcPr>
            <w:tcW w:w="1440" w:type="dxa"/>
            <w:vAlign w:val="bottom"/>
          </w:tcPr>
          <w:p>
            <w:pPr>
              <w:jc w:val="right"/>
              <w:ind w:right="257"/>
              <w:spacing w:after="0"/>
              <w:rPr>
                <w:sz w:val="20"/>
                <w:szCs w:val="20"/>
                <w:color w:val="auto"/>
              </w:rPr>
            </w:pPr>
            <w:r>
              <w:rPr>
                <w:rFonts w:ascii="Arial" w:cs="Arial" w:eastAsia="Arial" w:hAnsi="Arial"/>
                <w:sz w:val="14"/>
                <w:szCs w:val="14"/>
                <w:b w:val="1"/>
                <w:bCs w:val="1"/>
                <w:color w:val="auto"/>
              </w:rPr>
              <w:t>period(2)</w:t>
            </w:r>
          </w:p>
        </w:tc>
        <w:tc>
          <w:tcPr>
            <w:tcW w:w="1080" w:type="dxa"/>
            <w:vAlign w:val="bottom"/>
          </w:tcPr>
          <w:p>
            <w:pPr>
              <w:jc w:val="right"/>
              <w:ind w:right="333"/>
              <w:spacing w:after="0"/>
              <w:rPr>
                <w:sz w:val="20"/>
                <w:szCs w:val="20"/>
                <w:color w:val="auto"/>
              </w:rPr>
            </w:pPr>
            <w:r>
              <w:rPr>
                <w:rFonts w:ascii="Arial" w:cs="Arial" w:eastAsia="Arial" w:hAnsi="Arial"/>
                <w:sz w:val="14"/>
                <w:szCs w:val="14"/>
                <w:b w:val="1"/>
                <w:bCs w:val="1"/>
                <w:color w:val="auto"/>
              </w:rPr>
              <w:t>Low</w:t>
            </w:r>
          </w:p>
        </w:tc>
        <w:tc>
          <w:tcPr>
            <w:tcW w:w="860" w:type="dxa"/>
            <w:vAlign w:val="bottom"/>
            <w:gridSpan w:val="2"/>
          </w:tcPr>
          <w:p>
            <w:pPr>
              <w:ind w:left="340"/>
              <w:spacing w:after="0"/>
              <w:rPr>
                <w:sz w:val="20"/>
                <w:szCs w:val="20"/>
                <w:color w:val="auto"/>
              </w:rPr>
            </w:pPr>
            <w:r>
              <w:rPr>
                <w:rFonts w:ascii="Arial" w:cs="Arial" w:eastAsia="Arial" w:hAnsi="Arial"/>
                <w:sz w:val="14"/>
                <w:szCs w:val="14"/>
                <w:b w:val="1"/>
                <w:bCs w:val="1"/>
                <w:color w:val="auto"/>
              </w:rPr>
              <w:t>High</w:t>
            </w:r>
          </w:p>
        </w:tc>
      </w:tr>
      <w:tr>
        <w:trPr>
          <w:trHeight w:val="184"/>
        </w:trPr>
        <w:tc>
          <w:tcPr>
            <w:tcW w:w="59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520" w:type="dxa"/>
            <w:vAlign w:val="bottom"/>
            <w:tcBorders>
              <w:top w:val="single" w:sz="8" w:color="auto"/>
            </w:tcBorders>
            <w:gridSpan w:val="2"/>
          </w:tcPr>
          <w:p>
            <w:pPr>
              <w:jc w:val="right"/>
              <w:ind w:right="173"/>
              <w:spacing w:after="0"/>
              <w:rPr>
                <w:sz w:val="20"/>
                <w:szCs w:val="20"/>
                <w:color w:val="auto"/>
              </w:rPr>
            </w:pPr>
            <w:r>
              <w:rPr>
                <w:rFonts w:ascii="Arial" w:cs="Arial" w:eastAsia="Arial" w:hAnsi="Arial"/>
                <w:sz w:val="14"/>
                <w:szCs w:val="14"/>
                <w:b w:val="1"/>
                <w:bCs w:val="1"/>
                <w:color w:val="auto"/>
              </w:rPr>
              <w:t>(U.S. dollars per pound sterling)</w:t>
            </w: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7"/>
        </w:trPr>
        <w:tc>
          <w:tcPr>
            <w:tcW w:w="5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w:t>
            </w:r>
          </w:p>
        </w:tc>
        <w:tc>
          <w:tcPr>
            <w:tcW w:w="10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1.6574</w:t>
            </w:r>
          </w:p>
        </w:tc>
        <w:tc>
          <w:tcPr>
            <w:tcW w:w="144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1.5641</w:t>
            </w: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1.4837</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1.6574</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1.5578</w:t>
            </w:r>
          </w:p>
        </w:tc>
        <w:tc>
          <w:tcPr>
            <w:tcW w:w="144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1.6484</w:t>
            </w: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1.5517</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1.7165</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1.4746</w:t>
            </w:r>
          </w:p>
        </w:tc>
        <w:tc>
          <w:tcPr>
            <w:tcW w:w="144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1.5284</w:t>
            </w: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1.4648</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1.5882</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1.2337</w:t>
            </w:r>
          </w:p>
        </w:tc>
        <w:tc>
          <w:tcPr>
            <w:tcW w:w="144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1.3555</w:t>
            </w: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1.2155</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1.4800</w:t>
            </w:r>
          </w:p>
        </w:tc>
      </w:tr>
      <w:tr>
        <w:trPr>
          <w:trHeight w:val="217"/>
        </w:trPr>
        <w:tc>
          <w:tcPr>
            <w:tcW w:w="5980" w:type="dxa"/>
            <w:vAlign w:val="bottom"/>
          </w:tcPr>
          <w:p>
            <w:pPr>
              <w:spacing w:after="0"/>
              <w:rPr>
                <w:sz w:val="20"/>
                <w:szCs w:val="20"/>
                <w:color w:val="auto"/>
              </w:rPr>
            </w:pPr>
            <w:r>
              <w:rPr>
                <w:rFonts w:ascii="Arial" w:cs="Arial" w:eastAsia="Arial" w:hAnsi="Arial"/>
                <w:sz w:val="18"/>
                <w:szCs w:val="18"/>
                <w:color w:val="auto"/>
              </w:rPr>
              <w:t>2017</w:t>
            </w:r>
          </w:p>
        </w:tc>
        <w:tc>
          <w:tcPr>
            <w:tcW w:w="1000" w:type="dxa"/>
            <w:vAlign w:val="bottom"/>
          </w:tcPr>
          <w:p>
            <w:pPr>
              <w:jc w:val="right"/>
              <w:spacing w:after="0"/>
              <w:rPr>
                <w:sz w:val="20"/>
                <w:szCs w:val="20"/>
                <w:color w:val="auto"/>
              </w:rPr>
            </w:pPr>
            <w:r>
              <w:rPr>
                <w:rFonts w:ascii="Arial" w:cs="Arial" w:eastAsia="Arial" w:hAnsi="Arial"/>
                <w:sz w:val="18"/>
                <w:szCs w:val="18"/>
                <w:color w:val="auto"/>
              </w:rPr>
              <w:t>1.3529</w:t>
            </w:r>
          </w:p>
        </w:tc>
        <w:tc>
          <w:tcPr>
            <w:tcW w:w="1440" w:type="dxa"/>
            <w:vAlign w:val="bottom"/>
          </w:tcPr>
          <w:p>
            <w:pPr>
              <w:jc w:val="right"/>
              <w:ind w:right="177"/>
              <w:spacing w:after="0"/>
              <w:rPr>
                <w:sz w:val="20"/>
                <w:szCs w:val="20"/>
                <w:color w:val="auto"/>
              </w:rPr>
            </w:pPr>
            <w:r>
              <w:rPr>
                <w:rFonts w:ascii="Arial" w:cs="Arial" w:eastAsia="Arial" w:hAnsi="Arial"/>
                <w:sz w:val="18"/>
                <w:szCs w:val="18"/>
                <w:color w:val="auto"/>
              </w:rPr>
              <w:t>1.2890</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1.2118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1.3578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4" w:lineRule="exact"/>
        <w:rPr>
          <w:sz w:val="20"/>
          <w:szCs w:val="20"/>
          <w:color w:val="auto"/>
        </w:rPr>
      </w:pPr>
    </w:p>
    <w:p>
      <w:pPr>
        <w:ind w:left="520" w:hanging="316"/>
        <w:spacing w:after="0" w:line="246"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event that the period end fell on a day for which data are not available, the exchange rate on the prior most recent business day is given.</w:t>
      </w:r>
    </w:p>
    <w:p>
      <w:pPr>
        <w:spacing w:after="0" w:line="21" w:lineRule="exact"/>
        <w:rPr>
          <w:rFonts w:ascii="Arial" w:cs="Arial" w:eastAsia="Arial" w:hAnsi="Arial"/>
          <w:sz w:val="18"/>
          <w:szCs w:val="18"/>
          <w:color w:val="auto"/>
        </w:rPr>
      </w:pPr>
    </w:p>
    <w:p>
      <w:pPr>
        <w:ind w:left="520" w:right="180" w:hanging="316"/>
        <w:spacing w:after="0" w:line="246"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average of the noon buying rate of the Federal Reserve Bank of New York for pounds sterling on the last day of each full month during the relevant year or each business day during the relevant month indicated.</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7500" w:type="dxa"/>
            <w:vAlign w:val="bottom"/>
          </w:tcPr>
          <w:p>
            <w:pPr>
              <w:spacing w:after="0"/>
              <w:rPr>
                <w:sz w:val="15"/>
                <w:szCs w:val="15"/>
                <w:color w:val="auto"/>
              </w:rPr>
            </w:pPr>
          </w:p>
        </w:tc>
        <w:tc>
          <w:tcPr>
            <w:tcW w:w="1520" w:type="dxa"/>
            <w:vAlign w:val="bottom"/>
          </w:tcPr>
          <w:p>
            <w:pPr>
              <w:jc w:val="right"/>
              <w:ind w:right="834"/>
              <w:spacing w:after="0"/>
              <w:rPr>
                <w:sz w:val="20"/>
                <w:szCs w:val="20"/>
                <w:color w:val="auto"/>
              </w:rPr>
            </w:pPr>
            <w:r>
              <w:rPr>
                <w:rFonts w:ascii="Arial" w:cs="Arial" w:eastAsia="Arial" w:hAnsi="Arial"/>
                <w:sz w:val="14"/>
                <w:szCs w:val="14"/>
                <w:b w:val="1"/>
                <w:bCs w:val="1"/>
                <w:color w:val="auto"/>
              </w:rPr>
              <w:t>Low</w:t>
            </w:r>
          </w:p>
        </w:tc>
        <w:tc>
          <w:tcPr>
            <w:tcW w:w="1340" w:type="dxa"/>
            <w:vAlign w:val="bottom"/>
            <w:gridSpan w:val="2"/>
          </w:tcPr>
          <w:p>
            <w:pPr>
              <w:ind w:left="600"/>
              <w:spacing w:after="0"/>
              <w:rPr>
                <w:sz w:val="20"/>
                <w:szCs w:val="20"/>
                <w:color w:val="auto"/>
              </w:rPr>
            </w:pPr>
            <w:r>
              <w:rPr>
                <w:rFonts w:ascii="Arial" w:cs="Arial" w:eastAsia="Arial" w:hAnsi="Arial"/>
                <w:sz w:val="14"/>
                <w:szCs w:val="14"/>
                <w:b w:val="1"/>
                <w:bCs w:val="1"/>
                <w:color w:val="auto"/>
              </w:rPr>
              <w:t>High</w:t>
            </w:r>
          </w:p>
        </w:tc>
      </w:tr>
      <w:tr>
        <w:trPr>
          <w:trHeight w:val="184"/>
        </w:trPr>
        <w:tc>
          <w:tcPr>
            <w:tcW w:w="7500" w:type="dxa"/>
            <w:vAlign w:val="bottom"/>
          </w:tcPr>
          <w:p>
            <w:pPr>
              <w:spacing w:after="0"/>
              <w:rPr>
                <w:sz w:val="15"/>
                <w:szCs w:val="15"/>
                <w:color w:val="auto"/>
              </w:rPr>
            </w:pPr>
          </w:p>
        </w:tc>
        <w:tc>
          <w:tcPr>
            <w:tcW w:w="2800" w:type="dxa"/>
            <w:vAlign w:val="bottom"/>
            <w:tcBorders>
              <w:top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(U.S. dollars per pound sterling)</w:t>
            </w:r>
          </w:p>
        </w:tc>
        <w:tc>
          <w:tcPr>
            <w:tcW w:w="60" w:type="dxa"/>
            <w:vAlign w:val="bottom"/>
          </w:tcPr>
          <w:p>
            <w:pPr>
              <w:spacing w:after="0"/>
              <w:rPr>
                <w:sz w:val="15"/>
                <w:szCs w:val="15"/>
                <w:color w:val="auto"/>
              </w:rPr>
            </w:pPr>
          </w:p>
        </w:tc>
      </w:tr>
      <w:tr>
        <w:trPr>
          <w:trHeight w:val="147"/>
        </w:trPr>
        <w:tc>
          <w:tcPr>
            <w:tcW w:w="7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Month Ended:</w:t>
            </w:r>
          </w:p>
        </w:tc>
        <w:tc>
          <w:tcPr>
            <w:tcW w:w="1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August 31, 2017</w:t>
            </w:r>
          </w:p>
        </w:tc>
        <w:tc>
          <w:tcPr>
            <w:tcW w:w="1520" w:type="dxa"/>
            <w:vAlign w:val="bottom"/>
          </w:tcPr>
          <w:p>
            <w:pPr>
              <w:jc w:val="right"/>
              <w:ind w:right="514"/>
              <w:spacing w:after="0" w:line="202" w:lineRule="exact"/>
              <w:rPr>
                <w:sz w:val="20"/>
                <w:szCs w:val="20"/>
                <w:color w:val="auto"/>
              </w:rPr>
            </w:pPr>
            <w:r>
              <w:rPr>
                <w:rFonts w:ascii="Arial" w:cs="Arial" w:eastAsia="Arial" w:hAnsi="Arial"/>
                <w:sz w:val="18"/>
                <w:szCs w:val="18"/>
                <w:color w:val="auto"/>
              </w:rPr>
              <w:t>1.2787</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1.3236</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30, 2017</w:t>
            </w:r>
          </w:p>
        </w:tc>
        <w:tc>
          <w:tcPr>
            <w:tcW w:w="152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1.2972</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1.3578</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October 31, 2017</w:t>
            </w:r>
          </w:p>
        </w:tc>
        <w:tc>
          <w:tcPr>
            <w:tcW w:w="1520" w:type="dxa"/>
            <w:vAlign w:val="bottom"/>
          </w:tcPr>
          <w:p>
            <w:pPr>
              <w:jc w:val="right"/>
              <w:ind w:right="514"/>
              <w:spacing w:after="0" w:line="202" w:lineRule="exact"/>
              <w:rPr>
                <w:sz w:val="20"/>
                <w:szCs w:val="20"/>
                <w:color w:val="auto"/>
              </w:rPr>
            </w:pPr>
            <w:r>
              <w:rPr>
                <w:rFonts w:ascii="Arial" w:cs="Arial" w:eastAsia="Arial" w:hAnsi="Arial"/>
                <w:sz w:val="18"/>
                <w:szCs w:val="18"/>
                <w:color w:val="auto"/>
              </w:rPr>
              <w:t>1.3063</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1.3304</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November 2017</w:t>
            </w:r>
          </w:p>
        </w:tc>
        <w:tc>
          <w:tcPr>
            <w:tcW w:w="152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1.3067</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1.3506</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December 2017</w:t>
            </w:r>
          </w:p>
        </w:tc>
        <w:tc>
          <w:tcPr>
            <w:tcW w:w="1520" w:type="dxa"/>
            <w:vAlign w:val="bottom"/>
          </w:tcPr>
          <w:p>
            <w:pPr>
              <w:jc w:val="right"/>
              <w:ind w:right="514"/>
              <w:spacing w:after="0" w:line="202" w:lineRule="exact"/>
              <w:rPr>
                <w:sz w:val="20"/>
                <w:szCs w:val="20"/>
                <w:color w:val="auto"/>
              </w:rPr>
            </w:pPr>
            <w:r>
              <w:rPr>
                <w:rFonts w:ascii="Arial" w:cs="Arial" w:eastAsia="Arial" w:hAnsi="Arial"/>
                <w:sz w:val="18"/>
                <w:szCs w:val="18"/>
                <w:color w:val="auto"/>
              </w:rPr>
              <w:t>1.3316</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1.3529</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January 2018</w:t>
            </w:r>
          </w:p>
        </w:tc>
        <w:tc>
          <w:tcPr>
            <w:tcW w:w="152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1.3513</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1.4264</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February 2018</w:t>
            </w:r>
          </w:p>
        </w:tc>
        <w:tc>
          <w:tcPr>
            <w:tcW w:w="1520" w:type="dxa"/>
            <w:vAlign w:val="bottom"/>
          </w:tcPr>
          <w:p>
            <w:pPr>
              <w:jc w:val="right"/>
              <w:ind w:right="514"/>
              <w:spacing w:after="0" w:line="202" w:lineRule="exact"/>
              <w:rPr>
                <w:sz w:val="20"/>
                <w:szCs w:val="20"/>
                <w:color w:val="auto"/>
              </w:rPr>
            </w:pPr>
            <w:r>
              <w:rPr>
                <w:rFonts w:ascii="Arial" w:cs="Arial" w:eastAsia="Arial" w:hAnsi="Arial"/>
                <w:sz w:val="18"/>
                <w:szCs w:val="18"/>
                <w:color w:val="auto"/>
              </w:rPr>
              <w:t>1.3794</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1.4247</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2018 (through March 9)</w:t>
            </w:r>
          </w:p>
        </w:tc>
        <w:tc>
          <w:tcPr>
            <w:tcW w:w="152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1.3755</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1.3888</w:t>
            </w:r>
          </w:p>
        </w:tc>
      </w:tr>
    </w:tbl>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March 9, 2018, the exchange rate between the pound sterling and the U.S. dollar was $1.3863 per £1.00.</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PRICE RANGE OF OUR ORDINARY SHARES</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ordinary shares have been trading on AIM under the symbol “MPH” since June 9, 2016.</w:t>
      </w:r>
    </w:p>
    <w:p>
      <w:pPr>
        <w:spacing w:after="0" w:line="212"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following table presents, for the periods indicated, the reported high and low sale prices, including intra-day sales, of our ordinary shares on AIM in pounds sterling and U.S. dollars. For the convenience of the reader, we have translated pound sterling amounts in the table below into U.S. dollars at the noon buying rate of the Federal Reserve Bank of New York on March 9, 2018, which was £1.00 to $1.3863.</w:t>
      </w: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80" w:type="dxa"/>
            <w:vAlign w:val="bottom"/>
            <w:gridSpan w:val="4"/>
          </w:tcPr>
          <w:p>
            <w:pPr>
              <w:ind w:left="300"/>
              <w:spacing w:after="0"/>
              <w:rPr>
                <w:sz w:val="20"/>
                <w:szCs w:val="20"/>
                <w:color w:val="auto"/>
              </w:rPr>
            </w:pPr>
            <w:r>
              <w:rPr>
                <w:rFonts w:ascii="Arial" w:cs="Arial" w:eastAsia="Arial" w:hAnsi="Arial"/>
                <w:sz w:val="14"/>
                <w:szCs w:val="14"/>
                <w:b w:val="1"/>
                <w:bCs w:val="1"/>
                <w:color w:val="auto"/>
              </w:rPr>
              <w:t>Price Per Ordinary</w:t>
            </w:r>
          </w:p>
        </w:tc>
        <w:tc>
          <w:tcPr>
            <w:tcW w:w="1920" w:type="dxa"/>
            <w:vAlign w:val="bottom"/>
            <w:gridSpan w:val="5"/>
          </w:tcPr>
          <w:p>
            <w:pPr>
              <w:ind w:left="300"/>
              <w:spacing w:after="0"/>
              <w:rPr>
                <w:sz w:val="20"/>
                <w:szCs w:val="20"/>
                <w:color w:val="auto"/>
              </w:rPr>
            </w:pPr>
            <w:r>
              <w:rPr>
                <w:rFonts w:ascii="Arial" w:cs="Arial" w:eastAsia="Arial" w:hAnsi="Arial"/>
                <w:sz w:val="14"/>
                <w:szCs w:val="14"/>
                <w:b w:val="1"/>
                <w:bCs w:val="1"/>
                <w:color w:val="auto"/>
              </w:rPr>
              <w:t>Price Per Ordinary</w:t>
            </w:r>
          </w:p>
        </w:tc>
      </w:tr>
      <w:tr>
        <w:trPr>
          <w:trHeight w:val="175"/>
        </w:trPr>
        <w:tc>
          <w:tcPr>
            <w:tcW w:w="5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20" w:type="dxa"/>
            <w:vAlign w:val="bottom"/>
            <w:gridSpan w:val="3"/>
          </w:tcPr>
          <w:p>
            <w:pPr>
              <w:jc w:val="right"/>
              <w:ind w:right="1280"/>
              <w:spacing w:after="0"/>
              <w:rPr>
                <w:sz w:val="20"/>
                <w:szCs w:val="20"/>
                <w:color w:val="auto"/>
              </w:rPr>
            </w:pPr>
            <w:r>
              <w:rPr>
                <w:rFonts w:ascii="Arial" w:cs="Arial" w:eastAsia="Arial" w:hAnsi="Arial"/>
                <w:sz w:val="14"/>
                <w:szCs w:val="14"/>
                <w:b w:val="1"/>
                <w:bCs w:val="1"/>
                <w:color w:val="auto"/>
              </w:rPr>
              <w:t>Share £</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Share $</w:t>
            </w:r>
          </w:p>
        </w:tc>
      </w:tr>
      <w:tr>
        <w:trPr>
          <w:trHeight w:val="156"/>
        </w:trPr>
        <w:tc>
          <w:tcPr>
            <w:tcW w:w="5960" w:type="dxa"/>
            <w:vAlign w:val="bottom"/>
          </w:tcPr>
          <w:p>
            <w:pPr>
              <w:spacing w:after="0"/>
              <w:rPr>
                <w:sz w:val="13"/>
                <w:szCs w:val="13"/>
                <w:color w:val="auto"/>
              </w:rPr>
            </w:pPr>
          </w:p>
        </w:tc>
        <w:tc>
          <w:tcPr>
            <w:tcW w:w="660" w:type="dxa"/>
            <w:vAlign w:val="bottom"/>
            <w:tcBorders>
              <w:top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High</w:t>
            </w:r>
          </w:p>
        </w:tc>
        <w:tc>
          <w:tcPr>
            <w:tcW w:w="6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Low</w:t>
            </w:r>
          </w:p>
        </w:tc>
        <w:tc>
          <w:tcPr>
            <w:tcW w:w="620" w:type="dxa"/>
            <w:vAlign w:val="bottom"/>
          </w:tcPr>
          <w:p>
            <w:pPr>
              <w:spacing w:after="0"/>
              <w:rPr>
                <w:sz w:val="13"/>
                <w:szCs w:val="13"/>
                <w:color w:val="auto"/>
              </w:rPr>
            </w:pPr>
          </w:p>
        </w:tc>
        <w:tc>
          <w:tcPr>
            <w:tcW w:w="66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High</w:t>
            </w:r>
          </w:p>
        </w:tc>
        <w:tc>
          <w:tcPr>
            <w:tcW w:w="6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Low</w:t>
            </w:r>
          </w:p>
        </w:tc>
        <w:tc>
          <w:tcPr>
            <w:tcW w:w="6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w:t>
            </w: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2016 (beginning June 9, 2016)</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3.40</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2.40</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4.71</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3.33</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3.59</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2.60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4.98</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3.60</w:t>
            </w:r>
          </w:p>
        </w:tc>
        <w:tc>
          <w:tcPr>
            <w:tcW w:w="60" w:type="dxa"/>
            <w:vAlign w:val="bottom"/>
            <w:shd w:val="clear" w:color="auto" w:fill="CCEEFF"/>
          </w:tcPr>
          <w:p>
            <w:pPr>
              <w:spacing w:after="0"/>
              <w:rPr>
                <w:sz w:val="17"/>
                <w:szCs w:val="17"/>
                <w:color w:val="auto"/>
              </w:rPr>
            </w:pPr>
          </w:p>
        </w:tc>
      </w:tr>
      <w:tr>
        <w:trPr>
          <w:trHeight w:val="378"/>
        </w:trPr>
        <w:tc>
          <w:tcPr>
            <w:tcW w:w="5960" w:type="dxa"/>
            <w:vAlign w:val="bottom"/>
          </w:tcPr>
          <w:p>
            <w:pPr>
              <w:spacing w:after="0"/>
              <w:rPr>
                <w:sz w:val="20"/>
                <w:szCs w:val="20"/>
                <w:color w:val="auto"/>
              </w:rPr>
            </w:pPr>
            <w:r>
              <w:rPr>
                <w:rFonts w:ascii="Arial" w:cs="Arial" w:eastAsia="Arial" w:hAnsi="Arial"/>
                <w:sz w:val="18"/>
                <w:szCs w:val="18"/>
                <w:b w:val="1"/>
                <w:bCs w:val="1"/>
                <w:color w:val="auto"/>
              </w:rPr>
              <w:t>Quarterly:</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 2016 (beginning June 9, 2016)</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3.03</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2.40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4.20</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Third Quarter 2016</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3.40</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2.71</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4.71</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3.76</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 2016</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3.00</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2.41</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4.16</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3.34</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First Quarter 2017</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3.10</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2.60</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4.30</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3.60</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 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3.60</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2.90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4.99</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4.02</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Third Quarter 2017</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3.14</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2.85</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4.35</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3.95</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 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3.39</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3.00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4.70</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4.16</w:t>
            </w:r>
          </w:p>
        </w:tc>
        <w:tc>
          <w:tcPr>
            <w:tcW w:w="60" w:type="dxa"/>
            <w:vAlign w:val="bottom"/>
            <w:shd w:val="clear" w:color="auto" w:fill="CCEEFF"/>
          </w:tcPr>
          <w:p>
            <w:pPr>
              <w:spacing w:after="0"/>
              <w:rPr>
                <w:sz w:val="17"/>
                <w:szCs w:val="17"/>
                <w:color w:val="auto"/>
              </w:rPr>
            </w:pPr>
          </w:p>
        </w:tc>
      </w:tr>
      <w:tr>
        <w:trPr>
          <w:trHeight w:val="378"/>
        </w:trPr>
        <w:tc>
          <w:tcPr>
            <w:tcW w:w="5960" w:type="dxa"/>
            <w:vAlign w:val="bottom"/>
          </w:tcPr>
          <w:p>
            <w:pPr>
              <w:spacing w:after="0"/>
              <w:rPr>
                <w:sz w:val="20"/>
                <w:szCs w:val="20"/>
                <w:color w:val="auto"/>
              </w:rPr>
            </w:pPr>
            <w:r>
              <w:rPr>
                <w:rFonts w:ascii="Arial" w:cs="Arial" w:eastAsia="Arial" w:hAnsi="Arial"/>
                <w:sz w:val="18"/>
                <w:szCs w:val="18"/>
                <w:b w:val="1"/>
                <w:bCs w:val="1"/>
                <w:color w:val="auto"/>
              </w:rPr>
              <w:t>Most Recent Six Months:</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3.12</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3.00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4.33</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4.16</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October 2017</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3.40</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3.00</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4.71</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4.16</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November 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3.35</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3.15</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4.64</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December 2017</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3.34</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3.15</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4.63</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4.37</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January 2018</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3.26</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3.20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4.52</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4.44</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February 2018</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3.23</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3.04</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4.48</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4.21</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2018 (through March 13)</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3.05</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3.01</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4.23</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4.17</w:t>
            </w:r>
          </w:p>
        </w:tc>
        <w:tc>
          <w:tcPr>
            <w:tcW w:w="6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On March 13, 2018, the last reported sale price of our ordinary shares on AIM was £3.05 per ordinary share ($4.23 per ordinary share based on the exchange rate set forth above).</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80"/>
          </w:cols>
          <w:pgMar w:left="240" w:top="459" w:right="4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Table of Contents</w:t>
              </w:r>
            </w:hyperlink>
          </w:p>
        </w:tc>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534"/>
        </w:trPr>
        <w:tc>
          <w:tcPr>
            <w:tcW w:w="4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20" w:type="dxa"/>
            <w:vAlign w:val="bottom"/>
            <w:gridSpan w:val="2"/>
          </w:tcPr>
          <w:p>
            <w:pPr>
              <w:ind w:left="1160"/>
              <w:spacing w:after="0"/>
              <w:rPr>
                <w:sz w:val="20"/>
                <w:szCs w:val="20"/>
                <w:color w:val="auto"/>
              </w:rPr>
            </w:pPr>
            <w:r>
              <w:rPr>
                <w:rFonts w:ascii="Arial" w:cs="Arial" w:eastAsia="Arial" w:hAnsi="Arial"/>
                <w:sz w:val="18"/>
                <w:szCs w:val="18"/>
                <w:b w:val="1"/>
                <w:bCs w:val="1"/>
                <w:color w:val="auto"/>
              </w:rPr>
              <w:t>USE OF PROCEEDS</w:t>
            </w: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12"/>
        </w:trPr>
        <w:tc>
          <w:tcPr>
            <w:tcW w:w="440" w:type="dxa"/>
            <w:vAlign w:val="bottom"/>
          </w:tcPr>
          <w:p>
            <w:pPr>
              <w:spacing w:after="0"/>
              <w:rPr>
                <w:sz w:val="24"/>
                <w:szCs w:val="24"/>
                <w:color w:val="auto"/>
              </w:rPr>
            </w:pPr>
          </w:p>
        </w:tc>
        <w:tc>
          <w:tcPr>
            <w:tcW w:w="7260" w:type="dxa"/>
            <w:vAlign w:val="bottom"/>
            <w:gridSpan w:val="5"/>
          </w:tcPr>
          <w:p>
            <w:pPr>
              <w:ind w:left="100"/>
              <w:spacing w:after="0"/>
              <w:rPr>
                <w:sz w:val="20"/>
                <w:szCs w:val="20"/>
                <w:color w:val="auto"/>
              </w:rPr>
            </w:pPr>
            <w:r>
              <w:rPr>
                <w:rFonts w:ascii="Arial" w:cs="Arial" w:eastAsia="Arial" w:hAnsi="Arial"/>
                <w:sz w:val="18"/>
                <w:szCs w:val="18"/>
                <w:color w:val="auto"/>
              </w:rPr>
              <w:t>We estimate that the net proceeds to us from the global offering will be approximately $</w:t>
            </w:r>
          </w:p>
        </w:tc>
        <w:tc>
          <w:tcPr>
            <w:tcW w:w="2760" w:type="dxa"/>
            <w:vAlign w:val="bottom"/>
            <w:gridSpan w:val="2"/>
          </w:tcPr>
          <w:p>
            <w:pPr>
              <w:ind w:left="220"/>
              <w:spacing w:after="0"/>
              <w:rPr>
                <w:sz w:val="20"/>
                <w:szCs w:val="20"/>
                <w:color w:val="auto"/>
              </w:rPr>
            </w:pPr>
            <w:r>
              <w:rPr>
                <w:rFonts w:ascii="Arial" w:cs="Arial" w:eastAsia="Arial" w:hAnsi="Arial"/>
                <w:sz w:val="18"/>
                <w:szCs w:val="18"/>
                <w:color w:val="auto"/>
              </w:rPr>
              <w:t>million (or approximately $</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million if</w:t>
            </w:r>
          </w:p>
        </w:tc>
      </w:tr>
      <w:tr>
        <w:trPr>
          <w:trHeight w:val="203"/>
        </w:trPr>
        <w:tc>
          <w:tcPr>
            <w:tcW w:w="9740" w:type="dxa"/>
            <w:vAlign w:val="bottom"/>
            <w:gridSpan w:val="7"/>
          </w:tcPr>
          <w:p>
            <w:pPr>
              <w:ind w:left="200"/>
              <w:spacing w:after="0" w:line="202" w:lineRule="exact"/>
              <w:rPr>
                <w:sz w:val="20"/>
                <w:szCs w:val="20"/>
                <w:color w:val="auto"/>
              </w:rPr>
            </w:pPr>
            <w:r>
              <w:rPr>
                <w:rFonts w:ascii="Arial" w:cs="Arial" w:eastAsia="Arial" w:hAnsi="Arial"/>
                <w:sz w:val="18"/>
                <w:szCs w:val="18"/>
                <w:color w:val="auto"/>
              </w:rPr>
              <w:t>the underwriters exercise in full their option to purchase additional ADSs), assuming an initial public offering price of $</w:t>
            </w:r>
          </w:p>
        </w:tc>
        <w:tc>
          <w:tcPr>
            <w:tcW w:w="1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per ADS in the</w:t>
            </w:r>
          </w:p>
        </w:tc>
      </w:tr>
      <w:tr>
        <w:trPr>
          <w:trHeight w:val="203"/>
        </w:trPr>
        <w:tc>
          <w:tcPr>
            <w:tcW w:w="36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U.S. offering and an offering price of £</w:t>
            </w:r>
          </w:p>
        </w:tc>
        <w:tc>
          <w:tcPr>
            <w:tcW w:w="7540" w:type="dxa"/>
            <w:vAlign w:val="bottom"/>
            <w:gridSpan w:val="5"/>
          </w:tcPr>
          <w:p>
            <w:pPr>
              <w:jc w:val="right"/>
              <w:spacing w:after="0" w:line="202" w:lineRule="exact"/>
              <w:rPr>
                <w:sz w:val="20"/>
                <w:szCs w:val="20"/>
                <w:color w:val="auto"/>
              </w:rPr>
            </w:pPr>
            <w:r>
              <w:rPr>
                <w:rFonts w:ascii="Arial" w:cs="Arial" w:eastAsia="Arial" w:hAnsi="Arial"/>
                <w:sz w:val="18"/>
                <w:szCs w:val="18"/>
                <w:color w:val="auto"/>
                <w:w w:val="99"/>
              </w:rPr>
              <w:t>per ordinary share in the European private placement, which reflect the last reported sale price</w:t>
            </w:r>
          </w:p>
        </w:tc>
      </w:tr>
      <w:tr>
        <w:trPr>
          <w:trHeight w:val="203"/>
        </w:trPr>
        <w:tc>
          <w:tcPr>
            <w:tcW w:w="36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of our ordinary shares on AIM on</w:t>
            </w:r>
          </w:p>
        </w:tc>
        <w:tc>
          <w:tcPr>
            <w:tcW w:w="67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 2018, after deducting the estimated underwriting discounts and commissions and</w:t>
            </w:r>
          </w:p>
        </w:tc>
        <w:tc>
          <w:tcPr>
            <w:tcW w:w="760" w:type="dxa"/>
            <w:vAlign w:val="bottom"/>
          </w:tcPr>
          <w:p>
            <w:pPr>
              <w:spacing w:after="0"/>
              <w:rPr>
                <w:sz w:val="17"/>
                <w:szCs w:val="17"/>
                <w:color w:val="auto"/>
              </w:rPr>
            </w:pPr>
          </w:p>
        </w:tc>
      </w:tr>
      <w:tr>
        <w:trPr>
          <w:trHeight w:val="217"/>
        </w:trPr>
        <w:tc>
          <w:tcPr>
            <w:tcW w:w="3680" w:type="dxa"/>
            <w:vAlign w:val="bottom"/>
            <w:gridSpan w:val="4"/>
          </w:tcPr>
          <w:p>
            <w:pPr>
              <w:ind w:left="200"/>
              <w:spacing w:after="0"/>
              <w:rPr>
                <w:sz w:val="20"/>
                <w:szCs w:val="20"/>
                <w:color w:val="auto"/>
              </w:rPr>
            </w:pPr>
            <w:r>
              <w:rPr>
                <w:rFonts w:ascii="Arial" w:cs="Arial" w:eastAsia="Arial" w:hAnsi="Arial"/>
                <w:sz w:val="18"/>
                <w:szCs w:val="18"/>
                <w:color w:val="auto"/>
                <w:w w:val="99"/>
              </w:rPr>
              <w:t>estimated offering expenses payable by us.</w:t>
            </w:r>
          </w:p>
        </w:tc>
        <w:tc>
          <w:tcPr>
            <w:tcW w:w="2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404"/>
        </w:trPr>
        <w:tc>
          <w:tcPr>
            <w:tcW w:w="44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Each £</w:t>
            </w:r>
          </w:p>
        </w:tc>
        <w:tc>
          <w:tcPr>
            <w:tcW w:w="4700" w:type="dxa"/>
            <w:vAlign w:val="bottom"/>
            <w:gridSpan w:val="2"/>
          </w:tcPr>
          <w:p>
            <w:pPr>
              <w:ind w:left="80"/>
              <w:spacing w:after="0"/>
              <w:rPr>
                <w:sz w:val="20"/>
                <w:szCs w:val="20"/>
                <w:color w:val="auto"/>
              </w:rPr>
            </w:pPr>
            <w:r>
              <w:rPr>
                <w:rFonts w:ascii="Arial" w:cs="Arial" w:eastAsia="Arial" w:hAnsi="Arial"/>
                <w:sz w:val="18"/>
                <w:szCs w:val="18"/>
                <w:color w:val="auto"/>
              </w:rPr>
              <w:t>increase or decrease in the assumed offering price of £</w:t>
            </w:r>
          </w:p>
        </w:tc>
        <w:tc>
          <w:tcPr>
            <w:tcW w:w="5060" w:type="dxa"/>
            <w:vAlign w:val="bottom"/>
            <w:gridSpan w:val="4"/>
          </w:tcPr>
          <w:p>
            <w:pPr>
              <w:jc w:val="right"/>
              <w:spacing w:after="0"/>
              <w:rPr>
                <w:sz w:val="20"/>
                <w:szCs w:val="20"/>
                <w:color w:val="auto"/>
              </w:rPr>
            </w:pPr>
            <w:r>
              <w:rPr>
                <w:rFonts w:ascii="Arial" w:cs="Arial" w:eastAsia="Arial" w:hAnsi="Arial"/>
                <w:sz w:val="18"/>
                <w:szCs w:val="18"/>
                <w:color w:val="auto"/>
              </w:rPr>
              <w:t>per ordinary share, which reflects the last reported sale price</w:t>
            </w:r>
          </w:p>
        </w:tc>
      </w:tr>
      <w:tr>
        <w:trPr>
          <w:trHeight w:val="203"/>
        </w:trPr>
        <w:tc>
          <w:tcPr>
            <w:tcW w:w="36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of our ordinary shares on AIM on</w:t>
            </w:r>
          </w:p>
        </w:tc>
        <w:tc>
          <w:tcPr>
            <w:tcW w:w="67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 2018, would increase or decrease our net proceeds from the global offering by £</w:t>
            </w:r>
          </w:p>
        </w:tc>
        <w:tc>
          <w:tcPr>
            <w:tcW w:w="760" w:type="dxa"/>
            <w:vAlign w:val="bottom"/>
          </w:tcPr>
          <w:p>
            <w:pPr>
              <w:spacing w:after="0"/>
              <w:rPr>
                <w:sz w:val="17"/>
                <w:szCs w:val="17"/>
                <w:color w:val="auto"/>
              </w:rPr>
            </w:pPr>
          </w:p>
        </w:tc>
      </w:tr>
      <w:tr>
        <w:trPr>
          <w:trHeight w:val="203"/>
        </w:trPr>
        <w:tc>
          <w:tcPr>
            <w:tcW w:w="4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10780" w:type="dxa"/>
            <w:vAlign w:val="bottom"/>
            <w:gridSpan w:val="8"/>
          </w:tcPr>
          <w:p>
            <w:pPr>
              <w:jc w:val="right"/>
              <w:ind w:right="170"/>
              <w:spacing w:after="0" w:line="202" w:lineRule="exact"/>
              <w:rPr>
                <w:sz w:val="20"/>
                <w:szCs w:val="20"/>
                <w:color w:val="auto"/>
              </w:rPr>
            </w:pPr>
            <w:r>
              <w:rPr>
                <w:rFonts w:ascii="Arial" w:cs="Arial" w:eastAsia="Arial" w:hAnsi="Arial"/>
                <w:sz w:val="18"/>
                <w:szCs w:val="18"/>
                <w:color w:val="auto"/>
              </w:rPr>
              <w:t>), assuming that the number of ordinary shares (including ordinary shares in the form of ADSs) offered by us, as set forth on the</w:t>
            </w:r>
          </w:p>
        </w:tc>
      </w:tr>
    </w:tbl>
    <w:p>
      <w:pPr>
        <w:ind w:left="200" w:right="100"/>
        <w:spacing w:after="0" w:line="24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cover of this prospectus, remains the same and after deducting the estimated underwriting discounts and commissions and estimated offering expenses payable by us. An increase or decrease of 1,000,000 in the number of ordinary shares (including ordinary shares in the form of ADSs) offered by us in the global offering, as set forth on the cover page of this prospectus, would increase or decrease our net</w:t>
      </w:r>
    </w:p>
    <w:p>
      <w:pPr>
        <w:spacing w:after="0" w:line="2"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proceeds by approximately £ million ($ million), assuming no change in the assumed initial public offering price per ADS or in the assumed offering price per ordinary share and after deducting the estimated underwriting discounts and commissions and estimated offering expenses payable by us.</w:t>
      </w:r>
    </w:p>
    <w:p>
      <w:pPr>
        <w:spacing w:after="0" w:line="203"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We intend to use the net proceeds from the global offering, together with our existing cash resources, to fund our clinical development program and the remainder for working capital and other general corporate purposes.</w:t>
      </w:r>
    </w:p>
    <w:p>
      <w:pPr>
        <w:spacing w:after="0" w:line="197"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The expected use of the net proceeds from the global offering represents our intentions based upon our current plans and business conditions. We may also use a portion of the net proceeds to in-license, acquire, or invest in additional products or assets, businesses, or technologies, although currently we have no specific agreements, commitments, or understandings in this regard. As of the date of this prospectus, we cannot predict with certainty all of the particular uses for the net proceeds to be received upon the closing of the global offering or the amounts that we will actually spend on the uses set forth above. Predicting the costs necessary to develop product candidates can be difficult. The amounts and timing of our actual expenditures and the extent of clinical development may vary significantly depending on numerous factors, including the progress of our development efforts, the status of and results from ongoing clinical trials or clinical trials we may commence in the future, as well as any collaborations that we may enter into with third parties and any unforeseen cash needs. As a result, our management will retain broad discretion over the allocation of the net proceeds from the global offering.</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anticipate that our existing cash resources, together with the anticipated net proceeds from the global offering, will enable us to</w:t>
      </w:r>
    </w:p>
    <w:p>
      <w:pPr>
        <w:ind w:left="200" w:right="340"/>
        <w:spacing w:after="0" w:line="246" w:lineRule="auto"/>
        <w:rPr>
          <w:sz w:val="20"/>
          <w:szCs w:val="20"/>
          <w:color w:val="auto"/>
        </w:rPr>
      </w:pPr>
      <w:r>
        <w:rPr>
          <w:rFonts w:ascii="Arial" w:cs="Arial" w:eastAsia="Arial" w:hAnsi="Arial"/>
          <w:sz w:val="18"/>
          <w:szCs w:val="18"/>
          <w:color w:val="auto"/>
        </w:rPr>
        <w:t>fund our operating expenses and capital expenditure requirements through . We have based this estimate on assumptions that may prove to be incorrect, and we could use our available capital resources sooner than we currently expect.</w:t>
      </w:r>
    </w:p>
    <w:p>
      <w:pPr>
        <w:spacing w:after="0" w:line="197" w:lineRule="exact"/>
        <w:rPr>
          <w:sz w:val="20"/>
          <w:szCs w:val="20"/>
          <w:color w:val="auto"/>
        </w:rPr>
      </w:pPr>
    </w:p>
    <w:p>
      <w:pPr>
        <w:ind w:left="200" w:right="760" w:firstLine="331"/>
        <w:spacing w:after="0" w:line="246" w:lineRule="auto"/>
        <w:rPr>
          <w:sz w:val="20"/>
          <w:szCs w:val="20"/>
          <w:color w:val="auto"/>
        </w:rPr>
      </w:pPr>
      <w:r>
        <w:rPr>
          <w:rFonts w:ascii="Arial" w:cs="Arial" w:eastAsia="Arial" w:hAnsi="Arial"/>
          <w:sz w:val="18"/>
          <w:szCs w:val="18"/>
          <w:color w:val="auto"/>
        </w:rPr>
        <w:t>Pending their use, we plan to invest the net proceeds from the global offering in short- and intermediate-term interest-bearing obligations and certificates of deposit.</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46"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DIVIDEND POLICY</w:t>
      </w:r>
    </w:p>
    <w:p>
      <w:pPr>
        <w:spacing w:after="0" w:line="342" w:lineRule="exact"/>
        <w:rPr>
          <w:sz w:val="20"/>
          <w:szCs w:val="20"/>
          <w:color w:val="auto"/>
        </w:rPr>
      </w:pPr>
    </w:p>
    <w:p>
      <w:pPr>
        <w:ind w:left="200" w:right="40" w:firstLine="331"/>
        <w:spacing w:after="0" w:line="255" w:lineRule="auto"/>
        <w:rPr>
          <w:sz w:val="20"/>
          <w:szCs w:val="20"/>
          <w:color w:val="auto"/>
        </w:rPr>
      </w:pPr>
      <w:r>
        <w:rPr>
          <w:rFonts w:ascii="Arial" w:cs="Arial" w:eastAsia="Arial" w:hAnsi="Arial"/>
          <w:sz w:val="17"/>
          <w:szCs w:val="17"/>
          <w:color w:val="auto"/>
        </w:rPr>
        <w:t>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191"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In addition, the terms of our existing loan agreement with Silicon Valley Bank and Kreos Capital V (UK) Limited, or Kreos, preclude us from paying cash dividends without Kreos’s consent.</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240" w:top="459" w:right="5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CAPITALIZATION</w:t>
      </w:r>
    </w:p>
    <w:p>
      <w:pPr>
        <w:spacing w:after="0" w:line="342"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The table below sets forth our cash and short-term deposits and short-term investments and capitalization as of December 31, 2017 derived from our audited consolidated financial statements to be included elsewhere in this prospectus:</w:t>
      </w:r>
    </w:p>
    <w:p>
      <w:pPr>
        <w:spacing w:after="0" w:line="188" w:lineRule="exact"/>
        <w:rPr>
          <w:sz w:val="20"/>
          <w:szCs w:val="20"/>
          <w:color w:val="auto"/>
        </w:rPr>
      </w:pPr>
    </w:p>
    <w:p>
      <w:pPr>
        <w:ind w:left="960" w:hanging="432"/>
        <w:spacing w:after="0"/>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an actual basis; and</w:t>
      </w:r>
    </w:p>
    <w:p>
      <w:pPr>
        <w:sectPr>
          <w:pgSz w:w="11900" w:h="16838" w:orient="portrait"/>
          <w:cols w:equalWidth="0" w:num="1">
            <w:col w:w="11200"/>
          </w:cols>
          <w:pgMar w:left="240" w:top="459" w:right="459" w:bottom="1440" w:gutter="0" w:footer="0" w:header="0"/>
        </w:sectPr>
      </w:pPr>
    </w:p>
    <w:p>
      <w:pPr>
        <w:spacing w:after="0" w:line="71" w:lineRule="exact"/>
        <w:rPr>
          <w:sz w:val="20"/>
          <w:szCs w:val="20"/>
          <w:color w:val="auto"/>
        </w:rPr>
      </w:pPr>
    </w:p>
    <w:p>
      <w:pPr>
        <w:ind w:left="5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300"/>
        <w:spacing w:after="0" w:line="213" w:lineRule="auto"/>
        <w:rPr>
          <w:sz w:val="20"/>
          <w:szCs w:val="20"/>
          <w:color w:val="auto"/>
        </w:rPr>
      </w:pPr>
      <w:r>
        <w:rPr>
          <w:rFonts w:ascii="Arial" w:cs="Arial" w:eastAsia="Arial" w:hAnsi="Arial"/>
          <w:sz w:val="18"/>
          <w:szCs w:val="18"/>
          <w:color w:val="auto"/>
        </w:rPr>
        <w:t>on an as adjusted basis to give effect to the sale of ordinary shares (including ordinary shares in the form of ADSs) in the global offering at the assumed initial public offering price of $ per ADS in the U.S. offering and the assumed offering price of £ per ordinary share in the European private placement, which reflect the last reported sale price of our ordinary shares on AIM on , 2018, after deducting the estimated underwriting discounts and commissions and estimated offering expenses payable by us.</w:t>
      </w:r>
    </w:p>
    <w:p>
      <w:pPr>
        <w:spacing w:after="0" w:line="200" w:lineRule="exact"/>
        <w:rPr>
          <w:sz w:val="20"/>
          <w:szCs w:val="20"/>
          <w:color w:val="auto"/>
        </w:rPr>
      </w:pPr>
    </w:p>
    <w:p>
      <w:pPr>
        <w:sectPr>
          <w:pgSz w:w="11900" w:h="16838" w:orient="portrait"/>
          <w:cols w:equalWidth="0" w:num="2">
            <w:col w:w="600" w:space="360"/>
            <w:col w:w="10240"/>
          </w:cols>
          <w:pgMar w:left="240" w:top="459" w:right="459" w:bottom="1440" w:gutter="0" w:footer="0" w:header="0"/>
          <w:type w:val="continuous"/>
        </w:sectPr>
      </w:pPr>
    </w:p>
    <w:p>
      <w:pPr>
        <w:spacing w:after="0" w:line="4"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You should read this table in conjunction with our consolidated financial statements included elsewhere in this prospectus and the sections of this prospectus titled “Exchange Rate Information,” “Use of Proceeds,” “Selected Consolidated Financial Data,” and “Management’s Discussion and Analysis of Financial Condition and Results of Operations.” These translations should not be considered representations that any such amounts have been, could have been or could be converted into U.S. dollars at that or any other exchange rate as of that or any other date.</w:t>
      </w: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gridSpan w:val="8"/>
          </w:tcPr>
          <w:p>
            <w:pPr>
              <w:ind w:left="40"/>
              <w:spacing w:after="0"/>
              <w:rPr>
                <w:sz w:val="20"/>
                <w:szCs w:val="20"/>
                <w:color w:val="auto"/>
              </w:rPr>
            </w:pPr>
            <w:r>
              <w:rPr>
                <w:rFonts w:ascii="Arial" w:cs="Arial" w:eastAsia="Arial" w:hAnsi="Arial"/>
                <w:sz w:val="14"/>
                <w:szCs w:val="14"/>
                <w:b w:val="1"/>
                <w:bCs w:val="1"/>
                <w:color w:val="auto"/>
              </w:rPr>
              <w:t>As of December 31, 2017</w:t>
            </w:r>
          </w:p>
        </w:tc>
      </w:tr>
      <w:tr>
        <w:trPr>
          <w:trHeight w:val="156"/>
        </w:trPr>
        <w:tc>
          <w:tcPr>
            <w:tcW w:w="5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Actual</w:t>
            </w: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gridSpan w:val="3"/>
          </w:tcPr>
          <w:p>
            <w:pPr>
              <w:jc w:val="right"/>
              <w:ind w:right="480"/>
              <w:spacing w:after="0" w:line="155" w:lineRule="exact"/>
              <w:rPr>
                <w:sz w:val="20"/>
                <w:szCs w:val="20"/>
                <w:color w:val="auto"/>
              </w:rPr>
            </w:pPr>
            <w:r>
              <w:rPr>
                <w:rFonts w:ascii="Arial" w:cs="Arial" w:eastAsia="Arial" w:hAnsi="Arial"/>
                <w:sz w:val="14"/>
                <w:szCs w:val="14"/>
                <w:b w:val="1"/>
                <w:bCs w:val="1"/>
                <w:color w:val="auto"/>
              </w:rPr>
              <w:t>As Adjusted(1)</w:t>
            </w:r>
          </w:p>
        </w:tc>
        <w:tc>
          <w:tcPr>
            <w:tcW w:w="60" w:type="dxa"/>
            <w:vAlign w:val="bottom"/>
          </w:tcPr>
          <w:p>
            <w:pPr>
              <w:spacing w:after="0"/>
              <w:rPr>
                <w:sz w:val="13"/>
                <w:szCs w:val="13"/>
                <w:color w:val="auto"/>
              </w:rPr>
            </w:pPr>
          </w:p>
        </w:tc>
      </w:tr>
      <w:tr>
        <w:trPr>
          <w:trHeight w:val="156"/>
        </w:trPr>
        <w:tc>
          <w:tcPr>
            <w:tcW w:w="5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4"/>
          </w:tcPr>
          <w:p>
            <w:pPr>
              <w:jc w:val="right"/>
              <w:ind w:right="140"/>
              <w:spacing w:after="0" w:line="155" w:lineRule="exact"/>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 and short-term investments</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52,545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71,088</w:t>
            </w:r>
          </w:p>
        </w:tc>
        <w:tc>
          <w:tcPr>
            <w:tcW w:w="5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160" w:type="dxa"/>
            <w:vAlign w:val="bottom"/>
          </w:tcPr>
          <w:p>
            <w:pPr>
              <w:spacing w:after="0" w:line="196" w:lineRule="exact"/>
              <w:rPr>
                <w:sz w:val="20"/>
                <w:szCs w:val="20"/>
                <w:color w:val="auto"/>
              </w:rPr>
            </w:pPr>
            <w:r>
              <w:rPr>
                <w:rFonts w:ascii="Arial" w:cs="Arial" w:eastAsia="Arial" w:hAnsi="Arial"/>
                <w:sz w:val="18"/>
                <w:szCs w:val="18"/>
                <w:color w:val="auto"/>
              </w:rPr>
              <w:t>Total interest bearing loans and borrowings</w:t>
            </w: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8"/>
              <w:spacing w:after="0" w:line="196" w:lineRule="exact"/>
              <w:rPr>
                <w:sz w:val="20"/>
                <w:szCs w:val="20"/>
                <w:color w:val="auto"/>
              </w:rPr>
            </w:pPr>
            <w:r>
              <w:rPr>
                <w:rFonts w:ascii="Arial" w:cs="Arial" w:eastAsia="Arial" w:hAnsi="Arial"/>
                <w:sz w:val="18"/>
                <w:szCs w:val="18"/>
                <w:color w:val="auto"/>
              </w:rPr>
              <w:t>20,752</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28,075</w:t>
            </w:r>
          </w:p>
        </w:tc>
        <w:tc>
          <w:tcPr>
            <w:tcW w:w="5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1,346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1,822</w:t>
            </w:r>
          </w:p>
        </w:tc>
        <w:tc>
          <w:tcPr>
            <w:tcW w:w="5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Equity:</w:t>
            </w: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Issued capital</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60" w:type="dxa"/>
            <w:vAlign w:val="bottom"/>
          </w:tcPr>
          <w:p>
            <w:pPr>
              <w:ind w:left="180"/>
              <w:spacing w:after="0" w:line="202" w:lineRule="exact"/>
              <w:rPr>
                <w:sz w:val="20"/>
                <w:szCs w:val="20"/>
                <w:color w:val="auto"/>
              </w:rPr>
            </w:pPr>
            <w:r>
              <w:rPr>
                <w:rFonts w:ascii="Arial" w:cs="Arial" w:eastAsia="Arial" w:hAnsi="Arial"/>
                <w:sz w:val="18"/>
                <w:szCs w:val="18"/>
                <w:color w:val="auto"/>
              </w:rPr>
              <w:t>Share premium</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28"/>
              <w:spacing w:after="0" w:line="202" w:lineRule="exact"/>
              <w:rPr>
                <w:sz w:val="20"/>
                <w:szCs w:val="20"/>
                <w:color w:val="auto"/>
              </w:rPr>
            </w:pPr>
            <w:r>
              <w:rPr>
                <w:rFonts w:ascii="Arial" w:cs="Arial" w:eastAsia="Arial" w:hAnsi="Arial"/>
                <w:sz w:val="18"/>
                <w:szCs w:val="18"/>
                <w:color w:val="auto"/>
                <w:w w:val="98"/>
              </w:rPr>
              <w:t>118,227</w:t>
            </w:r>
          </w:p>
        </w:tc>
        <w:tc>
          <w:tcPr>
            <w:tcW w:w="120" w:type="dxa"/>
            <w:vAlign w:val="bottom"/>
          </w:tcPr>
          <w:p>
            <w:pPr>
              <w:spacing w:after="0"/>
              <w:rPr>
                <w:sz w:val="17"/>
                <w:szCs w:val="17"/>
                <w:color w:val="auto"/>
              </w:rPr>
            </w:pP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159,949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capital reserves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16,359</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22,132</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60" w:type="dxa"/>
            <w:vAlign w:val="bottom"/>
          </w:tcPr>
          <w:p>
            <w:pPr>
              <w:ind w:left="180"/>
              <w:spacing w:after="0" w:line="202" w:lineRule="exact"/>
              <w:rPr>
                <w:sz w:val="20"/>
                <w:szCs w:val="20"/>
                <w:color w:val="auto"/>
              </w:rPr>
            </w:pPr>
            <w:r>
              <w:rPr>
                <w:rFonts w:ascii="Arial" w:cs="Arial" w:eastAsia="Arial" w:hAnsi="Arial"/>
                <w:sz w:val="18"/>
                <w:szCs w:val="18"/>
                <w:color w:val="auto"/>
              </w:rPr>
              <w:t>Other reserves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428"/>
              <w:spacing w:after="0" w:line="202" w:lineRule="exact"/>
              <w:rPr>
                <w:sz w:val="20"/>
                <w:szCs w:val="20"/>
                <w:color w:val="auto"/>
              </w:rPr>
            </w:pPr>
            <w:r>
              <w:rPr>
                <w:rFonts w:ascii="Arial" w:cs="Arial" w:eastAsia="Arial" w:hAnsi="Arial"/>
                <w:sz w:val="18"/>
                <w:szCs w:val="18"/>
                <w:color w:val="auto"/>
              </w:rPr>
              <w:t>7,000</w:t>
            </w:r>
          </w:p>
        </w:tc>
        <w:tc>
          <w:tcPr>
            <w:tcW w:w="120" w:type="dxa"/>
            <w:vAlign w:val="bottom"/>
          </w:tcPr>
          <w:p>
            <w:pPr>
              <w:spacing w:after="0"/>
              <w:rPr>
                <w:sz w:val="17"/>
                <w:szCs w:val="17"/>
                <w:color w:val="auto"/>
              </w:rPr>
            </w:pP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9,470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loss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8"/>
              <w:spacing w:after="0" w:line="202" w:lineRule="exact"/>
              <w:rPr>
                <w:sz w:val="20"/>
                <w:szCs w:val="20"/>
                <w:color w:val="auto"/>
              </w:rPr>
            </w:pPr>
            <w:r>
              <w:rPr>
                <w:rFonts w:ascii="Arial" w:cs="Arial" w:eastAsia="Arial" w:hAnsi="Arial"/>
                <w:sz w:val="18"/>
                <w:szCs w:val="18"/>
                <w:color w:val="auto"/>
              </w:rPr>
              <w:t>(79,316)</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5"/>
              </w:rPr>
              <w:t>(107,307)</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16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8"/>
              <w:spacing w:after="0"/>
              <w:rPr>
                <w:sz w:val="20"/>
                <w:szCs w:val="20"/>
                <w:color w:val="auto"/>
              </w:rPr>
            </w:pPr>
            <w:r>
              <w:rPr>
                <w:rFonts w:ascii="Arial" w:cs="Arial" w:eastAsia="Arial" w:hAnsi="Arial"/>
                <w:sz w:val="18"/>
                <w:szCs w:val="18"/>
                <w:color w:val="auto"/>
              </w:rPr>
              <w:t>62,483</w:t>
            </w: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84,534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5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84,582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114,431</w:t>
            </w:r>
          </w:p>
        </w:tc>
        <w:tc>
          <w:tcPr>
            <w:tcW w:w="5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82" w:lineRule="exact"/>
        <w:rPr>
          <w:sz w:val="20"/>
          <w:szCs w:val="20"/>
          <w:color w:val="auto"/>
        </w:rPr>
      </w:pPr>
    </w:p>
    <w:p>
      <w:pPr>
        <w:ind w:left="520" w:hanging="319"/>
        <w:spacing w:after="0" w:line="234" w:lineRule="auto"/>
        <w:tabs>
          <w:tab w:leader="none" w:pos="500" w:val="left"/>
        </w:tabs>
        <w:rPr>
          <w:sz w:val="20"/>
          <w:szCs w:val="20"/>
          <w:color w:val="auto"/>
        </w:rPr>
      </w:pPr>
      <w:r>
        <w:rPr>
          <w:rFonts w:ascii="Arial" w:cs="Arial" w:eastAsia="Arial" w:hAnsi="Arial"/>
          <w:sz w:val="18"/>
          <w:szCs w:val="18"/>
          <w:color w:val="auto"/>
        </w:rPr>
        <w:t>(1)</w:t>
        <w:tab/>
        <w:t>Each £ increase or decrease in the assumed offering price of £ per ordinary share, which reflects the last reported sale price of our ordinary shares on AIM and the exchange rate on , 2018, would increase or decrease the as adjusted amount of each of cash and short-term deposits and short-term investments, total equity and total capitalization by £ million ($ million),</w:t>
      </w:r>
    </w:p>
    <w:p>
      <w:pPr>
        <w:spacing w:after="0" w:line="2" w:lineRule="exact"/>
        <w:rPr>
          <w:sz w:val="20"/>
          <w:szCs w:val="20"/>
          <w:color w:val="auto"/>
        </w:rPr>
      </w:pPr>
    </w:p>
    <w:p>
      <w:pPr>
        <w:ind w:left="520" w:right="80"/>
        <w:spacing w:after="0" w:line="234" w:lineRule="auto"/>
        <w:rPr>
          <w:sz w:val="20"/>
          <w:szCs w:val="20"/>
          <w:color w:val="auto"/>
        </w:rPr>
      </w:pPr>
      <w:r>
        <w:rPr>
          <w:rFonts w:ascii="Arial" w:cs="Arial" w:eastAsia="Arial" w:hAnsi="Arial"/>
          <w:sz w:val="18"/>
          <w:szCs w:val="18"/>
          <w:color w:val="auto"/>
        </w:rPr>
        <w:t>assuming the number of ordinary shares (including ordinary shares in the form of ADSs) offered by us in the global offering, as set forth on the cover page of this prospectus, remains the same and after deducting the estimated underwriting discounts and commissions and estimated offering expenses payable by us. An increase or decrease of 1,000,000 in the number of ordinary shares (including ordinary shares in the form of ADSs) offered by us in the global offering, as set forth on the cover page of this prospectus, would increase or decrease the as adjusted amount of each of cash and short-term deposits and short-term investments, share</w:t>
      </w:r>
    </w:p>
    <w:p>
      <w:pPr>
        <w:spacing w:after="0" w:line="4" w:lineRule="exact"/>
        <w:rPr>
          <w:sz w:val="20"/>
          <w:szCs w:val="20"/>
          <w:color w:val="auto"/>
        </w:rPr>
      </w:pPr>
    </w:p>
    <w:p>
      <w:pPr>
        <w:ind w:left="520" w:right="580"/>
        <w:spacing w:after="0" w:line="246" w:lineRule="auto"/>
        <w:rPr>
          <w:sz w:val="20"/>
          <w:szCs w:val="20"/>
          <w:color w:val="auto"/>
        </w:rPr>
      </w:pPr>
      <w:r>
        <w:rPr>
          <w:rFonts w:ascii="Arial" w:cs="Arial" w:eastAsia="Arial" w:hAnsi="Arial"/>
          <w:sz w:val="18"/>
          <w:szCs w:val="18"/>
          <w:color w:val="auto"/>
        </w:rPr>
        <w:t>premium, total equity and total capitalization by £ million ($ million), assuming no change in the assumed initial public offering price per ADS or in the assumed offering price per ordinary share and after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deducting the estimated underwriting discounts and commissions and estimated offering expenses payable by us.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above excludes:</w:t>
      </w:r>
    </w:p>
    <w:p>
      <w:pPr>
        <w:spacing w:after="0" w:line="239" w:lineRule="exact"/>
        <w:rPr>
          <w:sz w:val="20"/>
          <w:szCs w:val="20"/>
          <w:color w:val="auto"/>
        </w:rPr>
      </w:pPr>
    </w:p>
    <w:p>
      <w:pPr>
        <w:ind w:left="960" w:right="180" w:hanging="432"/>
        <w:spacing w:after="0" w:line="218"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11,916,424 ordinary shares issuable upon the exercise of share options outstanding as of December 31, 2017 at a weighted average exercise price of £1.42 per ordinary share;</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9,064,506 ordinary shares that may be issued under our existing equity incentive plans, as described in “Management—Equity Compensation Arrangements,” as of December 31, 2017;</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1,799,382 ordinary shares that may be issued upon conversion of the Novartis Notes as of December 31, 2017; and</w:t>
      </w:r>
    </w:p>
    <w:p>
      <w:pPr>
        <w:spacing w:after="0" w:line="26"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696,490 ordinary shares issuable upon the exercise of warrants to purchase ordinary shares outstanding as of December 31, 2017 at a weighted average exercise price of £3.16 per ordinary share.</w:t>
      </w:r>
    </w:p>
    <w:p>
      <w:pPr>
        <w:spacing w:after="0" w:line="13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240" w:top="459" w:right="6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342"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If you invest in our ADSs or ordinary shares, your interest will be diluted to the extent of the difference between the offering price per ADS or ordinary share paid by purchasers in the global offering and our as adjusted net tangible book value per ADS or ordinary share after completion of the global offering.</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 December 31, 2017, we had a historical net tangible book value of £27.9 million ($37.7 million), corresponding to a net tangible</w:t>
      </w:r>
    </w:p>
    <w:p>
      <w:pPr>
        <w:ind w:left="200" w:right="120"/>
        <w:spacing w:after="0"/>
        <w:rPr>
          <w:sz w:val="20"/>
          <w:szCs w:val="20"/>
          <w:color w:val="auto"/>
        </w:rPr>
      </w:pPr>
      <w:r>
        <w:rPr>
          <w:rFonts w:ascii="Arial" w:cs="Arial" w:eastAsia="Arial" w:hAnsi="Arial"/>
          <w:sz w:val="18"/>
          <w:szCs w:val="18"/>
          <w:color w:val="auto"/>
        </w:rPr>
        <w:t>book value of £ 0.39 per ordinary share and $ per ADS. Net tangible book value per ordinary share represents the amount of our total assets less our total liabilities, excluding goodwill and other intangible assets, divided by the total number of our ordinary shares outstanding as of December 31, 2017.</w:t>
      </w:r>
    </w:p>
    <w:p>
      <w:pPr>
        <w:spacing w:after="0" w:line="203" w:lineRule="exact"/>
        <w:rPr>
          <w:sz w:val="20"/>
          <w:szCs w:val="20"/>
          <w:color w:val="auto"/>
        </w:rPr>
      </w:pPr>
    </w:p>
    <w:p>
      <w:pPr>
        <w:ind w:left="200" w:right="60" w:firstLine="331"/>
        <w:spacing w:after="0" w:line="234" w:lineRule="auto"/>
        <w:rPr>
          <w:sz w:val="20"/>
          <w:szCs w:val="20"/>
          <w:color w:val="auto"/>
        </w:rPr>
      </w:pPr>
      <w:r>
        <w:rPr>
          <w:rFonts w:ascii="Arial" w:cs="Arial" w:eastAsia="Arial" w:hAnsi="Arial"/>
          <w:sz w:val="18"/>
          <w:szCs w:val="18"/>
          <w:color w:val="auto"/>
        </w:rPr>
        <w:t>After giving effect to the sale by us of ordinary shares (including ordinary shares in the form of ADSs) in the global offering at an assumed initial public offering price of $ per ADS in the U.S. offering and an assumed offering price of £ per ordinary share in the European private placement, which reflect the last reported sale price of our ordinary shares on AIM on ,</w:t>
      </w:r>
    </w:p>
    <w:p>
      <w:pPr>
        <w:ind w:left="200"/>
        <w:spacing w:after="0" w:line="237" w:lineRule="auto"/>
        <w:rPr>
          <w:sz w:val="20"/>
          <w:szCs w:val="20"/>
          <w:color w:val="auto"/>
        </w:rPr>
      </w:pPr>
      <w:r>
        <w:rPr>
          <w:rFonts w:ascii="Arial" w:cs="Arial" w:eastAsia="Arial" w:hAnsi="Arial"/>
          <w:sz w:val="18"/>
          <w:szCs w:val="18"/>
          <w:color w:val="auto"/>
        </w:rPr>
        <w:t>2018, and after deducting the estimated underwriting discounts and commissions and estimated expenses payable by us, our as adjusted</w:t>
      </w:r>
    </w:p>
    <w:p>
      <w:pPr>
        <w:ind w:left="200"/>
        <w:spacing w:after="0" w:line="235" w:lineRule="auto"/>
        <w:tabs>
          <w:tab w:leader="none" w:pos="6120" w:val="left"/>
          <w:tab w:leader="none" w:pos="7240" w:val="left"/>
        </w:tabs>
        <w:rPr>
          <w:sz w:val="20"/>
          <w:szCs w:val="20"/>
          <w:color w:val="auto"/>
        </w:rPr>
      </w:pPr>
      <w:r>
        <w:rPr>
          <w:rFonts w:ascii="Arial" w:cs="Arial" w:eastAsia="Arial" w:hAnsi="Arial"/>
          <w:sz w:val="18"/>
          <w:szCs w:val="18"/>
          <w:color w:val="auto"/>
        </w:rPr>
        <w:t>net tangible book value as of December 31, 2017 would have been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8"/>
          <w:szCs w:val="18"/>
          <w:color w:val="auto"/>
        </w:rPr>
        <w:t>million), representing an as adjusted net tangible</w:t>
      </w:r>
    </w:p>
    <w:p>
      <w:pPr>
        <w:ind w:left="200"/>
        <w:spacing w:after="0"/>
        <w:tabs>
          <w:tab w:leader="none" w:pos="1860" w:val="left"/>
          <w:tab w:leader="none" w:pos="4220" w:val="left"/>
        </w:tabs>
        <w:rPr>
          <w:sz w:val="20"/>
          <w:szCs w:val="20"/>
          <w:color w:val="auto"/>
        </w:rPr>
      </w:pPr>
      <w:r>
        <w:rPr>
          <w:rFonts w:ascii="Arial" w:cs="Arial" w:eastAsia="Arial" w:hAnsi="Arial"/>
          <w:sz w:val="18"/>
          <w:szCs w:val="18"/>
          <w:color w:val="auto"/>
        </w:rPr>
        <w:t>book value of £</w:t>
      </w:r>
      <w:r>
        <w:rPr>
          <w:sz w:val="20"/>
          <w:szCs w:val="20"/>
          <w:color w:val="auto"/>
        </w:rPr>
        <w:tab/>
      </w:r>
      <w:r>
        <w:rPr>
          <w:rFonts w:ascii="Arial" w:cs="Arial" w:eastAsia="Arial" w:hAnsi="Arial"/>
          <w:sz w:val="18"/>
          <w:szCs w:val="18"/>
          <w:color w:val="auto"/>
        </w:rPr>
        <w:t>per ordinary share and $</w:t>
      </w:r>
      <w:r>
        <w:rPr>
          <w:sz w:val="20"/>
          <w:szCs w:val="20"/>
          <w:color w:val="auto"/>
        </w:rPr>
        <w:tab/>
      </w:r>
      <w:r>
        <w:rPr>
          <w:rFonts w:ascii="Arial" w:cs="Arial" w:eastAsia="Arial" w:hAnsi="Arial"/>
          <w:sz w:val="17"/>
          <w:szCs w:val="17"/>
          <w:color w:val="auto"/>
        </w:rPr>
        <w:t>per ADS. This represents an immediate increase in net tangible book value of £</w:t>
      </w:r>
    </w:p>
    <w:p>
      <w:pPr>
        <w:ind w:left="200"/>
        <w:spacing w:after="0"/>
        <w:tabs>
          <w:tab w:leader="none" w:pos="2940" w:val="left"/>
          <w:tab w:leader="none" w:pos="8260" w:val="left"/>
          <w:tab w:leader="none" w:pos="10620" w:val="left"/>
        </w:tabs>
        <w:rPr>
          <w:sz w:val="20"/>
          <w:szCs w:val="20"/>
          <w:color w:val="auto"/>
        </w:rPr>
      </w:pPr>
      <w:r>
        <w:rPr>
          <w:rFonts w:ascii="Arial" w:cs="Arial" w:eastAsia="Arial" w:hAnsi="Arial"/>
          <w:sz w:val="18"/>
          <w:szCs w:val="18"/>
          <w:color w:val="auto"/>
        </w:rPr>
        <w:t>per ordinary share (equal to $</w:t>
      </w:r>
      <w:r>
        <w:rPr>
          <w:sz w:val="20"/>
          <w:szCs w:val="20"/>
          <w:color w:val="auto"/>
        </w:rPr>
        <w:tab/>
      </w:r>
      <w:r>
        <w:rPr>
          <w:rFonts w:ascii="Arial" w:cs="Arial" w:eastAsia="Arial" w:hAnsi="Arial"/>
          <w:sz w:val="18"/>
          <w:szCs w:val="18"/>
          <w:color w:val="auto"/>
        </w:rPr>
        <w:t>ADS) to existing shareholders and an immediate dilution of £</w:t>
      </w:r>
      <w:r>
        <w:rPr>
          <w:sz w:val="20"/>
          <w:szCs w:val="20"/>
          <w:color w:val="auto"/>
        </w:rPr>
        <w:tab/>
      </w:r>
      <w:r>
        <w:rPr>
          <w:rFonts w:ascii="Arial" w:cs="Arial" w:eastAsia="Arial" w:hAnsi="Arial"/>
          <w:sz w:val="18"/>
          <w:szCs w:val="18"/>
          <w:color w:val="auto"/>
        </w:rPr>
        <w:t>per ordinary share and $</w:t>
      </w:r>
      <w:r>
        <w:rPr>
          <w:sz w:val="20"/>
          <w:szCs w:val="20"/>
          <w:color w:val="auto"/>
        </w:rPr>
        <w:tab/>
      </w:r>
      <w:r>
        <w:rPr>
          <w:rFonts w:ascii="Arial" w:cs="Arial" w:eastAsia="Arial" w:hAnsi="Arial"/>
          <w:sz w:val="17"/>
          <w:szCs w:val="17"/>
          <w:color w:val="auto"/>
        </w:rPr>
        <w:t>per</w:t>
      </w:r>
    </w:p>
    <w:p>
      <w:pPr>
        <w:jc w:val="both"/>
        <w:ind w:left="200" w:right="280"/>
        <w:spacing w:after="0"/>
        <w:rPr>
          <w:sz w:val="20"/>
          <w:szCs w:val="20"/>
          <w:color w:val="auto"/>
        </w:rPr>
      </w:pPr>
      <w:r>
        <w:rPr>
          <w:rFonts w:ascii="Arial" w:cs="Arial" w:eastAsia="Arial" w:hAnsi="Arial"/>
          <w:sz w:val="18"/>
          <w:szCs w:val="18"/>
          <w:color w:val="auto"/>
        </w:rPr>
        <w:t>ADS to new investors purchasing ordinary shares or ADSs in the global offering. Dilution per ordinary share or ADS to new investors is determined by subtracting the as adjusted net tangible book value per ADS or ordinary share after the global offering from the assumed initial public offering price per ADS or the assumed offering price per ordinary share, as applicable, paid by new investors.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illustrates this dilution to new investors purchasing ADSs or ordinary shares in the global offering.</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As of December 31, 2017</w:t>
            </w: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gridSpan w:val="3"/>
          </w:tcPr>
          <w:p>
            <w:pPr>
              <w:jc w:val="right"/>
              <w:ind w:right="79"/>
              <w:spacing w:after="0" w:line="155" w:lineRule="exact"/>
              <w:rPr>
                <w:sz w:val="20"/>
                <w:szCs w:val="20"/>
                <w:color w:val="auto"/>
              </w:rPr>
            </w:pPr>
            <w:r>
              <w:rPr>
                <w:rFonts w:ascii="Arial" w:cs="Arial" w:eastAsia="Arial" w:hAnsi="Arial"/>
                <w:sz w:val="14"/>
                <w:szCs w:val="14"/>
                <w:b w:val="1"/>
                <w:bCs w:val="1"/>
                <w:color w:val="auto"/>
              </w:rPr>
              <w:t>Ordinary Shares</w:t>
            </w:r>
          </w:p>
        </w:tc>
        <w:tc>
          <w:tcPr>
            <w:tcW w:w="2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gridSpan w:val="3"/>
          </w:tcPr>
          <w:p>
            <w:pPr>
              <w:jc w:val="center"/>
              <w:ind w:left="516"/>
              <w:spacing w:after="0" w:line="155" w:lineRule="exact"/>
              <w:rPr>
                <w:sz w:val="20"/>
                <w:szCs w:val="20"/>
                <w:color w:val="auto"/>
              </w:rPr>
            </w:pPr>
            <w:r>
              <w:rPr>
                <w:rFonts w:ascii="Arial" w:cs="Arial" w:eastAsia="Arial" w:hAnsi="Arial"/>
                <w:sz w:val="14"/>
                <w:szCs w:val="14"/>
                <w:b w:val="1"/>
                <w:bCs w:val="1"/>
                <w:color w:val="auto"/>
              </w:rPr>
              <w:t>ADSs</w:t>
            </w: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25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Assumed offering price</w:t>
            </w:r>
          </w:p>
        </w:tc>
        <w:tc>
          <w:tcPr>
            <w:tcW w:w="1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539"/>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80" w:type="dxa"/>
            <w:vAlign w:val="bottom"/>
            <w:gridSpan w:val="5"/>
          </w:tcPr>
          <w:p>
            <w:pPr>
              <w:ind w:left="340"/>
              <w:spacing w:after="0" w:line="202" w:lineRule="exact"/>
              <w:rPr>
                <w:sz w:val="20"/>
                <w:szCs w:val="20"/>
                <w:color w:val="auto"/>
              </w:rPr>
            </w:pPr>
            <w:r>
              <w:rPr>
                <w:rFonts w:ascii="Arial" w:cs="Arial" w:eastAsia="Arial" w:hAnsi="Arial"/>
                <w:sz w:val="18"/>
                <w:szCs w:val="18"/>
                <w:color w:val="auto"/>
              </w:rPr>
              <w:t>Net tangible book value per ordinary share or ADS</w:t>
            </w:r>
          </w:p>
        </w:tc>
        <w:tc>
          <w:tcPr>
            <w:tcW w:w="1380" w:type="dxa"/>
            <w:vAlign w:val="bottom"/>
          </w:tcPr>
          <w:p>
            <w:pPr>
              <w:spacing w:after="0"/>
              <w:rPr>
                <w:sz w:val="17"/>
                <w:szCs w:val="17"/>
                <w:color w:val="auto"/>
              </w:rPr>
            </w:pP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£0.39</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gridSpan w:val="2"/>
          </w:tcPr>
          <w:p>
            <w:pPr>
              <w:jc w:val="right"/>
              <w:ind w:right="556"/>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980" w:type="dxa"/>
            <w:vAlign w:val="bottom"/>
            <w:gridSpan w:val="10"/>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in net tangible book value per ordinary share or ADS attributable to the global</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offering</w:t>
            </w:r>
          </w:p>
        </w:tc>
        <w:tc>
          <w:tcPr>
            <w:tcW w:w="1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8280" w:type="dxa"/>
            <w:vAlign w:val="bottom"/>
            <w:gridSpan w:val="10"/>
          </w:tcPr>
          <w:p>
            <w:pPr>
              <w:spacing w:after="0"/>
              <w:rPr>
                <w:sz w:val="20"/>
                <w:szCs w:val="20"/>
                <w:color w:val="auto"/>
              </w:rPr>
            </w:pPr>
            <w:r>
              <w:rPr>
                <w:rFonts w:ascii="Arial" w:cs="Arial" w:eastAsia="Arial" w:hAnsi="Arial"/>
                <w:sz w:val="18"/>
                <w:szCs w:val="18"/>
                <w:color w:val="auto"/>
              </w:rPr>
              <w:t>As adjusted net tangible book value per ordinary share or ADS after the global offering</w:t>
            </w:r>
          </w:p>
        </w:tc>
        <w:tc>
          <w:tcPr>
            <w:tcW w:w="7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6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Dilution per ADS or ordinary share to new investors in the global offering</w:t>
            </w:r>
          </w:p>
        </w:tc>
        <w:tc>
          <w:tcPr>
            <w:tcW w:w="1900" w:type="dxa"/>
            <w:vAlign w:val="bottom"/>
            <w:gridSpan w:val="3"/>
            <w:shd w:val="clear" w:color="auto" w:fill="CCEEFF"/>
          </w:tcPr>
          <w:p>
            <w:pPr>
              <w:spacing w:after="0"/>
              <w:rPr>
                <w:sz w:val="17"/>
                <w:szCs w:val="17"/>
                <w:color w:val="auto"/>
              </w:rPr>
            </w:pPr>
          </w:p>
        </w:tc>
        <w:tc>
          <w:tcPr>
            <w:tcW w:w="720" w:type="dxa"/>
            <w:vAlign w:val="bottom"/>
            <w:shd w:val="clear" w:color="auto" w:fill="CCEEFF"/>
          </w:tcPr>
          <w:p>
            <w:pPr>
              <w:jc w:val="right"/>
              <w:ind w:right="539"/>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gridSpan w:val="6"/>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360" w:type="dxa"/>
            <w:vAlign w:val="bottom"/>
            <w:gridSpan w:val="6"/>
          </w:tcPr>
          <w:p>
            <w:pPr>
              <w:ind w:left="320"/>
              <w:spacing w:after="0"/>
              <w:rPr>
                <w:sz w:val="20"/>
                <w:szCs w:val="20"/>
                <w:color w:val="auto"/>
              </w:rPr>
            </w:pPr>
            <w:r>
              <w:rPr>
                <w:rFonts w:ascii="Arial" w:cs="Arial" w:eastAsia="Arial" w:hAnsi="Arial"/>
                <w:sz w:val="18"/>
                <w:szCs w:val="18"/>
                <w:color w:val="auto"/>
              </w:rPr>
              <w:t>If the underwriters exercise in full their option to purchase an additional</w:t>
            </w:r>
          </w:p>
        </w:tc>
        <w:tc>
          <w:tcPr>
            <w:tcW w:w="4660" w:type="dxa"/>
            <w:vAlign w:val="bottom"/>
            <w:gridSpan w:val="10"/>
          </w:tcPr>
          <w:p>
            <w:pPr>
              <w:ind w:left="280"/>
              <w:spacing w:after="0"/>
              <w:rPr>
                <w:sz w:val="20"/>
                <w:szCs w:val="20"/>
                <w:color w:val="auto"/>
              </w:rPr>
            </w:pPr>
            <w:r>
              <w:rPr>
                <w:rFonts w:ascii="Arial" w:cs="Arial" w:eastAsia="Arial" w:hAnsi="Arial"/>
                <w:sz w:val="18"/>
                <w:szCs w:val="18"/>
                <w:color w:val="auto"/>
              </w:rPr>
              <w:t>ADSs, our as adjusted net tangible book value after</w:t>
            </w:r>
          </w:p>
        </w:tc>
      </w:tr>
      <w:tr>
        <w:trPr>
          <w:trHeight w:val="203"/>
        </w:trPr>
        <w:tc>
          <w:tcPr>
            <w:tcW w:w="2580" w:type="dxa"/>
            <w:vAlign w:val="bottom"/>
            <w:gridSpan w:val="4"/>
          </w:tcPr>
          <w:p>
            <w:pPr>
              <w:spacing w:after="0" w:line="202" w:lineRule="exact"/>
              <w:rPr>
                <w:sz w:val="20"/>
                <w:szCs w:val="20"/>
                <w:color w:val="auto"/>
              </w:rPr>
            </w:pPr>
            <w:r>
              <w:rPr>
                <w:rFonts w:ascii="Arial" w:cs="Arial" w:eastAsia="Arial" w:hAnsi="Arial"/>
                <w:sz w:val="18"/>
                <w:szCs w:val="18"/>
                <w:color w:val="auto"/>
              </w:rPr>
              <w:t>the global offering would be £</w:t>
            </w:r>
          </w:p>
        </w:tc>
        <w:tc>
          <w:tcPr>
            <w:tcW w:w="24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per ordinary share and $</w:t>
            </w:r>
          </w:p>
        </w:tc>
        <w:tc>
          <w:tcPr>
            <w:tcW w:w="6040" w:type="dxa"/>
            <w:vAlign w:val="bottom"/>
            <w:gridSpan w:val="11"/>
          </w:tcPr>
          <w:p>
            <w:pPr>
              <w:jc w:val="center"/>
              <w:ind w:left="90"/>
              <w:spacing w:after="0" w:line="202" w:lineRule="exact"/>
              <w:rPr>
                <w:sz w:val="20"/>
                <w:szCs w:val="20"/>
                <w:color w:val="auto"/>
              </w:rPr>
            </w:pPr>
            <w:r>
              <w:rPr>
                <w:rFonts w:ascii="Arial" w:cs="Arial" w:eastAsia="Arial" w:hAnsi="Arial"/>
                <w:sz w:val="18"/>
                <w:szCs w:val="18"/>
                <w:color w:val="auto"/>
                <w:w w:val="99"/>
              </w:rPr>
              <w:t>per ADS, representing an immediate increase in as adjusted net tangible</w:t>
            </w:r>
          </w:p>
        </w:tc>
      </w:tr>
      <w:tr>
        <w:trPr>
          <w:trHeight w:val="203"/>
        </w:trPr>
        <w:tc>
          <w:tcPr>
            <w:tcW w:w="1440" w:type="dxa"/>
            <w:vAlign w:val="bottom"/>
            <w:gridSpan w:val="3"/>
          </w:tcPr>
          <w:p>
            <w:pPr>
              <w:spacing w:after="0" w:line="202" w:lineRule="exact"/>
              <w:rPr>
                <w:sz w:val="20"/>
                <w:szCs w:val="20"/>
                <w:color w:val="auto"/>
              </w:rPr>
            </w:pPr>
            <w:r>
              <w:rPr>
                <w:rFonts w:ascii="Arial" w:cs="Arial" w:eastAsia="Arial" w:hAnsi="Arial"/>
                <w:sz w:val="18"/>
                <w:szCs w:val="18"/>
                <w:color w:val="auto"/>
              </w:rPr>
              <w:t>book value of £</w:t>
            </w:r>
          </w:p>
        </w:tc>
        <w:tc>
          <w:tcPr>
            <w:tcW w:w="242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per ordinary share and $</w:t>
            </w:r>
          </w:p>
        </w:tc>
        <w:tc>
          <w:tcPr>
            <w:tcW w:w="514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per ADS to existing shareholders and immediate dilution of £</w:t>
            </w:r>
          </w:p>
        </w:tc>
        <w:tc>
          <w:tcPr>
            <w:tcW w:w="280" w:type="dxa"/>
            <w:vAlign w:val="bottom"/>
          </w:tcPr>
          <w:p>
            <w:pPr>
              <w:spacing w:after="0"/>
              <w:rPr>
                <w:sz w:val="17"/>
                <w:szCs w:val="17"/>
                <w:color w:val="auto"/>
              </w:rPr>
            </w:pPr>
          </w:p>
        </w:tc>
        <w:tc>
          <w:tcPr>
            <w:tcW w:w="1760" w:type="dxa"/>
            <w:vAlign w:val="bottom"/>
            <w:gridSpan w:val="5"/>
          </w:tcPr>
          <w:p>
            <w:pPr>
              <w:jc w:val="center"/>
              <w:ind w:right="140"/>
              <w:spacing w:after="0" w:line="202" w:lineRule="exact"/>
              <w:rPr>
                <w:sz w:val="20"/>
                <w:szCs w:val="20"/>
                <w:color w:val="auto"/>
              </w:rPr>
            </w:pPr>
            <w:r>
              <w:rPr>
                <w:rFonts w:ascii="Arial" w:cs="Arial" w:eastAsia="Arial" w:hAnsi="Arial"/>
                <w:sz w:val="18"/>
                <w:szCs w:val="18"/>
                <w:color w:val="auto"/>
                <w:w w:val="99"/>
              </w:rPr>
              <w:t>per ordinary share</w:t>
            </w:r>
          </w:p>
        </w:tc>
      </w:tr>
      <w:tr>
        <w:trPr>
          <w:trHeight w:val="203"/>
        </w:trPr>
        <w:tc>
          <w:tcPr>
            <w:tcW w:w="500" w:type="dxa"/>
            <w:vAlign w:val="bottom"/>
            <w:gridSpan w:val="2"/>
          </w:tcPr>
          <w:p>
            <w:pPr>
              <w:spacing w:after="0" w:line="202" w:lineRule="exact"/>
              <w:rPr>
                <w:sz w:val="20"/>
                <w:szCs w:val="20"/>
                <w:color w:val="auto"/>
              </w:rPr>
            </w:pPr>
            <w:r>
              <w:rPr>
                <w:rFonts w:ascii="Arial" w:cs="Arial" w:eastAsia="Arial" w:hAnsi="Arial"/>
                <w:sz w:val="18"/>
                <w:szCs w:val="18"/>
                <w:color w:val="auto"/>
              </w:rPr>
              <w:t>and $</w:t>
            </w:r>
          </w:p>
        </w:tc>
        <w:tc>
          <w:tcPr>
            <w:tcW w:w="9860" w:type="dxa"/>
            <w:vAlign w:val="bottom"/>
            <w:gridSpan w:val="13"/>
          </w:tcPr>
          <w:p>
            <w:pPr>
              <w:jc w:val="right"/>
              <w:ind w:right="400"/>
              <w:spacing w:after="0" w:line="202" w:lineRule="exact"/>
              <w:rPr>
                <w:sz w:val="20"/>
                <w:szCs w:val="20"/>
                <w:color w:val="auto"/>
              </w:rPr>
            </w:pPr>
            <w:r>
              <w:rPr>
                <w:rFonts w:ascii="Arial" w:cs="Arial" w:eastAsia="Arial" w:hAnsi="Arial"/>
                <w:sz w:val="18"/>
                <w:szCs w:val="18"/>
                <w:color w:val="auto"/>
              </w:rPr>
              <w:t>per ADS to new investors participating in the global offering, based on the assumed initial public offering price of $</w:t>
            </w:r>
          </w:p>
        </w:tc>
        <w:tc>
          <w:tcPr>
            <w:tcW w:w="680" w:type="dxa"/>
            <w:vAlign w:val="bottom"/>
            <w:gridSpan w:val="2"/>
          </w:tcPr>
          <w:p>
            <w:pPr>
              <w:spacing w:after="0" w:line="202" w:lineRule="exact"/>
              <w:rPr>
                <w:sz w:val="20"/>
                <w:szCs w:val="20"/>
                <w:color w:val="auto"/>
              </w:rPr>
            </w:pPr>
            <w:r>
              <w:rPr>
                <w:rFonts w:ascii="Arial" w:cs="Arial" w:eastAsia="Arial" w:hAnsi="Arial"/>
                <w:sz w:val="18"/>
                <w:szCs w:val="18"/>
                <w:color w:val="auto"/>
              </w:rPr>
              <w:t>per</w:t>
            </w:r>
          </w:p>
        </w:tc>
      </w:tr>
      <w:tr>
        <w:trPr>
          <w:trHeight w:val="203"/>
        </w:trPr>
        <w:tc>
          <w:tcPr>
            <w:tcW w:w="5000" w:type="dxa"/>
            <w:vAlign w:val="bottom"/>
            <w:gridSpan w:val="6"/>
          </w:tcPr>
          <w:p>
            <w:pPr>
              <w:spacing w:after="0" w:line="202" w:lineRule="exact"/>
              <w:rPr>
                <w:sz w:val="20"/>
                <w:szCs w:val="20"/>
                <w:color w:val="auto"/>
              </w:rPr>
            </w:pPr>
            <w:r>
              <w:rPr>
                <w:rFonts w:ascii="Arial" w:cs="Arial" w:eastAsia="Arial" w:hAnsi="Arial"/>
                <w:sz w:val="18"/>
                <w:szCs w:val="18"/>
                <w:color w:val="auto"/>
              </w:rPr>
              <w:t>ADS in the U.S. offering and the assumed offering price of £</w:t>
            </w:r>
          </w:p>
        </w:tc>
        <w:tc>
          <w:tcPr>
            <w:tcW w:w="6040" w:type="dxa"/>
            <w:vAlign w:val="bottom"/>
            <w:gridSpan w:val="11"/>
          </w:tcPr>
          <w:p>
            <w:pPr>
              <w:jc w:val="center"/>
              <w:ind w:left="90"/>
              <w:spacing w:after="0" w:line="202" w:lineRule="exact"/>
              <w:rPr>
                <w:sz w:val="20"/>
                <w:szCs w:val="20"/>
                <w:color w:val="auto"/>
              </w:rPr>
            </w:pPr>
            <w:r>
              <w:rPr>
                <w:rFonts w:ascii="Arial" w:cs="Arial" w:eastAsia="Arial" w:hAnsi="Arial"/>
                <w:sz w:val="18"/>
                <w:szCs w:val="18"/>
                <w:color w:val="auto"/>
              </w:rPr>
              <w:t>per ordinary share in the European private placement, which reflect the</w:t>
            </w:r>
          </w:p>
        </w:tc>
      </w:tr>
      <w:tr>
        <w:trPr>
          <w:trHeight w:val="217"/>
        </w:trPr>
        <w:tc>
          <w:tcPr>
            <w:tcW w:w="5000" w:type="dxa"/>
            <w:vAlign w:val="bottom"/>
            <w:gridSpan w:val="6"/>
          </w:tcPr>
          <w:p>
            <w:pPr>
              <w:spacing w:after="0"/>
              <w:rPr>
                <w:sz w:val="20"/>
                <w:szCs w:val="20"/>
                <w:color w:val="auto"/>
              </w:rPr>
            </w:pPr>
            <w:r>
              <w:rPr>
                <w:rFonts w:ascii="Arial" w:cs="Arial" w:eastAsia="Arial" w:hAnsi="Arial"/>
                <w:sz w:val="18"/>
                <w:szCs w:val="18"/>
                <w:color w:val="auto"/>
              </w:rPr>
              <w:t>last reported sale price of our ordinary shares on AIM on</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 2018.</w:t>
            </w: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5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jc w:val="right"/>
              <w:ind w:right="670"/>
              <w:spacing w:after="0"/>
              <w:rPr>
                <w:sz w:val="20"/>
                <w:szCs w:val="20"/>
                <w:color w:val="auto"/>
              </w:rPr>
            </w:pPr>
            <w:r>
              <w:rPr>
                <w:rFonts w:ascii="Arial" w:cs="Arial" w:eastAsia="Arial" w:hAnsi="Arial"/>
                <w:sz w:val="18"/>
                <w:szCs w:val="18"/>
                <w:color w:val="auto"/>
              </w:rPr>
              <w:t>74</w:t>
            </w: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8" w:name="page79"/>
    <w:bookmarkEnd w:id="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519"/>
        </w:trPr>
        <w:tc>
          <w:tcPr>
            <w:tcW w:w="1460" w:type="dxa"/>
            <w:vAlign w:val="bottom"/>
            <w:gridSpan w:val="2"/>
          </w:tcPr>
          <w:p>
            <w:pPr>
              <w:ind w:left="540"/>
              <w:spacing w:after="0"/>
              <w:rPr>
                <w:sz w:val="20"/>
                <w:szCs w:val="20"/>
                <w:color w:val="auto"/>
              </w:rPr>
            </w:pPr>
            <w:r>
              <w:rPr>
                <w:rFonts w:ascii="Arial" w:cs="Arial" w:eastAsia="Arial" w:hAnsi="Arial"/>
                <w:sz w:val="18"/>
                <w:szCs w:val="18"/>
                <w:color w:val="auto"/>
              </w:rPr>
              <w:t>Each £</w:t>
            </w:r>
          </w:p>
        </w:tc>
        <w:tc>
          <w:tcPr>
            <w:tcW w:w="4700" w:type="dxa"/>
            <w:vAlign w:val="bottom"/>
            <w:gridSpan w:val="2"/>
          </w:tcPr>
          <w:p>
            <w:pPr>
              <w:ind w:left="80"/>
              <w:spacing w:after="0"/>
              <w:rPr>
                <w:sz w:val="20"/>
                <w:szCs w:val="20"/>
                <w:color w:val="auto"/>
              </w:rPr>
            </w:pPr>
            <w:r>
              <w:rPr>
                <w:rFonts w:ascii="Arial" w:cs="Arial" w:eastAsia="Arial" w:hAnsi="Arial"/>
                <w:sz w:val="18"/>
                <w:szCs w:val="18"/>
                <w:color w:val="auto"/>
              </w:rPr>
              <w:t>increase or decrease in the assumed offering price of £</w:t>
            </w: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w w:val="99"/>
              </w:rPr>
              <w:t>per ordinary share, which reflects the last reported sale price</w:t>
            </w:r>
          </w:p>
        </w:tc>
      </w:tr>
      <w:tr>
        <w:trPr>
          <w:trHeight w:val="203"/>
        </w:trPr>
        <w:tc>
          <w:tcPr>
            <w:tcW w:w="3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of our ordinary shares on AIM on</w:t>
            </w:r>
          </w:p>
        </w:tc>
        <w:tc>
          <w:tcPr>
            <w:tcW w:w="746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 2018, would increase or decrease the as adjusted net tangible book value after the global</w:t>
            </w:r>
          </w:p>
        </w:tc>
      </w:tr>
      <w:tr>
        <w:trPr>
          <w:trHeight w:val="203"/>
        </w:trPr>
        <w:tc>
          <w:tcPr>
            <w:tcW w:w="1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offering by £</w:t>
            </w:r>
          </w:p>
        </w:tc>
        <w:tc>
          <w:tcPr>
            <w:tcW w:w="2280" w:type="dxa"/>
            <w:vAlign w:val="bottom"/>
          </w:tcPr>
          <w:p>
            <w:pPr>
              <w:ind w:left="180"/>
              <w:spacing w:after="0" w:line="202" w:lineRule="exact"/>
              <w:rPr>
                <w:sz w:val="20"/>
                <w:szCs w:val="20"/>
                <w:color w:val="auto"/>
              </w:rPr>
            </w:pPr>
            <w:r>
              <w:rPr>
                <w:rFonts w:ascii="Arial" w:cs="Arial" w:eastAsia="Arial" w:hAnsi="Arial"/>
                <w:sz w:val="18"/>
                <w:szCs w:val="18"/>
                <w:color w:val="auto"/>
              </w:rPr>
              <w:t>per ordinary share and $</w:t>
            </w:r>
          </w:p>
        </w:tc>
        <w:tc>
          <w:tcPr>
            <w:tcW w:w="59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per ADS and the dilution to new investors in the global offering by £</w:t>
            </w:r>
          </w:p>
        </w:tc>
        <w:tc>
          <w:tcPr>
            <w:tcW w:w="1560" w:type="dxa"/>
            <w:vAlign w:val="bottom"/>
          </w:tcPr>
          <w:p>
            <w:pPr>
              <w:ind w:left="220"/>
              <w:spacing w:after="0" w:line="202" w:lineRule="exact"/>
              <w:rPr>
                <w:sz w:val="20"/>
                <w:szCs w:val="20"/>
                <w:color w:val="auto"/>
              </w:rPr>
            </w:pPr>
            <w:r>
              <w:rPr>
                <w:rFonts w:ascii="Arial" w:cs="Arial" w:eastAsia="Arial" w:hAnsi="Arial"/>
                <w:sz w:val="18"/>
                <w:szCs w:val="18"/>
                <w:color w:val="auto"/>
              </w:rPr>
              <w:t>per ordinary</w:t>
            </w:r>
          </w:p>
        </w:tc>
      </w:tr>
      <w:tr>
        <w:trPr>
          <w:trHeight w:val="203"/>
        </w:trPr>
        <w:tc>
          <w:tcPr>
            <w:tcW w:w="1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share and $</w:t>
            </w:r>
          </w:p>
        </w:tc>
        <w:tc>
          <w:tcPr>
            <w:tcW w:w="97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per ADS, assuming that the number of ordinary shares (including ordinary shares in the form of ADSs) offered by us in</w:t>
            </w:r>
          </w:p>
        </w:tc>
      </w:tr>
    </w:tbl>
    <w:p>
      <w:pPr>
        <w:ind w:left="200"/>
        <w:spacing w:after="0" w:line="331" w:lineRule="auto"/>
        <w:rPr>
          <w:sz w:val="20"/>
          <w:szCs w:val="20"/>
          <w:color w:val="auto"/>
        </w:rPr>
      </w:pPr>
      <w:r>
        <w:rPr>
          <w:rFonts w:ascii="Arial" w:cs="Arial" w:eastAsia="Arial" w:hAnsi="Arial"/>
          <w:sz w:val="17"/>
          <w:szCs w:val="17"/>
          <w:color w:val="auto"/>
        </w:rPr>
        <w:t>the global offering, as set forth on the cover page of this prospectus, remains the same and after deducting the estimated underwriting discounts and commissions and estimated offering expenses payable by us. An increase of 1,000,000 in the number of ordinary shares (including ordinary shares in the form of ADSs) offered by us in the global offering, as set forth on the cover page of this prospectus,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right="160"/>
        <w:spacing w:after="0" w:line="234" w:lineRule="auto"/>
        <w:rPr>
          <w:sz w:val="20"/>
          <w:szCs w:val="20"/>
          <w:color w:val="auto"/>
        </w:rPr>
      </w:pPr>
      <w:r>
        <w:rPr>
          <w:rFonts w:ascii="Arial" w:cs="Arial" w:eastAsia="Arial" w:hAnsi="Arial"/>
          <w:sz w:val="18"/>
          <w:szCs w:val="18"/>
          <w:color w:val="auto"/>
        </w:rPr>
        <w:t>increase the as adjusted net tangible book value after the global offering by £ per ordinary share and $ per ADS and decrease the dilution to new investors participating in the global offering by £ per ordinary share and $ per ADS, assuming no change in</w:t>
      </w:r>
    </w:p>
    <w:p>
      <w:pPr>
        <w:spacing w:after="0" w:line="2" w:lineRule="exact"/>
        <w:rPr>
          <w:sz w:val="20"/>
          <w:szCs w:val="20"/>
          <w:color w:val="auto"/>
        </w:rPr>
      </w:pPr>
    </w:p>
    <w:p>
      <w:pPr>
        <w:ind w:left="200" w:right="200"/>
        <w:spacing w:after="0" w:line="704" w:lineRule="auto"/>
        <w:rPr>
          <w:sz w:val="20"/>
          <w:szCs w:val="20"/>
          <w:color w:val="auto"/>
        </w:rPr>
      </w:pPr>
      <w:r>
        <w:rPr>
          <w:rFonts w:ascii="Arial" w:cs="Arial" w:eastAsia="Arial" w:hAnsi="Arial"/>
          <w:sz w:val="18"/>
          <w:szCs w:val="18"/>
          <w:color w:val="auto"/>
        </w:rPr>
        <w:t>the assumed initial public offering price per ADS or in the assumed offering price per ordinary share and after deducting the estimated underwriting discounts and commissions and estimated offering expenses payable by us. A decrease of 1,000,000 in the number of ordinary shares (including ordinary shares in the form of ADSs) offered by us in the global offering, as set forth on the cover page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0" w:right="180"/>
        <w:spacing w:after="0" w:line="234" w:lineRule="auto"/>
        <w:rPr>
          <w:sz w:val="20"/>
          <w:szCs w:val="20"/>
          <w:color w:val="auto"/>
        </w:rPr>
      </w:pPr>
      <w:r>
        <w:rPr>
          <w:rFonts w:ascii="Arial" w:cs="Arial" w:eastAsia="Arial" w:hAnsi="Arial"/>
          <w:sz w:val="18"/>
          <w:szCs w:val="18"/>
          <w:color w:val="auto"/>
        </w:rPr>
        <w:t>prospectus, would decrease the as adjusted net tangible book value after the global offering by £ per ordinary share and $ per ADS, and increase the dilution to new investors participating in the global offering by £ per ordinary share and $ per ADS,</w:t>
      </w:r>
    </w:p>
    <w:p>
      <w:pPr>
        <w:spacing w:after="0" w:line="2" w:lineRule="exact"/>
        <w:rPr>
          <w:sz w:val="20"/>
          <w:szCs w:val="20"/>
          <w:color w:val="auto"/>
        </w:rPr>
      </w:pPr>
    </w:p>
    <w:p>
      <w:pPr>
        <w:ind w:left="200" w:right="420"/>
        <w:spacing w:after="0" w:line="246" w:lineRule="auto"/>
        <w:rPr>
          <w:sz w:val="20"/>
          <w:szCs w:val="20"/>
          <w:color w:val="auto"/>
        </w:rPr>
      </w:pPr>
      <w:r>
        <w:rPr>
          <w:rFonts w:ascii="Arial" w:cs="Arial" w:eastAsia="Arial" w:hAnsi="Arial"/>
          <w:sz w:val="18"/>
          <w:szCs w:val="18"/>
          <w:color w:val="auto"/>
        </w:rPr>
        <w:t>assuming no change in the assumed initial public offering price per ADS or in the assumed offering price per ordinary share and after deducting the estimated underwriting discounts and commissions and estimated offering expenses payable by us.</w:t>
      </w:r>
    </w:p>
    <w:p>
      <w:pPr>
        <w:spacing w:after="0" w:line="197" w:lineRule="exact"/>
        <w:rPr>
          <w:sz w:val="20"/>
          <w:szCs w:val="20"/>
          <w:color w:val="auto"/>
        </w:rPr>
      </w:pPr>
    </w:p>
    <w:p>
      <w:pPr>
        <w:ind w:left="200" w:right="100" w:firstLine="331"/>
        <w:spacing w:after="0" w:line="234" w:lineRule="auto"/>
        <w:rPr>
          <w:sz w:val="20"/>
          <w:szCs w:val="20"/>
          <w:color w:val="auto"/>
        </w:rPr>
      </w:pPr>
      <w:r>
        <w:rPr>
          <w:rFonts w:ascii="Arial" w:cs="Arial" w:eastAsia="Arial" w:hAnsi="Arial"/>
          <w:sz w:val="18"/>
          <w:szCs w:val="18"/>
          <w:color w:val="auto"/>
        </w:rPr>
        <w:t>The following table summarizes, as of December 31, 2017, on the as adjusted basis described above, the number of ordinary shares purchased from us (including ordinary shares in the form of ADSs), the total consideration paid to us and the average price per ordinary share and per ADS paid by existing shareholders and by new investors purchasing ordinary shares or ADSs in the global offering. The</w:t>
      </w:r>
    </w:p>
    <w:p>
      <w:pPr>
        <w:ind w:left="200"/>
        <w:spacing w:after="0" w:line="237" w:lineRule="auto"/>
        <w:tabs>
          <w:tab w:leader="none" w:pos="5960" w:val="left"/>
        </w:tabs>
        <w:rPr>
          <w:sz w:val="20"/>
          <w:szCs w:val="20"/>
          <w:color w:val="auto"/>
        </w:rPr>
      </w:pPr>
      <w:r>
        <w:rPr>
          <w:rFonts w:ascii="Arial" w:cs="Arial" w:eastAsia="Arial" w:hAnsi="Arial"/>
          <w:sz w:val="18"/>
          <w:szCs w:val="18"/>
          <w:color w:val="auto"/>
        </w:rPr>
        <w:t>table below is based on an assumed initial public offering price of $</w:t>
      </w:r>
      <w:r>
        <w:rPr>
          <w:sz w:val="20"/>
          <w:szCs w:val="20"/>
          <w:color w:val="auto"/>
        </w:rPr>
        <w:tab/>
      </w:r>
      <w:r>
        <w:rPr>
          <w:rFonts w:ascii="Arial" w:cs="Arial" w:eastAsia="Arial" w:hAnsi="Arial"/>
          <w:sz w:val="18"/>
          <w:szCs w:val="18"/>
          <w:color w:val="auto"/>
        </w:rPr>
        <w:t>per ADS in the U.S. offering and an assumed offering price of</w:t>
      </w:r>
    </w:p>
    <w:p>
      <w:pPr>
        <w:ind w:left="760" w:hanging="556"/>
        <w:spacing w:after="0" w:line="235"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 ordinary share in the European private placement, which reflect the last reported sale price of our ordinary shares on AIM on</w:t>
      </w:r>
    </w:p>
    <w:p>
      <w:pPr>
        <w:ind w:left="1300" w:hanging="96"/>
        <w:spacing w:after="0" w:line="23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2018, before deducting the estimated underwriting discounts and commissions and estimated offering expenses payable by</w:t>
      </w:r>
    </w:p>
    <w:p>
      <w:pPr>
        <w:ind w:left="200"/>
        <w:spacing w:after="0"/>
        <w:rPr>
          <w:rFonts w:ascii="Arial" w:cs="Arial" w:eastAsia="Arial" w:hAnsi="Arial"/>
          <w:sz w:val="18"/>
          <w:szCs w:val="18"/>
          <w:color w:val="auto"/>
        </w:rPr>
      </w:pPr>
      <w:r>
        <w:rPr>
          <w:rFonts w:ascii="Arial" w:cs="Arial" w:eastAsia="Arial" w:hAnsi="Arial"/>
          <w:sz w:val="18"/>
          <w:szCs w:val="18"/>
          <w:color w:val="auto"/>
        </w:rPr>
        <w:t>us: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40" w:type="dxa"/>
            <w:vAlign w:val="bottom"/>
            <w:gridSpan w:val="4"/>
            <w:vMerge w:val="restart"/>
          </w:tcPr>
          <w:p>
            <w:pPr>
              <w:jc w:val="right"/>
              <w:ind w:right="610"/>
              <w:spacing w:after="0"/>
              <w:rPr>
                <w:sz w:val="20"/>
                <w:szCs w:val="20"/>
                <w:color w:val="auto"/>
              </w:rPr>
            </w:pPr>
            <w:r>
              <w:rPr>
                <w:rFonts w:ascii="Arial" w:cs="Arial" w:eastAsia="Arial" w:hAnsi="Arial"/>
                <w:sz w:val="14"/>
                <w:szCs w:val="14"/>
                <w:b w:val="1"/>
                <w:bCs w:val="1"/>
                <w:color w:val="auto"/>
              </w:rPr>
              <w:t>Ordinary Shares</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4"/>
            <w:vMerge w:val="restart"/>
          </w:tcPr>
          <w:p>
            <w:pPr>
              <w:jc w:val="right"/>
              <w:ind w:right="93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Average</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4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8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Price per</w:t>
            </w:r>
          </w:p>
        </w:tc>
        <w:tc>
          <w:tcPr>
            <w:tcW w:w="20" w:type="dxa"/>
            <w:vAlign w:val="bottom"/>
          </w:tcPr>
          <w:p>
            <w:pPr>
              <w:spacing w:after="0"/>
              <w:rPr>
                <w:sz w:val="8"/>
                <w:szCs w:val="8"/>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40" w:type="dxa"/>
            <w:vAlign w:val="bottom"/>
            <w:gridSpan w:val="4"/>
            <w:vMerge w:val="restart"/>
          </w:tcPr>
          <w:p>
            <w:pPr>
              <w:jc w:val="right"/>
              <w:ind w:right="730"/>
              <w:spacing w:after="0"/>
              <w:rPr>
                <w:sz w:val="20"/>
                <w:szCs w:val="20"/>
                <w:color w:val="auto"/>
              </w:rPr>
            </w:pPr>
            <w:r>
              <w:rPr>
                <w:rFonts w:ascii="Arial" w:cs="Arial" w:eastAsia="Arial" w:hAnsi="Arial"/>
                <w:sz w:val="14"/>
                <w:szCs w:val="14"/>
                <w:b w:val="1"/>
                <w:bCs w:val="1"/>
                <w:color w:val="auto"/>
              </w:rPr>
              <w:t>Purchased(1)</w:t>
            </w:r>
          </w:p>
        </w:tc>
        <w:tc>
          <w:tcPr>
            <w:tcW w:w="280" w:type="dxa"/>
            <w:vAlign w:val="bottom"/>
          </w:tcPr>
          <w:p>
            <w:pPr>
              <w:spacing w:after="0"/>
              <w:rPr>
                <w:sz w:val="5"/>
                <w:szCs w:val="5"/>
                <w:color w:val="auto"/>
              </w:rPr>
            </w:pPr>
          </w:p>
        </w:tc>
        <w:tc>
          <w:tcPr>
            <w:tcW w:w="1760" w:type="dxa"/>
            <w:vAlign w:val="bottom"/>
            <w:gridSpan w:val="5"/>
            <w:vMerge w:val="restart"/>
          </w:tcPr>
          <w:p>
            <w:pPr>
              <w:jc w:val="right"/>
              <w:ind w:right="610"/>
              <w:spacing w:after="0"/>
              <w:rPr>
                <w:sz w:val="20"/>
                <w:szCs w:val="20"/>
                <w:color w:val="auto"/>
              </w:rPr>
            </w:pPr>
            <w:r>
              <w:rPr>
                <w:rFonts w:ascii="Arial" w:cs="Arial" w:eastAsia="Arial" w:hAnsi="Arial"/>
                <w:sz w:val="14"/>
                <w:szCs w:val="14"/>
                <w:b w:val="1"/>
                <w:bCs w:val="1"/>
                <w:color w:val="auto"/>
              </w:rPr>
              <w:t>Consideration</w:t>
            </w: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4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Ordinary</w:t>
            </w:r>
          </w:p>
        </w:tc>
        <w:tc>
          <w:tcPr>
            <w:tcW w:w="20" w:type="dxa"/>
            <w:vAlign w:val="bottom"/>
          </w:tcPr>
          <w:p>
            <w:pPr>
              <w:spacing w:after="0"/>
              <w:rPr>
                <w:sz w:val="9"/>
                <w:szCs w:val="9"/>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8"/>
              </w:rPr>
              <w:t>Number</w:t>
            </w:r>
          </w:p>
        </w:tc>
        <w:tc>
          <w:tcPr>
            <w:tcW w:w="440" w:type="dxa"/>
            <w:vAlign w:val="bottom"/>
          </w:tcPr>
          <w:p>
            <w:pPr>
              <w:spacing w:after="0"/>
              <w:rPr>
                <w:sz w:val="15"/>
                <w:szCs w:val="15"/>
                <w:color w:val="auto"/>
              </w:rPr>
            </w:pPr>
          </w:p>
        </w:tc>
        <w:tc>
          <w:tcPr>
            <w:tcW w:w="10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w w:val="97"/>
              </w:rPr>
              <w:t>Percent</w:t>
            </w: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Existing shareholders</w:t>
            </w:r>
          </w:p>
        </w:tc>
        <w:tc>
          <w:tcPr>
            <w:tcW w:w="10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tcBorders>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4"/>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jc w:val="right"/>
              <w:ind w:right="604"/>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60" w:type="dxa"/>
            <w:vAlign w:val="bottom"/>
            <w:gridSpan w:val="3"/>
          </w:tcPr>
          <w:p>
            <w:pPr>
              <w:spacing w:after="0" w:line="202" w:lineRule="exact"/>
              <w:rPr>
                <w:sz w:val="20"/>
                <w:szCs w:val="20"/>
                <w:color w:val="auto"/>
              </w:rPr>
            </w:pPr>
            <w:r>
              <w:rPr>
                <w:rFonts w:ascii="Arial" w:cs="Arial" w:eastAsia="Arial" w:hAnsi="Arial"/>
                <w:sz w:val="18"/>
                <w:szCs w:val="18"/>
                <w:color w:val="auto"/>
              </w:rPr>
              <w:t>New investors</w:t>
            </w:r>
          </w:p>
        </w:tc>
        <w:tc>
          <w:tcPr>
            <w:tcW w:w="10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gridSpan w:val="3"/>
          </w:tcPr>
          <w:p>
            <w:pPr>
              <w:spacing w:after="0"/>
              <w:rPr>
                <w:sz w:val="11"/>
                <w:szCs w:val="11"/>
                <w:color w:val="auto"/>
              </w:rPr>
            </w:pPr>
          </w:p>
        </w:tc>
        <w:tc>
          <w:tcPr>
            <w:tcW w:w="2180" w:type="dxa"/>
            <w:vAlign w:val="bottom"/>
            <w:gridSpan w:val="3"/>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80" w:type="dxa"/>
            <w:vAlign w:val="bottom"/>
            <w:gridSpan w:val="2"/>
          </w:tcPr>
          <w:p>
            <w:pPr>
              <w:spacing w:after="0"/>
              <w:rPr>
                <w:sz w:val="20"/>
                <w:szCs w:val="20"/>
                <w:color w:val="auto"/>
              </w:rPr>
            </w:pPr>
            <w:r>
              <w:rPr>
                <w:rFonts w:ascii="Arial" w:cs="Arial" w:eastAsia="Arial" w:hAnsi="Arial"/>
                <w:sz w:val="18"/>
                <w:szCs w:val="18"/>
                <w:color w:val="auto"/>
              </w:rPr>
              <w:t>(1)</w:t>
            </w:r>
          </w:p>
        </w:tc>
        <w:tc>
          <w:tcPr>
            <w:tcW w:w="4780" w:type="dxa"/>
            <w:vAlign w:val="bottom"/>
            <w:gridSpan w:val="6"/>
          </w:tcPr>
          <w:p>
            <w:pPr>
              <w:ind w:left="40"/>
              <w:spacing w:after="0"/>
              <w:rPr>
                <w:sz w:val="20"/>
                <w:szCs w:val="20"/>
                <w:color w:val="auto"/>
              </w:rPr>
            </w:pPr>
            <w:r>
              <w:rPr>
                <w:rFonts w:ascii="Arial" w:cs="Arial" w:eastAsia="Arial" w:hAnsi="Arial"/>
                <w:sz w:val="18"/>
                <w:szCs w:val="18"/>
                <w:color w:val="auto"/>
              </w:rPr>
              <w:t>Including ordinary shares in the form of ADSs.</w:t>
            </w: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Each $</w:t>
            </w:r>
          </w:p>
        </w:tc>
        <w:tc>
          <w:tcPr>
            <w:tcW w:w="5520" w:type="dxa"/>
            <w:vAlign w:val="bottom"/>
            <w:gridSpan w:val="8"/>
          </w:tcPr>
          <w:p>
            <w:pPr>
              <w:jc w:val="right"/>
              <w:ind w:right="16"/>
              <w:spacing w:after="0"/>
              <w:rPr>
                <w:sz w:val="20"/>
                <w:szCs w:val="20"/>
                <w:color w:val="auto"/>
              </w:rPr>
            </w:pPr>
            <w:r>
              <w:rPr>
                <w:rFonts w:ascii="Arial" w:cs="Arial" w:eastAsia="Arial" w:hAnsi="Arial"/>
                <w:sz w:val="18"/>
                <w:szCs w:val="18"/>
                <w:color w:val="auto"/>
              </w:rPr>
              <w:t>increase or decrease in the assumed initial public offering price of $</w:t>
            </w:r>
          </w:p>
        </w:tc>
        <w:tc>
          <w:tcPr>
            <w:tcW w:w="3940" w:type="dxa"/>
            <w:vAlign w:val="bottom"/>
            <w:gridSpan w:val="11"/>
          </w:tcPr>
          <w:p>
            <w:pPr>
              <w:ind w:left="340"/>
              <w:spacing w:after="0"/>
              <w:rPr>
                <w:sz w:val="20"/>
                <w:szCs w:val="20"/>
                <w:color w:val="auto"/>
              </w:rPr>
            </w:pPr>
            <w:r>
              <w:rPr>
                <w:rFonts w:ascii="Arial" w:cs="Arial" w:eastAsia="Arial" w:hAnsi="Arial"/>
                <w:sz w:val="18"/>
                <w:szCs w:val="18"/>
                <w:color w:val="auto"/>
                <w:w w:val="99"/>
              </w:rPr>
              <w:t>per ADS, which reflects the last reported sale</w:t>
            </w:r>
          </w:p>
        </w:tc>
        <w:tc>
          <w:tcPr>
            <w:tcW w:w="0" w:type="dxa"/>
            <w:vAlign w:val="bottom"/>
          </w:tcPr>
          <w:p>
            <w:pPr>
              <w:spacing w:after="0"/>
              <w:rPr>
                <w:sz w:val="1"/>
                <w:szCs w:val="1"/>
                <w:color w:val="auto"/>
              </w:rPr>
            </w:pPr>
          </w:p>
        </w:tc>
      </w:tr>
      <w:tr>
        <w:trPr>
          <w:trHeight w:val="203"/>
        </w:trPr>
        <w:tc>
          <w:tcPr>
            <w:tcW w:w="3500" w:type="dxa"/>
            <w:vAlign w:val="bottom"/>
            <w:gridSpan w:val="6"/>
          </w:tcPr>
          <w:p>
            <w:pPr>
              <w:spacing w:after="0" w:line="202" w:lineRule="exact"/>
              <w:rPr>
                <w:sz w:val="20"/>
                <w:szCs w:val="20"/>
                <w:color w:val="auto"/>
              </w:rPr>
            </w:pPr>
            <w:r>
              <w:rPr>
                <w:rFonts w:ascii="Arial" w:cs="Arial" w:eastAsia="Arial" w:hAnsi="Arial"/>
                <w:sz w:val="18"/>
                <w:szCs w:val="18"/>
                <w:color w:val="auto"/>
              </w:rPr>
              <w:t>price of our ordinary shares on AIM on</w:t>
            </w:r>
          </w:p>
        </w:tc>
        <w:tc>
          <w:tcPr>
            <w:tcW w:w="7260" w:type="dxa"/>
            <w:vAlign w:val="bottom"/>
            <w:gridSpan w:val="17"/>
          </w:tcPr>
          <w:p>
            <w:pPr>
              <w:ind w:left="420"/>
              <w:spacing w:after="0" w:line="202" w:lineRule="exact"/>
              <w:rPr>
                <w:sz w:val="20"/>
                <w:szCs w:val="20"/>
                <w:color w:val="auto"/>
              </w:rPr>
            </w:pPr>
            <w:r>
              <w:rPr>
                <w:rFonts w:ascii="Arial" w:cs="Arial" w:eastAsia="Arial" w:hAnsi="Arial"/>
                <w:sz w:val="18"/>
                <w:szCs w:val="18"/>
                <w:color w:val="auto"/>
              </w:rPr>
              <w:t>, 2018, would increase or decrease the total consideration paid by new investors by</w:t>
            </w:r>
          </w:p>
        </w:tc>
        <w:tc>
          <w:tcPr>
            <w:tcW w:w="0" w:type="dxa"/>
            <w:vAlign w:val="bottom"/>
          </w:tcPr>
          <w:p>
            <w:pPr>
              <w:spacing w:after="0"/>
              <w:rPr>
                <w:sz w:val="1"/>
                <w:szCs w:val="1"/>
                <w:color w:val="auto"/>
              </w:rPr>
            </w:pPr>
          </w:p>
        </w:tc>
      </w:tr>
      <w:tr>
        <w:trPr>
          <w:trHeight w:val="203"/>
        </w:trPr>
        <w:tc>
          <w:tcPr>
            <w:tcW w:w="28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960" w:type="dxa"/>
            <w:vAlign w:val="bottom"/>
          </w:tcPr>
          <w:p>
            <w:pPr>
              <w:ind w:left="220"/>
              <w:spacing w:after="0" w:line="202" w:lineRule="exact"/>
              <w:rPr>
                <w:sz w:val="20"/>
                <w:szCs w:val="20"/>
                <w:color w:val="auto"/>
              </w:rPr>
            </w:pPr>
            <w:r>
              <w:rPr>
                <w:rFonts w:ascii="Arial" w:cs="Arial" w:eastAsia="Arial" w:hAnsi="Arial"/>
                <w:sz w:val="18"/>
                <w:szCs w:val="18"/>
                <w:color w:val="auto"/>
                <w:w w:val="99"/>
              </w:rPr>
              <w:t>million (£</w:t>
            </w:r>
          </w:p>
        </w:tc>
        <w:tc>
          <w:tcPr>
            <w:tcW w:w="8600" w:type="dxa"/>
            <w:vAlign w:val="bottom"/>
            <w:gridSpan w:val="16"/>
          </w:tcPr>
          <w:p>
            <w:pPr>
              <w:ind w:left="420"/>
              <w:spacing w:after="0" w:line="202" w:lineRule="exact"/>
              <w:rPr>
                <w:sz w:val="20"/>
                <w:szCs w:val="20"/>
                <w:color w:val="auto"/>
              </w:rPr>
            </w:pPr>
            <w:r>
              <w:rPr>
                <w:rFonts w:ascii="Arial" w:cs="Arial" w:eastAsia="Arial" w:hAnsi="Arial"/>
                <w:sz w:val="18"/>
                <w:szCs w:val="18"/>
                <w:color w:val="auto"/>
              </w:rPr>
              <w:t>million) and would increase or decrease the percentage of total consideration paid by new investors by</w:t>
            </w:r>
          </w:p>
        </w:tc>
        <w:tc>
          <w:tcPr>
            <w:tcW w:w="800" w:type="dxa"/>
            <w:vAlign w:val="bottom"/>
            <w:gridSpan w:val="2"/>
          </w:tcPr>
          <w:p>
            <w:pPr>
              <w:jc w:val="right"/>
              <w:ind w:right="284"/>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0" w:right="300"/>
        <w:spacing w:after="0" w:line="234" w:lineRule="auto"/>
        <w:rPr>
          <w:sz w:val="20"/>
          <w:szCs w:val="20"/>
          <w:color w:val="auto"/>
        </w:rPr>
      </w:pPr>
      <w:r>
        <w:rPr>
          <w:rFonts w:ascii="Arial" w:cs="Arial" w:eastAsia="Arial" w:hAnsi="Arial"/>
          <w:sz w:val="18"/>
          <w:szCs w:val="18"/>
          <w:color w:val="auto"/>
        </w:rPr>
        <w:t>assuming that the number of ordinary shares (including ordinary shares in the form of ADSs) offered by us in the global offering, as set forth on the cover page of this prospectus, remains the same. An increase or decrease of 1,000,000 in the number of ordinary shares (including ordinary shares in the form of ADSs) offered by us, as set forth on the cover page of this prospectus, would increase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tabs>
          <w:tab w:leader="none" w:pos="5300" w:val="left"/>
          <w:tab w:leader="none" w:pos="6480" w:val="left"/>
        </w:tabs>
        <w:rPr>
          <w:sz w:val="20"/>
          <w:szCs w:val="20"/>
          <w:color w:val="auto"/>
        </w:rPr>
      </w:pPr>
      <w:r>
        <w:rPr>
          <w:rFonts w:ascii="Arial" w:cs="Arial" w:eastAsia="Arial" w:hAnsi="Arial"/>
          <w:sz w:val="18"/>
          <w:szCs w:val="18"/>
          <w:color w:val="auto"/>
        </w:rPr>
        <w:t>decrease the total consideration paid by new investors by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7"/>
          <w:szCs w:val="17"/>
          <w:color w:val="auto"/>
        </w:rPr>
        <w:t>million) and would</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46" w:right="4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2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519"/>
        </w:trPr>
        <w:tc>
          <w:tcPr>
            <w:tcW w:w="6860" w:type="dxa"/>
            <w:vAlign w:val="bottom"/>
            <w:gridSpan w:val="4"/>
          </w:tcPr>
          <w:p>
            <w:pPr>
              <w:ind w:left="200"/>
              <w:spacing w:after="0"/>
              <w:rPr>
                <w:sz w:val="20"/>
                <w:szCs w:val="20"/>
                <w:color w:val="auto"/>
              </w:rPr>
            </w:pPr>
            <w:r>
              <w:rPr>
                <w:rFonts w:ascii="Arial" w:cs="Arial" w:eastAsia="Arial" w:hAnsi="Arial"/>
                <w:sz w:val="18"/>
                <w:szCs w:val="18"/>
                <w:color w:val="auto"/>
                <w:w w:val="99"/>
              </w:rPr>
              <w:t>increase or decrease the percentage of total consideration paid by new investors by</w:t>
            </w:r>
          </w:p>
        </w:tc>
        <w:tc>
          <w:tcPr>
            <w:tcW w:w="3940" w:type="dxa"/>
            <w:vAlign w:val="bottom"/>
          </w:tcPr>
          <w:p>
            <w:pPr>
              <w:ind w:left="260"/>
              <w:spacing w:after="0"/>
              <w:rPr>
                <w:sz w:val="20"/>
                <w:szCs w:val="20"/>
                <w:color w:val="auto"/>
              </w:rPr>
            </w:pPr>
            <w:r>
              <w:rPr>
                <w:rFonts w:ascii="Arial" w:cs="Arial" w:eastAsia="Arial" w:hAnsi="Arial"/>
                <w:sz w:val="18"/>
                <w:szCs w:val="18"/>
                <w:color w:val="auto"/>
              </w:rPr>
              <w:t>%, assuming no change in the assumed initial</w:t>
            </w:r>
          </w:p>
        </w:tc>
      </w:tr>
      <w:tr>
        <w:trPr>
          <w:trHeight w:val="217"/>
        </w:trPr>
        <w:tc>
          <w:tcPr>
            <w:tcW w:w="6860" w:type="dxa"/>
            <w:vAlign w:val="bottom"/>
            <w:gridSpan w:val="4"/>
          </w:tcPr>
          <w:p>
            <w:pPr>
              <w:ind w:left="200"/>
              <w:spacing w:after="0"/>
              <w:rPr>
                <w:sz w:val="20"/>
                <w:szCs w:val="20"/>
                <w:color w:val="auto"/>
              </w:rPr>
            </w:pPr>
            <w:r>
              <w:rPr>
                <w:rFonts w:ascii="Arial" w:cs="Arial" w:eastAsia="Arial" w:hAnsi="Arial"/>
                <w:sz w:val="18"/>
                <w:szCs w:val="18"/>
                <w:color w:val="auto"/>
              </w:rPr>
              <w:t>public offering price per ADS or in the assumed offering price per ordinary share.</w:t>
            </w:r>
          </w:p>
        </w:tc>
        <w:tc>
          <w:tcPr>
            <w:tcW w:w="3940" w:type="dxa"/>
            <w:vAlign w:val="bottom"/>
          </w:tcPr>
          <w:p>
            <w:pPr>
              <w:spacing w:after="0"/>
              <w:rPr>
                <w:sz w:val="18"/>
                <w:szCs w:val="18"/>
                <w:color w:val="auto"/>
              </w:rPr>
            </w:pPr>
          </w:p>
        </w:tc>
      </w:tr>
      <w:tr>
        <w:trPr>
          <w:trHeight w:val="419"/>
        </w:trPr>
        <w:tc>
          <w:tcPr>
            <w:tcW w:w="6860" w:type="dxa"/>
            <w:vAlign w:val="bottom"/>
            <w:gridSpan w:val="4"/>
          </w:tcPr>
          <w:p>
            <w:pPr>
              <w:ind w:left="540"/>
              <w:spacing w:after="0"/>
              <w:rPr>
                <w:sz w:val="20"/>
                <w:szCs w:val="20"/>
                <w:color w:val="auto"/>
              </w:rPr>
            </w:pPr>
            <w:r>
              <w:rPr>
                <w:rFonts w:ascii="Arial" w:cs="Arial" w:eastAsia="Arial" w:hAnsi="Arial"/>
                <w:sz w:val="18"/>
                <w:szCs w:val="18"/>
                <w:color w:val="auto"/>
              </w:rPr>
              <w:t>If the underwriters exercise in full their option to purchase an additional</w:t>
            </w:r>
          </w:p>
        </w:tc>
        <w:tc>
          <w:tcPr>
            <w:tcW w:w="3940" w:type="dxa"/>
            <w:vAlign w:val="bottom"/>
          </w:tcPr>
          <w:p>
            <w:pPr>
              <w:spacing w:after="0"/>
              <w:rPr>
                <w:sz w:val="20"/>
                <w:szCs w:val="20"/>
                <w:color w:val="auto"/>
              </w:rPr>
            </w:pPr>
            <w:r>
              <w:rPr>
                <w:rFonts w:ascii="Arial" w:cs="Arial" w:eastAsia="Arial" w:hAnsi="Arial"/>
                <w:sz w:val="18"/>
                <w:szCs w:val="18"/>
                <w:color w:val="auto"/>
              </w:rPr>
              <w:t>ADSs, the following will occur:</w:t>
            </w:r>
          </w:p>
        </w:tc>
      </w:tr>
      <w:tr>
        <w:trPr>
          <w:trHeight w:val="431"/>
        </w:trPr>
        <w:tc>
          <w:tcPr>
            <w:tcW w:w="7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10020" w:type="dxa"/>
            <w:vAlign w:val="bottom"/>
            <w:gridSpan w:val="4"/>
          </w:tcPr>
          <w:p>
            <w:pPr>
              <w:ind w:left="180"/>
              <w:spacing w:after="0"/>
              <w:rPr>
                <w:sz w:val="20"/>
                <w:szCs w:val="20"/>
                <w:color w:val="auto"/>
              </w:rPr>
            </w:pPr>
            <w:r>
              <w:rPr>
                <w:rFonts w:ascii="Arial" w:cs="Arial" w:eastAsia="Arial" w:hAnsi="Arial"/>
                <w:sz w:val="18"/>
                <w:szCs w:val="18"/>
                <w:color w:val="auto"/>
              </w:rPr>
              <w:t>the percentage of our ordinary shares held by existing shareholders will decrease to   % of the total number of our ordinary</w:t>
            </w:r>
          </w:p>
        </w:tc>
      </w:tr>
      <w:tr>
        <w:trPr>
          <w:trHeight w:val="217"/>
        </w:trPr>
        <w:tc>
          <w:tcPr>
            <w:tcW w:w="780" w:type="dxa"/>
            <w:vAlign w:val="bottom"/>
          </w:tcPr>
          <w:p>
            <w:pPr>
              <w:spacing w:after="0"/>
              <w:rPr>
                <w:sz w:val="18"/>
                <w:szCs w:val="18"/>
                <w:color w:val="auto"/>
              </w:rPr>
            </w:pPr>
          </w:p>
        </w:tc>
        <w:tc>
          <w:tcPr>
            <w:tcW w:w="6080" w:type="dxa"/>
            <w:vAlign w:val="bottom"/>
            <w:gridSpan w:val="3"/>
          </w:tcPr>
          <w:p>
            <w:pPr>
              <w:ind w:left="180"/>
              <w:spacing w:after="0"/>
              <w:rPr>
                <w:sz w:val="20"/>
                <w:szCs w:val="20"/>
                <w:color w:val="auto"/>
              </w:rPr>
            </w:pPr>
            <w:r>
              <w:rPr>
                <w:rFonts w:ascii="Arial" w:cs="Arial" w:eastAsia="Arial" w:hAnsi="Arial"/>
                <w:sz w:val="18"/>
                <w:szCs w:val="18"/>
                <w:color w:val="auto"/>
              </w:rPr>
              <w:t>shares outstanding after the global offering; and</w:t>
            </w:r>
          </w:p>
        </w:tc>
        <w:tc>
          <w:tcPr>
            <w:tcW w:w="3940" w:type="dxa"/>
            <w:vAlign w:val="bottom"/>
          </w:tcPr>
          <w:p>
            <w:pPr>
              <w:spacing w:after="0"/>
              <w:rPr>
                <w:sz w:val="18"/>
                <w:szCs w:val="18"/>
                <w:color w:val="auto"/>
              </w:rPr>
            </w:pPr>
          </w:p>
        </w:tc>
      </w:tr>
      <w:tr>
        <w:trPr>
          <w:trHeight w:val="229"/>
        </w:trPr>
        <w:tc>
          <w:tcPr>
            <w:tcW w:w="7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10020" w:type="dxa"/>
            <w:vAlign w:val="bottom"/>
            <w:gridSpan w:val="4"/>
          </w:tcPr>
          <w:p>
            <w:pPr>
              <w:ind w:left="180"/>
              <w:spacing w:after="0"/>
              <w:rPr>
                <w:sz w:val="20"/>
                <w:szCs w:val="20"/>
                <w:color w:val="auto"/>
              </w:rPr>
            </w:pPr>
            <w:r>
              <w:rPr>
                <w:rFonts w:ascii="Arial" w:cs="Arial" w:eastAsia="Arial" w:hAnsi="Arial"/>
                <w:sz w:val="18"/>
                <w:szCs w:val="18"/>
                <w:color w:val="auto"/>
              </w:rPr>
              <w:t>the percentage of our ordinary shares held by new investors will increase to approximately   % of the total number of our</w:t>
            </w:r>
          </w:p>
        </w:tc>
      </w:tr>
      <w:tr>
        <w:trPr>
          <w:trHeight w:val="217"/>
        </w:trPr>
        <w:tc>
          <w:tcPr>
            <w:tcW w:w="780" w:type="dxa"/>
            <w:vAlign w:val="bottom"/>
          </w:tcPr>
          <w:p>
            <w:pPr>
              <w:spacing w:after="0"/>
              <w:rPr>
                <w:sz w:val="18"/>
                <w:szCs w:val="18"/>
                <w:color w:val="auto"/>
              </w:rPr>
            </w:pPr>
          </w:p>
        </w:tc>
        <w:tc>
          <w:tcPr>
            <w:tcW w:w="6080" w:type="dxa"/>
            <w:vAlign w:val="bottom"/>
            <w:gridSpan w:val="3"/>
          </w:tcPr>
          <w:p>
            <w:pPr>
              <w:ind w:left="180"/>
              <w:spacing w:after="0"/>
              <w:rPr>
                <w:sz w:val="20"/>
                <w:szCs w:val="20"/>
                <w:color w:val="auto"/>
              </w:rPr>
            </w:pPr>
            <w:r>
              <w:rPr>
                <w:rFonts w:ascii="Arial" w:cs="Arial" w:eastAsia="Arial" w:hAnsi="Arial"/>
                <w:sz w:val="18"/>
                <w:szCs w:val="18"/>
                <w:color w:val="auto"/>
              </w:rPr>
              <w:t>ordinary shares outstanding after the global offering.</w:t>
            </w:r>
          </w:p>
        </w:tc>
        <w:tc>
          <w:tcPr>
            <w:tcW w:w="3940" w:type="dxa"/>
            <w:vAlign w:val="bottom"/>
          </w:tcPr>
          <w:p>
            <w:pPr>
              <w:spacing w:after="0"/>
              <w:rPr>
                <w:sz w:val="18"/>
                <w:szCs w:val="18"/>
                <w:color w:val="auto"/>
              </w:rPr>
            </w:pPr>
          </w:p>
        </w:tc>
      </w:tr>
      <w:tr>
        <w:trPr>
          <w:trHeight w:val="419"/>
        </w:trPr>
        <w:tc>
          <w:tcPr>
            <w:tcW w:w="3560" w:type="dxa"/>
            <w:vAlign w:val="bottom"/>
            <w:gridSpan w:val="3"/>
          </w:tcPr>
          <w:p>
            <w:pPr>
              <w:ind w:left="540"/>
              <w:spacing w:after="0"/>
              <w:rPr>
                <w:sz w:val="20"/>
                <w:szCs w:val="20"/>
                <w:color w:val="auto"/>
              </w:rPr>
            </w:pPr>
            <w:r>
              <w:rPr>
                <w:rFonts w:ascii="Arial" w:cs="Arial" w:eastAsia="Arial" w:hAnsi="Arial"/>
                <w:sz w:val="18"/>
                <w:szCs w:val="18"/>
                <w:color w:val="auto"/>
              </w:rPr>
              <w:t>The tables above are based on</w:t>
            </w:r>
          </w:p>
        </w:tc>
        <w:tc>
          <w:tcPr>
            <w:tcW w:w="7240" w:type="dxa"/>
            <w:vAlign w:val="bottom"/>
            <w:gridSpan w:val="2"/>
          </w:tcPr>
          <w:p>
            <w:pPr>
              <w:ind w:left="560"/>
              <w:spacing w:after="0"/>
              <w:rPr>
                <w:sz w:val="20"/>
                <w:szCs w:val="20"/>
                <w:color w:val="auto"/>
              </w:rPr>
            </w:pPr>
            <w:r>
              <w:rPr>
                <w:rFonts w:ascii="Arial" w:cs="Arial" w:eastAsia="Arial" w:hAnsi="Arial"/>
                <w:sz w:val="18"/>
                <w:szCs w:val="18"/>
                <w:color w:val="auto"/>
              </w:rPr>
              <w:t>ordinary shares outstanding as of December 31, 2017. The tables above exclude:</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60" w:right="320" w:hanging="432"/>
        <w:spacing w:after="0" w:line="218"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11,916,424 ordinary shares issuable upon the exercise of share options outstanding as of December 31, 2017 at a weighted average exercise price of £1.42 per ordinary share;</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9,064,506 ordinary shares that may be issued under our existing share incentive plans, as described in “Management—Equity Compensation Arrangements,” as of December 31, 2017;</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1,799,382 ordinary shares that may be issued upon conversion of the Novartis Notes, as of December 31, 2017; and</w:t>
      </w:r>
    </w:p>
    <w:p>
      <w:pPr>
        <w:spacing w:after="0" w:line="26"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696,490 ordinary shares issuable upon the exercise of warrants to purchase ordinary shares outstanding as of December 31, 2017 at a weighted average exercise price of £3.16 per ordinary share.</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To the extent that share options or warrants are exercised, the Novartis Notes convert to ordinary shares, or we issue additional ADSs or ordinary shares in the future, there will be further dilution to investors participating in the global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60"/>
          </w:cols>
          <w:pgMar w:left="240" w:top="446"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42"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You should read the following selected consolidated financial data together with the audited consolidated financial statements and the sections titled “Exchange Rate Information” and “Management’s Discussion and Analysis of Financial Condition and Results of Operations.” We have derived the consolidated statement of comprehensive loss data for the years ended December 31, 2016 and 2017 and the consolidated balance sheet data as of December 31, 2017 from our consolidated financial statements included elsewhere in this prospectus. Our historical results are not necessarily indicative of the results that should be expected in any future period.</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financial results in pounds sterling. For the convenience of the reader, we have translated pound sterling amounts as of and for the years ended December 31, 2016 and 2017 into U.S. dollars at the noon buying rate of the Federal Reserve Bank of New York on December 29, 2017, which was £1.00 to $1.3529. These translations should not be considered representations that any such amounts have been, could have been or could be converted into U.S. dollars at that or any other exchange rate as of that or any other date.</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22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8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3860" w:type="dxa"/>
            <w:vAlign w:val="bottom"/>
            <w:gridSpan w:val="7"/>
          </w:tcPr>
          <w:p>
            <w:pPr>
              <w:jc w:val="center"/>
              <w:ind w:left="554"/>
              <w:spacing w:after="0"/>
              <w:rPr>
                <w:sz w:val="20"/>
                <w:szCs w:val="20"/>
                <w:color w:val="auto"/>
              </w:rPr>
            </w:pPr>
            <w:r>
              <w:rPr>
                <w:rFonts w:ascii="Arial" w:cs="Arial" w:eastAsia="Arial" w:hAnsi="Arial"/>
                <w:sz w:val="14"/>
                <w:szCs w:val="14"/>
                <w:b w:val="1"/>
                <w:bCs w:val="1"/>
                <w:color w:val="auto"/>
              </w:rPr>
              <w:t>(in thousands, except per ordinary share data)</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6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 of Comprehensive Loss Data:</w:t>
            </w: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(24,563)</w:t>
            </w:r>
          </w:p>
        </w:tc>
        <w:tc>
          <w:tcPr>
            <w:tcW w:w="12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(33,231)</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(34,607)</w:t>
            </w: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(46,819)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(11,617)</w:t>
            </w: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(15,716)</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(10,697)</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(14,472)</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(36,179)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(48,947)</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(45,304)</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(61,292)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827</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line="202" w:lineRule="exact"/>
              <w:rPr>
                <w:sz w:val="20"/>
                <w:szCs w:val="20"/>
                <w:color w:val="auto"/>
              </w:rPr>
            </w:pPr>
            <w:r>
              <w:rPr>
                <w:rFonts w:ascii="Arial" w:cs="Arial" w:eastAsia="Arial" w:hAnsi="Arial"/>
                <w:sz w:val="18"/>
                <w:szCs w:val="18"/>
                <w:color w:val="auto"/>
              </w:rPr>
              <w:t>Finance charge</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(180)</w:t>
            </w:r>
          </w:p>
        </w:tc>
        <w:tc>
          <w:tcPr>
            <w:tcW w:w="12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(243)</w:t>
            </w: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(1,090)</w:t>
            </w: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12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2,263</w:t>
            </w: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3,061</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(1,384)</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tcPr>
          <w:p>
            <w:pPr>
              <w:spacing w:after="0"/>
              <w:rPr>
                <w:sz w:val="20"/>
                <w:szCs w:val="20"/>
                <w:color w:val="auto"/>
              </w:rPr>
            </w:pPr>
            <w:r>
              <w:rPr>
                <w:rFonts w:ascii="Arial" w:cs="Arial" w:eastAsia="Arial" w:hAnsi="Arial"/>
                <w:sz w:val="18"/>
                <w:szCs w:val="18"/>
                <w:color w:val="auto"/>
              </w:rPr>
              <w:t>Net loss before tax</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(33,722)</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(45,622)</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(46,951)</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(63,520)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12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5,331</w:t>
            </w: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7,213</w:t>
            </w:r>
          </w:p>
        </w:tc>
        <w:tc>
          <w:tcPr>
            <w:tcW w:w="12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8,152</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0"/>
        </w:trPr>
        <w:tc>
          <w:tcPr>
            <w:tcW w:w="61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tcPr>
          <w:p>
            <w:pPr>
              <w:spacing w:after="0"/>
              <w:rPr>
                <w:sz w:val="20"/>
                <w:szCs w:val="20"/>
                <w:color w:val="auto"/>
              </w:rPr>
            </w:pPr>
            <w:r>
              <w:rPr>
                <w:rFonts w:ascii="Arial" w:cs="Arial" w:eastAsia="Arial" w:hAnsi="Arial"/>
                <w:sz w:val="18"/>
                <w:szCs w:val="18"/>
                <w:color w:val="auto"/>
              </w:rPr>
              <w:t>Loss attributable to equity holders of the Company</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(28,390)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(38,409)</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(38,799)</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(52,491)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comprehensive loss attributable to equity holders of the Company</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(28,390)</w:t>
            </w:r>
          </w:p>
        </w:tc>
        <w:tc>
          <w:tcPr>
            <w:tcW w:w="12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(38,409)</w:t>
            </w: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(38,799)</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(52,491)</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loss per share</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(0.63)</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(0.85)</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(0.58)</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center"/>
              <w:ind w:right="554"/>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50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500" w:type="dxa"/>
            <w:vAlign w:val="bottom"/>
            <w:tcBorders>
              <w:bottom w:val="single" w:sz="8" w:color="auto"/>
            </w:tcBorders>
          </w:tcPr>
          <w:p>
            <w:pPr>
              <w:jc w:val="right"/>
              <w:ind w:right="914"/>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74"/>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6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Sheets Data:</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Cash and short-term deposits and short-term investments</w:t>
            </w:r>
          </w:p>
        </w:tc>
        <w:tc>
          <w:tcPr>
            <w:tcW w:w="1500" w:type="dxa"/>
            <w:vAlign w:val="bottom"/>
          </w:tcPr>
          <w:p>
            <w:pPr>
              <w:jc w:val="right"/>
              <w:ind w:right="594"/>
              <w:spacing w:after="0" w:line="202" w:lineRule="exact"/>
              <w:rPr>
                <w:sz w:val="20"/>
                <w:szCs w:val="20"/>
                <w:color w:val="auto"/>
              </w:rPr>
            </w:pPr>
            <w:r>
              <w:rPr>
                <w:rFonts w:ascii="Arial" w:cs="Arial" w:eastAsia="Arial" w:hAnsi="Arial"/>
                <w:sz w:val="18"/>
                <w:szCs w:val="18"/>
                <w:color w:val="auto"/>
              </w:rPr>
              <w:t>53,578</w:t>
            </w:r>
          </w:p>
        </w:tc>
        <w:tc>
          <w:tcPr>
            <w:tcW w:w="1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72,486</w:t>
            </w:r>
          </w:p>
        </w:tc>
        <w:tc>
          <w:tcPr>
            <w:tcW w:w="160" w:type="dxa"/>
            <w:vAlign w:val="bottom"/>
          </w:tcPr>
          <w:p>
            <w:pPr>
              <w:spacing w:after="0"/>
              <w:rPr>
                <w:sz w:val="17"/>
                <w:szCs w:val="17"/>
                <w:color w:val="auto"/>
              </w:rPr>
            </w:pPr>
          </w:p>
        </w:tc>
        <w:tc>
          <w:tcPr>
            <w:tcW w:w="1300" w:type="dxa"/>
            <w:vAlign w:val="bottom"/>
          </w:tcPr>
          <w:p>
            <w:pPr>
              <w:jc w:val="right"/>
              <w:ind w:right="554"/>
              <w:spacing w:after="0" w:line="202" w:lineRule="exact"/>
              <w:rPr>
                <w:sz w:val="20"/>
                <w:szCs w:val="20"/>
                <w:color w:val="auto"/>
              </w:rPr>
            </w:pPr>
            <w:r>
              <w:rPr>
                <w:rFonts w:ascii="Arial" w:cs="Arial" w:eastAsia="Arial" w:hAnsi="Arial"/>
                <w:sz w:val="18"/>
                <w:szCs w:val="18"/>
                <w:color w:val="auto"/>
              </w:rPr>
              <w:t>52,545</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71,088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500" w:type="dxa"/>
            <w:vAlign w:val="bottom"/>
            <w:shd w:val="clear" w:color="auto" w:fill="CCEEFF"/>
          </w:tcPr>
          <w:p>
            <w:pPr>
              <w:jc w:val="right"/>
              <w:ind w:right="594"/>
              <w:spacing w:after="0" w:line="202" w:lineRule="exact"/>
              <w:rPr>
                <w:sz w:val="20"/>
                <w:szCs w:val="20"/>
                <w:color w:val="auto"/>
              </w:rPr>
            </w:pPr>
            <w:r>
              <w:rPr>
                <w:rFonts w:ascii="Arial" w:cs="Arial" w:eastAsia="Arial" w:hAnsi="Arial"/>
                <w:sz w:val="18"/>
                <w:szCs w:val="18"/>
                <w:color w:val="auto"/>
              </w:rPr>
              <w:t>86,765</w:t>
            </w:r>
          </w:p>
        </w:tc>
        <w:tc>
          <w:tcPr>
            <w:tcW w:w="1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117,384</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54"/>
              <w:spacing w:after="0" w:line="202" w:lineRule="exact"/>
              <w:rPr>
                <w:sz w:val="20"/>
                <w:szCs w:val="20"/>
                <w:color w:val="auto"/>
              </w:rPr>
            </w:pPr>
            <w:r>
              <w:rPr>
                <w:rFonts w:ascii="Arial" w:cs="Arial" w:eastAsia="Arial" w:hAnsi="Arial"/>
                <w:sz w:val="18"/>
                <w:szCs w:val="18"/>
                <w:color w:val="auto"/>
              </w:rPr>
              <w:t>96,335</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130,332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1500" w:type="dxa"/>
            <w:vAlign w:val="bottom"/>
          </w:tcPr>
          <w:p>
            <w:pPr>
              <w:jc w:val="right"/>
              <w:ind w:right="594"/>
              <w:spacing w:after="0" w:line="202" w:lineRule="exact"/>
              <w:rPr>
                <w:sz w:val="20"/>
                <w:szCs w:val="20"/>
                <w:color w:val="auto"/>
              </w:rPr>
            </w:pPr>
            <w:r>
              <w:rPr>
                <w:rFonts w:ascii="Arial" w:cs="Arial" w:eastAsia="Arial" w:hAnsi="Arial"/>
                <w:sz w:val="18"/>
                <w:szCs w:val="18"/>
                <w:color w:val="auto"/>
              </w:rPr>
              <w:t>193</w:t>
            </w:r>
          </w:p>
        </w:tc>
        <w:tc>
          <w:tcPr>
            <w:tcW w:w="15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261</w:t>
            </w:r>
          </w:p>
        </w:tc>
        <w:tc>
          <w:tcPr>
            <w:tcW w:w="160" w:type="dxa"/>
            <w:vAlign w:val="bottom"/>
          </w:tcPr>
          <w:p>
            <w:pPr>
              <w:spacing w:after="0"/>
              <w:rPr>
                <w:sz w:val="17"/>
                <w:szCs w:val="17"/>
                <w:color w:val="auto"/>
              </w:rPr>
            </w:pPr>
          </w:p>
        </w:tc>
        <w:tc>
          <w:tcPr>
            <w:tcW w:w="1300" w:type="dxa"/>
            <w:vAlign w:val="bottom"/>
          </w:tcPr>
          <w:p>
            <w:pPr>
              <w:jc w:val="right"/>
              <w:ind w:right="554"/>
              <w:spacing w:after="0" w:line="202" w:lineRule="exact"/>
              <w:rPr>
                <w:sz w:val="20"/>
                <w:szCs w:val="20"/>
                <w:color w:val="auto"/>
              </w:rPr>
            </w:pPr>
            <w:r>
              <w:rPr>
                <w:rFonts w:ascii="Arial" w:cs="Arial" w:eastAsia="Arial" w:hAnsi="Arial"/>
                <w:sz w:val="18"/>
                <w:szCs w:val="18"/>
                <w:color w:val="auto"/>
              </w:rPr>
              <w:t>213</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1500" w:type="dxa"/>
            <w:vAlign w:val="bottom"/>
            <w:shd w:val="clear" w:color="auto" w:fill="CCEEFF"/>
          </w:tcPr>
          <w:p>
            <w:pPr>
              <w:jc w:val="right"/>
              <w:ind w:right="594"/>
              <w:spacing w:after="0" w:line="202" w:lineRule="exact"/>
              <w:rPr>
                <w:sz w:val="20"/>
                <w:szCs w:val="20"/>
                <w:color w:val="auto"/>
              </w:rPr>
            </w:pPr>
            <w:r>
              <w:rPr>
                <w:rFonts w:ascii="Arial" w:cs="Arial" w:eastAsia="Arial" w:hAnsi="Arial"/>
                <w:sz w:val="18"/>
                <w:szCs w:val="18"/>
                <w:color w:val="auto"/>
              </w:rPr>
              <w:t>99,975</w:t>
            </w:r>
          </w:p>
        </w:tc>
        <w:tc>
          <w:tcPr>
            <w:tcW w:w="1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135,256</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54"/>
              <w:spacing w:after="0" w:line="202" w:lineRule="exact"/>
              <w:rPr>
                <w:sz w:val="20"/>
                <w:szCs w:val="20"/>
                <w:color w:val="auto"/>
              </w:rPr>
            </w:pPr>
            <w:r>
              <w:rPr>
                <w:rFonts w:ascii="Arial" w:cs="Arial" w:eastAsia="Arial" w:hAnsi="Arial"/>
                <w:sz w:val="18"/>
                <w:szCs w:val="18"/>
                <w:color w:val="auto"/>
                <w:w w:val="98"/>
              </w:rPr>
              <w:t>118,227</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159,949</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1500" w:type="dxa"/>
            <w:vAlign w:val="bottom"/>
          </w:tcPr>
          <w:p>
            <w:pPr>
              <w:jc w:val="right"/>
              <w:ind w:right="534"/>
              <w:spacing w:after="0" w:line="202" w:lineRule="exact"/>
              <w:rPr>
                <w:sz w:val="20"/>
                <w:szCs w:val="20"/>
                <w:color w:val="auto"/>
              </w:rPr>
            </w:pPr>
            <w:r>
              <w:rPr>
                <w:rFonts w:ascii="Arial" w:cs="Arial" w:eastAsia="Arial" w:hAnsi="Arial"/>
                <w:sz w:val="18"/>
                <w:szCs w:val="18"/>
                <w:color w:val="auto"/>
              </w:rPr>
              <w:t>(40,579)</w:t>
            </w:r>
          </w:p>
        </w:tc>
        <w:tc>
          <w:tcPr>
            <w:tcW w:w="15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(54,900)</w:t>
            </w:r>
          </w:p>
        </w:tc>
        <w:tc>
          <w:tcPr>
            <w:tcW w:w="160" w:type="dxa"/>
            <w:vAlign w:val="bottom"/>
          </w:tcPr>
          <w:p>
            <w:pPr>
              <w:spacing w:after="0"/>
              <w:rPr>
                <w:sz w:val="17"/>
                <w:szCs w:val="17"/>
                <w:color w:val="auto"/>
              </w:rPr>
            </w:pPr>
          </w:p>
        </w:tc>
        <w:tc>
          <w:tcPr>
            <w:tcW w:w="1300" w:type="dxa"/>
            <w:vAlign w:val="bottom"/>
          </w:tcPr>
          <w:p>
            <w:pPr>
              <w:jc w:val="right"/>
              <w:ind w:right="494"/>
              <w:spacing w:after="0" w:line="202" w:lineRule="exact"/>
              <w:rPr>
                <w:sz w:val="20"/>
                <w:szCs w:val="20"/>
                <w:color w:val="auto"/>
              </w:rPr>
            </w:pPr>
            <w:r>
              <w:rPr>
                <w:rFonts w:ascii="Arial" w:cs="Arial" w:eastAsia="Arial" w:hAnsi="Arial"/>
                <w:sz w:val="18"/>
                <w:szCs w:val="18"/>
                <w:color w:val="auto"/>
              </w:rPr>
              <w:t>(79,316)</w:t>
            </w: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(107,307)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1500" w:type="dxa"/>
            <w:vAlign w:val="bottom"/>
            <w:shd w:val="clear" w:color="auto" w:fill="CCEEFF"/>
          </w:tcPr>
          <w:p>
            <w:pPr>
              <w:jc w:val="right"/>
              <w:ind w:right="594"/>
              <w:spacing w:after="0" w:line="202" w:lineRule="exact"/>
              <w:rPr>
                <w:sz w:val="20"/>
                <w:szCs w:val="20"/>
                <w:color w:val="auto"/>
              </w:rPr>
            </w:pPr>
            <w:r>
              <w:rPr>
                <w:rFonts w:ascii="Arial" w:cs="Arial" w:eastAsia="Arial" w:hAnsi="Arial"/>
                <w:sz w:val="18"/>
                <w:szCs w:val="18"/>
                <w:color w:val="auto"/>
              </w:rPr>
              <w:t>79,257</w:t>
            </w:r>
          </w:p>
        </w:tc>
        <w:tc>
          <w:tcPr>
            <w:tcW w:w="15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107,226</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54"/>
              <w:spacing w:after="0" w:line="202" w:lineRule="exact"/>
              <w:rPr>
                <w:sz w:val="20"/>
                <w:szCs w:val="20"/>
                <w:color w:val="auto"/>
              </w:rPr>
            </w:pPr>
            <w:r>
              <w:rPr>
                <w:rFonts w:ascii="Arial" w:cs="Arial" w:eastAsia="Arial" w:hAnsi="Arial"/>
                <w:sz w:val="18"/>
                <w:szCs w:val="18"/>
                <w:color w:val="auto"/>
              </w:rPr>
              <w:t>62,483</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84,534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Total liabilities</w:t>
            </w:r>
          </w:p>
        </w:tc>
        <w:tc>
          <w:tcPr>
            <w:tcW w:w="1500" w:type="dxa"/>
            <w:vAlign w:val="bottom"/>
          </w:tcPr>
          <w:p>
            <w:pPr>
              <w:jc w:val="right"/>
              <w:ind w:right="374"/>
              <w:spacing w:after="0"/>
              <w:rPr>
                <w:sz w:val="20"/>
                <w:szCs w:val="20"/>
                <w:color w:val="auto"/>
              </w:rPr>
            </w:pPr>
            <w:r>
              <w:rPr>
                <w:rFonts w:ascii="Arial" w:cs="Arial" w:eastAsia="Arial" w:hAnsi="Arial"/>
                <w:sz w:val="18"/>
                <w:szCs w:val="18"/>
                <w:color w:val="auto"/>
              </w:rPr>
              <w:t>7,508(1)</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10,158(1)</w:t>
            </w:r>
          </w:p>
        </w:tc>
        <w:tc>
          <w:tcPr>
            <w:tcW w:w="160" w:type="dxa"/>
            <w:vAlign w:val="bottom"/>
          </w:tcPr>
          <w:p>
            <w:pPr>
              <w:spacing w:after="0"/>
              <w:rPr>
                <w:sz w:val="18"/>
                <w:szCs w:val="18"/>
                <w:color w:val="auto"/>
              </w:rPr>
            </w:pPr>
          </w:p>
        </w:tc>
        <w:tc>
          <w:tcPr>
            <w:tcW w:w="1300" w:type="dxa"/>
            <w:vAlign w:val="bottom"/>
          </w:tcPr>
          <w:p>
            <w:pPr>
              <w:jc w:val="right"/>
              <w:ind w:right="334"/>
              <w:spacing w:after="0"/>
              <w:rPr>
                <w:sz w:val="20"/>
                <w:szCs w:val="20"/>
                <w:color w:val="auto"/>
              </w:rPr>
            </w:pPr>
            <w:r>
              <w:rPr>
                <w:rFonts w:ascii="Arial" w:cs="Arial" w:eastAsia="Arial" w:hAnsi="Arial"/>
                <w:sz w:val="18"/>
                <w:szCs w:val="18"/>
                <w:color w:val="auto"/>
              </w:rPr>
              <w:t>35,417(2)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47,916(2)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4" w:lineRule="exact"/>
        <w:rPr>
          <w:sz w:val="20"/>
          <w:szCs w:val="20"/>
          <w:color w:val="auto"/>
        </w:rPr>
      </w:pPr>
    </w:p>
    <w:p>
      <w:pPr>
        <w:ind w:left="520" w:right="320" w:hanging="316"/>
        <w:spacing w:after="0" w:line="23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£3.1 million ($3.9 million) aggregate principal amount of, and accrued interest on, the Novartis Notes. See “Related Party Transactions—Other Transactions with Novartis—Novartis Notes.”</w:t>
      </w:r>
    </w:p>
    <w:p>
      <w:pPr>
        <w:spacing w:after="0" w:line="1" w:lineRule="exact"/>
        <w:rPr>
          <w:rFonts w:ascii="Arial" w:cs="Arial" w:eastAsia="Arial" w:hAnsi="Arial"/>
          <w:sz w:val="18"/>
          <w:szCs w:val="18"/>
          <w:color w:val="auto"/>
        </w:rPr>
      </w:pPr>
    </w:p>
    <w:p>
      <w:pPr>
        <w:ind w:left="520" w:right="320" w:hanging="316"/>
        <w:spacing w:after="0" w:line="246"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£2.0 million ($2.7 million) aggregate principal amount of, and accrued interest on, the Novartis Notes. See “Related Party Transactions—Other Transactions with Novartis—Novartis Notes.”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80"/>
          </w:cols>
          <w:pgMar w:left="24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RESULTS OF OPERATIONS</w:t>
      </w:r>
    </w:p>
    <w:p>
      <w:pPr>
        <w:spacing w:after="0" w:line="302"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information in “Selected Consolidated Financial Data” and our Consolidated Financial Statements, including the notes thereto. The following discussion is based on our financial information prepared in accordance with IFRS as issued by the IASB, which may differ in material respects from generally accepted accounting principles in other jurisdictions, including generally accepted accounting principles in the United States.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“Risk Factors” and elsewhere in this prospectus.</w:t>
      </w:r>
    </w:p>
    <w:p>
      <w:pPr>
        <w:spacing w:after="0" w:line="185" w:lineRule="exact"/>
        <w:rPr>
          <w:sz w:val="20"/>
          <w:szCs w:val="20"/>
          <w:color w:val="auto"/>
        </w:rPr>
      </w:pPr>
    </w:p>
    <w:p>
      <w:pPr>
        <w:ind w:left="200" w:right="280" w:firstLine="331"/>
        <w:spacing w:after="0" w:line="245" w:lineRule="auto"/>
        <w:rPr>
          <w:sz w:val="20"/>
          <w:szCs w:val="20"/>
          <w:color w:val="auto"/>
        </w:rPr>
      </w:pPr>
      <w:r>
        <w:rPr>
          <w:rFonts w:ascii="Arial" w:cs="Arial" w:eastAsia="Arial" w:hAnsi="Arial"/>
          <w:sz w:val="18"/>
          <w:szCs w:val="18"/>
          <w:i w:val="1"/>
          <w:iCs w:val="1"/>
          <w:color w:val="auto"/>
        </w:rPr>
        <w:t>Our financial statements are presented in pounds sterling. For the convenience of the reader, we have translated information in the tables below presented in pounds sterling into U.S. dollars at the noon buying rate of the Federal Reserve Bank of New York on December 31, 2017 which was £1.00 to $1.3529. These translations should not be considered representations that any such amounts have been, could have been, or could be converted into U.S. dollars at that or any other exchange rate as of that or any other date.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are a multi-asset biopharmaceutical company focused on the acquisition, development, and commercialization of innovative therapeutics that aim to improve outcomes for patients with rare and specialty diseases. Our portfolio consists of four clinical-stage product candidates, each of which we acquired from large pharmaceutical companies. We are developing BPS-804 for the treatment of OI, AZD-9668 for the treatment of severe AATD, BCT-197 for the treatment of AECOPD and BGS-649 for the treatment of HH in obese men. Each of our product candidates has generated positive clinical data for our target indication or for a related indication. We believe our portfolio is well diversified because each of our product candidates employs a different mechanism of action and targets a separate indication. We intend to develop and directly commercialize our rare disease product candidates. For our specialty disease product candidates, we intend to develop them through late-stage clinical milestones and then seek strategic relationships for further clinical development and/or commercialization.</w:t>
      </w:r>
    </w:p>
    <w:p>
      <w:pPr>
        <w:spacing w:after="0" w:line="207"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Our strategy is to selectively acquire product candidates that have already received significant investment from pharmaceutical companies and that have substantial pre-clinical, clinical, and manufacturing data packages. Since our inception in March 2015, we have successfully executed on this strategy by acquiring our current product candidates from Novartis and AstraZeneca. We have commenced or completed large, randomized, placebo-controlled Phase 2 clinical trials for three of our product candidates. In December 2017, we reported top-line data from our completed Phase 2 dose-ranging clinical trial for BCT-197. We intend to commence additional late-stage clinical trials in 2018.</w:t>
      </w:r>
    </w:p>
    <w:p>
      <w:pPr>
        <w:spacing w:after="0" w:line="205"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We do not have any approved products and, as a result, have not generated any revenue from product sales. Our ability to generate revenue sufficient to achieve profitability will depend on our successful development and eventual commercialization of our product candidates, if approved. Since our inception, we have incurred significant operating losses. For the years ended December 31, 2016 and 2017, we incurred net losses of £28.4 million and £38.8 million respectively. As of December 31, 2016 and 2017, we had an accumulated loss of £40.6 million and £79.3 million, respectively.</w:t>
      </w:r>
    </w:p>
    <w:p>
      <w:pPr>
        <w:spacing w:after="0" w:line="203" w:lineRule="exact"/>
        <w:rPr>
          <w:sz w:val="20"/>
          <w:szCs w:val="20"/>
          <w:color w:val="auto"/>
        </w:rPr>
      </w:pPr>
    </w:p>
    <w:p>
      <w:pPr>
        <w:ind w:left="200" w:right="680" w:firstLine="331"/>
        <w:spacing w:after="0" w:line="246"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advance the clinical development of our product candidates and seek regulatory approval. In</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0"/>
        <w:spacing w:after="0" w:line="253" w:lineRule="auto"/>
        <w:rPr>
          <w:sz w:val="20"/>
          <w:szCs w:val="20"/>
          <w:color w:val="auto"/>
        </w:rPr>
      </w:pPr>
      <w:r>
        <w:rPr>
          <w:rFonts w:ascii="Arial" w:cs="Arial" w:eastAsia="Arial" w:hAnsi="Arial"/>
          <w:sz w:val="17"/>
          <w:szCs w:val="17"/>
          <w:color w:val="auto"/>
        </w:rPr>
        <w:t>addition, if we obtain regulatory approval for any of our product candidates and do not enter into a third-party commercialization relationship, we expect to incur significant commercialization expenses related to product manufacturing, marketing, sales, and distribution. We also expect to incur expenses in connection with the in-license or acquisition of additional product candidates and the potential clinical development of any such product candidates. Furthermore, upon the closing of the global offering, we expect to incur additional costs associated with operating as a U.S. public company listed on the Nasdaq in addition to operating as a U.K. public company listed on AIM, including significant legal, accounting, investor relations, and other expenses that we did not previously incur.</w:t>
      </w:r>
    </w:p>
    <w:p>
      <w:pPr>
        <w:spacing w:after="0" w:line="195"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As a result of these anticipated expenditures,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205"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We were incorporated in March 2015 and are headquartered in London, United Kingdom. Since June 9, 2016, our shares have traded on AIM under the symbol “MPH.” Since our inception, we have raised a total of £ 102.8 million in gross proceeds from private and public placements of our ordinary shares to institutional investors and £3.5 million from the issuance of the Novartis Notes. In August 2017, we also entered into a credit facility in the amount of £20.0 million which was fully drawn by December 31, 2017. As of December 31, 2017, we had cash and short-term deposits and short-term investments of £52.5 million.</w:t>
      </w:r>
    </w:p>
    <w:p>
      <w:pPr>
        <w:spacing w:after="0" w:line="20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We are organized into a single segment following management’s view of the business as a single portfolio of product candidates. Research and development expenses are monitored at a product candidate level; however, decisions over resource allocation are made at an overall portfolio level. Our financing is managed and monitored on a consolidated basis.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 Purchase Agreements with Novartis</w:t>
      </w: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July 2015, three of our wholly owned subsidiaries, Mereo BioPharma 3 Limited, Mereo BioPharma 2 Limited, and Mereo BioPharma 1 Limited, or the Subsidiaries, entered into asset purchase agreements, or the Purchase Agreements, to acquire from Novartis rights to BPS-804, BCT-197, and BGS-649, or the Compounds, respectively, and certain related assets, or, together with the Compounds, the Novartis Assets.</w:t>
      </w:r>
    </w:p>
    <w:p>
      <w:pPr>
        <w:spacing w:after="0" w:line="202" w:lineRule="exact"/>
        <w:rPr>
          <w:sz w:val="20"/>
          <w:szCs w:val="20"/>
          <w:color w:val="auto"/>
        </w:rPr>
      </w:pPr>
    </w:p>
    <w:p>
      <w:pPr>
        <w:ind w:left="200" w:right="60" w:firstLine="331"/>
        <w:spacing w:after="0" w:line="248" w:lineRule="auto"/>
        <w:rPr>
          <w:sz w:val="20"/>
          <w:szCs w:val="20"/>
          <w:color w:val="auto"/>
        </w:rPr>
      </w:pPr>
      <w:r>
        <w:rPr>
          <w:rFonts w:ascii="Arial" w:cs="Arial" w:eastAsia="Arial" w:hAnsi="Arial"/>
          <w:sz w:val="17"/>
          <w:szCs w:val="17"/>
          <w:color w:val="auto"/>
        </w:rPr>
        <w:t>In connection with the acquisition of the Novartis Assets, we issued 3,849,000 of our ordinary shares to Novartis pursuant to a subscription agreement. See “Related Party Transactions—Subscription Agreement.” In addition, we paid Novartis $1.5 million for a payment made by Novartis to a third party in full satisfaction of all monetary obligations of Novartis to such third party with respect to BCT-</w:t>
      </w:r>
    </w:p>
    <w:p>
      <w:pPr>
        <w:spacing w:after="0" w:line="2" w:lineRule="exact"/>
        <w:rPr>
          <w:sz w:val="20"/>
          <w:szCs w:val="20"/>
          <w:color w:val="auto"/>
        </w:rPr>
      </w:pPr>
    </w:p>
    <w:p>
      <w:pPr>
        <w:ind w:left="200" w:firstLine="4"/>
        <w:spacing w:after="0" w:line="237"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Under the Purchase Agreements, we have agreed to make tiered royalty payments to Novartis based on annual worldwide net sales of products that include the Compounds, or the Acquired Novartis Products, at percentages ranging from the high single digits to low double digits. In the event that the parties agree or it is otherwise determined in accordance with the Purchase Agreements that we require third-party intellectual property rights to exploit the Acquired Novartis Products,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202"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We also entered into a sublicense agreement with Novartis, or the Sublicense Agreement, pursuant to which Novartis granted us an exclusive, worldwide, royalty-bearing sublicense for certain therapeutic antibody products directed against sclerostin, or the Antibody Products, including BPS-804. Under the Sublicense Agreement, we have agreed to pay Novartis royalties in the low single digits on worldwide net sales of Antibody Products. We have also agreed to pay Novartis up to $3.25 million in development and regulatory milestones, and to use commercially reasonable efforts to develop and commercialize an Antibody Product.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 with AstraZeneca</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or the License Agreement, to obtain from AstraZeneca an exclusive worldwide, sub-licensable license under AstraZeneca’s intellectual property rights relating to certain products containing a NE inhibitor, including products that contain AZD-9668, with an option to acquire such intellectual property rights, following commencement of a pivotal trial and payment of related milestone payments, or the Option, together with the acquisition of certain related assets.</w:t>
      </w:r>
    </w:p>
    <w:p>
      <w:pPr>
        <w:spacing w:after="0" w:line="203" w:lineRule="exact"/>
        <w:rPr>
          <w:sz w:val="20"/>
          <w:szCs w:val="20"/>
          <w:color w:val="auto"/>
        </w:rPr>
      </w:pPr>
    </w:p>
    <w:p>
      <w:pPr>
        <w:ind w:left="200" w:right="160" w:firstLine="331"/>
        <w:spacing w:after="0" w:line="236" w:lineRule="auto"/>
        <w:rPr>
          <w:sz w:val="20"/>
          <w:szCs w:val="20"/>
          <w:color w:val="auto"/>
        </w:rPr>
      </w:pPr>
      <w:r>
        <w:rPr>
          <w:rFonts w:ascii="Arial" w:cs="Arial" w:eastAsia="Arial" w:hAnsi="Arial"/>
          <w:sz w:val="18"/>
          <w:szCs w:val="18"/>
          <w:color w:val="auto"/>
        </w:rPr>
        <w:t>Upon entering into the License Agreement, we made an upfront payment of $3.0 million to AstraZeneca in cash and issued 490,798 new ordinary shares for an aggregate upfront payment equal to $5.0 million. In connection with certain development and regulatory milestones, we have agreed to make payments of up to $ 115.5 million in the aggregate and issue additional ordinary shares to AstraZeneca for licensed products containing AZD-9668. In addition, we have agreed to make payments to AstraZeneca based on specified commercial milestones of the product. In the event that we sub-license AZD-9668, we have also agreed to pay a specified percentage of sublicensing revenue to AstraZeneca. Otherwise, we have agreed to make royalty payments to AstraZeneca equal to ascending specified percentages of tiered annual worldwide net sales by us or our affiliates of licensed products (subject to certain reductions), ranging from the high single digits to low double digits.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85"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We do not currently have any approved products. Accordingly, we have not generated any revenue and do not expect to do so unless we obtain regulatory approval and commercialize any of our product candidates or until we receive revenues from collaborations with third parties, neither of which may occur.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Research and development expenses include:</w:t>
      </w:r>
    </w:p>
    <w:p>
      <w:pPr>
        <w:spacing w:after="0" w:line="239" w:lineRule="exact"/>
        <w:rPr>
          <w:sz w:val="20"/>
          <w:szCs w:val="20"/>
          <w:color w:val="auto"/>
        </w:rPr>
      </w:pPr>
    </w:p>
    <w:p>
      <w:pPr>
        <w:ind w:left="960" w:hanging="432"/>
        <w:spacing w:after="0" w:line="218"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employee-related expenses, such as salaries, share-based compensation, and other benefits, for our research and development personnel;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for production of drug substance and drug product and development of our manufacturing processes by CMOs;</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fees and other costs paid to CROs, consultants, and other suppliers to conduct our clinical trials and pre-clinical and non-clinical studies; and</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24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460" w:hanging="432"/>
        <w:spacing w:after="0" w:line="218" w:lineRule="auto"/>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of facilities, materials, and equipment related to drug production and our clinical trials and pre-clinical and non-clinical studies.</w:t>
      </w:r>
    </w:p>
    <w:p>
      <w:pPr>
        <w:spacing w:after="0" w:line="203"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Our direct research and development expenses are allocated on a product-by-product basis. We allocate employee-related expenses for our research and development personnel and other related expenses to specific product candidate development programs.</w:t>
      </w:r>
    </w:p>
    <w:p>
      <w:pPr>
        <w:spacing w:after="0" w:line="197"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Product candidates in a later stage of clinical development generally have higher development costs than those in earlier stages of clinical development, primarily due to the increased size and duration of later stage clinical trials. We expect that our research and development expense will increase substantially as we continue to advance the clinical development of our product candidates, including through our ongoing and planned Phase 2b clinical trials of BPS-804, our planned Phase 2 proof-of-concept trial for AZD-9668, and our ongoing Phase 2b clinical trial and planned Phase 3 clinical program for BGS-649; hire additional clinical, scientific, and commercial personnel; and acquire or in-license future product candidates and technologies. As a result, we expect our research and development expenses will increase for the foreseeable future.</w:t>
      </w:r>
    </w:p>
    <w:p>
      <w:pPr>
        <w:spacing w:after="0" w:line="203" w:lineRule="exact"/>
        <w:rPr>
          <w:sz w:val="20"/>
          <w:szCs w:val="20"/>
          <w:color w:val="auto"/>
        </w:rPr>
      </w:pPr>
    </w:p>
    <w:p>
      <w:pPr>
        <w:jc w:val="both"/>
        <w:ind w:left="200" w:right="220" w:firstLine="331"/>
        <w:spacing w:after="0"/>
        <w:rPr>
          <w:sz w:val="20"/>
          <w:szCs w:val="20"/>
          <w:color w:val="auto"/>
        </w:rPr>
      </w:pPr>
      <w:r>
        <w:rPr>
          <w:rFonts w:ascii="Arial" w:cs="Arial" w:eastAsia="Arial" w:hAnsi="Arial"/>
          <w:sz w:val="18"/>
          <w:szCs w:val="18"/>
          <w:color w:val="auto"/>
        </w:rPr>
        <w:t>The successful development, approval, and commercialization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w:t>
      </w:r>
    </w:p>
    <w:p>
      <w:pPr>
        <w:spacing w:after="0" w:line="203" w:lineRule="exact"/>
        <w:rPr>
          <w:sz w:val="20"/>
          <w:szCs w:val="20"/>
          <w:color w:val="auto"/>
        </w:rPr>
      </w:pPr>
    </w:p>
    <w:p>
      <w:pPr>
        <w:ind w:left="200" w:right="760" w:firstLine="331"/>
        <w:spacing w:after="0" w:line="246" w:lineRule="auto"/>
        <w:rPr>
          <w:sz w:val="20"/>
          <w:szCs w:val="20"/>
          <w:color w:val="auto"/>
        </w:rPr>
      </w:pPr>
      <w:r>
        <w:rPr>
          <w:rFonts w:ascii="Arial" w:cs="Arial" w:eastAsia="Arial" w:hAnsi="Arial"/>
          <w:sz w:val="18"/>
          <w:szCs w:val="18"/>
          <w:color w:val="auto"/>
        </w:rPr>
        <w:t>Our future expenditure on developing our product candidates is therefore highly uncertain. This is due to numerous risks and uncertainties associated with developing our drugs, including the uncertainty of:</w:t>
      </w:r>
    </w:p>
    <w:p>
      <w:pPr>
        <w:spacing w:after="0" w:line="188" w:lineRule="exact"/>
        <w:rPr>
          <w:sz w:val="20"/>
          <w:szCs w:val="20"/>
          <w:color w:val="auto"/>
        </w:rPr>
      </w:pPr>
    </w:p>
    <w:p>
      <w:pPr>
        <w:ind w:left="960" w:hanging="432"/>
        <w:spacing w:after="0"/>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scope, rate of progress, and expense of our research and development activities;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progress and results of our clinical trials and our pre-clinical and non-clinical studies;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terms and timing of regulatory approvals, if any;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establishment of arrangements with our third-party manufacturers to obtain manufacturing supply;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protection of our rights in our intellectual property portfolio;</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launch of commercial sales of any of our product candidates, if approved, whether alone or in collaboration with others;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acceptance of any of our product candidates, if approved, by patients, the medical community and payors;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competition with other therapies;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continued acceptable safety profile of any of our product candidates following approval.</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Any of these variables with respect to the development of our product candidates or any other future candidate that we may develop could result in a significant change in the costs and timing associated with their development. For example, if the FDA, the EMA, or another regulatory authority were to require us to conduct pre-clinical studies and clinical trials beyond those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 We may never succeed in obtaining regulatory approval for any of our product candidates.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9"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Our general and administrative expenses principally consist of salaries and related benefits, including share-based compensation, for personnel in our executive, finance and other administrative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functions. Other general and administrative costs include facility-related costs and professional services fees for auditing, tax and general legal services, as well as expenses associated with our requirements of being a listed public company on AIM.</w:t>
      </w:r>
    </w:p>
    <w:p>
      <w:pPr>
        <w:spacing w:after="0" w:line="1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expect that our general and administrative costs will increase in the future as our business expands and we increase our headcount to support the expected growth in our operating activities. These increases will likely include increased costs related to the hiring of additional personnel and fees to outside consultants, lawyers and accountants, among other expenses. In addition, we expect to continue to grant share-based compensation awards to existing and future key management personnel and other employees. Additionally, we anticipate increased costs associated with being a U.S. public company, including expenses related to services associated with maintaining compliance with Nasdaq rules and SEC requirements, director compensation, insurance, and investor relation costs. If any of our product candidates that we intend to directly commercialize obtains regulatory approval, we expect that we will incur expenses associated with building a sales and marketing team.</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Income</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Finance income consists of interest earned on our short-term cash deposits.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Charge</w:t>
      </w:r>
    </w:p>
    <w:p>
      <w:pPr>
        <w:spacing w:after="0" w:line="85"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Finance charge consists of interest on the Novartis Notes, interest on our credit facility and losses on short term deposits. For further information on the terms of the Novartis Notes and our credit facility see “—Indebtedness.”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Foreign Exchange Gain/(Loss)</w:t>
      </w:r>
    </w:p>
    <w:p>
      <w:pPr>
        <w:spacing w:after="0" w:line="85"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Our functional currency is pound sterling. We initially record transactions in foreign currencies at the rate ruling on the date the transaction first qualifies for recognition. Net foreign exchange gain/(loss) consists of the difference arising on settlement or translation of our foreign currencies, which are primarily held in U.S. dollars.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w:t>
      </w:r>
    </w:p>
    <w:p>
      <w:pPr>
        <w:spacing w:after="0" w:line="99"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As a U.K. resident trading entity, we are subject to U.K. corporate taxation. Due to the nature of our business, we have generated losses since inception. As of December 31, 2016 and 2017, we had cumulative carryforward tax losses of £16.3 million and £36.4 million, respectively. Subject to any relevant restrictions, we expect these to be available to carry forward and offset against future operating profits. As a company that carries out extensive research and development (“R&amp;D”) activities, we benefit from the U.K. R&amp;D small or medium-sized enterprise tax credit regime and are able to surrender some of our trading losses that arise from our research and development activities for a cash rebate of up to 33.35% of eligible R&amp;D expenditure. Qualifying expenditures largely comprise employment costs for research staff, subcontracted CRO and CMO costs, consumables and certain internal overhead costs incurred as part of research projects. Certain subcontracted qualifying research expenditures are eligible for a cash rebate of up to 21.67%. Our effective cash rebate on qualifying R&amp;D expenditure in 2017 was £ 8.2 million and we expect to receive this in 2018. Our cash rebate for 2016 was £5.3 million and we received this in May 2017. The cash rebate due for 2017 has increased by £2.8 million reflecting the higher level of qualifying R&amp;D spend in 2017. We may not be able to continue to claim payable research and development tax credits in the future because we may no longer qualify as a small or medium-sized company.</w:t>
      </w:r>
    </w:p>
    <w:p>
      <w:pPr>
        <w:spacing w:after="0" w:line="20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In the event we generate revenues in the future, we may benefit from the U.K. “patent box” regime that allows profits attributable to revenues from patents or patented products to be taxed at an effective rate of 10%. This relief applies to profits earned from April 1, 2013. When taken in combination with the</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24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enhanced relief available on our R&amp;D expenditures, we expect a long-term lower rate of corporation tax to apply to us. If, however, there are unexpected adverse changes to the U.K. R&amp;D tax credit regime or the “patent box” regime, or for any reason we are unable to qualify for such advantageous tax legislation, or we are unable to use net operating loss and tax credit carryforwards and certain built-in losses to reduce future tax payments, our business, results of operations, and financial condition may be adversely affected.</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our results of operations for the years ended December 31, 2016 and 2017.</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64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6400" w:type="dxa"/>
            <w:vAlign w:val="bottom"/>
          </w:tcPr>
          <w:p>
            <w:pPr>
              <w:spacing w:after="0"/>
              <w:rPr>
                <w:sz w:val="13"/>
                <w:szCs w:val="13"/>
                <w:color w:val="auto"/>
              </w:rPr>
            </w:pPr>
          </w:p>
        </w:tc>
        <w:tc>
          <w:tcPr>
            <w:tcW w:w="10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6400" w:type="dxa"/>
            <w:vAlign w:val="bottom"/>
          </w:tcPr>
          <w:p>
            <w:pPr>
              <w:spacing w:after="0"/>
              <w:rPr>
                <w:sz w:val="13"/>
                <w:szCs w:val="13"/>
                <w:color w:val="auto"/>
              </w:rPr>
            </w:pPr>
          </w:p>
        </w:tc>
        <w:tc>
          <w:tcPr>
            <w:tcW w:w="7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6"/>
        </w:trPr>
        <w:tc>
          <w:tcPr>
            <w:tcW w:w="6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20" w:type="dxa"/>
            <w:vAlign w:val="bottom"/>
            <w:gridSpan w:val="5"/>
          </w:tcPr>
          <w:p>
            <w:pPr>
              <w:jc w:val="center"/>
              <w:ind w:right="380"/>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(24,563)</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(33,231)</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(34,607)</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(46,819)</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(11,617)</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(15,716)</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(10,697)</w:t>
            </w:r>
          </w:p>
        </w:tc>
        <w:tc>
          <w:tcPr>
            <w:tcW w:w="8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(14,472)</w:t>
            </w:r>
          </w:p>
        </w:tc>
      </w:tr>
      <w:tr>
        <w:trPr>
          <w:trHeight w:val="27"/>
        </w:trPr>
        <w:tc>
          <w:tcPr>
            <w:tcW w:w="6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(36,179)</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(48,947)</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(45,304)</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(61,292)</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375</w:t>
            </w: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507</w:t>
            </w: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827</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1,119</w:t>
            </w: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(180)</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(243)</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(1,090)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(1,475)</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2,263</w:t>
            </w: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3,061</w:t>
            </w:r>
          </w:p>
        </w:tc>
        <w:tc>
          <w:tcPr>
            <w:tcW w:w="32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(1,384)</w:t>
            </w:r>
          </w:p>
        </w:tc>
        <w:tc>
          <w:tcPr>
            <w:tcW w:w="8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(1,873)</w:t>
            </w:r>
          </w:p>
        </w:tc>
      </w:tr>
      <w:tr>
        <w:trPr>
          <w:trHeight w:val="27"/>
        </w:trPr>
        <w:tc>
          <w:tcPr>
            <w:tcW w:w="6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(33,722)</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(45,622)</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(46,951)</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(63,520)</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5,331</w:t>
            </w: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7,213</w:t>
            </w:r>
          </w:p>
        </w:tc>
        <w:tc>
          <w:tcPr>
            <w:tcW w:w="320" w:type="dxa"/>
            <w:vAlign w:val="bottom"/>
          </w:tcPr>
          <w:p>
            <w:pPr>
              <w:spacing w:after="0"/>
              <w:rPr>
                <w:sz w:val="17"/>
                <w:szCs w:val="17"/>
                <w:color w:val="auto"/>
              </w:rPr>
            </w:pP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8,152</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11,029</w:t>
            </w:r>
          </w:p>
        </w:tc>
      </w:tr>
      <w:tr>
        <w:trPr>
          <w:trHeight w:val="27"/>
        </w:trPr>
        <w:tc>
          <w:tcPr>
            <w:tcW w:w="6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attributable to equity holders of the Company</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(28,390)</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(38,409)</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(38,799)</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(52,491)</w:t>
            </w:r>
          </w:p>
        </w:tc>
      </w:tr>
      <w:tr>
        <w:trPr>
          <w:trHeight w:val="20"/>
        </w:trPr>
        <w:tc>
          <w:tcPr>
            <w:tcW w:w="6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Expenses</w:t>
      </w:r>
    </w:p>
    <w:p>
      <w:pPr>
        <w:spacing w:after="0" w:line="81" w:lineRule="exact"/>
        <w:rPr>
          <w:sz w:val="20"/>
          <w:szCs w:val="20"/>
          <w:color w:val="auto"/>
        </w:rPr>
      </w:pPr>
    </w:p>
    <w:p>
      <w:pPr>
        <w:ind w:left="200" w:right="740" w:firstLine="331"/>
        <w:spacing w:after="0" w:line="246" w:lineRule="auto"/>
        <w:rPr>
          <w:sz w:val="20"/>
          <w:szCs w:val="20"/>
          <w:color w:val="auto"/>
        </w:rPr>
      </w:pPr>
      <w:r>
        <w:rPr>
          <w:rFonts w:ascii="Arial" w:cs="Arial" w:eastAsia="Arial" w:hAnsi="Arial"/>
          <w:sz w:val="18"/>
          <w:szCs w:val="18"/>
          <w:color w:val="auto"/>
        </w:rPr>
        <w:t>The following table sets forth our research and development expenses by product development program for the years ended December 31, 2016 and 2017.</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6820" w:type="dxa"/>
            <w:vAlign w:val="bottom"/>
          </w:tcPr>
          <w:p>
            <w:pPr>
              <w:spacing w:after="0"/>
              <w:rPr>
                <w:sz w:val="13"/>
                <w:szCs w:val="13"/>
                <w:color w:val="auto"/>
              </w:rPr>
            </w:pPr>
          </w:p>
        </w:tc>
        <w:tc>
          <w:tcPr>
            <w:tcW w:w="9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820" w:type="dxa"/>
            <w:vAlign w:val="bottom"/>
          </w:tcPr>
          <w:p>
            <w:pPr>
              <w:spacing w:after="0"/>
              <w:rPr>
                <w:sz w:val="13"/>
                <w:szCs w:val="13"/>
                <w:color w:val="auto"/>
              </w:rPr>
            </w:pPr>
          </w:p>
        </w:tc>
        <w:tc>
          <w:tcPr>
            <w:tcW w:w="6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r>
      <w:tr>
        <w:trPr>
          <w:trHeight w:val="156"/>
        </w:trPr>
        <w:tc>
          <w:tcPr>
            <w:tcW w:w="6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5"/>
          </w:tcPr>
          <w:p>
            <w:pPr>
              <w:jc w:val="center"/>
              <w:ind w:right="380"/>
              <w:spacing w:after="0" w:line="155"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BPS-804</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4,804</w:t>
            </w:r>
          </w:p>
        </w:tc>
        <w:tc>
          <w:tcPr>
            <w:tcW w:w="32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6,499</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13,380</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18,102</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BCT-197</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9,733</w:t>
            </w:r>
          </w:p>
        </w:tc>
        <w:tc>
          <w:tcPr>
            <w:tcW w:w="320" w:type="dxa"/>
            <w:vAlign w:val="bottom"/>
          </w:tcPr>
          <w:p>
            <w:pPr>
              <w:spacing w:after="0"/>
              <w:rPr>
                <w:sz w:val="17"/>
                <w:szCs w:val="17"/>
                <w:color w:val="auto"/>
              </w:rPr>
            </w:pP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13,168</w:t>
            </w: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10,014</w:t>
            </w: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13,548</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BGS-649</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9,431</w:t>
            </w:r>
          </w:p>
        </w:tc>
        <w:tc>
          <w:tcPr>
            <w:tcW w:w="32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12,759</w:t>
            </w: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10,801</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14,613</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AZD-9668</w:t>
            </w:r>
          </w:p>
        </w:tc>
        <w:tc>
          <w:tcPr>
            <w:tcW w:w="98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costs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593</w:t>
            </w:r>
          </w:p>
        </w:tc>
        <w:tc>
          <w:tcPr>
            <w:tcW w:w="32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555</w:t>
            </w:r>
          </w:p>
        </w:tc>
      </w:tr>
      <w:tr>
        <w:trPr>
          <w:trHeight w:val="20"/>
        </w:trPr>
        <w:tc>
          <w:tcPr>
            <w:tcW w:w="6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24,561</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33,229</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34,607</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46,821</w:t>
            </w:r>
          </w:p>
        </w:tc>
      </w:tr>
      <w:tr>
        <w:trPr>
          <w:trHeight w:val="20"/>
        </w:trPr>
        <w:tc>
          <w:tcPr>
            <w:tcW w:w="6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Our total R&amp;D, expenses increased by £10.0 million, or 29%, from £ 24.6 million in 2016 to £34.6 million in 2017. This was a result of increased spending on clinical development as we continued the Phase 2 programs for BCT-197 and BGS-649 and commenced the adult Phase 2b program for BPS-804. Total R&amp;D expenses included payments we made to CROs and other suppliers for the ongoing clinical development of each of BPS-804, BCT-197, and BGS-649, which increased from £17.9 million in 2016 to £22.8 million in 2017, reflecting the inclusion of expenses relating to the adult Phase 2b study for BPS-804. Additionally, our R&amp;D employee related costs increased from £3.1 million in 2016</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24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to £4.1 million in 2017, reflecting increased headcount, higher other employee-related expenses, including travel, and higher bonus amounts earned in 2017. Our payments to CMOs for the provision of drug substance and drug product and associated manufacturing development to support our clinical trials and the transfer of manufacturing of drug substance and drug product from Novartis to third-party manufacturers increased from £2.9 million in 2016 to £7.6 million in 2017, reflecting ongoing manufacturing activity primarily due to the manufacture of additional clinical trial materials in respect of BPS-804.</w:t>
      </w:r>
    </w:p>
    <w:p>
      <w:pPr>
        <w:spacing w:after="0" w:line="203"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Direct research and development expenses related to BPS-804 increased by £8.6 million, from £4.8 million in 2016 to £13.4 million in 2017, due to the commencement of the adult Phase 2b study for BPS-804 during 2017 and the completion of the manufacture of associated clinical trial materials.</w:t>
      </w:r>
    </w:p>
    <w:p>
      <w:pPr>
        <w:spacing w:after="0" w:line="203"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Direct research and development expenses related to BCT-197 increased by £0.3 million, from £9.7 million in 2016 to £ 10.0 million in 2017, due to the completion of the Phase 2 clinical trial for BCT-197 in the fourth quarter of 2017, which trial commenced in the first half of 2016.</w:t>
      </w:r>
    </w:p>
    <w:p>
      <w:pPr>
        <w:spacing w:after="0" w:line="203" w:lineRule="exact"/>
        <w:rPr>
          <w:sz w:val="20"/>
          <w:szCs w:val="20"/>
          <w:color w:val="auto"/>
        </w:rPr>
      </w:pPr>
    </w:p>
    <w:p>
      <w:pPr>
        <w:jc w:val="both"/>
        <w:ind w:left="200" w:right="60" w:firstLine="331"/>
        <w:spacing w:after="0" w:line="246" w:lineRule="auto"/>
        <w:rPr>
          <w:sz w:val="20"/>
          <w:szCs w:val="20"/>
          <w:color w:val="auto"/>
        </w:rPr>
      </w:pPr>
      <w:r>
        <w:rPr>
          <w:rFonts w:ascii="Arial" w:cs="Arial" w:eastAsia="Arial" w:hAnsi="Arial"/>
          <w:sz w:val="18"/>
          <w:szCs w:val="18"/>
          <w:color w:val="auto"/>
        </w:rPr>
        <w:t>Direct research and development expenses related to BGS-649 increased by £1.4 million, from £9.4 million in 2016 to £10.8 million in 2017, due to the continuation of the Phase 2b study for BGS-649 and the commencement of the Phase 2b extension study.</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General and administrative expenses decreased by £ 0.9 million, or 7.8%, from £11.6 million in 2016 to £ 10.7 million in 2017. This decrease was due to a decrease in share-based payment expenses of £2.8 million, reflecting the lower level of share option awards in 2017, partially offset by a rise in other general and administrative costs of £1.9 million, reflecting an increase in payroll-related costs due to a higher headcount and higher bonus amounts earned in 2017, together with additional legal and professional fees in connection with the equity financing in April 2017, the entering into a credit facility in August 2017, and the acquisition of AZD-9668 in October 2017.</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Finance Income</w:t>
      </w:r>
    </w:p>
    <w:p>
      <w:pPr>
        <w:spacing w:after="0" w:line="81"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Interest earned on our short-term cash deposits increased from £0.4 million in 2016 to £0.8 million in 2017, reflecting higher cash balances held in deposit in 2017.</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Finance Charge</w:t>
      </w:r>
    </w:p>
    <w:p>
      <w:pPr>
        <w:spacing w:after="0" w:line="81"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Finance charge increased from £0.2 million in 2016 to £1.1 million in 2017, reflecting interest costs on additional borrowings under our credit facility during 2017 and lower costs related to the Novartis Notes after the exercise of a portion of these notes in April 2017. Finance charge in 2017 also included £0.3 million of losses on short term deposits.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Foreign Exchange Gain/(Loss)</w:t>
      </w:r>
    </w:p>
    <w:p>
      <w:pPr>
        <w:spacing w:after="0" w:line="95"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In 2016, the net foreign exchange gain was £2.3 million, primarily as a result of the unrealized gain on translation of cash deposits held primarily in U.S. dollars at year end, reflecting a strengthening of the U.S. dollar against pounds sterling during the year. In 2017, net foreign exchange loss was £1.4 million, reflecting a weakening of the U.S. dollar against pounds sterling during the year which negatively impacted the translation of our foreign deposits and investments at December 31, 2017.</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 Benefit</w:t>
      </w:r>
    </w:p>
    <w:p>
      <w:pPr>
        <w:spacing w:after="0" w:line="81"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We recorded a tax credit of £5.3 million in 2016 and £8.2 million in 2017. The tax credit represents the cash rebate from the U.K. tax authorities we qualified for in respect of eligible research and development activities during the years. Due to the increase in qualifying R&amp;D expenditure in 2017, the 2017 tax credit increased by £2.9 million from the 2016 tax credit. The 2016 tax credit was received in May 2017. We expect to receive the 2017 tax credit of £8.2 million in 2018.</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Since our inception, we have incurred significant operating losses. We expect to incur significant expenses and operating losses for the foreseeable future as we advance the clinical development of our product candidates. We expect that our research and development and general and administrative costs will increase in connection with conducting clinical trials for our product candidates and any new product candidates we acquire and due to the costs in seeking marketing approval for our product candidates in Europe and the United States as well as other jurisdictions. As a result, we will need additional capital to fund our operations, which we may obtain from additional debt or equity financings, collaborations, licensing arrangements, or other sources.</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do not currently have any approved products and have never generated any revenue from product sales or otherwise. To date, we have financed our operations primarily through the issuances of our equity securities and convertible debt and our credit facility, which we entered into in August 2017. Since we were incorporated, we have raised a total of £102.8 million in gross proceeds from private and public placements of our ordinary shares to institutional investors and £3.5 million from the issuance of the Novartis Notes. In August 2017, we also entered into a credit facility in the amount of £20.0 million which we have fully drawn down during 2017. As of December 31, 2016 and 2017, we had cash and short term deposits and short term investments of £53.6 million and £52.5 million, respectively.</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summarizes our cash flows for the period presented.</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64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6400" w:type="dxa"/>
            <w:vAlign w:val="bottom"/>
          </w:tcPr>
          <w:p>
            <w:pPr>
              <w:spacing w:after="0"/>
              <w:rPr>
                <w:sz w:val="13"/>
                <w:szCs w:val="13"/>
                <w:color w:val="auto"/>
              </w:rPr>
            </w:pPr>
          </w:p>
        </w:tc>
        <w:tc>
          <w:tcPr>
            <w:tcW w:w="10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6400" w:type="dxa"/>
            <w:vAlign w:val="bottom"/>
          </w:tcPr>
          <w:p>
            <w:pPr>
              <w:spacing w:after="0"/>
              <w:rPr>
                <w:sz w:val="13"/>
                <w:szCs w:val="13"/>
                <w:color w:val="auto"/>
              </w:rPr>
            </w:pPr>
          </w:p>
        </w:tc>
        <w:tc>
          <w:tcPr>
            <w:tcW w:w="72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6"/>
        </w:trPr>
        <w:tc>
          <w:tcPr>
            <w:tcW w:w="6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20" w:type="dxa"/>
            <w:vAlign w:val="bottom"/>
            <w:gridSpan w:val="5"/>
          </w:tcPr>
          <w:p>
            <w:pPr>
              <w:jc w:val="center"/>
              <w:ind w:right="380"/>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(29,662)</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(40,130)</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(32,148)</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(43,493)</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Net cash from (used in) investing activities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320" w:type="dxa"/>
            <w:vAlign w:val="bottom"/>
          </w:tcPr>
          <w:p>
            <w:pPr>
              <w:spacing w:after="0"/>
              <w:rPr>
                <w:sz w:val="17"/>
                <w:szCs w:val="17"/>
                <w:color w:val="auto"/>
              </w:rPr>
            </w:pP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504</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(3,744)</w:t>
            </w:r>
          </w:p>
        </w:tc>
        <w:tc>
          <w:tcPr>
            <w:tcW w:w="8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(5,065)</w:t>
            </w: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financing activities</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68,356</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92,480</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33,743</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45,651</w:t>
            </w:r>
          </w:p>
        </w:tc>
      </w:tr>
      <w:tr>
        <w:trPr>
          <w:trHeight w:val="20"/>
        </w:trPr>
        <w:tc>
          <w:tcPr>
            <w:tcW w:w="6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720" w:type="dxa"/>
            <w:vAlign w:val="bottom"/>
          </w:tcPr>
          <w:p>
            <w:pPr>
              <w:jc w:val="right"/>
              <w:spacing w:after="0"/>
              <w:rPr>
                <w:sz w:val="20"/>
                <w:szCs w:val="20"/>
                <w:color w:val="auto"/>
              </w:rPr>
            </w:pPr>
            <w:r>
              <w:rPr>
                <w:rFonts w:ascii="Arial" w:cs="Arial" w:eastAsia="Arial" w:hAnsi="Arial"/>
                <w:sz w:val="18"/>
                <w:szCs w:val="18"/>
                <w:color w:val="auto"/>
              </w:rPr>
              <w:t>39,067</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52,854</w:t>
            </w:r>
          </w:p>
        </w:tc>
        <w:tc>
          <w:tcPr>
            <w:tcW w:w="3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(2,149)</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(2,907)</w:t>
            </w:r>
          </w:p>
        </w:tc>
      </w:tr>
      <w:tr>
        <w:trPr>
          <w:trHeight w:val="20"/>
        </w:trPr>
        <w:tc>
          <w:tcPr>
            <w:tcW w:w="6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Operating Activities</w:t>
      </w:r>
    </w:p>
    <w:p>
      <w:pPr>
        <w:spacing w:after="0" w:line="8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increase in net cash used in operating activities was £2.4 million, from £29.7 million in 2016 to £32.1 million in 2017. This was largely due to the increased loss before taxation due to higher levels of R&amp;D activity in 2017, offset in part by the increase in cash tax credit received from £0.9 million in 2016 to £5.3 million in 2017. In addition there were changes in the add-backs for non-cash expenses as follows: (i) share based payment add-backs were reduced from £6.5 million to £ 3.7 million, reflecting lower share based payments charge in 2017, (ii) foreign exchange add-backs increased by £3.6 million in 2017, reflecting the movement from a foreign exchange gain of £2.3 million in 2016 to a loss of £1.4 million in 2017, (iii) interest earned increased by £0.5 million in 2017 as a result of higher cash held in deposits throughout 2017 and increased interest rates, (iv) £0.3 million on interest expense on the credit facility entered into in August 2017, (v) £0.3 million of loss on short-term deposits in 2017 and (vi) working capital increased by £5.6 million in 2017, reflecting higher creditor and accrual balances at December 31, 2017 compared to 2016.</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Investing Activities</w:t>
      </w:r>
    </w:p>
    <w:p>
      <w:pPr>
        <w:spacing w:after="0" w:line="95"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Our net cash from investing activities reduced from £0.4 million in 2016 to net cash used in financing activities of £3.7 million in 2017, largely due to the £2.3 million cash cost of purchasing a</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46" w:lineRule="auto"/>
        <w:rPr>
          <w:sz w:val="20"/>
          <w:szCs w:val="20"/>
          <w:color w:val="auto"/>
        </w:rPr>
      </w:pPr>
      <w:r>
        <w:rPr>
          <w:rFonts w:ascii="Arial" w:cs="Arial" w:eastAsia="Arial" w:hAnsi="Arial"/>
          <w:sz w:val="18"/>
          <w:szCs w:val="18"/>
          <w:color w:val="auto"/>
        </w:rPr>
        <w:t>license for AZD-9668 from AstraZeneca in October 2017 and £2.5 million of cash transferred into short-term investments held on deposit, partially offset by £1.1 million of interests received on our short-term deposits.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Activities</w:t>
      </w:r>
    </w:p>
    <w:p>
      <w:pPr>
        <w:spacing w:after="0" w:line="9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Our net cash from financing activities reduced from £68.4 million in 2016 to £33.7 million in 2017. In June 2016, we raised gross proceeds of £56.5 million in the second tranche of a private placement entered into in 2015. In June 2016, in connection with our ordinary shares being admitted to trading on the AIM market, we raised gross proceeds of £11.4 million in private placements of our ordinary shares with institutional investors. In addition, and as part of that transaction, we raised £ 3.5 million gross proceeds in the form of the Novartis Notes. Our total costs in respect of the foregoing transactions were £3.0 million. In April 2017, we raised gross proceeds of £15.0 million in a placement of ordinary shares with institutional investors, for which the cash cost amounted to £0.8 million. In August 2017, we borrowed the first £10.0 million tranche under our credit facility and in December 2017 we borrowed the second and final tranche under our credit facility for another £10.0 million. In addition, in 2017, we paid an aggregate of £0.3 million of interest on our outstanding borrowings under our credit facility.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85"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As of December 31, 2016 and 2017, we had an accumulated loss of £40.6 million and £79.3 million, respectively. We expect to continue to incur significant operating losses in 2018 and for the foreseeable future as we continue our research and development efforts and seek to obtain regulatory approval of our product candidates and any future product candidate we develop.</w:t>
      </w:r>
    </w:p>
    <w:p>
      <w:pPr>
        <w:spacing w:after="0" w:line="203" w:lineRule="exact"/>
        <w:rPr>
          <w:sz w:val="20"/>
          <w:szCs w:val="20"/>
          <w:color w:val="auto"/>
        </w:rPr>
      </w:pPr>
    </w:p>
    <w:p>
      <w:pPr>
        <w:ind w:left="200" w:right="420" w:firstLine="331"/>
        <w:spacing w:after="0"/>
        <w:rPr>
          <w:sz w:val="20"/>
          <w:szCs w:val="20"/>
          <w:color w:val="auto"/>
        </w:rPr>
      </w:pPr>
      <w:r>
        <w:rPr>
          <w:rFonts w:ascii="Arial" w:cs="Arial" w:eastAsia="Arial" w:hAnsi="Arial"/>
          <w:sz w:val="18"/>
          <w:szCs w:val="18"/>
          <w:color w:val="auto"/>
        </w:rPr>
        <w:t>We expect our expenses to increase substantially in connection with our ongoing development activities related to our product candidates. In addition, upon the closing of the global offering, we expect to incur additional costs associated with operating as a U.S. public company listed on the Nasdaq Global Market in addition to operating as a U.K. public company listed on AIM.</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We anticipate that our expenses will increase substantially due to the costs associated with our current and planned clinical trials, our outsourced manufacturing activities and other associated costs including the management of our intellectual property portfolio. These costs will increase further if we:</w:t>
      </w:r>
    </w:p>
    <w:p>
      <w:pPr>
        <w:spacing w:after="0" w:line="194" w:lineRule="exact"/>
        <w:rPr>
          <w:sz w:val="20"/>
          <w:szCs w:val="20"/>
          <w:color w:val="auto"/>
        </w:rPr>
      </w:pPr>
    </w:p>
    <w:p>
      <w:pPr>
        <w:ind w:left="960" w:hanging="432"/>
        <w:spacing w:after="0"/>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to develop additional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regulatory approvals for any of our product candidates that successfully completes clinical trials;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 and chose to commercialize directly;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expand our intellectual property portfolio;</w:t>
      </w:r>
    </w:p>
    <w:p>
      <w:pPr>
        <w:spacing w:after="0" w:line="26" w:lineRule="exact"/>
        <w:rPr>
          <w:rFonts w:ascii="MS PGothic" w:cs="MS PGothic" w:eastAsia="MS PGothic" w:hAnsi="MS PGothic"/>
          <w:sz w:val="25"/>
          <w:szCs w:val="25"/>
          <w:color w:val="auto"/>
          <w:vertAlign w:val="superscript"/>
        </w:rPr>
      </w:pPr>
    </w:p>
    <w:p>
      <w:pPr>
        <w:jc w:val="both"/>
        <w:ind w:left="960" w:right="480" w:hanging="432"/>
        <w:spacing w:after="0" w:line="223"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 further central clinical, scientific, operational, financial and management information systems, and personnel, including personnel to support our development and to support our operations as a U.S. public company listed on the Nasdaq Global Market; and</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203" w:lineRule="exact"/>
        <w:rPr>
          <w:sz w:val="20"/>
          <w:szCs w:val="20"/>
          <w:color w:val="auto"/>
        </w:rPr>
      </w:pPr>
    </w:p>
    <w:p>
      <w:pPr>
        <w:ind w:left="200" w:right="240" w:firstLine="331"/>
        <w:spacing w:after="0" w:line="234" w:lineRule="auto"/>
        <w:rPr>
          <w:sz w:val="20"/>
          <w:szCs w:val="20"/>
          <w:color w:val="auto"/>
        </w:rPr>
      </w:pPr>
      <w:r>
        <w:rPr>
          <w:rFonts w:ascii="Arial" w:cs="Arial" w:eastAsia="Arial" w:hAnsi="Arial"/>
          <w:sz w:val="18"/>
          <w:szCs w:val="18"/>
          <w:color w:val="auto"/>
        </w:rPr>
        <w:t>We expect that our existing cash resources will enable us to fund our currently committed clinical trials and operating expenses and capital expenditure requirements for at least the next 12 months. We expect that these cash resources, together with anticipated net proceeds from the global offering, will enable us to fund our current and planned clinical trials and operating expenses and capital</w:t>
      </w:r>
    </w:p>
    <w:p>
      <w:pPr>
        <w:spacing w:after="0" w:line="2" w:lineRule="exact"/>
        <w:rPr>
          <w:sz w:val="20"/>
          <w:szCs w:val="20"/>
          <w:color w:val="auto"/>
        </w:rPr>
      </w:pPr>
    </w:p>
    <w:p>
      <w:pPr>
        <w:ind w:left="200"/>
        <w:spacing w:after="0"/>
        <w:tabs>
          <w:tab w:leader="none" w:pos="3540" w:val="left"/>
        </w:tabs>
        <w:rPr>
          <w:sz w:val="20"/>
          <w:szCs w:val="20"/>
          <w:color w:val="auto"/>
        </w:rPr>
      </w:pPr>
      <w:r>
        <w:rPr>
          <w:rFonts w:ascii="Arial" w:cs="Arial" w:eastAsia="Arial" w:hAnsi="Arial"/>
          <w:sz w:val="18"/>
          <w:szCs w:val="18"/>
          <w:color w:val="auto"/>
        </w:rPr>
        <w:t>expenditure requirements through</w:t>
      </w:r>
      <w:r>
        <w:rPr>
          <w:sz w:val="20"/>
          <w:szCs w:val="20"/>
          <w:color w:val="auto"/>
        </w:rPr>
        <w:tab/>
      </w:r>
      <w:r>
        <w:rPr>
          <w:rFonts w:ascii="Arial" w:cs="Arial" w:eastAsia="Arial" w:hAnsi="Arial"/>
          <w:sz w:val="17"/>
          <w:szCs w:val="17"/>
          <w:color w:val="auto"/>
        </w:rPr>
        <w:t>. We have based these estimates on assumptions that may</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230" w:lineRule="exact"/>
        <w:rPr>
          <w:sz w:val="20"/>
          <w:szCs w:val="20"/>
          <w:color w:val="auto"/>
        </w:rPr>
      </w:pPr>
    </w:p>
    <w:p>
      <w:pPr>
        <w:ind w:left="960" w:right="60" w:hanging="432"/>
        <w:spacing w:after="0" w:line="218"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results of our ongoing Phase 2b clinical trial for BPS-804, our planned pediatric Phase 2b/3 study for BPS-804 in Europe, and our planned Phase 2 clinical trial for AZD-9668;</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manufacturing clinical supplies of our product candidates;</w:t>
      </w:r>
    </w:p>
    <w:p>
      <w:pPr>
        <w:spacing w:after="0" w:line="26"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27" w:lineRule="exact"/>
        <w:rPr>
          <w:rFonts w:ascii="MS PGothic" w:cs="MS PGothic" w:eastAsia="MS PGothic" w:hAnsi="MS PGothic"/>
          <w:sz w:val="25"/>
          <w:szCs w:val="25"/>
          <w:color w:val="auto"/>
          <w:vertAlign w:val="superscript"/>
        </w:rPr>
      </w:pPr>
    </w:p>
    <w:p>
      <w:pPr>
        <w:ind w:left="960" w:right="380" w:hanging="432"/>
        <w:spacing w:after="0" w:line="218"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amount of revenue, if any, received from commercial sales of our product candidates;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23"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sales price and availability of adequate third-party coverage and reimbursement for our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competitors and market developments;</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1"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 and</w:t>
      </w:r>
    </w:p>
    <w:p>
      <w:pPr>
        <w:ind w:left="960" w:hanging="432"/>
        <w:spacing w:after="0" w:line="205"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milestone and deferred payments under our license and option agreement with AstraZeneca.</w:t>
      </w:r>
    </w:p>
    <w:p>
      <w:pPr>
        <w:spacing w:after="0" w:line="20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Our revenues, if any, will be derived from sales of any products that we are able to successfully develop, receive regulatory approval for, and commercialize in future years. In the meantime, we will need to obtain substantial additional funds to achieve our business objective.</w:t>
      </w:r>
    </w:p>
    <w:p>
      <w:pPr>
        <w:spacing w:after="0" w:line="203" w:lineRule="exact"/>
        <w:rPr>
          <w:sz w:val="20"/>
          <w:szCs w:val="20"/>
          <w:color w:val="auto"/>
        </w:rPr>
      </w:pPr>
    </w:p>
    <w:p>
      <w:pPr>
        <w:ind w:left="200" w:right="380" w:firstLine="331"/>
        <w:spacing w:after="0" w:line="237" w:lineRule="auto"/>
        <w:rPr>
          <w:sz w:val="20"/>
          <w:szCs w:val="20"/>
          <w:color w:val="auto"/>
        </w:rPr>
      </w:pPr>
      <w:r>
        <w:rPr>
          <w:rFonts w:ascii="Arial" w:cs="Arial" w:eastAsia="Arial" w:hAnsi="Arial"/>
          <w:sz w:val="18"/>
          <w:szCs w:val="18"/>
          <w:color w:val="auto"/>
        </w:rPr>
        <w:t>Adequate additional funds may not be available to us on acceptable terms, or at all. To the extent that we raise additional capital through the sale of equity or convertible debt securities, your ownership interest will be diluted, and the terms of these securities may include liquidation or other preferences that adversely affect your rights as a shareholder.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20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Indebtedness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Novartis Notes</w:t>
      </w:r>
    </w:p>
    <w:p>
      <w:pPr>
        <w:spacing w:after="0" w:line="99"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On June 3, 2016, as part of the fundraising for our product development programs and for general corporate purposes and in connection with our ordinary shares being admitted to trading on AIM, we issued 3,463,563 unsecured convertible loan notes to Novartis, or the Novartis Notes, for aggregate proceeds of £3,463,563. The Novartis Notes bear interest at 4% per annum payable annually and accruing daily and rank senior to any other unsecured obligations we may have. Novartis may at any time convert all or some of the Novartis Notes, together with accrued interest, into our ordinary shares at a conversion price of £2.21 per ordinary share. In addition, upon conversion, Novartis is entitled to receive an additional number of our ordinary shares equal to the number of shares into which such Novartis Notes and accrued interest are converted multiplied by 0.93, or the Bonus Shares. At December 31, 2016, Novartis was entitled to receive up to 1,453,520 Bonus Shares.</w:t>
      </w:r>
    </w:p>
    <w:p>
      <w:pPr>
        <w:spacing w:after="0" w:line="208"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Bonus Shares to Novartis. At December 31, 2017, Novartis was entitled to receive up to 864,998 Bonus Shares.</w:t>
      </w:r>
    </w:p>
    <w:p>
      <w:pPr>
        <w:spacing w:after="0" w:line="20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To the extent any of the Novartis Notes remain outstanding on March 2, 2021, we are obligated to pay Novartis the principal amount of such outstanding Novartis Notes together with any accrued interest.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Facility</w:t>
      </w:r>
    </w:p>
    <w:p>
      <w:pPr>
        <w:spacing w:after="0" w:line="85"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On August 7, 2017, we entered into a loan agreement with Silicon Valley Bank and Kreos Capital V (UK) Limited, which provides for total borrowings of £20.0 million. We borrowed £10.0 million on each of August 21, 2017 and December 29, 2017 for general working capital purposes. We are obligated to make interest-only payments on the loan amount until September 30, 2018, and thereafter we are obligated to pay interest and principal in 30 equal monthly installments until March 31, 2021, the maturity date. The loan bears interest at an annual fixed rate equal to 9.0%. In addition a final payment of 7.5% of the principal loan amount is due upon the earlier of the maturity date, prepayment in whole of the loan amount, mandatory repayment, acceleration of the loan, and the loan becoming immediately due and payable due to an event of default. The loan is secured by substantially all of our assets, including intellectual property rights owned or controlled by us.</w:t>
      </w:r>
    </w:p>
    <w:p>
      <w:pPr>
        <w:spacing w:after="0" w:line="208"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In connection with the loan agreement, we issued to the lenders warrants to subscribe for 363,156 of our ordinary shares at an exercise price of £3.029 per ordinary share and warrants to subscribe for 333,334 of our ordinary shares at an exercise price of £3.30 per ordinary share.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summarizes our contractual obligations at December 31, 2017.</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2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Payments Due by Period</w:t>
            </w: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right"/>
              <w:ind w:right="139"/>
              <w:spacing w:after="0" w:line="143" w:lineRule="exact"/>
              <w:rPr>
                <w:sz w:val="20"/>
                <w:szCs w:val="20"/>
                <w:color w:val="auto"/>
              </w:rPr>
            </w:pPr>
            <w:r>
              <w:rPr>
                <w:rFonts w:ascii="Arial" w:cs="Arial" w:eastAsia="Arial" w:hAnsi="Arial"/>
                <w:sz w:val="14"/>
                <w:szCs w:val="14"/>
                <w:b w:val="1"/>
                <w:bCs w:val="1"/>
                <w:color w:val="auto"/>
              </w:rPr>
              <w:t>3-</w:t>
            </w: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2220" w:type="dxa"/>
            <w:vAlign w:val="bottom"/>
            <w:gridSpan w:val="3"/>
          </w:tcPr>
          <w:p>
            <w:pPr>
              <w:ind w:left="1380"/>
              <w:spacing w:after="0"/>
              <w:rPr>
                <w:sz w:val="20"/>
                <w:szCs w:val="20"/>
                <w:color w:val="auto"/>
              </w:rPr>
            </w:pPr>
            <w:r>
              <w:rPr>
                <w:rFonts w:ascii="Arial" w:cs="Arial" w:eastAsia="Arial" w:hAnsi="Arial"/>
                <w:sz w:val="14"/>
                <w:szCs w:val="14"/>
                <w:b w:val="1"/>
                <w:bCs w:val="1"/>
                <w:color w:val="auto"/>
              </w:rPr>
              <w:t>Up to 1 year</w:t>
            </w:r>
          </w:p>
        </w:tc>
        <w:tc>
          <w:tcPr>
            <w:tcW w:w="60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1-3 Years</w:t>
            </w:r>
          </w:p>
        </w:tc>
        <w:tc>
          <w:tcPr>
            <w:tcW w:w="56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5 Years</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Over 5 Years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Novartis Notes(1)</w:t>
            </w:r>
          </w:p>
        </w:tc>
        <w:tc>
          <w:tcPr>
            <w:tcW w:w="1620" w:type="dxa"/>
            <w:vAlign w:val="bottom"/>
            <w:gridSpan w:val="2"/>
            <w:shd w:val="clear" w:color="auto" w:fill="CCEEFF"/>
          </w:tcPr>
          <w:p>
            <w:pPr>
              <w:ind w:left="138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70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4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£2,079</w:t>
            </w: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Bank loan(2)</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3,574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17,794</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2,983</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24,351</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lease(3)</w:t>
            </w:r>
          </w:p>
        </w:tc>
        <w:tc>
          <w:tcPr>
            <w:tcW w:w="13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744</w:t>
            </w:r>
          </w:p>
        </w:tc>
        <w:tc>
          <w:tcPr>
            <w:tcW w:w="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535</w:t>
            </w: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360"/>
              <w:spacing w:after="0"/>
              <w:rPr>
                <w:sz w:val="20"/>
                <w:szCs w:val="20"/>
                <w:color w:val="auto"/>
              </w:rPr>
            </w:pPr>
            <w:r>
              <w:rPr>
                <w:rFonts w:ascii="Arial" w:cs="Arial" w:eastAsia="Arial" w:hAnsi="Arial"/>
                <w:sz w:val="18"/>
                <w:szCs w:val="18"/>
                <w:color w:val="auto"/>
              </w:rPr>
              <w:t>Total</w:t>
            </w:r>
          </w:p>
        </w:tc>
        <w:tc>
          <w:tcPr>
            <w:tcW w:w="162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4,401</w:t>
            </w:r>
          </w:p>
        </w:tc>
        <w:tc>
          <w:tcPr>
            <w:tcW w:w="700" w:type="dxa"/>
            <w:vAlign w:val="bottom"/>
            <w:gridSpan w:val="2"/>
          </w:tcPr>
          <w:p>
            <w:pPr>
              <w:ind w:left="600"/>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18,494</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5,062</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27,957</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vMerge w:val="restart"/>
          </w:tcPr>
          <w:p>
            <w:pPr>
              <w:jc w:val="right"/>
              <w:ind w:right="310"/>
              <w:spacing w:after="0"/>
              <w:rPr>
                <w:sz w:val="20"/>
                <w:szCs w:val="20"/>
                <w:color w:val="auto"/>
              </w:rPr>
            </w:pPr>
            <w:r>
              <w:rPr>
                <w:rFonts w:ascii="Arial" w:cs="Arial" w:eastAsia="Arial" w:hAnsi="Arial"/>
                <w:sz w:val="18"/>
                <w:szCs w:val="18"/>
                <w:color w:val="auto"/>
                <w:w w:val="89"/>
              </w:rPr>
              <w:t>88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18180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20" w:hanging="316"/>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interest. See “—Indebtedness—Novartis Notes.”</w:t>
      </w:r>
    </w:p>
    <w:p>
      <w:pPr>
        <w:ind w:left="520" w:hanging="316"/>
        <w:spacing w:after="0" w:line="234"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interest. See “—Indebtedness—Credit Facility.”</w:t>
      </w:r>
    </w:p>
    <w:p>
      <w:pPr>
        <w:ind w:left="520" w:right="60" w:hanging="316"/>
        <w:spacing w:after="0" w:line="246"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Reflects payments due for our office lease under a lease agreement that expires in August 2025. We may terminate this agreement in August 2020 and, as such, no amounts due under the agreement after August 2020 are reflected.</w:t>
      </w:r>
    </w:p>
    <w:p>
      <w:pPr>
        <w:spacing w:after="0" w:line="197"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As further described above under “—Asset Purchase Agreements with Novartis” and “—License Agreement with AstraZeneca,” under various agreements with Novartis and AstraZeneca, we have agreed to make milestone payments and pay royalties. We have not included any deferred payment obligations, such as milestones or royalties, in the table above, as the amount, timing, and likelihood of such payments are not known and will remain uncertain for the foreseeable future.</w:t>
      </w:r>
    </w:p>
    <w:p>
      <w:pPr>
        <w:spacing w:after="0" w:line="202"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In addition, we enter into contracts in the ordinary course of business with CROs, CMOs,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did not have during the period presented, and we do not currently have, any off-balance sheet arrangements.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9"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We are exposed to a variety of financial risks. Our overall risk management program seeks to minimize potential adverse effects of these financial risks on our financial performance.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8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manage interest rate risk by monitoring short and medium-term interest rates and placing cash on deposit for periods that optimize the amount of interest earned while maintaining access to sufficient funds to meet day-to-day cash requirements. We have a committed borrowing facility in an amount of £20.0 million which was fully drawn as of the date of this prospectus. Loans under the credit facility bear interest at a fixed rate of 9.0% per annum. The interest payable on the Novartis Notes is fixed at 4.0% per annum. Consequently, there is no material exposure to interest rate risk in respect of interest payable.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Risk</w:t>
      </w:r>
    </w:p>
    <w:p>
      <w:pPr>
        <w:spacing w:after="0" w:line="85"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We consider all of our material counterparties to be creditworthy. We consider the credit risk for each of our major counterparties to be low. We are, however, dependent on a number of third parties for the delivery of our programs and, in addition, where appropriate we pay upfront deposits and fees in advance of the delivery of services where required. We continue to assess credit risk as part of our management of these third-party relationships.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 Risk</w:t>
      </w:r>
    </w:p>
    <w:p>
      <w:pPr>
        <w:spacing w:after="0" w:line="99" w:lineRule="exact"/>
        <w:rPr>
          <w:sz w:val="20"/>
          <w:szCs w:val="20"/>
          <w:color w:val="auto"/>
        </w:rPr>
      </w:pPr>
    </w:p>
    <w:p>
      <w:pPr>
        <w:ind w:left="200" w:right="360" w:firstLine="331"/>
        <w:spacing w:after="0"/>
        <w:rPr>
          <w:sz w:val="20"/>
          <w:szCs w:val="20"/>
          <w:color w:val="auto"/>
        </w:rPr>
      </w:pPr>
      <w:r>
        <w:rPr>
          <w:rFonts w:ascii="Arial" w:cs="Arial" w:eastAsia="Arial" w:hAnsi="Arial"/>
          <w:sz w:val="18"/>
          <w:szCs w:val="18"/>
          <w:color w:val="auto"/>
        </w:rPr>
        <w:t>We manage our liquidity risk by maintaining adequate cash reserves at banking facilities and invested in short term money market accounts, and by continuously monitoring our cash forecasts, our actual cash flows and by matching the maturity profiles of financial assets and liabilities.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85"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Foreign currency risk reflects the risk that the value of a financial commitment or recognized asset or liability will fluctuate due to changes in foreign currency rates. The majority of our operating costs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are denominated in pounds sterling, euros, and U.S. dollars. Our financial position, as expressed in pounds sterling, is exposed to movements in foreign exchange rates against the U.S. dollar and the euro. Our main trading currencies are pounds sterling and U.S. dollars. We are exposed to foreign currency risk as a result of operating transactions and the translation of foreign currency bank accounts and short-term deposits. We monitor our exposure to foreign exchange risk. We have not entered into foreign exchange contracts to hedge against foreign exchange fluctuations but maintain cash and investments in U.S. dollars to cover anticipated forward commitments. For the year ended December 31, 2017, we recorded a net foreign exchange loss of £1.4 million, compared to a £2.3 million gain for the year ended December 31, 2016, primarily as a result of the accretion in value of our U.S. dollar cash deposits measured at the balance sheet date compared to the date of conversion. These deposits amounted to $20.0 million and $10.5 million as of December 31, 2016 and 2017, respectively.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99"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Our financial statements have been prepared in accordance with IFRS as issued by the IASB. In the application of our accounting policies, we are required to make judgments, estimates, and assumptions about the value of assets and liabilities for which there is no definitive third-party reference. The estimates and associated assumptions are based on historical experience and other factors that we considered to be relevant. Actual results may differ from these estimates. We review our estimates and assumptions on an ongoing basis. Revisions to accounting estimates are recognized in the period in which the estimate is revised if the revision affects only that period or in the period of the revisions and future periods if the revision affects both current and future periods.</w:t>
      </w:r>
    </w:p>
    <w:p>
      <w:pPr>
        <w:spacing w:after="0" w:line="205" w:lineRule="exact"/>
        <w:rPr>
          <w:sz w:val="20"/>
          <w:szCs w:val="20"/>
          <w:color w:val="auto"/>
        </w:rPr>
      </w:pPr>
    </w:p>
    <w:p>
      <w:pPr>
        <w:ind w:left="200" w:right="20" w:firstLine="331"/>
        <w:spacing w:after="0" w:line="275" w:lineRule="auto"/>
        <w:rPr>
          <w:sz w:val="20"/>
          <w:szCs w:val="20"/>
          <w:color w:val="auto"/>
        </w:rPr>
      </w:pPr>
      <w:r>
        <w:rPr>
          <w:rFonts w:ascii="Arial" w:cs="Arial" w:eastAsia="Arial" w:hAnsi="Arial"/>
          <w:sz w:val="17"/>
          <w:szCs w:val="17"/>
          <w:color w:val="auto"/>
        </w:rPr>
        <w:t>The following are our critical judgments and estimates that we have made in the process of applying our accounting policies and that have the most significant effect on the amounts recognized in our consolidated financial statements included elsewhere in this prospectus.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Measurement of Share-Based Compensation</w:t>
      </w:r>
    </w:p>
    <w:p>
      <w:pPr>
        <w:spacing w:after="0" w:line="85"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We have granted share options and awards under the following four equity award plans: (i) the Mereo BioPharma Group Limited Share Option Scheme, or the 2015 Plan; (ii) the Mereo BioPharma Group plc Share Option Scheme, or the Share Option Plan; (iii) the Mereo BioPharma Group plc Long Term Incentive Plan, or LTIP; and (iv) the Mereo BioPharma Group plc Deferred Bonus Share Plan, or DBSP.</w:t>
      </w:r>
    </w:p>
    <w:p>
      <w:pPr>
        <w:spacing w:after="0" w:line="202"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We measure share options at fair value at their grant date in accordance with IFRS 2, “Share-based Payment.” We calculate the fair value of the share options using either the Black-Scholes model, or for options with performance conditions, a simulation model. We charge the fair value to the statement of comprehensive income over the expected vesting period.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2015 Plan</w:t>
      </w:r>
    </w:p>
    <w:p>
      <w:pPr>
        <w:spacing w:after="0" w:line="81"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Under the 2015 Plan, we have granted share options to our employees, including our senior executives, and our non-executive directors. For all employees, share options vest over four years with 25% vesting 12 months after the vesting start date and the balance vesting equally over the next 36 months. For non-executive directors, share options vest over three years in three equal annual installments. There have been no performance conditions attached to the share options granted under the 2015 Plan. Certain rules apply for accelerated vesting and exercise of share options in the event of an offer for the company.</w:t>
      </w:r>
    </w:p>
    <w:p>
      <w:pPr>
        <w:spacing w:after="0" w:line="203" w:lineRule="exact"/>
        <w:rPr>
          <w:sz w:val="20"/>
          <w:szCs w:val="20"/>
          <w:color w:val="auto"/>
        </w:rPr>
      </w:pPr>
    </w:p>
    <w:p>
      <w:pPr>
        <w:jc w:val="both"/>
        <w:ind w:left="200" w:right="720" w:firstLine="331"/>
        <w:spacing w:after="0"/>
        <w:rPr>
          <w:sz w:val="20"/>
          <w:szCs w:val="20"/>
          <w:color w:val="auto"/>
        </w:rPr>
      </w:pPr>
      <w:r>
        <w:rPr>
          <w:rFonts w:ascii="Arial" w:cs="Arial" w:eastAsia="Arial" w:hAnsi="Arial"/>
          <w:sz w:val="18"/>
          <w:szCs w:val="18"/>
          <w:color w:val="auto"/>
        </w:rPr>
        <w:t>We measure the share options under the 2015 Plan at fair value at their grant date in accordance with IFRS 2, “Share-based Payment,” using the Black-Scholes model. The exercise price of the share options under the 2015 Plan is in the range of £1.29 to £2.21 per ordinary share and the share options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8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534"/>
        </w:trPr>
        <w:tc>
          <w:tcPr>
            <w:tcW w:w="9460" w:type="dxa"/>
            <w:vAlign w:val="bottom"/>
            <w:gridSpan w:val="3"/>
          </w:tcPr>
          <w:p>
            <w:pPr>
              <w:ind w:left="200"/>
              <w:spacing w:after="0"/>
              <w:rPr>
                <w:sz w:val="20"/>
                <w:szCs w:val="20"/>
                <w:color w:val="auto"/>
              </w:rPr>
            </w:pPr>
            <w:r>
              <w:rPr>
                <w:rFonts w:ascii="Arial" w:cs="Arial" w:eastAsia="Arial" w:hAnsi="Arial"/>
                <w:sz w:val="18"/>
                <w:szCs w:val="18"/>
                <w:color w:val="auto"/>
              </w:rPr>
              <w:t>were granted between September 2015 and May 2016 with an exercise period of 10 years from the date of grant.</w:t>
            </w:r>
          </w:p>
        </w:tc>
        <w:tc>
          <w:tcPr>
            <w:tcW w:w="1440" w:type="dxa"/>
            <w:vAlign w:val="bottom"/>
          </w:tcPr>
          <w:p>
            <w:pPr>
              <w:spacing w:after="0"/>
              <w:rPr>
                <w:sz w:val="24"/>
                <w:szCs w:val="24"/>
                <w:color w:val="auto"/>
              </w:rPr>
            </w:pPr>
          </w:p>
        </w:tc>
      </w:tr>
      <w:tr>
        <w:trPr>
          <w:trHeight w:val="419"/>
        </w:trPr>
        <w:tc>
          <w:tcPr>
            <w:tcW w:w="9460" w:type="dxa"/>
            <w:vAlign w:val="bottom"/>
            <w:gridSpan w:val="3"/>
          </w:tcPr>
          <w:p>
            <w:pPr>
              <w:ind w:left="540"/>
              <w:spacing w:after="0"/>
              <w:rPr>
                <w:sz w:val="20"/>
                <w:szCs w:val="20"/>
                <w:color w:val="auto"/>
              </w:rPr>
            </w:pPr>
            <w:r>
              <w:rPr>
                <w:rFonts w:ascii="Arial" w:cs="Arial" w:eastAsia="Arial" w:hAnsi="Arial"/>
                <w:sz w:val="18"/>
                <w:szCs w:val="18"/>
                <w:color w:val="auto"/>
              </w:rPr>
              <w:t>Other inputs to determine the fair value included:</w:t>
            </w:r>
          </w:p>
        </w:tc>
        <w:tc>
          <w:tcPr>
            <w:tcW w:w="1440" w:type="dxa"/>
            <w:vAlign w:val="bottom"/>
          </w:tcPr>
          <w:p>
            <w:pPr>
              <w:spacing w:after="0"/>
              <w:rPr>
                <w:sz w:val="24"/>
                <w:szCs w:val="24"/>
                <w:color w:val="auto"/>
              </w:rPr>
            </w:pPr>
          </w:p>
        </w:tc>
      </w:tr>
      <w:tr>
        <w:trPr>
          <w:trHeight w:val="230"/>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3"/>
        </w:trPr>
        <w:tc>
          <w:tcPr>
            <w:tcW w:w="540" w:type="dxa"/>
            <w:vAlign w:val="bottom"/>
          </w:tcPr>
          <w:p>
            <w:pPr>
              <w:spacing w:after="0"/>
              <w:rPr>
                <w:sz w:val="17"/>
                <w:szCs w:val="17"/>
                <w:color w:val="auto"/>
              </w:rPr>
            </w:pPr>
          </w:p>
        </w:tc>
        <w:tc>
          <w:tcPr>
            <w:tcW w:w="8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Volatility(1)</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540" w:type="dxa"/>
            <w:vAlign w:val="bottom"/>
          </w:tcPr>
          <w:p>
            <w:pPr>
              <w:spacing w:after="0"/>
              <w:rPr>
                <w:sz w:val="17"/>
                <w:szCs w:val="17"/>
                <w:color w:val="auto"/>
              </w:rPr>
            </w:pPr>
          </w:p>
        </w:tc>
        <w:tc>
          <w:tcPr>
            <w:tcW w:w="8920" w:type="dxa"/>
            <w:vAlign w:val="bottom"/>
            <w:gridSpan w:val="2"/>
          </w:tcPr>
          <w:p>
            <w:pPr>
              <w:spacing w:after="0" w:line="202" w:lineRule="exact"/>
              <w:rPr>
                <w:sz w:val="20"/>
                <w:szCs w:val="20"/>
                <w:color w:val="auto"/>
              </w:rPr>
            </w:pPr>
            <w:r>
              <w:rPr>
                <w:rFonts w:ascii="Arial" w:cs="Arial" w:eastAsia="Arial" w:hAnsi="Arial"/>
                <w:sz w:val="18"/>
                <w:szCs w:val="18"/>
                <w:color w:val="auto"/>
              </w:rPr>
              <w:t>Risk-free rate</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1.48 to 2.07%</w:t>
            </w:r>
          </w:p>
        </w:tc>
      </w:tr>
      <w:tr>
        <w:trPr>
          <w:trHeight w:val="203"/>
        </w:trPr>
        <w:tc>
          <w:tcPr>
            <w:tcW w:w="540" w:type="dxa"/>
            <w:vAlign w:val="bottom"/>
          </w:tcPr>
          <w:p>
            <w:pPr>
              <w:spacing w:after="0"/>
              <w:rPr>
                <w:sz w:val="17"/>
                <w:szCs w:val="17"/>
                <w:color w:val="auto"/>
              </w:rPr>
            </w:pPr>
          </w:p>
        </w:tc>
        <w:tc>
          <w:tcPr>
            <w:tcW w:w="8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14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Measured by reference to a basket of similar companies trading on AIM.</w:t>
      </w:r>
    </w:p>
    <w:p>
      <w:pPr>
        <w:spacing w:after="0" w:line="212"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The fair value of such share-based compensation is recognized as an expense over the respective vesting period. Share-based compensation expense under the 2015 Plan was £6.2 million in 2016.</w:t>
      </w:r>
    </w:p>
    <w:p>
      <w:pPr>
        <w:spacing w:after="0" w:line="197"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 Volatility was estimated by reference to the share price volatility of a group of comparable companies over a retrospective year equal to the expected life of the share options.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Share Option Plan</w:t>
      </w:r>
    </w:p>
    <w:p>
      <w:pPr>
        <w:spacing w:after="0" w:line="81"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Under the Share Option Plan, we granted 1,293,188 share options to executive officers and other employees and 15,000 options lapsed. The weighted-average remaining contractual life for the share options outstanding as of December 31, 2017 was 9.4 years. The weighted-average fair value of options granted during the year was £1.85 per share. Share options outstanding at the end of the year had an exercise price of between £3.03 and £3.23 per share.</w:t>
      </w:r>
    </w:p>
    <w:p>
      <w:pPr>
        <w:spacing w:after="0" w:line="20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weighted-average inputs to the models used for the fair value of share options granted during the year ended December 31, 2017 were as follows:</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7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7440" w:type="dxa"/>
            <w:vAlign w:val="bottom"/>
          </w:tcPr>
          <w:p>
            <w:pPr>
              <w:spacing w:after="0"/>
              <w:rPr>
                <w:sz w:val="14"/>
                <w:szCs w:val="14"/>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4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2016</w:t>
            </w:r>
          </w:p>
        </w:tc>
        <w:tc>
          <w:tcPr>
            <w:tcW w:w="8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49-51</w:t>
            </w: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78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1.06-1.33</w:t>
            </w: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78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w:t>
            </w: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78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3.03-3.23</w:t>
            </w: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780" w:type="dxa"/>
            <w:vAlign w:val="bottom"/>
            <w:gridSpan w:val="2"/>
            <w:shd w:val="clear" w:color="auto" w:fill="CCEEFF"/>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 Volatility was estimated by reference to the share price volatility of a group of comparable companies over a retrospective year equal to the expected life of the share options.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Long Term Incentive Plan</w:t>
      </w:r>
    </w:p>
    <w:p>
      <w:pPr>
        <w:spacing w:after="0" w:line="95"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Under the LTIP, share options were granted to executive officers on June 9, 2016 and April 4, 2017. 75% of these share options have specific performance conditions and vest up to 33.3% on June 9, 2019 (Tranche 1), 33.3% on June 9, 2020 (Tranche 2) and 33.3% on June 9, 2021 (Tranche 3) depending on achieving share price increases relative to the share price at January 1 2019, January 1, 2020 and January 1, 2021 relative to the share price at admission to AIM. The share options were granted at a weighted-average fair value of £1.34 per ordinary share and have an exercise price of £nil.</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240" w:top="446"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inputs used to determine the fair value of the strategic element of the LTIP share options were:</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9"/>
              </w:rPr>
              <w:t>Tranche 1</w:t>
            </w:r>
          </w:p>
        </w:tc>
        <w:tc>
          <w:tcPr>
            <w:tcW w:w="15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6"/>
              </w:rPr>
              <w:t>Tranche 2</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Tranche 3</w:t>
            </w:r>
          </w:p>
        </w:tc>
        <w:tc>
          <w:tcPr>
            <w:tcW w:w="0" w:type="dxa"/>
            <w:vAlign w:val="bottom"/>
          </w:tcPr>
          <w:p>
            <w:pPr>
              <w:spacing w:after="0"/>
              <w:rPr>
                <w:sz w:val="1"/>
                <w:szCs w:val="1"/>
                <w:color w:val="auto"/>
              </w:rPr>
            </w:pPr>
          </w:p>
        </w:tc>
      </w:tr>
      <w:tr>
        <w:trPr>
          <w:trHeight w:val="20"/>
        </w:trPr>
        <w:tc>
          <w:tcPr>
            <w:tcW w:w="6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740"/>
              <w:spacing w:after="0" w:line="196" w:lineRule="exact"/>
              <w:rPr>
                <w:sz w:val="20"/>
                <w:szCs w:val="20"/>
                <w:color w:val="auto"/>
              </w:rPr>
            </w:pPr>
            <w:r>
              <w:rPr>
                <w:rFonts w:ascii="Arial" w:cs="Arial" w:eastAsia="Arial" w:hAnsi="Arial"/>
                <w:sz w:val="18"/>
                <w:szCs w:val="18"/>
                <w:color w:val="auto"/>
              </w:rPr>
              <w:t>48.9%</w:t>
            </w:r>
          </w:p>
        </w:tc>
        <w:tc>
          <w:tcPr>
            <w:tcW w:w="1560" w:type="dxa"/>
            <w:vAlign w:val="bottom"/>
            <w:gridSpan w:val="2"/>
            <w:shd w:val="clear" w:color="auto" w:fill="CCEEFF"/>
          </w:tcPr>
          <w:p>
            <w:pPr>
              <w:jc w:val="right"/>
              <w:ind w:right="720"/>
              <w:spacing w:after="0" w:line="196" w:lineRule="exact"/>
              <w:rPr>
                <w:sz w:val="20"/>
                <w:szCs w:val="20"/>
                <w:color w:val="auto"/>
              </w:rPr>
            </w:pPr>
            <w:r>
              <w:rPr>
                <w:rFonts w:ascii="Arial" w:cs="Arial" w:eastAsia="Arial" w:hAnsi="Arial"/>
                <w:sz w:val="18"/>
                <w:szCs w:val="18"/>
                <w:color w:val="auto"/>
              </w:rPr>
              <w:t>48.9%</w:t>
            </w:r>
          </w:p>
        </w:tc>
        <w:tc>
          <w:tcPr>
            <w:tcW w:w="9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15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0.48%</w:t>
            </w:r>
          </w:p>
        </w:tc>
        <w:tc>
          <w:tcPr>
            <w:tcW w:w="15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0.61%</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1580" w:type="dxa"/>
            <w:vAlign w:val="bottom"/>
            <w:gridSpan w:val="2"/>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£nil</w:t>
            </w:r>
          </w:p>
        </w:tc>
        <w:tc>
          <w:tcPr>
            <w:tcW w:w="156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£nil</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We measure the fair value of the share price element of the LTIP share options at their grant date in accordance with IFRS 2, “Share-based Payment,” using a Monte Carlo simulation model. Share options have an exercise period of one year from vesting date.</w:t>
      </w:r>
    </w:p>
    <w:p>
      <w:pPr>
        <w:spacing w:after="0" w:line="197"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25% of the LTIP share options are subject to strategic targets and share options vest three years from the date of grant. LTIP share options were granted at a weighted-average fair value of £1.34 per ordinary share and have an exercise price of £nil. We measure the fair value of the strategic element of the LTIP share options using the Black-Scholes model.</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7780" w:type="dxa"/>
            <w:vAlign w:val="bottom"/>
          </w:tcPr>
          <w:p>
            <w:pPr>
              <w:spacing w:after="0"/>
              <w:rPr>
                <w:sz w:val="20"/>
                <w:szCs w:val="20"/>
                <w:color w:val="auto"/>
              </w:rPr>
            </w:pPr>
            <w:r>
              <w:rPr>
                <w:rFonts w:ascii="Arial" w:cs="Arial" w:eastAsia="Arial" w:hAnsi="Arial"/>
                <w:sz w:val="18"/>
                <w:szCs w:val="18"/>
                <w:color w:val="auto"/>
              </w:rPr>
              <w:t>Other inputs used to determine the fair value of LTIP share options were:</w:t>
            </w:r>
          </w:p>
        </w:tc>
        <w:tc>
          <w:tcPr>
            <w:tcW w:w="2580" w:type="dxa"/>
            <w:vAlign w:val="bottom"/>
          </w:tcPr>
          <w:p>
            <w:pPr>
              <w:spacing w:after="0"/>
              <w:rPr>
                <w:sz w:val="18"/>
                <w:szCs w:val="18"/>
                <w:color w:val="auto"/>
              </w:rPr>
            </w:pPr>
          </w:p>
        </w:tc>
      </w:tr>
      <w:tr>
        <w:trPr>
          <w:trHeight w:val="230"/>
        </w:trPr>
        <w:tc>
          <w:tcPr>
            <w:tcW w:w="778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w:t>
            </w:r>
          </w:p>
        </w:tc>
        <w:tc>
          <w:tcPr>
            <w:tcW w:w="2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2580" w:type="dxa"/>
            <w:vAlign w:val="bottom"/>
          </w:tcPr>
          <w:p>
            <w:pPr>
              <w:jc w:val="right"/>
              <w:spacing w:after="0" w:line="202" w:lineRule="exact"/>
              <w:rPr>
                <w:sz w:val="20"/>
                <w:szCs w:val="20"/>
                <w:color w:val="auto"/>
              </w:rPr>
            </w:pPr>
            <w:r>
              <w:rPr>
                <w:rFonts w:ascii="Arial" w:cs="Arial" w:eastAsia="Arial" w:hAnsi="Arial"/>
                <w:sz w:val="18"/>
                <w:szCs w:val="18"/>
                <w:color w:val="auto"/>
              </w:rPr>
              <w:t>0.74%</w:t>
            </w: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25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£nil</w:t>
            </w:r>
          </w:p>
        </w:tc>
      </w:tr>
    </w:tbl>
    <w:p>
      <w:pPr>
        <w:spacing w:after="0" w:line="215"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The fair value of the total share-based compensation is recognized as an expense over the respective vesting period. Share-based compensation expense under the LTIP was £0.3 million in 2017 and £0.1 million in 2016.</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Deferred Bonus Share Plan</w:t>
      </w:r>
    </w:p>
    <w:p>
      <w:pPr>
        <w:spacing w:after="0" w:line="95" w:lineRule="exact"/>
        <w:rPr>
          <w:sz w:val="20"/>
          <w:szCs w:val="20"/>
          <w:color w:val="auto"/>
        </w:rPr>
      </w:pPr>
    </w:p>
    <w:p>
      <w:pPr>
        <w:jc w:val="both"/>
        <w:ind w:left="200" w:right="100" w:firstLine="331"/>
        <w:spacing w:after="0"/>
        <w:rPr>
          <w:sz w:val="20"/>
          <w:szCs w:val="20"/>
          <w:color w:val="auto"/>
        </w:rPr>
      </w:pPr>
      <w:r>
        <w:rPr>
          <w:rFonts w:ascii="Arial" w:cs="Arial" w:eastAsia="Arial" w:hAnsi="Arial"/>
          <w:sz w:val="18"/>
          <w:szCs w:val="18"/>
          <w:color w:val="auto"/>
        </w:rPr>
        <w:t>Under the DBSP, share options were granted to executive officers on April 4, 2017 in respect of the year ended December 31, 2016. Share options have no performance conditions, an exercise price of £nil, a normal vesting date of 3 years from grant and are exercisable within one year of vesting.</w:t>
      </w:r>
    </w:p>
    <w:p>
      <w:pPr>
        <w:spacing w:after="0" w:line="203" w:lineRule="exact"/>
        <w:rPr>
          <w:sz w:val="20"/>
          <w:szCs w:val="20"/>
          <w:color w:val="auto"/>
        </w:rPr>
      </w:pPr>
    </w:p>
    <w:p>
      <w:pPr>
        <w:jc w:val="both"/>
        <w:ind w:left="200" w:right="260" w:firstLine="331"/>
        <w:spacing w:after="0"/>
        <w:rPr>
          <w:sz w:val="20"/>
          <w:szCs w:val="20"/>
          <w:color w:val="auto"/>
        </w:rPr>
      </w:pPr>
      <w:r>
        <w:rPr>
          <w:rFonts w:ascii="Arial" w:cs="Arial" w:eastAsia="Arial" w:hAnsi="Arial"/>
          <w:sz w:val="18"/>
          <w:szCs w:val="18"/>
          <w:color w:val="auto"/>
        </w:rPr>
        <w:t>Since the DBSP awards are equity-settled, they are valued using the grant date model based on the fair value at the date of issue. Given there are no market conditions nor any non-vesting conditions, the value of the awards will be the monetary value of the shares issued at the date of issue.</w:t>
      </w:r>
    </w:p>
    <w:p>
      <w:pPr>
        <w:spacing w:after="0" w:line="203"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The fair value of such share-based compensation is recognized as an expense over the respective vesting period. Share-based compensation expense under the DBSP was £0.3 million in 2017 and £0.2 million in 2016.</w:t>
      </w:r>
    </w:p>
    <w:p>
      <w:pPr>
        <w:spacing w:after="0" w:line="197"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We account for related social security contributions on all share options as cash-settled share-based payment transactions. We recognize a liability over the vesting period in respect of share options to be exercised. The total charge in respect of social security was £1.1 million in 2017 and £1.0 million in 2016.</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expect to grant additional share options that will result in additional share-based compensation expense.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Measuring the Fair Value of Our Intangible Assets</w:t>
      </w:r>
    </w:p>
    <w:p>
      <w:pPr>
        <w:spacing w:after="0" w:line="85"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At each reporting date, we review the carrying value of our intangible assets to determine whether there is any indication that those assets have been impaired. If such an indication exists, the</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60"/>
          </w:cols>
          <w:pgMar w:left="240" w:top="459"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recoverable amount of the asset, being the higher of the asset’s fair value less costs to sell and value in use, is compared to the asset’s carrying value. Any excess of the asset’s carrying value over its recoverable amount is expensed to the income statement.</w:t>
      </w:r>
    </w:p>
    <w:p>
      <w:pPr>
        <w:spacing w:after="0" w:line="197"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We consider the future development costs, the probability of successfully progressing each program to product approval and likely commercial returns after product approval, among other factors, when reviewing for indicators of impairment. The results of this testing did not indicate any impairment of the acquired products’ rights in the years ended December 31, 2016 and December 31, 2017.</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The acquired development programs are assets which are not used in launched products. These assets have not yet begun to be amortized but have been tested for impairment by assessing their value in use. Value-in-use calculations for each program are utilized to calculate the recoverable amount. The calculations use pre-tax cash flow projections covering the period through product development to commercial sales up to the later of loss of patent protection or market exclusivity, which extend beyond five years from the balance sheet date; no cash flows are included after this date. Approved products are assumed to be out-licensed such that we receive upfront fees, milestone payments, and royalties on sales; therefore, we do not incur any costs of commercialization after out-licensing.</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Key assumptions we have used for the value-in-use calculations are described as follows:</w:t>
      </w:r>
    </w:p>
    <w:p>
      <w:pPr>
        <w:spacing w:after="0" w:line="239" w:lineRule="exact"/>
        <w:rPr>
          <w:sz w:val="20"/>
          <w:szCs w:val="20"/>
          <w:color w:val="auto"/>
        </w:rPr>
      </w:pPr>
    </w:p>
    <w:p>
      <w:pPr>
        <w:ind w:left="960" w:right="500" w:hanging="432"/>
        <w:spacing w:after="0" w:line="223"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 costs to obtain regulatory approval—costs are estimated net of any contributions expected from collaborative arrangements with future partners. Our directors have developed cost estimates based on our previous experience and in conjunction with the expertise of our clinical development partners;</w:t>
      </w:r>
    </w:p>
    <w:p>
      <w:pPr>
        <w:spacing w:after="0" w:line="28"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launch dates of products—these reflect our expected date of launch for products based on the timeline of development programs required to obtain regulatory approval. The assumptions are based on our directors’ prior experience together with the outcome of discussions with regulators;</w:t>
      </w:r>
    </w:p>
    <w:p>
      <w:pPr>
        <w:spacing w:after="0" w:line="28"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probability of successful development—we estimate probabilities of success for each phase of development based on industry averages and knowledge of specific programs;</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29" w:lineRule="auto"/>
        <w:tabs>
          <w:tab w:leader="none" w:pos="960" w:val="left"/>
        </w:tabs>
        <w:numPr>
          <w:ilvl w:val="0"/>
          <w:numId w:val="55"/>
        </w:numPr>
        <w:rPr>
          <w:rFonts w:ascii="MS PGothic" w:cs="MS PGothic" w:eastAsia="MS PGothic" w:hAnsi="MS PGothic"/>
          <w:sz w:val="24"/>
          <w:szCs w:val="24"/>
          <w:color w:val="auto"/>
          <w:vertAlign w:val="superscript"/>
        </w:rPr>
      </w:pPr>
      <w:r>
        <w:rPr>
          <w:rFonts w:ascii="Arial" w:cs="Arial" w:eastAsia="Arial" w:hAnsi="Arial"/>
          <w:sz w:val="17"/>
          <w:szCs w:val="17"/>
          <w:color w:val="auto"/>
        </w:rPr>
        <w:t>out-licensing upfront fees, milestones, and royalty rates on sales—we estimate these amounts based on prior experience and access to values from similar transactions in the industry, which are collated and accessible from specialist third-party sources;</w:t>
      </w:r>
    </w:p>
    <w:p>
      <w:pPr>
        <w:spacing w:after="0" w:line="27" w:lineRule="exact"/>
        <w:rPr>
          <w:rFonts w:ascii="MS PGothic" w:cs="MS PGothic" w:eastAsia="MS PGothic" w:hAnsi="MS PGothic"/>
          <w:sz w:val="24"/>
          <w:szCs w:val="24"/>
          <w:color w:val="auto"/>
          <w:vertAlign w:val="superscript"/>
        </w:rPr>
      </w:pPr>
    </w:p>
    <w:p>
      <w:pPr>
        <w:ind w:left="96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projections—these are based on our internal projections using external market data and market research commissioned by us;</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profit margins and other operational expenses—these are based on our internal projections of current product manufacturing costings, with input from manufacturing partners where applicable, and estimates of operating costs based on our prior industry experience;</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cash flow projections—the periods over which cash flows are forecast (based on the current patent protection periods relevant to the asset), are as follows:</w:t>
      </w:r>
    </w:p>
    <w:p>
      <w:pPr>
        <w:spacing w:after="0" w:line="1" w:lineRule="exact"/>
        <w:rPr>
          <w:rFonts w:ascii="MS PGothic" w:cs="MS PGothic" w:eastAsia="MS PGothic" w:hAnsi="MS PGothic"/>
          <w:sz w:val="25"/>
          <w:szCs w:val="25"/>
          <w:color w:val="auto"/>
          <w:vertAlign w:val="superscript"/>
        </w:rPr>
      </w:pPr>
    </w:p>
    <w:p>
      <w:pPr>
        <w:ind w:left="1400" w:hanging="426"/>
        <w:spacing w:after="0" w:line="230" w:lineRule="auto"/>
        <w:tabs>
          <w:tab w:leader="none" w:pos="1400" w:val="left"/>
        </w:tabs>
        <w:numPr>
          <w:ilvl w:val="1"/>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BCT-197—18 years;</w:t>
      </w:r>
    </w:p>
    <w:p>
      <w:pPr>
        <w:spacing w:after="0" w:line="26" w:lineRule="exact"/>
        <w:rPr>
          <w:rFonts w:ascii="MS PGothic" w:cs="MS PGothic" w:eastAsia="MS PGothic" w:hAnsi="MS PGothic"/>
          <w:sz w:val="25"/>
          <w:szCs w:val="25"/>
          <w:color w:val="auto"/>
          <w:vertAlign w:val="superscript"/>
        </w:rPr>
      </w:pPr>
    </w:p>
    <w:p>
      <w:pPr>
        <w:ind w:left="1400" w:hanging="426"/>
        <w:spacing w:after="0" w:line="205" w:lineRule="auto"/>
        <w:tabs>
          <w:tab w:leader="none" w:pos="1400" w:val="left"/>
        </w:tabs>
        <w:numPr>
          <w:ilvl w:val="1"/>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BGS-649—17 years;</w:t>
      </w:r>
    </w:p>
    <w:p>
      <w:pPr>
        <w:spacing w:after="0" w:line="26" w:lineRule="exact"/>
        <w:rPr>
          <w:rFonts w:ascii="MS PGothic" w:cs="MS PGothic" w:eastAsia="MS PGothic" w:hAnsi="MS PGothic"/>
          <w:sz w:val="25"/>
          <w:szCs w:val="25"/>
          <w:color w:val="auto"/>
          <w:vertAlign w:val="superscript"/>
        </w:rPr>
      </w:pPr>
    </w:p>
    <w:p>
      <w:pPr>
        <w:ind w:left="1400" w:hanging="426"/>
        <w:spacing w:after="0" w:line="192" w:lineRule="auto"/>
        <w:tabs>
          <w:tab w:leader="none" w:pos="1400" w:val="left"/>
        </w:tabs>
        <w:numPr>
          <w:ilvl w:val="1"/>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BPS-804—14 years; and</w:t>
      </w:r>
    </w:p>
    <w:p>
      <w:pPr>
        <w:ind w:left="1400" w:hanging="426"/>
        <w:spacing w:after="0" w:line="205" w:lineRule="auto"/>
        <w:tabs>
          <w:tab w:leader="none" w:pos="1400" w:val="left"/>
        </w:tabs>
        <w:numPr>
          <w:ilvl w:val="1"/>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AZD-9668—16 years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23"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discount rates—the discount rate is estimated on a pre-tax basis reflecting our estimated cost of capital and is applied consistently across each of the operating segments. The cost of capital in 2017 was reviewed in 2017 and was 15.3%. In 2016, the cost of capital was 11.2%.</w:t>
      </w:r>
    </w:p>
    <w:p>
      <w:pPr>
        <w:spacing w:after="0" w:line="204"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At this stage of product development, we believe the key sensitivity for all three development programs is the probability of successful completion of clinical trials in order to obtain regulatory</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80"/>
        <w:spacing w:after="0" w:line="246" w:lineRule="auto"/>
        <w:rPr>
          <w:sz w:val="20"/>
          <w:szCs w:val="20"/>
          <w:color w:val="auto"/>
        </w:rPr>
      </w:pPr>
      <w:r>
        <w:rPr>
          <w:rFonts w:ascii="Arial" w:cs="Arial" w:eastAsia="Arial" w:hAnsi="Arial"/>
          <w:sz w:val="18"/>
          <w:szCs w:val="18"/>
          <w:color w:val="auto"/>
        </w:rPr>
        <w:t>approval for sale. Therefore, full impairment of a development program is expected should such related trials be unsuccessful and development halted.</w:t>
      </w:r>
    </w:p>
    <w:p>
      <w:pPr>
        <w:spacing w:after="0" w:line="197"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Determining whether an intangible asset is impaired requires an estimation of whether there are any indications that its carrying value is not recoverable.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Warrants</w:t>
      </w:r>
    </w:p>
    <w:p>
      <w:pPr>
        <w:spacing w:after="0" w:line="99"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In connection with the borrowings under the credit facility in 2017, we issued to the lenders warrants to subscribe for an aggregate of 363,156 of our ordinary shares at an exercise price of £3.029 per ordinary share and warrants to subscribe for an aggregate of 333,334 of our ordinary shares at an exercise price of £3.30 per ordinary share.</w:t>
      </w:r>
    </w:p>
    <w:p>
      <w:pPr>
        <w:spacing w:after="0" w:line="203"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The fair value of the warrants is measured using the Black-Scholes model taking into account any appropriate amendments to inputs in respect of volatility and remaining expected life of the warrants.</w:t>
      </w:r>
    </w:p>
    <w:p>
      <w:pPr>
        <w:spacing w:after="0" w:line="197"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The weighted-average inputs to the models used for the fair value of warrants granted during the period ended December 31, 2017 were as follows:</w:t>
      </w:r>
    </w:p>
    <w:p>
      <w:pPr>
        <w:spacing w:after="0" w:line="212" w:lineRule="exact"/>
        <w:rPr>
          <w:sz w:val="20"/>
          <w:szCs w:val="20"/>
          <w:color w:val="auto"/>
        </w:rPr>
      </w:pPr>
    </w:p>
    <w:tbl>
      <w:tblPr>
        <w:tblLayout w:type="fixed"/>
        <w:tblInd w:w="176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3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3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5"/>
                <w:szCs w:val="15"/>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50-51</w:t>
            </w:r>
          </w:p>
        </w:tc>
        <w:tc>
          <w:tcPr>
            <w:tcW w:w="80" w:type="dxa"/>
            <w:vAlign w:val="bottom"/>
            <w:shd w:val="clear" w:color="auto" w:fill="CCEEFF"/>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1.10-1.25</w:t>
            </w: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9.6-10</w:t>
            </w: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3.00-3.25</w:t>
            </w: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6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fair value of the warrants at December 31, 2017 was £1.3 million. The carrying value of the loan at December 31, 2017 was £18.8 million.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Provision for Deferred Cash Consideration</w:t>
      </w:r>
    </w:p>
    <w:p>
      <w:pPr>
        <w:spacing w:after="0" w:line="8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Provision for deferred cash consideration represents the potential future cash payments in respect of the AZD-9668 acquisition. As this is in respect of a product which is not yet approved, this provision for deferred cash consideration includes all contingent payments up to the point of exercise of the right to acquire the intellectual property and excludes potential downstream milestones, royalties or other payments because they are unquantifiable. The provision is recognized as a liability at each balance sheet date with the amounts calculated as the risk adjusted net present value of certain future payments we may make. The payments are dependent on reaching specific milestones based on the commencement and outcome of clinical trials.</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total amount of provision for deferred cash consideration at December 31, 2017 was £2.1 million.</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Key inputs used to determine the value of the provision for deferred consideration include:</w:t>
      </w:r>
    </w:p>
    <w:p>
      <w:pPr>
        <w:sectPr>
          <w:pgSz w:w="11900" w:h="16838" w:orient="portrait"/>
          <w:cols w:equalWidth="0" w:num="1">
            <w:col w:w="11200"/>
          </w:cols>
          <w:pgMar w:left="240" w:top="459" w:right="459" w:bottom="1440" w:gutter="0" w:footer="0" w:header="0"/>
        </w:sect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Discount rate: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15.3%</w:t>
      </w:r>
    </w:p>
    <w:p>
      <w:pPr>
        <w:spacing w:after="0" w:line="115" w:lineRule="exact"/>
        <w:rPr>
          <w:sz w:val="20"/>
          <w:szCs w:val="20"/>
          <w:color w:val="auto"/>
        </w:rPr>
      </w:pPr>
    </w:p>
    <w:p>
      <w:pPr>
        <w:sectPr>
          <w:pgSz w:w="11900" w:h="16838" w:orient="portrait"/>
          <w:cols w:equalWidth="0" w:num="2">
            <w:col w:w="2100" w:space="720"/>
            <w:col w:w="8380"/>
          </w:cols>
          <w:pgMar w:left="240" w:top="459" w:right="45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Likely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Based on the expected timing of the planned Phase 2 study for AZD-9668</w:t>
      </w:r>
    </w:p>
    <w:p>
      <w:pPr>
        <w:spacing w:after="0" w:line="115" w:lineRule="exact"/>
        <w:rPr>
          <w:sz w:val="20"/>
          <w:szCs w:val="20"/>
          <w:color w:val="auto"/>
        </w:rPr>
      </w:pPr>
    </w:p>
    <w:p>
      <w:pPr>
        <w:sectPr>
          <w:pgSz w:w="11900" w:h="16838" w:orient="portrait"/>
          <w:cols w:equalWidth="0" w:num="2">
            <w:col w:w="2180" w:space="640"/>
            <w:col w:w="8380"/>
          </w:cols>
          <w:pgMar w:left="240" w:top="459" w:right="45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Risk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Standard risk adjustments for orphan asset development programs</w:t>
      </w:r>
    </w:p>
    <w:p>
      <w:pPr>
        <w:spacing w:after="0" w:line="200" w:lineRule="exact"/>
        <w:rPr>
          <w:sz w:val="20"/>
          <w:szCs w:val="20"/>
          <w:color w:val="auto"/>
        </w:rPr>
      </w:pPr>
    </w:p>
    <w:p>
      <w:pPr>
        <w:sectPr>
          <w:pgSz w:w="11900" w:h="16838" w:orient="portrait"/>
          <w:cols w:equalWidth="0" w:num="2">
            <w:col w:w="2100" w:space="720"/>
            <w:col w:w="8380"/>
          </w:cols>
          <w:pgMar w:left="240" w:top="459" w:right="459" w:bottom="1440" w:gutter="0" w:footer="0" w:header="0"/>
          <w:type w:val="continuous"/>
        </w:sectPr>
      </w:pP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Deferred Equity Consideration</w:t>
      </w:r>
    </w:p>
    <w:p>
      <w:pPr>
        <w:spacing w:after="0" w:line="85" w:lineRule="exact"/>
        <w:rPr>
          <w:sz w:val="20"/>
          <w:szCs w:val="20"/>
          <w:color w:val="auto"/>
        </w:rPr>
      </w:pPr>
    </w:p>
    <w:p>
      <w:pPr>
        <w:ind w:left="200" w:right="260" w:firstLine="331"/>
        <w:spacing w:after="0" w:line="246" w:lineRule="auto"/>
        <w:rPr>
          <w:sz w:val="20"/>
          <w:szCs w:val="20"/>
          <w:color w:val="auto"/>
        </w:rPr>
      </w:pPr>
      <w:r>
        <w:rPr>
          <w:rFonts w:ascii="Arial" w:cs="Arial" w:eastAsia="Arial" w:hAnsi="Arial"/>
          <w:sz w:val="18"/>
          <w:szCs w:val="18"/>
          <w:color w:val="auto"/>
        </w:rPr>
        <w:t>Deferred equity consideration is accounted for as equity-settled share-based payment transactions in accordance with IFRS 2. Fair value is determined by the share price at the date of purchase.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59" w:right="45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Tax and Current Tax Credits</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Tax on the profit or loss for the year comprises current and deferred tax. Tax is recognized in the statement of operations, except to the extent that it relates to items recognized directly in equity, in which case it is recognized in equity. Current tax is the expected tax payable on the taxable income or loss for the year, using tax rates enacted or substantively enacted at the balance sheet date, and any adjustment to tax payable in respect of previous years. Tax credits are accrued for the year based on calculations that conform to the U.K. research and development tax credit regime applicable to small and medium-sized companies.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We may not be able to continue to claim research and development tax credits in the future under the current research and development tax credit scheme, when we become a U.S. public company because we may no longer qualify as a small or medium-sized company. However, we may be able to file under a large-company scheme. Deferred tax is recognized on temporary differences between the carrying amounts of assets and liabilities for financial reporting purposes and the amounts used for taxation purposes. The amount of deferred tax is based on the expected manner of realization or settlement of the carrying amount of assets and liabilities, using tax rates enacted or substantively enacted at the balance sheet date. A deferred tax asset is recognized only to the extent that it is probable that future taxable profits will be available against which the asset can be utilized. No deferred tax assets are recognized on our losses carried forward because there is currently no indication that we will make sufficient profits to utilize these tax losses.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85" w:lineRule="exact"/>
        <w:rPr>
          <w:sz w:val="20"/>
          <w:szCs w:val="20"/>
          <w:color w:val="auto"/>
        </w:rPr>
      </w:pPr>
    </w:p>
    <w:p>
      <w:pPr>
        <w:ind w:left="200" w:right="600" w:firstLine="331"/>
        <w:spacing w:after="0" w:line="246" w:lineRule="auto"/>
        <w:rPr>
          <w:sz w:val="20"/>
          <w:szCs w:val="20"/>
          <w:color w:val="auto"/>
        </w:rPr>
      </w:pPr>
      <w:r>
        <w:rPr>
          <w:rFonts w:ascii="Arial" w:cs="Arial" w:eastAsia="Arial" w:hAnsi="Arial"/>
          <w:sz w:val="18"/>
          <w:szCs w:val="18"/>
          <w:color w:val="auto"/>
        </w:rPr>
        <w:t>We refer to Note 27 to our consolidated financial statements for the year ended December 31, 2017 included elsewhere in this prospectus for a discussion of new standards and interpretations not yet adopted by us.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w:t>
      </w:r>
    </w:p>
    <w:p>
      <w:pPr>
        <w:spacing w:after="0" w:line="85"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In April 2012, the U.S. Jumpstart Our Business Startups Act of 2012, or the JOBS Act, was enacted. Section 107(b) of the JOBS Act provides that an “emerging growth company,” or EGC, can take advantage of an extended transition period for complying with new or revised accounting standards. Thus, an EGC can delay the adoption of certain accounting standards until those standards would otherwise apply to private companies.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60"/>
          </w:cols>
          <w:pgMar w:left="240" w:top="45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We are a multi-asset biopharmaceutical company focused on the acquisition, development, and commercialization of innovative therapeutics that aim to improve outcomes for patients with rare and specialty diseases. Our portfolio consists of four clinical-stage product candidates, each of which we acquired from large pharmaceutical companies. We are developing BPS-804 for the treatment of osteogenesis imperfecta, or OI, AZD-9668 for the treatment of severe alpha-1 antitrypsin deficiency, or AATD, BCT-197 for the treatment of acute exacerbations of chronic obstructive pulmonary disease, or AECOPD, and BGS-649 for the treatment of hypogonadotropic hypogonadism, or HH, in obese men. Each of our product candidates has generated positive clinical data for our target indication or for a related indication. We believe our portfolio is well diversified because each of our product candidates employs a different mechanism of action and targets a separate indication. We intend to develop and directly commercialize our rare disease product candidates. For our specialty disease product candidates, we intend to develop them through late-stage clinical milestones and then seek strategic relationships for further clinical development and/or commercialization.</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strategy is to selectively acquire product candidates that have already received significant investment from pharmaceutical companies and that have substantial pre-clinical, clinical, and manufacturing data packages. Since our inception in March 2015, we have successfully executed on this strategy by acquiring our current product candidates from Novartis Pharma AG, or Novartis, and AstraZeneca AB, or AstraZeneca. We have commenced or completed large, randomized, placebo-controlled Phase 2 clinical trials for three of these product candidates. In December 2017, we reported top-line data from our completed Phase 2 dose-ranging clinical trial for BCT-197. We intend to commence additional late-stage clinical trials in 2018.</w:t>
      </w:r>
    </w:p>
    <w:p>
      <w:pPr>
        <w:spacing w:after="0" w:line="205" w:lineRule="exact"/>
        <w:rPr>
          <w:sz w:val="20"/>
          <w:szCs w:val="20"/>
          <w:color w:val="auto"/>
        </w:rPr>
      </w:pPr>
    </w:p>
    <w:p>
      <w:pPr>
        <w:ind w:left="200" w:right="280" w:firstLine="331"/>
        <w:spacing w:after="0" w:line="239" w:lineRule="auto"/>
        <w:rPr>
          <w:sz w:val="20"/>
          <w:szCs w:val="20"/>
          <w:color w:val="auto"/>
        </w:rPr>
      </w:pPr>
      <w:r>
        <w:rPr>
          <w:rFonts w:ascii="Arial" w:cs="Arial" w:eastAsia="Arial" w:hAnsi="Arial"/>
          <w:sz w:val="18"/>
          <w:szCs w:val="18"/>
          <w:color w:val="auto"/>
        </w:rPr>
        <w:t>Our team has extensive experience in the pharmaceutical and biotechnology sector in the identification, acquisition, development, manufacturing, and commercialization of product candidates in multiple therapeutic areas. Our senior management team has long-standing relationships with senior executives of large pharmaceutical companies, which we believe enhances our ability to identify and acquire additional product candidates.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our pipeline. We have global commercial rights to all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152400</wp:posOffset>
            </wp:positionV>
            <wp:extent cx="5213985" cy="21012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398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60"/>
          </w:cols>
          <w:pgMar w:left="24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portfolio consists of the following product candidates:</w:t>
      </w:r>
    </w:p>
    <w:p>
      <w:pPr>
        <w:spacing w:after="0" w:line="95" w:lineRule="exact"/>
        <w:rPr>
          <w:sz w:val="20"/>
          <w:szCs w:val="20"/>
          <w:color w:val="auto"/>
        </w:rPr>
      </w:pPr>
    </w:p>
    <w:p>
      <w:pPr>
        <w:ind w:left="960" w:right="180" w:hanging="432"/>
        <w:spacing w:after="0" w:line="233"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BPS-804: </w:t>
      </w:r>
      <w:r>
        <w:rPr>
          <w:rFonts w:ascii="Arial" w:cs="Arial" w:eastAsia="Arial" w:hAnsi="Arial"/>
          <w:sz w:val="18"/>
          <w:szCs w:val="18"/>
          <w:color w:val="auto"/>
        </w:rPr>
        <w:t>BPS-804, or setrusumab, is a novel antibody we are developing as a treatment for OI, a rare genetic disease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results in bones that can break easily and is commonly known as brittle bone disease. OI is a debilitating orphan disease for which there are no treatments approved by the U.S. Food and Drug Administration, or FDA, or European Medicines Agency, or EMA. It is estimated that OI affects a minimum of 20,000 people in the United States and approximately 32,000 people in Germany, Spain, France, Italy, and the United Kingdom. BPS-804 is designed to inhibit sclerostin, a protein that inhibits the activity of bone-forming cells. We believe BPS-804’s mechanism of action is well suited for the treatment of OI and has the potential to become a novel treatment option for patients that could reduce fractures and improve patient quality of life.</w:t>
      </w:r>
    </w:p>
    <w:p>
      <w:pPr>
        <w:spacing w:after="0" w:line="96" w:lineRule="exact"/>
        <w:rPr>
          <w:rFonts w:ascii="MS PGothic" w:cs="MS PGothic" w:eastAsia="MS PGothic" w:hAnsi="MS PGothic"/>
          <w:sz w:val="25"/>
          <w:szCs w:val="25"/>
          <w:color w:val="auto"/>
          <w:vertAlign w:val="superscript"/>
        </w:rPr>
      </w:pPr>
    </w:p>
    <w:p>
      <w:pPr>
        <w:ind w:left="980" w:right="2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In 2016, we obtained orphan drug designation in OI for BPS-804 in the United States and the European Union, or EU, and in February 2017, BPS-804 was accepted into the adaptive pathways program in the EU. In addition, in November 2017, BPS-804 was admitted to the PRIME scheme of the EMA. Prior to our acquisition of BPS-804, Novartis conducted four clinical trials in 106 patients and healthy volunteers. A Phase 2 clinical trial of BPS-804 showed statistically significant improvements in bone formation biomarkers and bone mineral density. In May 2017, we initiated a randomized, double-blind, placebo-controlled Phase 2b clinical trial for BPS-804 in adults in the United States, Europe and Canada. We expect the results from this trial, if favorable, along with validation of our use of high resolution peripheral quantitative computerized tomography, or HRPqCT, as a biomarker for fracture, may be sufficient to support the submission of a Conditional Marketing Authorisation, or CMA, to the EMA for BPS-804 for the treatment of adults with OI in the EU. We also intend to commence a Phase 2b/3 clinical trial of BPS-804 in children with OI in 2018 in Europe and Canada, with fracture rate as the primary endpoint. We expect the results from this trial, if favorable, may be sufficient to validate our use of HRPqCT and support the submission of a CMA to the EMA for BPS-804 for the treatment of children with severe OI in the EU.</w:t>
      </w:r>
    </w:p>
    <w:p>
      <w:pPr>
        <w:spacing w:after="0" w:line="96" w:lineRule="exact"/>
        <w:rPr>
          <w:rFonts w:ascii="MS PGothic" w:cs="MS PGothic" w:eastAsia="MS PGothic" w:hAnsi="MS PGothic"/>
          <w:sz w:val="25"/>
          <w:szCs w:val="25"/>
          <w:color w:val="auto"/>
          <w:vertAlign w:val="superscript"/>
        </w:rPr>
      </w:pPr>
    </w:p>
    <w:p>
      <w:pPr>
        <w:ind w:left="98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In the United States, the FDA has denied our request for a Type C meeting to discuss the initiation of a pediatric Phase 2b study for BPS-804 for the treatment of patients with severe OI. The FDA has cited that a serious cardiovascular safety concern exists in adults treated with sclerostin inhibitors that has yet to be resolved. We do not believe the FDA’s concern is related to BPS-804. Given the undetermined risk/benefit assessment in adults, the FDA believes it is premature to conduct a study of sclerostin inhibitors in children. If this safety issue is resolved, we plan on submitting our proposed Phase 2b/3 study for BPS-804 in children with severe OI to the FDA to expand the proposed trial into the United States. We believe the FDA’s position does not impact our ability to conduct our clinical development activities of BPS-804 in Europe and Canada for children with severe OI and our clinical development activities of BPS-804 in Europe, the United States and Canada for adults with OI.</w:t>
      </w:r>
    </w:p>
    <w:p>
      <w:pPr>
        <w:spacing w:after="0" w:line="91" w:lineRule="exact"/>
        <w:rPr>
          <w:rFonts w:ascii="MS PGothic" w:cs="MS PGothic" w:eastAsia="MS PGothic" w:hAnsi="MS PGothic"/>
          <w:sz w:val="25"/>
          <w:szCs w:val="25"/>
          <w:color w:val="auto"/>
          <w:vertAlign w:val="superscript"/>
        </w:rPr>
      </w:pPr>
    </w:p>
    <w:p>
      <w:pPr>
        <w:ind w:left="960" w:right="20" w:hanging="432"/>
        <w:spacing w:after="0" w:line="233"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AZD-9668: </w:t>
      </w:r>
      <w:r>
        <w:rPr>
          <w:rFonts w:ascii="Arial" w:cs="Arial" w:eastAsia="Arial" w:hAnsi="Arial"/>
          <w:sz w:val="18"/>
          <w:szCs w:val="18"/>
          <w:color w:val="auto"/>
        </w:rPr>
        <w:t>AZD-9668, or alvelestat, is a novel, oral small molecule we are developing for the treatment of severe AATD,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potentially life-threatening rare, genetic condition caused by a lack of alpha-1 antitrypsin, or AAT, a protein that protects the lungs from enzymatic degradation. This degradation leads to severe debilitating diseases, including early-onset pulmonary emphysema, a disease that irreversibly destroys the tissues that support lung function. There are an estimated 50,000 patients in North America and 60,000 patients in Europe with severe AATD. AZD-9668 is designed to inhibit neutrophil elastase, or NE, a neutrophil protease, which is a key enzyme involved in the destruction of lung tissue. We believe the inhibition of NE has the potential to protect AATD patients from further lung damage.</w:t>
      </w:r>
    </w:p>
    <w:p>
      <w:pPr>
        <w:spacing w:after="0" w:line="96" w:lineRule="exact"/>
        <w:rPr>
          <w:rFonts w:ascii="MS PGothic" w:cs="MS PGothic" w:eastAsia="MS PGothic" w:hAnsi="MS PGothic"/>
          <w:sz w:val="25"/>
          <w:szCs w:val="25"/>
          <w:color w:val="auto"/>
          <w:vertAlign w:val="superscript"/>
        </w:rPr>
      </w:pPr>
    </w:p>
    <w:p>
      <w:pPr>
        <w:ind w:left="980" w:right="1020"/>
        <w:spacing w:after="0" w:line="24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Prior to our license of AZD-9668, AstraZeneca conducted 12 clinical trials involving 1,776 subjects, including trials in bronchiectasis and cystic fibrosis, or CF. Although these trials were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980" w:right="180"/>
        <w:spacing w:after="0"/>
        <w:rPr>
          <w:sz w:val="20"/>
          <w:szCs w:val="20"/>
          <w:color w:val="auto"/>
        </w:rPr>
      </w:pPr>
      <w:r>
        <w:rPr>
          <w:rFonts w:ascii="Arial" w:cs="Arial" w:eastAsia="Arial" w:hAnsi="Arial"/>
          <w:sz w:val="18"/>
          <w:szCs w:val="18"/>
          <w:color w:val="auto"/>
        </w:rPr>
        <w:t>conducted in diseases other than AATD, we believe the data demonstrated potential clinical benefit and biomarker evidence of treatment effect for AATD patients. We intend to initiate a Phase 2 proof-of-concept clinical trial in patients with severe AATD in 2018.</w:t>
      </w:r>
    </w:p>
    <w:p>
      <w:pPr>
        <w:spacing w:after="0" w:line="86" w:lineRule="exact"/>
        <w:rPr>
          <w:sz w:val="20"/>
          <w:szCs w:val="20"/>
          <w:color w:val="auto"/>
        </w:rPr>
      </w:pPr>
    </w:p>
    <w:p>
      <w:pPr>
        <w:ind w:left="960" w:right="160" w:hanging="432"/>
        <w:spacing w:after="0" w:line="233"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BCT-197: </w:t>
      </w:r>
      <w:r>
        <w:rPr>
          <w:rFonts w:ascii="Arial" w:cs="Arial" w:eastAsia="Arial" w:hAnsi="Arial"/>
          <w:sz w:val="18"/>
          <w:szCs w:val="18"/>
          <w:color w:val="auto"/>
        </w:rPr>
        <w:t>BCT-197, or acumapimod, is a p38 MAP kinase inhibitor we are developing as an oral first-line acute therapy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with AECOPD. Chronic obstructive pulmonary disease, or COPD, is a non-fully-reversible, progressive lung disease in which inflammation plays a central role. There are an estimated 16 million people in the United States and 13 million people in Europe diagnosed with COPD. Of all hospital admissions in the United States related to COPD, approximately 63% are for AECOPD patients. We believe BCT-197 offers a potential new treatment for controlling inflammation by targeting pathways that drive the pathological mechanism behind AECOPD.</w:t>
      </w:r>
    </w:p>
    <w:p>
      <w:pPr>
        <w:spacing w:after="0" w:line="95" w:lineRule="exact"/>
        <w:rPr>
          <w:rFonts w:ascii="MS PGothic" w:cs="MS PGothic" w:eastAsia="MS PGothic" w:hAnsi="MS PGothic"/>
          <w:sz w:val="25"/>
          <w:szCs w:val="25"/>
          <w:color w:val="auto"/>
          <w:vertAlign w:val="superscript"/>
        </w:rPr>
      </w:pPr>
    </w:p>
    <w:p>
      <w:pPr>
        <w:ind w:left="980" w:right="80"/>
        <w:spacing w:after="0" w:line="239"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Since there are currently no approved therapies in the United States or the EU to treat AECOPD, we believe that there is significant medical need for a drug which is disease-modifying . We believe BCT-197 could potentially prevent AECOPD instead of just treating the symptoms and has the potential to improve quality of life, slow the progression of the disease, and significantly reduce direct healthcare costs.</w:t>
      </w:r>
    </w:p>
    <w:p>
      <w:pPr>
        <w:spacing w:after="0" w:line="93" w:lineRule="exact"/>
        <w:rPr>
          <w:rFonts w:ascii="MS PGothic" w:cs="MS PGothic" w:eastAsia="MS PGothic" w:hAnsi="MS PGothic"/>
          <w:sz w:val="25"/>
          <w:szCs w:val="25"/>
          <w:color w:val="auto"/>
          <w:vertAlign w:val="superscript"/>
        </w:rPr>
      </w:pPr>
    </w:p>
    <w:p>
      <w:pPr>
        <w:ind w:left="980" w:right="2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Prior to our acquisition of BCT-197, Novartis conducted five clinical trials in 459 patients and healthy volunteers, including a Phase 2a trial in AECOPD patients that showed a clinically meaningful improvement in lung function at all doses and a statistically significant improvement in lung function at the highest dose. In December 2017, we reported top-line data from our completed placebo-controlled Phase 2 dose-ranging clinical trial for BCT-197. The trial was conducted in 282 patients with AECOPD to explore two different dosing regimens on top of standard of care, which included steroids, antibiotics, and bronchodilators. Both dosing regimens showed a statistically significant change in FEV1 from baseline to Day 7, meeting the trial’s primary endpoint on an intent-to-treat patient population basis. Treatment with BCT-197 also showed a statistically significant reduction in the number of COPD exacerbations that required hospitalization. In addition, BCT-197 was reported to be safe and well tolerated. Based on these results, we plan to enter into one or more strategic relationships with third parties for further clinical development and, if approved, commercialization, of BCT-197.</w:t>
      </w:r>
    </w:p>
    <w:p>
      <w:pPr>
        <w:spacing w:after="0" w:line="89" w:lineRule="exact"/>
        <w:rPr>
          <w:rFonts w:ascii="MS PGothic" w:cs="MS PGothic" w:eastAsia="MS PGothic" w:hAnsi="MS PGothic"/>
          <w:sz w:val="25"/>
          <w:szCs w:val="25"/>
          <w:color w:val="auto"/>
          <w:vertAlign w:val="superscript"/>
        </w:rPr>
      </w:pPr>
    </w:p>
    <w:p>
      <w:pPr>
        <w:ind w:left="960" w:right="20" w:hanging="432"/>
        <w:spacing w:after="0" w:line="233"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BGS-649: </w:t>
      </w:r>
      <w:r>
        <w:rPr>
          <w:rFonts w:ascii="Arial" w:cs="Arial" w:eastAsia="Arial" w:hAnsi="Arial"/>
          <w:sz w:val="18"/>
          <w:szCs w:val="18"/>
          <w:color w:val="auto"/>
        </w:rPr>
        <w:t>BGS-649, or leflutrozole, is a once-weekly oral therapy we are developing for the treatment of HH in obese men. HH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a clinical syndrome that results from inadequate levels of testosterone. Based on World Health Organization, or WHO, estimates and scientific data, we estimate there are approximately seven million cases of HH in obese men in the United States and approximately five million cases of HH in obese men in Europe. In these men, a decline in testosterone is exacerbated by high levels of the aromatase enzyme, which is present in fat tissue and leads to a reduction in testosterone. BGS-649 is designed to inhibit the aromatase enzyme and is being developed to restore normal levels of testosterone without causing excessively high testosterone levels or reducing the levels of luteinizing hormone, or LH, or follicular stimulating hormone, or FSH. Both LH and FSH play key roles in sperm formation and LH plays a key role in endogenous testosterone formation. In contrast to current therapies for HH, which involve the exogenous administration of testosterone and lead to further down regulation of LH and FSH, we believe that BGS-649, by preserving sperm formation through LH and FSH production, may present a benefit to patients.</w:t>
      </w:r>
    </w:p>
    <w:p>
      <w:pPr>
        <w:spacing w:after="0" w:line="103" w:lineRule="exact"/>
        <w:rPr>
          <w:rFonts w:ascii="MS PGothic" w:cs="MS PGothic" w:eastAsia="MS PGothic" w:hAnsi="MS PGothic"/>
          <w:sz w:val="25"/>
          <w:szCs w:val="25"/>
          <w:color w:val="auto"/>
          <w:vertAlign w:val="superscript"/>
        </w:rPr>
      </w:pPr>
    </w:p>
    <w:p>
      <w:pPr>
        <w:ind w:left="980"/>
        <w:spacing w:after="0" w:line="237"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Prior to our acquisition of BGS-649, Novartis conducted seven clinical trials in 131 patients and healthy volunteers, including a Phase 2 proof-of-concept trial for HH in obese men in which BGS-649 normalized testosterone levels in all patients and demonstrated an increase in LH and FSH levels. In 2016, we commenced a randomized, placebo-controlled Phase 2b clinical trial of BGS-649 for the treatment of HH in obese men. We completed enrollment in this trial with 271 patients, and we expect to report top-line data in the first quarter of 2018. If the results from the Phase 2b clinical trial are favorable, we intend to commence a Phase 3 clinical program of BGS-649 for the treatment of HH in obese men.</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ind w:left="200" w:right="300" w:firstLine="331"/>
        <w:spacing w:after="0"/>
        <w:rPr>
          <w:sz w:val="20"/>
          <w:szCs w:val="20"/>
          <w:color w:val="auto"/>
        </w:rPr>
      </w:pPr>
      <w:r>
        <w:rPr>
          <w:rFonts w:ascii="Arial" w:cs="Arial" w:eastAsia="Arial" w:hAnsi="Arial"/>
          <w:sz w:val="18"/>
          <w:szCs w:val="18"/>
          <w:color w:val="auto"/>
        </w:rPr>
        <w:t>We intend to become a leading biopharmaceutical company focused on the acquisition, development and commercialization of innovative therapeutics that aim to improve outcomes for patients with rare and specialty diseases. The key elements of our strategy to achieve this goal include:</w:t>
      </w:r>
    </w:p>
    <w:p>
      <w:pPr>
        <w:spacing w:after="0" w:line="208" w:lineRule="exact"/>
        <w:rPr>
          <w:sz w:val="20"/>
          <w:szCs w:val="20"/>
          <w:color w:val="auto"/>
        </w:rPr>
      </w:pPr>
    </w:p>
    <w:p>
      <w:pPr>
        <w:ind w:left="960" w:right="40" w:hanging="432"/>
        <w:spacing w:after="0" w:line="233"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Rapidly develop and directly commercialize our rare disease product candidates. </w:t>
      </w:r>
      <w:r>
        <w:rPr>
          <w:rFonts w:ascii="Arial" w:cs="Arial" w:eastAsia="Arial" w:hAnsi="Arial"/>
          <w:sz w:val="18"/>
          <w:szCs w:val="18"/>
          <w:color w:val="auto"/>
        </w:rPr>
        <w:t>We have commenced a Phase 2b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 trial of BPS-804 for the treatment of OI in adults in the United States, Europe and Canada. If the results from this trial are favorable and our use of HRPqCT as a biomarker for fracture is validated, we intend to submit a CMA to the EMA for the treatment of adults with OI in the EU. We also intend to commence a Phase 2b/3 clinical trial of BPS-804 for the treatment of OI in children in 2018 in Europe and Canada. We expect that the results from this trial, if favorable, will be sufficient to validate our use of HRPqCT and support the submission of a CMA to the EMA for BPS-804 for the treatment of children with severe OI in the EU. We intend to initiate a Phase 2 clinical trial of AZD-9668 for the treatment of severe AATD in 2018 and, if the results are favorable and pending regulatory feedback, continue to develop AZD-9668 toward approval and commercialization. We plan to establish our own sales and marketing organization in the United States and Europe for BPS-804 and AZD-9668 and any future rare disease product candidates.</w:t>
      </w:r>
    </w:p>
    <w:p>
      <w:pPr>
        <w:spacing w:after="0" w:line="93" w:lineRule="exact"/>
        <w:rPr>
          <w:rFonts w:ascii="MS PGothic" w:cs="MS PGothic" w:eastAsia="MS PGothic" w:hAnsi="MS PGothic"/>
          <w:sz w:val="25"/>
          <w:szCs w:val="25"/>
          <w:color w:val="auto"/>
          <w:vertAlign w:val="superscript"/>
        </w:rPr>
      </w:pPr>
    </w:p>
    <w:p>
      <w:pPr>
        <w:ind w:left="960" w:right="80" w:hanging="432"/>
        <w:spacing w:after="0" w:line="233"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Efficiently advance our specialty disease product candidates and explore strategic relationships with third parties for further clinical development and/or commercialization. </w:t>
      </w:r>
      <w:r>
        <w:rPr>
          <w:rFonts w:ascii="Arial" w:cs="Arial" w:eastAsia="Arial" w:hAnsi="Arial"/>
          <w:sz w:val="18"/>
          <w:szCs w:val="18"/>
          <w:color w:val="auto"/>
        </w:rPr>
        <w:t>Based on the top-line results from our Phase 2 clinical trial of BCT-197, we plan to enter into one or more strategic relationships with third parties for BCT-197 to undertake the next phase of clinical development and, if approved, commercialization. We also expect to report top-line Phase 2b data for BGS-649 for the treatment of HH in the first quarter of 2018. If these results are favorable, we intend to commence a Phase 3 clinical program for BGS-649 and plan to enter into strategic relationships with third parties for commercialization. We may also enter into strategic relationships with third parties to complete the clinical development of BGS-649.</w:t>
      </w:r>
    </w:p>
    <w:p>
      <w:pPr>
        <w:spacing w:after="0" w:line="88" w:lineRule="exact"/>
        <w:rPr>
          <w:rFonts w:ascii="MS PGothic" w:cs="MS PGothic" w:eastAsia="MS PGothic" w:hAnsi="MS PGothic"/>
          <w:sz w:val="25"/>
          <w:szCs w:val="25"/>
          <w:color w:val="auto"/>
          <w:vertAlign w:val="superscript"/>
        </w:rPr>
      </w:pPr>
    </w:p>
    <w:p>
      <w:pPr>
        <w:ind w:left="960" w:hanging="432"/>
        <w:spacing w:after="0" w:line="233"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Leverage our expertise in business development to expand our pipeline of product candidates. </w:t>
      </w:r>
      <w:r>
        <w:rPr>
          <w:rFonts w:ascii="Arial" w:cs="Arial" w:eastAsia="Arial" w:hAnsi="Arial"/>
          <w:sz w:val="18"/>
          <w:szCs w:val="18"/>
          <w:color w:val="auto"/>
        </w:rPr>
        <w:t>Our senior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 has extensive relationships with large pharmaceutical and biotechnology companies, as evidenced by the acquisition of our four clinical-stage product candidates. We intend to leverage these relationships to grow our pipeline with a focus on rare diseases. We intend to continue to identify, acquire, develop, and ultimately commercialize novel product candidates that have received significant investment from large pharmaceutical companies. We will continue to focus on acquiring product candidates with either proof-of-concept clinical data in our target indication or with clinical data in a related disease and a strong scientific rationale that supports development in our target indication. Using a disciplined approach, we intend to continue building a diverse portfolio of product candidates that we believe have compelling market potential, robust pre-clinical, clinical, and manufacturing data packages, and a clear regulatory pathway.</w:t>
      </w:r>
    </w:p>
    <w:p>
      <w:pPr>
        <w:spacing w:after="0" w:line="91" w:lineRule="exact"/>
        <w:rPr>
          <w:rFonts w:ascii="MS PGothic" w:cs="MS PGothic" w:eastAsia="MS PGothic" w:hAnsi="MS PGothic"/>
          <w:sz w:val="25"/>
          <w:szCs w:val="25"/>
          <w:color w:val="auto"/>
          <w:vertAlign w:val="superscript"/>
        </w:rPr>
      </w:pPr>
    </w:p>
    <w:p>
      <w:pPr>
        <w:ind w:left="960" w:right="140" w:hanging="432"/>
        <w:spacing w:after="0" w:line="233"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Continue to be a partner of choice for large pharmaceutical and biotechnology companies. </w:t>
      </w:r>
      <w:r>
        <w:rPr>
          <w:rFonts w:ascii="Arial" w:cs="Arial" w:eastAsia="Arial" w:hAnsi="Arial"/>
          <w:sz w:val="18"/>
          <w:szCs w:val="18"/>
          <w:color w:val="auto"/>
        </w:rPr>
        <w:t>We believe that we are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partner for large 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and AstraZeneca, and a track record of structuring transactions that enable us to leverage our core development capabilities while creating value for all stakeholders. We intend to continue to enter into strategic relationships that align our interests with those of large pharmaceutical and biotechnology companies and that we believe to be mutually beneficial.</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BPS-804 (setrusumab) for the Treatment of Osteogenesis Imperfecta</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We are developing BPS-804 (setrusumab) for the treatment of OI. BPS-804 is a novel, intravenously administered antibody that is designed to inhibit sclerostin, a protein that inhibits the activity of bone-forming cells, known as osteoblasts. We believe that by blocking sclerostin, BPS-804 has the potential to induce or increase osteoblast function and maturation of these cells, increasing bone formation and reducing bone resorption, thereby reducing fractures in OI patients.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Osteogenesis Imperfecta</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OI is a genetic disorder characterized by fragile bones and reduced bone mass, resulting in bones that break easily, loose joints and weakened teeth. In severe cases, patients may experience hundreds of fractures in a lifetime. In addition, people with OI often suffer from muscle weakness, early hearing loss, fatigue, curved bones, scoliosis (curved spine), brittle teeth, respiratory problems and short stature. The disease can be extremely debilitating and even fatal in newborn infants with a severe form of the disease. OI is a rare condition that affects a minimum of 20,000 people, an incidence rate of 6.2 out of 100,000, in the United States, according to estimates by the Osteogenesis Imperfecta Foundation, and approximately 32,000 people, an incidence rate of 10 out of 100,000, in Germany, Spain, France, Italy, and the United Kingdom, according to estimates by Orphanet.</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There are eight recognized forms of OI, designated type I through type VIII. Type I is the least severe form, while type II is the most severe and frequently causes death at or shortly after birth. The most prevalent form of OI is type I, which is estimated to occur in approximately 50% to 60% of OI patients. The less severe forms of OI, such as type I and type IV, are characterized by broken bones, often as a result of minor trauma. Patients typically have a blue or gray tint to the sclera, the part of the eye that is usually white, and are at risk of hearing loss in adulthood. Individuals affected by less severe types of OI are usually of normal height and have normal life spans.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addition to the features of less severe forms of OI, type III patients are characterized by frequent bone fractures starting even before birth, respiratory problems, short stature, a disorder of tooth development, and reduced life expectancy as a result of respiratory failure and cardiac failure. Type III OI is characterized by extreme growth deficiency and typically scoliosis, and patients may require wheelchairs for mobility. The most severe forms of OI, particularly type II, may be characterized by an extremely small, fragile rib cage, and underdeveloped lungs. Infants with these abnormalities have life-threatening problems related to breathing and often die shortly after birth.</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for Osteogenesis Imperfecta</w:t>
      </w:r>
    </w:p>
    <w:p>
      <w:pPr>
        <w:spacing w:after="0" w:line="85"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There are no approved therapies for the treatment of OI in the United States or the EU. The only treatments available to OI patients are the acute management of fractures as they occur and bisphosphonate drugs, which are not approved for this indication but are commonly used off-label in children.</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Current treatment of OI is directed towards management of fractures with casting or surgical fixation. Following either of these, physical therapy will often be required. Preventative surgeries, such as intramedullary, or in-bone, nailing fixation are also undertaken. Supportive care for the disease involves surgery to correct deformities, internal splinting of bones with metal rods, bracing to support weak limbs and decrease pain, physical therapy, and muscle strengthening and aerobic conditioning to improve bone mass and strength.</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Many OI patients are treated off-label with drugs indicated for osteoporosis. Bisphosphonate drugs slow down the rate at which osteoclasts, which are cells which resorb or take away bone, reduce the bones’ mass. These include Aredia (pamidronate), Fosamax (alendronate) and Reclast (zoledronic acid). However, bisphosphonate drugs are not approved by the FDA or the EMA for use in OI. We are not aware of any long-term clinical studies demonstrating an improvement in fractures in adults and the effect of long-term therapy with these drugs remains unclear. Therefore, we believe the effect of bisphosphonate drugs on fractures, growth, bone deformity, mobility, and pain remains unclear in both adults and children. Despite not being approved, bisphosphonates are effectively the standard of care in children, especially those with more severe disease.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99"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Our product candidate for treating OI is BPS-804, a fully human monoclonal antibody that is designed to inhibit sclerostin. Sclerostin is produced in osteocytes, which are mature bone cells that are thought to be the mechanoreceptor cells that regulate the activity of bone-building osteoblasts and bone-resorbing osteoclasts. Sclerostin inhibits the activity of osteoblasts. We believe that by blocking sclerostin, BPS-804 has the potential to induce or increase osteoblast activity and maturation of these cells, increasing bone formation and reducing bone resorption, thereby reducing fractures in OI patients.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BPS-804</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historical, current and planned clinical trials of BPS-804:</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80" w:type="dxa"/>
            <w:vAlign w:val="bottom"/>
          </w:tcPr>
          <w:p>
            <w:pPr>
              <w:ind w:left="1040"/>
              <w:spacing w:after="0"/>
              <w:rPr>
                <w:sz w:val="20"/>
                <w:szCs w:val="20"/>
                <w:color w:val="auto"/>
              </w:rPr>
            </w:pPr>
            <w:r>
              <w:rPr>
                <w:rFonts w:ascii="Arial" w:cs="Arial" w:eastAsia="Arial" w:hAnsi="Arial"/>
                <w:sz w:val="14"/>
                <w:szCs w:val="14"/>
                <w:b w:val="1"/>
                <w:bCs w:val="1"/>
                <w:color w:val="auto"/>
              </w:rPr>
              <w:t>Historical Trials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b w:val="1"/>
                <w:bCs w:val="1"/>
                <w:color w:val="auto"/>
              </w:rPr>
              <w:t>Current Trials</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Planned Trials</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ind w:left="108"/>
              <w:spacing w:after="0" w:line="143" w:lineRule="exact"/>
              <w:rPr>
                <w:sz w:val="20"/>
                <w:szCs w:val="20"/>
                <w:color w:val="auto"/>
              </w:rPr>
            </w:pPr>
            <w:r>
              <w:rPr>
                <w:rFonts w:ascii="Arial" w:cs="Arial" w:eastAsia="Arial" w:hAnsi="Arial"/>
                <w:sz w:val="14"/>
                <w:szCs w:val="14"/>
                <w:b w:val="1"/>
                <w:bCs w:val="1"/>
                <w:color w:val="auto"/>
              </w:rPr>
              <w:t>Subjects</w:t>
            </w:r>
          </w:p>
        </w:tc>
        <w:tc>
          <w:tcPr>
            <w:tcW w:w="3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Treated</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with</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Planned</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Planned</w:t>
            </w:r>
          </w:p>
        </w:tc>
        <w:tc>
          <w:tcPr>
            <w:tcW w:w="72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75"/>
        </w:trPr>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Phase</w:t>
            </w:r>
          </w:p>
        </w:tc>
        <w:tc>
          <w:tcPr>
            <w:tcW w:w="30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BPS-804</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Phase</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Population</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Enrollment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Phase</w:t>
            </w:r>
          </w:p>
        </w:tc>
        <w:tc>
          <w:tcPr>
            <w:tcW w:w="9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Population</w:t>
            </w:r>
          </w:p>
        </w:tc>
        <w:tc>
          <w:tcPr>
            <w:tcW w:w="96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Enrollment</w:t>
            </w:r>
          </w:p>
        </w:tc>
        <w:tc>
          <w:tcPr>
            <w:tcW w:w="240" w:type="dxa"/>
            <w:vAlign w:val="bottom"/>
          </w:tcPr>
          <w:p>
            <w:pPr>
              <w:spacing w:after="0"/>
              <w:rPr>
                <w:sz w:val="15"/>
                <w:szCs w:val="15"/>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Start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30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Phase 1</w:t>
            </w:r>
          </w:p>
        </w:tc>
        <w:tc>
          <w:tcPr>
            <w:tcW w:w="30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Phase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OI</w:t>
            </w:r>
          </w:p>
        </w:tc>
        <w:tc>
          <w:tcPr>
            <w:tcW w:w="96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120</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Phase 2b/3</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OI</w:t>
            </w: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~150</w:t>
            </w:r>
          </w:p>
        </w:tc>
        <w:tc>
          <w:tcPr>
            <w:tcW w:w="680" w:type="dxa"/>
            <w:vAlign w:val="bottom"/>
            <w:gridSpan w:val="2"/>
            <w:shd w:val="clear" w:color="auto" w:fill="CCEEFF"/>
          </w:tcPr>
          <w:p>
            <w:pPr>
              <w:jc w:val="center"/>
              <w:ind w:left="168"/>
              <w:spacing w:after="0"/>
              <w:rPr>
                <w:sz w:val="20"/>
                <w:szCs w:val="20"/>
                <w:color w:val="auto"/>
              </w:rPr>
            </w:pPr>
            <w:r>
              <w:rPr>
                <w:rFonts w:ascii="Arial" w:cs="Arial" w:eastAsia="Arial" w:hAnsi="Arial"/>
                <w:sz w:val="14"/>
                <w:szCs w:val="14"/>
                <w:color w:val="auto"/>
              </w:rPr>
              <w:t>2018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Healthy Volunteers (postmenopausal women)</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2b</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(adult)</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(pediatrics)</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72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3080" w:type="dxa"/>
            <w:vAlign w:val="bottom"/>
          </w:tcPr>
          <w:p>
            <w:pPr>
              <w:jc w:val="center"/>
              <w:spacing w:after="0"/>
              <w:rPr>
                <w:sz w:val="20"/>
                <w:szCs w:val="20"/>
                <w:color w:val="auto"/>
              </w:rPr>
            </w:pPr>
            <w:r>
              <w:rPr>
                <w:rFonts w:ascii="Arial" w:cs="Arial" w:eastAsia="Arial" w:hAnsi="Arial"/>
                <w:sz w:val="14"/>
                <w:szCs w:val="14"/>
                <w:color w:val="auto"/>
              </w:rPr>
              <w:t>Hypophosphatasia</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42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Phase 2</w:t>
            </w:r>
          </w:p>
        </w:tc>
        <w:tc>
          <w:tcPr>
            <w:tcW w:w="30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Women with Low Bone Mineral Density</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72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3080" w:type="dxa"/>
            <w:vAlign w:val="bottom"/>
          </w:tcPr>
          <w:p>
            <w:pPr>
              <w:jc w:val="center"/>
              <w:spacing w:after="0"/>
              <w:rPr>
                <w:sz w:val="20"/>
                <w:szCs w:val="20"/>
                <w:color w:val="auto"/>
              </w:rPr>
            </w:pPr>
            <w:r>
              <w:rPr>
                <w:rFonts w:ascii="Arial" w:cs="Arial" w:eastAsia="Arial" w:hAnsi="Arial"/>
                <w:sz w:val="14"/>
                <w:szCs w:val="14"/>
                <w:color w:val="auto"/>
                <w:w w:val="94"/>
              </w:rPr>
              <w:t>OI</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1 and Phase 2 Clinical Trials in Other Indications</w:t>
      </w:r>
    </w:p>
    <w:p>
      <w:pPr>
        <w:spacing w:after="0" w:line="81" w:lineRule="exact"/>
        <w:rPr>
          <w:sz w:val="20"/>
          <w:szCs w:val="20"/>
          <w:color w:val="auto"/>
        </w:rPr>
      </w:pPr>
    </w:p>
    <w:p>
      <w:pPr>
        <w:ind w:left="200" w:right="500" w:firstLine="331"/>
        <w:spacing w:after="0" w:line="239" w:lineRule="auto"/>
        <w:rPr>
          <w:sz w:val="20"/>
          <w:szCs w:val="20"/>
          <w:color w:val="auto"/>
        </w:rPr>
      </w:pPr>
      <w:r>
        <w:rPr>
          <w:rFonts w:ascii="Arial" w:cs="Arial" w:eastAsia="Arial" w:hAnsi="Arial"/>
          <w:sz w:val="18"/>
          <w:szCs w:val="18"/>
          <w:color w:val="auto"/>
        </w:rPr>
        <w:t>Novartis performed a Phase 1 single ascending dose trial in 30 healthy female volunteers. A range of doses of BPS-804 were administered and were shown to be well tolerated. A Phase 2 ascending dose trial was also performed in eight adult patients with hypophosphatasia, a rare disorder characterized by abnormal development of bones and teeth. Three different BPS-804 doses were administered and a positive effect on bone formation biomarkers was observed.</w:t>
      </w:r>
    </w:p>
    <w:p>
      <w:pPr>
        <w:spacing w:after="0" w:line="202"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Additionally, Novartis performed a Phase 2 clinical trial in a total of 44 postmenopausal women with low bone mineral density, in which 36 subjects were treated with BPS-804. The trial had four arms, with patients dosed weekly for three weeks (4 doses), monthly for three months (4 doses) and quarterly for one quarter (2 doses), and a placebo group. In this trial, BPS-804 increased bone mineral density up to 7.8%, 7.3% and 4.3% in the weekly, monthly and quarterly groups, respectively.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Clinical Trial in Osteogenesis Imperfecta</w:t>
      </w:r>
    </w:p>
    <w:p>
      <w:pPr>
        <w:spacing w:after="0" w:line="95"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Novartis conducted a Phase 2 randomized, open-label, intra-patient dose-escalating proof-of-concept trial in the United States, Canada and Europe in adults with OI. The objectives were:</w:t>
      </w:r>
    </w:p>
    <w:p>
      <w:pPr>
        <w:spacing w:after="0" w:line="188" w:lineRule="exact"/>
        <w:rPr>
          <w:sz w:val="20"/>
          <w:szCs w:val="20"/>
          <w:color w:val="auto"/>
        </w:rPr>
      </w:pPr>
    </w:p>
    <w:p>
      <w:pPr>
        <w:ind w:left="960" w:hanging="432"/>
        <w:spacing w:after="0"/>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safety and tolerability of BPS-804;</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540" w:hanging="432"/>
        <w:spacing w:after="0" w:line="218"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the effect of BPS-804 on lumbar spine bone mineral density measured by dual-energy X-ray absorptiometry, or DEXA, scan;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determine the pharmacodynamic effect of BPS-804 when administered as multiple dose escalating intravenous infusions on:</w:t>
      </w:r>
    </w:p>
    <w:p>
      <w:pPr>
        <w:spacing w:after="0" w:line="26" w:lineRule="exact"/>
        <w:rPr>
          <w:rFonts w:ascii="MS PGothic" w:cs="MS PGothic" w:eastAsia="MS PGothic" w:hAnsi="MS PGothic"/>
          <w:sz w:val="25"/>
          <w:szCs w:val="25"/>
          <w:color w:val="auto"/>
          <w:vertAlign w:val="superscript"/>
        </w:rPr>
      </w:pPr>
    </w:p>
    <w:p>
      <w:pPr>
        <w:ind w:left="1400" w:right="860" w:hanging="426"/>
        <w:spacing w:after="0" w:line="218" w:lineRule="auto"/>
        <w:tabs>
          <w:tab w:leader="none" w:pos="1400" w:val="left"/>
        </w:tabs>
        <w:numPr>
          <w:ilvl w:val="1"/>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serum bone formation markers, including procollagen 1 N-terminal propeptide, or P1NP, procollagen 1 C terminal propeptide, or P1CP, osteocalcin, or OC, and bone-specific alkaline phosphatase, or BSAP; and</w:t>
      </w:r>
    </w:p>
    <w:p>
      <w:pPr>
        <w:spacing w:after="0" w:line="27" w:lineRule="exact"/>
        <w:rPr>
          <w:rFonts w:ascii="MS PGothic" w:cs="MS PGothic" w:eastAsia="MS PGothic" w:hAnsi="MS PGothic"/>
          <w:sz w:val="25"/>
          <w:szCs w:val="25"/>
          <w:color w:val="auto"/>
          <w:vertAlign w:val="superscript"/>
        </w:rPr>
      </w:pPr>
    </w:p>
    <w:p>
      <w:pPr>
        <w:ind w:left="1400" w:right="360" w:hanging="426"/>
        <w:spacing w:after="0" w:line="218" w:lineRule="auto"/>
        <w:tabs>
          <w:tab w:leader="none" w:pos="1400" w:val="left"/>
        </w:tabs>
        <w:numPr>
          <w:ilvl w:val="1"/>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serum bone resorption markers, including C-telopeptides of type I collagen cross-links, or CTX-1, and N-telopeptides of type I collagen cross-links.</w:t>
      </w:r>
    </w:p>
    <w:p>
      <w:pPr>
        <w:spacing w:after="0" w:line="203" w:lineRule="exact"/>
        <w:rPr>
          <w:sz w:val="20"/>
          <w:szCs w:val="20"/>
          <w:color w:val="auto"/>
        </w:rPr>
      </w:pPr>
    </w:p>
    <w:p>
      <w:pPr>
        <w:jc w:val="both"/>
        <w:ind w:left="200" w:right="340" w:firstLine="331"/>
        <w:spacing w:after="0" w:line="234" w:lineRule="auto"/>
        <w:rPr>
          <w:sz w:val="20"/>
          <w:szCs w:val="20"/>
          <w:color w:val="auto"/>
        </w:rPr>
      </w:pPr>
      <w:r>
        <w:rPr>
          <w:rFonts w:ascii="Arial" w:cs="Arial" w:eastAsia="Arial" w:hAnsi="Arial"/>
          <w:sz w:val="18"/>
          <w:szCs w:val="18"/>
          <w:color w:val="auto"/>
        </w:rPr>
        <w:t>The trial included 14 patients with types I, III and IV OI, nine of which were treated and five of which were observed as a reference group in parallel during the trial to provide comparative data. The reference patients did not receive drug or placebo. The patients were treated with three doses of BPS-804 two weeks apart, over four weeks, and were followed for a total of 21 weeks after the last dose.</w:t>
      </w:r>
    </w:p>
    <w:p>
      <w:pPr>
        <w:spacing w:after="0" w:line="2" w:lineRule="exact"/>
        <w:rPr>
          <w:sz w:val="20"/>
          <w:szCs w:val="20"/>
          <w:color w:val="auto"/>
        </w:rPr>
      </w:pPr>
    </w:p>
    <w:p>
      <w:pPr>
        <w:jc w:val="both"/>
        <w:ind w:left="200" w:right="360"/>
        <w:spacing w:after="0" w:line="246" w:lineRule="auto"/>
        <w:rPr>
          <w:sz w:val="20"/>
          <w:szCs w:val="20"/>
          <w:color w:val="auto"/>
        </w:rPr>
      </w:pPr>
      <w:r>
        <w:rPr>
          <w:rFonts w:ascii="Arial" w:cs="Arial" w:eastAsia="Arial" w:hAnsi="Arial"/>
          <w:sz w:val="18"/>
          <w:szCs w:val="18"/>
          <w:color w:val="auto"/>
        </w:rPr>
        <w:t>DEXA studies were performed at day 141 and bone biomarkers were measured on days eight, 15, 29, 36, 43, 57, 85, 113 and 141, for both groups.</w:t>
      </w:r>
    </w:p>
    <w:p>
      <w:pPr>
        <w:spacing w:after="0" w:line="197"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Treatment with BPS-804 showed a statistically significant increase in lumbar spine bone mineral density from baseline, which was sustained at day 141 of the trial, 16 weeks after the last dose of BPS-804, with a mean increase in lumbar spine bone mineral density in treated patients of 4%, as shown in the table below:</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4"/>
                <w:szCs w:val="14"/>
                <w:b w:val="1"/>
                <w:bCs w:val="1"/>
                <w:color w:val="auto"/>
              </w:rPr>
              <w:t>BPS-804</w:t>
            </w:r>
          </w:p>
        </w:tc>
        <w:tc>
          <w:tcPr>
            <w:tcW w:w="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rPr>
              <w:t>Reference</w:t>
            </w:r>
          </w:p>
        </w:tc>
        <w:tc>
          <w:tcPr>
            <w:tcW w:w="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9"/>
              </w:rPr>
              <w:t>Ratio of</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9"/>
              </w:rPr>
              <w:t>Ratio of</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rPr>
              <w:t>geometric</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96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geometric</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4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mean to</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w:t>
            </w:r>
          </w:p>
        </w:tc>
        <w:tc>
          <w:tcPr>
            <w:tcW w:w="2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mean to</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5"/>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Parameter</w:t>
            </w:r>
          </w:p>
        </w:tc>
        <w:tc>
          <w:tcPr>
            <w:tcW w:w="1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patients</w:t>
            </w:r>
          </w:p>
        </w:tc>
        <w:tc>
          <w:tcPr>
            <w:tcW w:w="4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baseline</w:t>
            </w:r>
          </w:p>
        </w:tc>
        <w:tc>
          <w:tcPr>
            <w:tcW w:w="1200" w:type="dxa"/>
            <w:vAlign w:val="bottom"/>
            <w:gridSpan w:val="3"/>
          </w:tcPr>
          <w:p>
            <w:pPr>
              <w:ind w:left="420"/>
              <w:spacing w:after="0"/>
              <w:rPr>
                <w:sz w:val="20"/>
                <w:szCs w:val="20"/>
                <w:color w:val="auto"/>
              </w:rPr>
            </w:pPr>
            <w:r>
              <w:rPr>
                <w:rFonts w:ascii="Arial" w:cs="Arial" w:eastAsia="Arial" w:hAnsi="Arial"/>
                <w:sz w:val="14"/>
                <w:szCs w:val="14"/>
                <w:b w:val="1"/>
                <w:bCs w:val="1"/>
                <w:color w:val="auto"/>
              </w:rPr>
              <w:t>p-value</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patients</w:t>
            </w:r>
          </w:p>
        </w:tc>
        <w:tc>
          <w:tcPr>
            <w:tcW w:w="2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baseline</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p-value</w:t>
            </w: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auto"/>
            </w:tcBorders>
            <w:shd w:val="clear" w:color="auto" w:fill="CCEEFF"/>
          </w:tcPr>
          <w:p>
            <w:pPr>
              <w:spacing w:after="0" w:line="20" w:lineRule="exact"/>
              <w:rPr>
                <w:sz w:val="1"/>
                <w:szCs w:val="1"/>
                <w:color w:val="auto"/>
              </w:rPr>
            </w:pPr>
          </w:p>
        </w:tc>
        <w:tc>
          <w:tcPr>
            <w:tcW w:w="2600" w:type="dxa"/>
            <w:vAlign w:val="bottom"/>
            <w:tcBorders>
              <w:bottom w:val="single" w:sz="8" w:color="CCEEFF"/>
            </w:tcBorders>
            <w:shd w:val="clear" w:color="auto" w:fill="CCEEFF"/>
          </w:tcPr>
          <w:p>
            <w:pPr>
              <w:spacing w:after="0" w:line="20" w:lineRule="exact"/>
              <w:rPr>
                <w:sz w:val="1"/>
                <w:szCs w:val="1"/>
                <w:color w:val="auto"/>
              </w:rPr>
            </w:pPr>
          </w:p>
        </w:tc>
        <w:tc>
          <w:tcPr>
            <w:tcW w:w="1620" w:type="dxa"/>
            <w:vAlign w:val="bottom"/>
            <w:tcBorders>
              <w:bottom w:val="single" w:sz="8" w:color="CCEEFF"/>
            </w:tcBorders>
            <w:shd w:val="clear" w:color="auto" w:fill="CCEEFF"/>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shd w:val="clear" w:color="auto" w:fill="CCEEFF"/>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20" w:type="dxa"/>
            <w:vAlign w:val="bottom"/>
            <w:tcBorders>
              <w:bottom w:val="single" w:sz="8" w:color="CCEEFF"/>
            </w:tcBorders>
            <w:shd w:val="clear" w:color="auto" w:fill="CCEEFF"/>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CCEEFF"/>
            </w:tcBorders>
            <w:shd w:val="clear" w:color="auto" w:fill="CCEEFF"/>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20" w:type="dxa"/>
            <w:vAlign w:val="bottom"/>
            <w:tcBorders>
              <w:bottom w:val="single" w:sz="8" w:color="CCEEFF"/>
            </w:tcBorders>
            <w:shd w:val="clear" w:color="auto" w:fill="CCEEFF"/>
          </w:tcPr>
          <w:p>
            <w:pPr>
              <w:spacing w:after="0" w:line="20" w:lineRule="exact"/>
              <w:rPr>
                <w:sz w:val="1"/>
                <w:szCs w:val="1"/>
                <w:color w:val="auto"/>
              </w:rPr>
            </w:pPr>
          </w:p>
        </w:tc>
        <w:tc>
          <w:tcPr>
            <w:tcW w:w="580" w:type="dxa"/>
            <w:vAlign w:val="bottom"/>
            <w:tcBorders>
              <w:bottom w:val="single" w:sz="8" w:color="CCEEFF"/>
              <w:right w:val="single" w:sz="8" w:color="CCEEFF"/>
            </w:tcBorders>
            <w:shd w:val="clear" w:color="auto" w:fill="000000"/>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Bone Mineral Density</w:t>
            </w:r>
          </w:p>
        </w:tc>
        <w:tc>
          <w:tcPr>
            <w:tcW w:w="16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1.04</w:t>
            </w: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0.038*</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c>
          <w:tcPr>
            <w:tcW w:w="420" w:type="dxa"/>
            <w:vAlign w:val="bottom"/>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8" w:lineRule="exact"/>
        <w:rPr>
          <w:sz w:val="20"/>
          <w:szCs w:val="20"/>
          <w:color w:val="auto"/>
        </w:rPr>
      </w:pPr>
    </w:p>
    <w:p>
      <w:pPr>
        <w:ind w:left="520" w:right="520" w:hanging="316"/>
        <w:spacing w:after="0" w:line="246"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Statistically significant, meaning a less than 5% chance (or p-value less than 0.05) that the observed results occurred by chance alone.</w:t>
      </w:r>
    </w:p>
    <w:p>
      <w:pPr>
        <w:spacing w:after="0" w:line="21" w:lineRule="exact"/>
        <w:rPr>
          <w:sz w:val="20"/>
          <w:szCs w:val="20"/>
          <w:color w:val="auto"/>
        </w:rPr>
      </w:pPr>
    </w:p>
    <w:p>
      <w:pPr>
        <w:ind w:left="520" w:hanging="316"/>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One patient in the reference group did not complete the study and is not included in the results.</w:t>
      </w:r>
    </w:p>
    <w:p>
      <w:pPr>
        <w:spacing w:after="0" w:line="212" w:lineRule="exact"/>
        <w:rPr>
          <w:sz w:val="20"/>
          <w:szCs w:val="20"/>
          <w:color w:val="auto"/>
        </w:rPr>
      </w:pPr>
    </w:p>
    <w:p>
      <w:pPr>
        <w:ind w:left="200" w:right="320" w:firstLine="331"/>
        <w:spacing w:after="0" w:line="239" w:lineRule="auto"/>
        <w:rPr>
          <w:sz w:val="20"/>
          <w:szCs w:val="20"/>
          <w:color w:val="auto"/>
        </w:rPr>
      </w:pPr>
      <w:r>
        <w:rPr>
          <w:rFonts w:ascii="Arial" w:cs="Arial" w:eastAsia="Arial" w:hAnsi="Arial"/>
          <w:sz w:val="18"/>
          <w:szCs w:val="18"/>
          <w:color w:val="auto"/>
        </w:rPr>
        <w:t>Bone turnover comprises two processes: the removal of bone and the laying down of new bone. Markers in blood can be used to assess the formation and resorption of bone. P1NP and CTX-1 are the markers of bone formation and resorption, respectively, that are recommended for clinical use and are considered the two reference markers by the International Osteoporosis Foundation and International Federation of Clinical Chemistry.</w:t>
      </w:r>
    </w:p>
    <w:p>
      <w:pPr>
        <w:spacing w:after="0" w:line="202"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Treatment with BPS-804 also showed a statistically significant improvement in all measured bone formation biomarkers at day 43 of the trial, as shown in the table below, as well as a trend of reduction in the CTX-1 biomarker of bone resorption:</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140" w:type="dxa"/>
            <w:vAlign w:val="bottom"/>
            <w:gridSpan w:val="4"/>
          </w:tcPr>
          <w:p>
            <w:pPr>
              <w:ind w:left="580"/>
              <w:spacing w:after="0"/>
              <w:rPr>
                <w:sz w:val="20"/>
                <w:szCs w:val="20"/>
                <w:color w:val="auto"/>
              </w:rPr>
            </w:pPr>
            <w:r>
              <w:rPr>
                <w:rFonts w:ascii="Arial" w:cs="Arial" w:eastAsia="Arial" w:hAnsi="Arial"/>
                <w:sz w:val="14"/>
                <w:szCs w:val="14"/>
                <w:b w:val="1"/>
                <w:bCs w:val="1"/>
                <w:color w:val="auto"/>
              </w:rPr>
              <w:t>BPS-804</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3"/>
          </w:tcPr>
          <w:p>
            <w:pPr>
              <w:jc w:val="right"/>
              <w:ind w:right="464"/>
              <w:spacing w:after="0"/>
              <w:rPr>
                <w:sz w:val="20"/>
                <w:szCs w:val="20"/>
                <w:color w:val="auto"/>
              </w:rPr>
            </w:pPr>
            <w:r>
              <w:rPr>
                <w:rFonts w:ascii="Arial" w:cs="Arial" w:eastAsia="Arial" w:hAnsi="Arial"/>
                <w:sz w:val="14"/>
                <w:szCs w:val="14"/>
                <w:b w:val="1"/>
                <w:bCs w:val="1"/>
                <w:color w:val="auto"/>
              </w:rPr>
              <w:t>Reference</w:t>
            </w: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Ratio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80"/>
              <w:spacing w:after="0" w:line="143" w:lineRule="exact"/>
              <w:rPr>
                <w:sz w:val="20"/>
                <w:szCs w:val="20"/>
                <w:color w:val="auto"/>
              </w:rPr>
            </w:pPr>
            <w:r>
              <w:rPr>
                <w:rFonts w:ascii="Arial" w:cs="Arial" w:eastAsia="Arial" w:hAnsi="Arial"/>
                <w:sz w:val="14"/>
                <w:szCs w:val="14"/>
                <w:b w:val="1"/>
                <w:bCs w:val="1"/>
                <w:color w:val="auto"/>
              </w:rPr>
              <w:t>Ratio of</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b w:val="1"/>
                <w:bCs w:val="1"/>
                <w:color w:val="auto"/>
              </w:rPr>
              <w:t>Ratio of</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geometric</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geometric</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geometric means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mean to</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mean to</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90% confidence</w:t>
            </w:r>
          </w:p>
        </w:tc>
        <w:tc>
          <w:tcPr>
            <w:tcW w:w="0" w:type="dxa"/>
            <w:vAlign w:val="bottom"/>
          </w:tcPr>
          <w:p>
            <w:pPr>
              <w:spacing w:after="0"/>
              <w:rPr>
                <w:sz w:val="1"/>
                <w:szCs w:val="1"/>
                <w:color w:val="auto"/>
              </w:rPr>
            </w:pPr>
          </w:p>
        </w:tc>
      </w:tr>
      <w:tr>
        <w:trPr>
          <w:trHeight w:val="175"/>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Bone formation biomarker</w:t>
            </w:r>
          </w:p>
        </w:tc>
        <w:tc>
          <w:tcPr>
            <w:tcW w:w="180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Arial" w:cs="Arial" w:eastAsia="Arial" w:hAnsi="Arial"/>
                <w:sz w:val="14"/>
                <w:szCs w:val="14"/>
                <w:b w:val="1"/>
                <w:bCs w:val="1"/>
                <w:color w:val="auto"/>
              </w:rPr>
              <w:t>patients</w:t>
            </w:r>
          </w:p>
        </w:tc>
        <w:tc>
          <w:tcPr>
            <w:tcW w:w="3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baseline</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p-value</w:t>
            </w:r>
          </w:p>
        </w:tc>
        <w:tc>
          <w:tcPr>
            <w:tcW w:w="16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Arial" w:cs="Arial" w:eastAsia="Arial" w:hAnsi="Arial"/>
                <w:sz w:val="14"/>
                <w:szCs w:val="14"/>
                <w:b w:val="1"/>
                <w:bCs w:val="1"/>
                <w:color w:val="auto"/>
              </w:rPr>
              <w:t>patients</w:t>
            </w:r>
          </w:p>
        </w:tc>
        <w:tc>
          <w:tcPr>
            <w:tcW w:w="36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baseline</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p-value</w:t>
            </w:r>
          </w:p>
        </w:tc>
        <w:tc>
          <w:tcPr>
            <w:tcW w:w="360" w:type="dxa"/>
            <w:vAlign w:val="bottom"/>
          </w:tcPr>
          <w:p>
            <w:pPr>
              <w:spacing w:after="0"/>
              <w:rPr>
                <w:sz w:val="15"/>
                <w:szCs w:val="15"/>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interval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P1NP</w:t>
            </w:r>
          </w:p>
        </w:tc>
        <w:tc>
          <w:tcPr>
            <w:tcW w:w="18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w:t>
            </w:r>
          </w:p>
        </w:tc>
        <w:tc>
          <w:tcPr>
            <w:tcW w:w="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&lt;0.001*</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0.651</w:t>
            </w:r>
          </w:p>
        </w:tc>
        <w:tc>
          <w:tcPr>
            <w:tcW w:w="3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Pr>
          <w:p>
            <w:pPr>
              <w:spacing w:after="0" w:line="202" w:lineRule="exact"/>
              <w:rPr>
                <w:sz w:val="20"/>
                <w:szCs w:val="20"/>
                <w:color w:val="auto"/>
              </w:rPr>
            </w:pPr>
            <w:r>
              <w:rPr>
                <w:rFonts w:ascii="Arial" w:cs="Arial" w:eastAsia="Arial" w:hAnsi="Arial"/>
                <w:sz w:val="18"/>
                <w:szCs w:val="18"/>
                <w:color w:val="auto"/>
              </w:rPr>
              <w:t>P1CP</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w:t>
            </w:r>
          </w:p>
        </w:tc>
        <w:tc>
          <w:tcPr>
            <w:tcW w:w="36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0.003*</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BSAP</w:t>
            </w:r>
          </w:p>
        </w:tc>
        <w:tc>
          <w:tcPr>
            <w:tcW w:w="2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&lt;0.001*</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0.87</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0.582</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OC</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0.012*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0.81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0.436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4" w:lineRule="exact"/>
        <w:rPr>
          <w:sz w:val="20"/>
          <w:szCs w:val="20"/>
          <w:color w:val="auto"/>
        </w:rPr>
      </w:pPr>
    </w:p>
    <w:p>
      <w:pPr>
        <w:ind w:left="520" w:hanging="316"/>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Statistically significant.</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240" w:top="459" w:right="4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These results showed a statistically significant upregulation in the activity of P1NP, P1CP, BSAP, and increased OC levels, while the corresponding biomarkers remained unchanged or declined moderately in the reference group.</w:t>
      </w:r>
    </w:p>
    <w:p>
      <w:pPr>
        <w:spacing w:after="0" w:line="197"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We believe that the observed increase in lumbar spine bone mineral density in patients treated with BPS-804, along with the bone biomarker data, support the bone anabolic effects of BPS-804 in adult patients with moderate OI and support the potential for BPS-804 to stimulate bone formation and reduce bone resorption after three doses.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Summary of Safety Results</w:t>
      </w:r>
    </w:p>
    <w:p>
      <w:pPr>
        <w:spacing w:after="0" w:line="95" w:lineRule="exact"/>
        <w:rPr>
          <w:sz w:val="20"/>
          <w:szCs w:val="20"/>
          <w:color w:val="auto"/>
        </w:rPr>
      </w:pPr>
    </w:p>
    <w:p>
      <w:pPr>
        <w:jc w:val="both"/>
        <w:ind w:left="200" w:right="360" w:firstLine="331"/>
        <w:spacing w:after="0"/>
        <w:rPr>
          <w:sz w:val="20"/>
          <w:szCs w:val="20"/>
          <w:color w:val="auto"/>
        </w:rPr>
      </w:pPr>
      <w:r>
        <w:rPr>
          <w:rFonts w:ascii="Arial" w:cs="Arial" w:eastAsia="Arial" w:hAnsi="Arial"/>
          <w:sz w:val="18"/>
          <w:szCs w:val="18"/>
          <w:color w:val="auto"/>
        </w:rPr>
        <w:t>In the trials conducted by Novartis, BPS-804 was generally well tolerated. In the Phase 2 OI clinical trial, there was one non-drug related significant adverse event in the reference group. The most common adverse events were headaches, influenza, arthralgia and fatigue both in patients who received BPS-804 and in the reference group.</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Current and Planned Phase 2b Clinical Trials in Osteogenesis Imperfecta</w:t>
      </w:r>
    </w:p>
    <w:p>
      <w:pPr>
        <w:spacing w:after="0" w:line="81"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In May 2017, we commenced a Phase 2b clinical trial of BPS-804 in the United States, Europe and Canada. The Phase 2b clinical trial is a multi-center, randomized double-blind, placebo-controlled trial of BPS-804 in which we intend to enroll approximately 140 adult OI patients. Similar to the Phase 2 clinical trial conducted by Novartis, we plan to enroll patients with types I, III and IV OI.</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The primary endpoint of this trial is the change in trabecular volumetric bone mineral density measured by HRpQCT and change in bone strength using finite element analysis, or FEA. HRpQCT enables the measurement of relevant parameters of bone density, microstructure, and strength. FEA uses data from HRpQCT measurements to provide a predictive measure of the whole bone strength and biomechanical risk of fracture. Additional endpoints include further measures of bone parameters measured by HRpQCT, bone turnover markers and quality of life scores. Based on our interactions with the EMA, we believe that the results from this trial, if favorable, and validation of our use of HRpQCT as a biomarker for fracture, from our planned Phase 2b/3 trial in children with OI, will be sufficient to support the submission of a CMA for BPS-804 for the treatment of adults with OI in the EU.</w:t>
      </w:r>
    </w:p>
    <w:p>
      <w:pPr>
        <w:spacing w:after="0" w:line="203"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In addition, in 2018, we intend to commence a Phase 2b/3 clinical trial of BPS-804 for the treatment of OI in children aged 12 to 18 in Europe and Canada. We intend to enroll approximately 150 patients in this trial, with fracture rate as the primary endpoint. Based on our interactions with the EMA, we expect the results from this trial, if favorable, will be sufficient to validate our use of HRPqCT and support the submission of a CMA for BPS-804 for the treatment of children with severe OI in the EU.</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the United States, the FDA has denied our request for a Type C meeting to discuss the initiation of a pediatric Phase 2b study for BPS-804 for the treatment of patients with severe OI. The FDA has cited that a serious cardiovascular safety concern exists in adults treated with sclerostin inhibitors that has yet to be resolved. We do not believe the FDA’s concern is related to BPS-804. Given the undetermined risk/benefit assessment in adults, the FDA believes it is premature to conduct a study of sclerostin inhibitors in children. If this safety issue is resolved, we plan on submitting our proposed European Phase 2b/3 study for BPS-804 in children with severe OI to the FDA to expand the proposed trial into the United States. We believe the FDA’s position does not impact our ability to conduct our clinical development activities of BPS-804 in Europe and Canada for children with severe OI and our clinical development activities of BPS-804 in Europe, the United States and Canada for adults with OI.</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AZD-9668 (alvelestat) for the Treatment of Severe Alpha-1-Antitrypsin Deficiency</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We are developing AZD-9668 (alvelestat) for the treatment of severe AATD, a potentially life-threatening rare, genetic condition that results in severe debilitating diseases, including early-onset</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60"/>
        <w:spacing w:after="0"/>
        <w:rPr>
          <w:sz w:val="20"/>
          <w:szCs w:val="20"/>
          <w:color w:val="auto"/>
        </w:rPr>
      </w:pPr>
      <w:r>
        <w:rPr>
          <w:rFonts w:ascii="Arial" w:cs="Arial" w:eastAsia="Arial" w:hAnsi="Arial"/>
          <w:sz w:val="18"/>
          <w:szCs w:val="18"/>
          <w:color w:val="auto"/>
        </w:rPr>
        <w:t>pulmonary emphysema. AZD-9668 is a novel, oral small molecule designed to inhibit NE. Scientific data indicate that the increased risk of lung tissue injury in AATD patients may be due to inadequately controlled NE caused by insufficient AAT. We believe that by inhibiting NE, AZD-9668 has the potential to reduce the destruction of lung tissue and stabilize clinical deterioration in severe AATD patients.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Alpha-1-Antitrypsin Deficiency</w:t>
      </w:r>
    </w:p>
    <w:p>
      <w:pPr>
        <w:spacing w:after="0" w:line="99"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AATD is a genetic disease. There are estimated to be 50,000 people in North America and 60,000 in Europe with severe AATD, which we define as AATD in patients with either a PiZZ genotype or NullNull genotype. The major function of AAT in the lungs is to protect the connective tissue from NE released from triggered neutrophils. In the majority of people, the lungs are defended from NE attack by AAT, which is a highly effective inhibitor of NE. Severe AATD patients, however, produce minimal or no AAT and are, therefore, unable to defend against NE attack. As a result, severe AATD patients commonly experience degeneration of lung function, such as early-onset pulmonary emphysema, which significantly affects quality of life and life expectancy.</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AATD is the result of a mutation of the SERPINA1 gene. Most people with AATD inherit two copies of the defective PiZ allele, or gene variant, of the SERPINA1 gene, resulting in a PiZZ genotype. Patients with a PiZZ genotype have approximately 15% of normal AAT levels. Individuals who inherit two copies of the Null allele, resulting in a NullNull genotype, do not produce any AAT. These two groups are at very high risk of developing lung disease. AATD patients with the PiZZ genotype experience a decline in the amount of air that can be forcibly exhaled in one second, or FEV1, a standard measure of exhalation. The annual mortality rate in this genotype estimated to be 4%. Given that individuals with the NullNull genotype do not produce any AAT, we believe that they are likely to experience an even greater annual decline in FEV1.</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for Alpha-1-Antitrypsin Deficiency</w:t>
      </w:r>
    </w:p>
    <w:p>
      <w:pPr>
        <w:spacing w:after="0" w:line="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AATD patients are monitored by pulmonary functions tests, including spirometry. Treatment involves bronchodilators and inhaled corticosteroid medications and pulmonary rehabilitation, with increased intensity of therapy guided by disease severity. Surgical options include lung volume reduction surgery and lung transplantation. Both are highly invasive, and transplantation is only an option for a portion of patients with end-stage disease despite optimal therapy.</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Augmentation therapy is available for AATD, using a partially purified plasma preparation highly enriched for AAT that is administered weekly by intravenous infusion. This therapy was approved by the FDA based on its biochemical efficacy, or its ability to raise blood levels of AAT, but not based on clinical outcome data. Several observational studies have suggested that AAT augmentation therapy may slow the rate of decline in lung function in a subgroup of AATD patients with moderate-to-severe airflow obstruction. In a randomized, controlled trial of augmentation therapy, patients had some reduction in the progression of emphysema, as assessed by measuring lung density using computed tomography. The study did not show significant slowing in the decline in FEV1.</w:t>
      </w:r>
    </w:p>
    <w:p>
      <w:pPr>
        <w:spacing w:after="0" w:line="205"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We believe that current therapies for AATD are inadequate. Surgical options are limited to a few patients, are highly invasive, have variable results, and do not address the underlying pathology of AATD. AAT augmentation therapy, while FDA approved, was not approved on the basis of clinical outcome data. In addition, AAT augmentation therapy requires potentially inconvenient weekly intravenous infusions.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85"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Our product candidate for treating severe AATD is AZD-9668, a potent, specific oral small molecule that is designed to inhibit NE. We believe that by inhibiting NE, AZD-9668 has the potential to reduce the enzymatic destruction of lung tissue. Furthermore, we believe that convenient oral dosing of</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20"/>
        <w:spacing w:after="0" w:line="246" w:lineRule="auto"/>
        <w:rPr>
          <w:sz w:val="20"/>
          <w:szCs w:val="20"/>
          <w:color w:val="auto"/>
        </w:rPr>
      </w:pPr>
      <w:r>
        <w:rPr>
          <w:rFonts w:ascii="Arial" w:cs="Arial" w:eastAsia="Arial" w:hAnsi="Arial"/>
          <w:sz w:val="18"/>
          <w:szCs w:val="18"/>
          <w:color w:val="auto"/>
        </w:rPr>
        <w:t>AZD-9668 could provide a significant advantage compared to the current treatments for AATD of surgery or weekly intravenous AAT augmentation therapy.</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AZD-9668</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historical and planned clinical trials of AZD-9668: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Historical Trials</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Planned Trials</w:t>
            </w:r>
          </w:p>
        </w:tc>
        <w:tc>
          <w:tcPr>
            <w:tcW w:w="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Subjects</w:t>
            </w: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 of</w:t>
            </w:r>
          </w:p>
        </w:tc>
        <w:tc>
          <w:tcPr>
            <w:tcW w:w="3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2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Treated with</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Planned</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75"/>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Phase</w:t>
            </w:r>
          </w:p>
        </w:tc>
        <w:tc>
          <w:tcPr>
            <w:tcW w:w="11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Studies</w:t>
            </w:r>
          </w:p>
        </w:tc>
        <w:tc>
          <w:tcPr>
            <w:tcW w:w="3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AZD-9668</w:t>
            </w: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Phase</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Population</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Enrollment</w:t>
            </w:r>
          </w:p>
        </w:tc>
        <w:tc>
          <w:tcPr>
            <w:tcW w:w="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Start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5"/>
              </w:rPr>
              <w:t>Phase</w:t>
            </w:r>
          </w:p>
        </w:tc>
        <w:tc>
          <w:tcPr>
            <w:tcW w:w="32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380" w:type="dxa"/>
            <w:vAlign w:val="bottom"/>
          </w:tcPr>
          <w:p>
            <w:pPr>
              <w:spacing w:after="0"/>
              <w:rPr>
                <w:sz w:val="13"/>
                <w:szCs w:val="13"/>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Healthy Volunteers / COPD</w:t>
            </w:r>
          </w:p>
        </w:tc>
        <w:tc>
          <w:tcPr>
            <w:tcW w:w="360" w:type="dxa"/>
            <w:vAlign w:val="bottom"/>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940" w:type="dxa"/>
            <w:vAlign w:val="bottom"/>
          </w:tcPr>
          <w:p>
            <w:pPr>
              <w:spacing w:after="0"/>
              <w:rPr>
                <w:sz w:val="13"/>
                <w:szCs w:val="13"/>
                <w:color w:val="auto"/>
              </w:rPr>
            </w:pPr>
          </w:p>
        </w:tc>
        <w:tc>
          <w:tcPr>
            <w:tcW w:w="5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Phase 2</w:t>
            </w:r>
          </w:p>
        </w:tc>
        <w:tc>
          <w:tcPr>
            <w:tcW w:w="38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AATD</w:t>
            </w:r>
          </w:p>
        </w:tc>
        <w:tc>
          <w:tcPr>
            <w:tcW w:w="40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400" w:type="dxa"/>
            <w:vAlign w:val="bottom"/>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62"/>
        </w:trPr>
        <w:tc>
          <w:tcPr>
            <w:tcW w:w="74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3260" w:type="dxa"/>
            <w:vAlign w:val="bottom"/>
          </w:tcPr>
          <w:p>
            <w:pPr>
              <w:jc w:val="center"/>
              <w:spacing w:after="0"/>
              <w:rPr>
                <w:sz w:val="20"/>
                <w:szCs w:val="20"/>
                <w:color w:val="auto"/>
              </w:rPr>
            </w:pPr>
            <w:r>
              <w:rPr>
                <w:rFonts w:ascii="Arial" w:cs="Arial" w:eastAsia="Arial" w:hAnsi="Arial"/>
                <w:sz w:val="14"/>
                <w:szCs w:val="14"/>
                <w:color w:val="auto"/>
              </w:rPr>
              <w:t>COPD</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958</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3260" w:type="dxa"/>
            <w:vAlign w:val="bottom"/>
          </w:tcPr>
          <w:p>
            <w:pPr>
              <w:jc w:val="center"/>
              <w:spacing w:after="0"/>
              <w:rPr>
                <w:sz w:val="20"/>
                <w:szCs w:val="20"/>
                <w:color w:val="auto"/>
              </w:rPr>
            </w:pPr>
            <w:r>
              <w:rPr>
                <w:rFonts w:ascii="Arial" w:cs="Arial" w:eastAsia="Arial" w:hAnsi="Arial"/>
                <w:sz w:val="14"/>
                <w:szCs w:val="14"/>
                <w:color w:val="auto"/>
                <w:w w:val="96"/>
              </w:rPr>
              <w:t>CF</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3260" w:type="dxa"/>
            <w:vAlign w:val="bottom"/>
          </w:tcPr>
          <w:p>
            <w:pPr>
              <w:jc w:val="center"/>
              <w:spacing w:after="0"/>
              <w:rPr>
                <w:sz w:val="20"/>
                <w:szCs w:val="20"/>
                <w:color w:val="auto"/>
              </w:rPr>
            </w:pPr>
            <w:r>
              <w:rPr>
                <w:rFonts w:ascii="Arial" w:cs="Arial" w:eastAsia="Arial" w:hAnsi="Arial"/>
                <w:sz w:val="14"/>
                <w:szCs w:val="14"/>
                <w:color w:val="auto"/>
              </w:rPr>
              <w:t>Bronchiectasis</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Clinical Trials</w:t>
      </w:r>
    </w:p>
    <w:p>
      <w:pPr>
        <w:spacing w:after="0" w:line="81"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Although prior clinical trials of AZD-9668 were in indications other than AATD, we believe that the clinical benefit observed in these trials and the biomarker evidence of treatment effect make AZD -9668 a promising potential product candidate for treating severe AATD. In particular, we believe the results from the Phase 2 clinical trials in bronchiectasis and CF are most relevant in assessing AZD-9668’s potential to treat severe AATD.</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Phase 2 Clinical Trial in Bronchiectasis</w:t>
      </w:r>
    </w:p>
    <w:p>
      <w:pPr>
        <w:spacing w:after="0" w:line="212"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AstraZeneca conducted a double-blind, placebo-controlled Phase 2 clinical trial in bronchiectasis in a total of 38 patients, 22 of whom were treated with AZD-9668, using a 60 mg dose of AZD-9668 administered twice daily for four weeks. Bronchiectasis is a disease characterized by localized, irreversible dilatation of parts of the bronchial tree, caused by destruction of the structural components of the bronchial wall that result from a vicious cycle of transmural infection and inflammation. Neutrophils play a key role in inflammation in bronchiectasis with airway neutrophilia resulting in high concentrations of neutrophil proteases, such as NE, which may be inadequately neutralized by anti-proteases.</w:t>
      </w:r>
    </w:p>
    <w:p>
      <w:pPr>
        <w:spacing w:after="0" w:line="20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results of this four-week trial showed a statistically significant improvement at day 28 in FEV1 of 100 ml (p=0.006) and a clinically meaningful improvement of 130 ml (p=0.079) in slow vital capacity, which measures the volume of air on a slow full expiration of air in the patient’s lungs. The effect on the St. George’s Respiratory Questionnaire, a questionnaire that measures quality of life in patients with diseases of airways obstruction, favored AZD-9668 overall and in each measured domain, with a more than four-unit difference in the overall score, demonstrating clinical relevance. In addition, although the data did not show statistical significance in desmosine levels in urine, the treatment group showed a reduction in desmosine levels while the placebo group showed an increase in desmosine levels.</w:t>
      </w:r>
    </w:p>
    <w:p>
      <w:pPr>
        <w:spacing w:after="0" w:line="20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We believe that bronchiectasis and AATD share common pathological features such as damage to structural parts of the bronchial tree caused by neutrophil proteases that support the potential for AZD-9668 to treat severe AATD, a disease driven primarily by insufficient inhibition of NE.</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Phase 2 Clinical Trial in Cystic Fibrosis</w:t>
      </w:r>
    </w:p>
    <w:p>
      <w:pPr>
        <w:spacing w:after="0" w:line="212"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AstraZeneca conducted a double-blind, placebo-controlled Phase 2 clinical trial in CF in a total of 56 patients, 26 of whom were treated with AZD-9668, using a 60 mg dose of AZD-9668 administered twice daily for four weeks. CF is a disease that results in thickened secretions and endobronchial infections. These chronic infections are associated with an exaggerated inflammatory response in the airways and neutrophil infiltration of the lungs. The presence of neutrophils in the airways, and the resulting high concentrations of neutrophil proteases, such as NE, suggest that neutrophils are contributors in the pathogenesis of the proteolytic lung destruction associated with CF.</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The trial was designed to examine the safety and efficacy of AZD-9668 and its effect on the biomarkers of lung damage. The trial did not demonstrate a statistically significant benefit in lung function, which we believe was due to the anti-proteolytic mechanism of action of AZD-9668 only addressing one component of the pathology of CF. However, there was a statistically significant reduction in free desmosine in urine corrected for creatinine (p=0.002), and a reduction in plasma desmosine of 16%. Desmosine and isodesmosine are unique cross linking amino acids in elastin. Elastin is a protein that makes up the structure of the alveoli in the lungs and provides the pressure that allows for easy breathing, but is vulnerable to breakdown by NE. The reduction in desmosine in this trial indicates a reduction in the breakdown of elastin, which we believe suggests the utility of desmosine as a clinical biomarker with direct relevance to the proposed mechanism of action in severe AATD.</w:t>
      </w:r>
    </w:p>
    <w:p>
      <w:pPr>
        <w:spacing w:after="0" w:line="208"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We believe that the data from this trial provide proof of concept for mechanistic effect and the use of desmosine as a biomarker of lung degradation in diseases of high or unopposed NE, such as severe AATD.</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Summary of Safety Results</w:t>
      </w:r>
    </w:p>
    <w:p>
      <w:pPr>
        <w:spacing w:after="0" w:line="95"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In the clinical trials conducted by AstraZeneca, no treatment-related serious adverse events were identified. A dose of up to 120 mg twice daily was well tolerated in Phase 1 clinical trials and a dose of 60 mg twice daily was well tolerated in the CF, bronchiectasis and COPD Phase 2 trials. Across the 1,149 patients and healthy volunteers treated with AZD-9668, 16 patients had an elevation of liver enzymes with alanine transaminase or aspartate transaminase enzyme concentrations elevated to greater than three times the upper limit of normal, but no patient met the criteria of Hy’s law of drug-induced liver injury and no dose dependency was observed. Independent safety review committees evaluated this data and recommended that the trials continue.</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Planned Phase 2 Clinical Trial in Severe AATD</w:t>
      </w:r>
    </w:p>
    <w:p>
      <w:pPr>
        <w:spacing w:after="0" w:line="81"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We intend to commence a Phase 2 proof-of-concept clinical trial of AZD-9668 for severe AATD in 2018. We anticipate this trial will be a 12-week, double-blind, placebo-controlled clinical trial examining two doses of AZD-9668 compared to placebo with primary endpoints of elastin breakdown and binding to NE or NE inhibition as determined using biomarkers. We anticipate desmosine will be the elastin breakdown product that is the biomarker endpoint. We believe that by inhibiting NE, AZD-9668 will reduce the breakdown of elastin and therefore the amount of desmosine. Planned secondary endpoints are plasma Aa-Val(360), a biomarker of NE activity, NE activity in sputum, and lung function tests, including FEV1.</w:t>
      </w:r>
    </w:p>
    <w:p>
      <w:pPr>
        <w:spacing w:after="0" w:line="20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We plan to enroll only patients with PiZZ or NullNull genotypes with confirmed emphysema and declining FEV1, who have not received AAT augmentation therapy or have undergone a wash-out period following AAT augmentation therapy. We estimate that we will need to recruit approximately 150 patients for this trial.</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the results from this trial are favorable, we intend to seek regulatory advice on the design of, and commence, a pivotal trial.</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BCT-197 (acumapimod) for the Treatment of AECOPD</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We are developing BCT-197 (acumapimod) as a first-line acute therapy in patients with AECOPD. BCT-197 is a novel, orally active p38 MAP kinase inhibitor designed to inhibit the pathological mechanism behind inflammation, which is a key feature of AECOPD. Currently available treatments only manage the symptoms of AECOPD and are comprised primarily of oxygen therapy, corticosteroids, antibiotics, and bronchodilators. We believe BCT-197 offers a potential new treatment by targeting the</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46" w:lineRule="auto"/>
        <w:rPr>
          <w:sz w:val="20"/>
          <w:szCs w:val="20"/>
          <w:color w:val="auto"/>
        </w:rPr>
      </w:pPr>
      <w:r>
        <w:rPr>
          <w:rFonts w:ascii="Arial" w:cs="Arial" w:eastAsia="Arial" w:hAnsi="Arial"/>
          <w:sz w:val="18"/>
          <w:szCs w:val="18"/>
          <w:color w:val="auto"/>
        </w:rPr>
        <w:t>underlying disease and delivering tangible benefits for patients and payors by potentially preventing AECOPD, or reducing the frequency of exacerbations and reducing readmissions.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COPD and AECOPD</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COPD includes chronic bronchitis, emphysema, refractory (non-reversible) asthma, and some forms of bronchiectasis. COPD is a non-fully-reversible, progressive lung disease that was the third largest cause of death in the world in 2010 according to the Global Burden of Disease Study, and the WHO forecasts that it will remain the third largest cause of death in the world in 2030. The National Heart Lung Blood Institute estimates that 16 million people in the United States have been diagnosed with the disease and the same number likely suffer from the disease without being aware of it. The European COPD Coalition estimates that 13 million people in Europe have been diagnosed with COPD. In 2015, according to the WHO, there were over three million deaths from the disease worldwide.</w:t>
      </w:r>
    </w:p>
    <w:p>
      <w:pPr>
        <w:spacing w:after="0" w:line="20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An AECOPD is defined as an acute event characterized by a worsening of the patient’s symptoms beyond normal day-to-day variations that requires a change in medication. Typical symptoms include an increase in breathlessness and/or increase in sputum production, which lead to an increase in the frequency or dose of bronchodilators or an increase in corticosteroid use, or the need to seek further medical attention. The risk of AECOPD increases with COPD progression and increases following exacerbations. Increased inflammation is a core feature of an AECOPD. This is demonstrated by inflamed airways and the influx of white blood cells that respond to and can propagate inflammation.</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 average, COPD patients suffer one to three AECOPDs per year with an average hospital stay, if admitted, of three to 10 days. Each episode of AECOPD poses significant risk to the patient, including an increased risk of death. Approximately 8% of patients admitted to the hospital for COPD die while in the hospital. The frequency and severity of exacerbations increase with age, disease severity and history of prior AECOPD. The five-year survival rate for those suffering three or more AECOPDs per year is 30%, but those who do not suffer AECOPDs have an 80% survival rate. Moderate to severe cases of AECOPD can also result in greatly diminished quality of life, disability, and serious co-morbidities, including heart disease. After an AECOPD many patients do not return to their pre-AECOPD baseline respiratory function. Furthermore, a patient who has several AECOPDs a year is typically exposed to large quantities of systemic corticosteroids, which can lead to osteoporosis and diabetes.</w:t>
      </w:r>
    </w:p>
    <w:p>
      <w:pPr>
        <w:spacing w:after="0" w:line="208"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AECOPDs account for the greatest proportion of COPD costs. Of all COPD-related hospital admissions in the United States, approximately 63% are for AECOPD patients, representing more than 1.5 million emergency room visits in the United States alone. Based on current estimates of U.S. COPD rates, the direct costs of COPD are estimated at $4,000 per patient per year. Costs increase in correlation with each progressive stage of the disease. In the United States in 2010, mild COPD patients had median direct costs of $1,681 per patient per year, moderate patients had direct costs of $5,037 per patient per year and severe patients had direct costs of $10,812 per patient per year. Hospital stays make up the greatest proportion of the total COPD burden on the healthcare system, accounting for approximately 45% to 50% of the total direct cost generated by COPD patients. The mean length of hospital stays varies but is typically about 4.7 days. In the United States, the average cost of admission is $7,500 but more than 20% of patients are re-admitted within 30 days with significantly higher cost.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of AECOPD</w:t>
      </w:r>
    </w:p>
    <w:p>
      <w:pPr>
        <w:spacing w:after="0" w:line="85" w:lineRule="exact"/>
        <w:rPr>
          <w:sz w:val="20"/>
          <w:szCs w:val="20"/>
          <w:color w:val="auto"/>
        </w:rPr>
      </w:pPr>
    </w:p>
    <w:p>
      <w:pPr>
        <w:jc w:val="both"/>
        <w:ind w:left="200" w:right="560" w:firstLine="331"/>
        <w:spacing w:after="0"/>
        <w:rPr>
          <w:sz w:val="20"/>
          <w:szCs w:val="20"/>
          <w:color w:val="auto"/>
        </w:rPr>
      </w:pPr>
      <w:r>
        <w:rPr>
          <w:rFonts w:ascii="Arial" w:cs="Arial" w:eastAsia="Arial" w:hAnsi="Arial"/>
          <w:sz w:val="18"/>
          <w:szCs w:val="18"/>
          <w:color w:val="auto"/>
        </w:rPr>
        <w:t>We are not aware of any approved therapies for the treatment of AECOPD in the United States or the EU. The management of AECOPD is directed at relieving symptoms and restoring functional capacity of the airways. In its milder forms, an AECOPD can be controlled with inhaled steroids,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bronchodilators, and antibiotics. The bronchodilators reduce the patients’ breathlessness by opening up the airways, and corticosteroids reduce inflammation. In more severe cases, AECOPD requires hospitalization, where patients are typically treated with oral or intravenous steroids and antibiotics.</w:t>
      </w:r>
    </w:p>
    <w:p>
      <w:pPr>
        <w:spacing w:after="0" w:line="203"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The current recommended management for AECOPD includes beta2 agonists, the addition of anticholinergics or an increase in their dosage, the systemic administration of corticosteroids and antibiotics, and the intravenous administration of methylxanthines, such as aminophylline. Additionally, supporting oxygen therapy is used in order to provide the patient with sufficient blood oxygen levels. While AECOPDs are often triggered by bacterial or viral pathogens or pollutants, antibiotics are often used as the precise etiology is often unknown.</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We believe there is a significant medical need for a drug which is disease-modifying and could potentially prevent AECOPD instead of just treating the symptoms. In addition, we believe that a drug that could prevent or reduce AECOPD and also has anti-inflammatory effects would significantly improve the quality of life of AECOPD patients due to improved lung function, fewer infections and possibly reduced risk of rehospitalization and mortality.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Our product candidate for treating AECOPD is BCT-197, an orally administered small molecule that inhibits p38 MAP kinase. p38 MAP kinase is an enzyme that plays a key role in the cellular response to external stress signals. p38 MAP kinase is activated in COPD and AECOPD and is inversely correlated with measures of lung function, in particular, FEV1 and forced vital capacity, which is the amount of air that can be forcibly exhaled from the lungs after maximal inspiration. The higher the p38 MAP kinase activation, the lower we would expect lung function to be. Inhibition of this enzyme has been shown to have anti-inflammatory effects, primarily through the inhibition of the expression of inflammatory mediators or molecules called cytokines. The inflammatory cytokines are key to initiating and escalating the inflammatory response by attracting inflammatory cells and inducing further release of the cytokines by these cells. Key cytokines released in the inflammatory response are tumor necrosis factor alpha, or TNFa, and interleukin-8, which are released in the blood stream, and interleukin-6, which is released from bronchial epithelial cells, all of which are blocked by inhibiting p38 MAP kinase.</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believe that BCT-197 has the following key advantages over current therapies:</w:t>
      </w:r>
    </w:p>
    <w:p>
      <w:pPr>
        <w:spacing w:after="0" w:line="203" w:lineRule="exact"/>
        <w:rPr>
          <w:sz w:val="20"/>
          <w:szCs w:val="20"/>
          <w:color w:val="auto"/>
        </w:rPr>
      </w:pPr>
    </w:p>
    <w:p>
      <w:pPr>
        <w:ind w:left="960" w:hanging="432"/>
        <w:spacing w:after="0"/>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to be a rapid-onset treatment targeting inflammatory drivers of AECOPD;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designed to target anti-inflammatory response systemically and locally with easier oral administration than inhaled treatments;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simple oral regimen of three doses over five days that can be conveniently administered in an outpatient setting;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designed to target pathophysiology of acute exacerbations without generalized immune suppression;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for efficacy in steroid-resistant population.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BCT-197</w:t>
      </w:r>
    </w:p>
    <w:p>
      <w:pPr>
        <w:spacing w:after="0" w:line="99"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The following table summarizes the historical clinical trials of BCT-197. We plan to enter into one or more strategic relationships with third parties for BCT-197 to undertake the next phase of clinical development and, if approved, for commercialization.</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Historical Trials</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2720" w:type="dxa"/>
            <w:vAlign w:val="bottom"/>
            <w:tcBorders>
              <w:top w:val="single" w:sz="8" w:color="auto"/>
            </w:tcBorders>
            <w:gridSpan w:val="2"/>
          </w:tcPr>
          <w:p>
            <w:pPr>
              <w:jc w:val="center"/>
              <w:ind w:left="1448"/>
              <w:spacing w:after="0" w:line="143" w:lineRule="exact"/>
              <w:rPr>
                <w:sz w:val="20"/>
                <w:szCs w:val="20"/>
                <w:color w:val="auto"/>
              </w:rPr>
            </w:pPr>
            <w:r>
              <w:rPr>
                <w:rFonts w:ascii="Arial" w:cs="Arial" w:eastAsia="Arial" w:hAnsi="Arial"/>
                <w:sz w:val="14"/>
                <w:szCs w:val="14"/>
                <w:b w:val="1"/>
                <w:bCs w:val="1"/>
                <w:color w:val="auto"/>
              </w:rPr>
              <w:t>Subjects Treated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Phase</w:t>
            </w:r>
          </w:p>
        </w:tc>
        <w:tc>
          <w:tcPr>
            <w:tcW w:w="3440" w:type="dxa"/>
            <w:vAlign w:val="bottom"/>
            <w:gridSpan w:val="3"/>
          </w:tcPr>
          <w:p>
            <w:pPr>
              <w:jc w:val="right"/>
              <w:ind w:right="1644"/>
              <w:spacing w:after="0"/>
              <w:rPr>
                <w:sz w:val="20"/>
                <w:szCs w:val="20"/>
                <w:color w:val="auto"/>
              </w:rPr>
            </w:pPr>
            <w:r>
              <w:rPr>
                <w:rFonts w:ascii="Arial" w:cs="Arial" w:eastAsia="Arial" w:hAnsi="Arial"/>
                <w:sz w:val="14"/>
                <w:szCs w:val="14"/>
                <w:b w:val="1"/>
                <w:bCs w:val="1"/>
                <w:color w:val="auto"/>
              </w:rPr>
              <w:t># of Studies</w:t>
            </w:r>
          </w:p>
        </w:tc>
        <w:tc>
          <w:tcPr>
            <w:tcW w:w="304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with BCT-197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95"/>
              </w:rPr>
              <w:t>Phase</w:t>
            </w:r>
          </w:p>
        </w:tc>
        <w:tc>
          <w:tcPr>
            <w:tcW w:w="1380" w:type="dxa"/>
            <w:vAlign w:val="bottom"/>
            <w:tcBorders>
              <w:top w:val="single" w:sz="8" w:color="CCEEFF"/>
            </w:tcBorders>
            <w:shd w:val="clear" w:color="auto" w:fill="CCEEFF"/>
          </w:tcPr>
          <w:p>
            <w:pPr>
              <w:jc w:val="right"/>
              <w:ind w:right="1188"/>
              <w:spacing w:after="0" w:line="155" w:lineRule="exact"/>
              <w:rPr>
                <w:sz w:val="20"/>
                <w:szCs w:val="20"/>
                <w:color w:val="auto"/>
              </w:rPr>
            </w:pPr>
            <w:r>
              <w:rPr>
                <w:rFonts w:ascii="Arial" w:cs="Arial" w:eastAsia="Arial" w:hAnsi="Arial"/>
                <w:sz w:val="14"/>
                <w:szCs w:val="14"/>
                <w:color w:val="auto"/>
              </w:rPr>
              <w:t>1</w:t>
            </w:r>
          </w:p>
        </w:tc>
        <w:tc>
          <w:tcPr>
            <w:tcW w:w="9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w:t>
            </w:r>
          </w:p>
        </w:tc>
        <w:tc>
          <w:tcPr>
            <w:tcW w:w="1660" w:type="dxa"/>
            <w:vAlign w:val="bottom"/>
            <w:tcBorders>
              <w:top w:val="single" w:sz="8" w:color="CCEEFF"/>
            </w:tcBorders>
            <w:shd w:val="clear" w:color="auto" w:fill="CCEEFF"/>
          </w:tcPr>
          <w:p>
            <w:pPr>
              <w:jc w:val="right"/>
              <w:ind w:right="1584"/>
              <w:spacing w:after="0"/>
              <w:rPr>
                <w:sz w:val="20"/>
                <w:szCs w:val="20"/>
                <w:color w:val="auto"/>
              </w:rPr>
            </w:pPr>
            <w:r>
              <w:rPr>
                <w:rFonts w:ascii="Arial" w:cs="Arial" w:eastAsia="Arial" w:hAnsi="Arial"/>
                <w:sz w:val="7"/>
                <w:szCs w:val="7"/>
                <w:color w:val="auto"/>
                <w:w w:val="71"/>
              </w:rPr>
              <w:t>*</w:t>
            </w:r>
          </w:p>
        </w:tc>
        <w:tc>
          <w:tcPr>
            <w:tcW w:w="304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Healthy Volunteers</w:t>
            </w:r>
          </w:p>
        </w:tc>
        <w:tc>
          <w:tcPr>
            <w:tcW w:w="154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152</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66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AECOPD</w:t>
            </w:r>
          </w:p>
        </w:tc>
        <w:tc>
          <w:tcPr>
            <w:tcW w:w="272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Phase 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60" w:type="dxa"/>
            <w:vAlign w:val="bottom"/>
            <w:shd w:val="clear" w:color="auto" w:fill="CCEEFF"/>
          </w:tcPr>
          <w:p>
            <w:pPr>
              <w:spacing w:after="0"/>
              <w:rPr>
                <w:sz w:val="14"/>
                <w:szCs w:val="14"/>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Acute Kidney Injury</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780" w:type="dxa"/>
            <w:vAlign w:val="bottom"/>
            <w:gridSpan w:val="2"/>
          </w:tcPr>
          <w:p>
            <w:pPr>
              <w:ind w:left="320"/>
              <w:spacing w:after="0"/>
              <w:rPr>
                <w:sz w:val="20"/>
                <w:szCs w:val="20"/>
                <w:color w:val="auto"/>
              </w:rPr>
            </w:pPr>
            <w:r>
              <w:rPr>
                <w:rFonts w:ascii="Arial" w:cs="Arial" w:eastAsia="Arial" w:hAnsi="Arial"/>
                <w:sz w:val="14"/>
                <w:szCs w:val="14"/>
                <w:color w:val="auto"/>
              </w:rPr>
              <w:t>Phase 2</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66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AECOPD</w:t>
            </w:r>
          </w:p>
        </w:tc>
        <w:tc>
          <w:tcPr>
            <w:tcW w:w="2720" w:type="dxa"/>
            <w:vAlign w:val="bottom"/>
            <w:gridSpan w:val="2"/>
          </w:tcPr>
          <w:p>
            <w:pPr>
              <w:jc w:val="right"/>
              <w:spacing w:after="0"/>
              <w:rPr>
                <w:sz w:val="20"/>
                <w:szCs w:val="20"/>
                <w:color w:val="auto"/>
              </w:rPr>
            </w:pPr>
            <w:r>
              <w:rPr>
                <w:rFonts w:ascii="Arial" w:cs="Arial" w:eastAsia="Arial" w:hAnsi="Arial"/>
                <w:sz w:val="14"/>
                <w:szCs w:val="14"/>
                <w:color w:val="auto"/>
              </w:rPr>
              <w:t>188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18180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ind w:left="540" w:right="6660" w:hanging="336"/>
        <w:spacing w:after="0" w:line="407" w:lineRule="auto"/>
        <w:tabs>
          <w:tab w:leader="none" w:pos="534"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Includes our 16-patient drug-drug interaction study. </w:t>
      </w:r>
      <w:r>
        <w:rPr>
          <w:rFonts w:ascii="Arial" w:cs="Arial" w:eastAsia="Arial" w:hAnsi="Arial"/>
          <w:sz w:val="18"/>
          <w:szCs w:val="18"/>
          <w:i w:val="1"/>
          <w:iCs w:val="1"/>
          <w:color w:val="auto"/>
        </w:rPr>
        <w:t>Phase 1 Clinical Trials</w:t>
      </w:r>
    </w:p>
    <w:p>
      <w:pPr>
        <w:ind w:left="200" w:right="280" w:firstLine="331"/>
        <w:spacing w:after="0" w:line="243" w:lineRule="auto"/>
        <w:rPr>
          <w:sz w:val="20"/>
          <w:szCs w:val="20"/>
          <w:color w:val="auto"/>
        </w:rPr>
      </w:pPr>
      <w:r>
        <w:rPr>
          <w:rFonts w:ascii="Arial" w:cs="Arial" w:eastAsia="Arial" w:hAnsi="Arial"/>
          <w:sz w:val="18"/>
          <w:szCs w:val="18"/>
          <w:color w:val="auto"/>
        </w:rPr>
        <w:t xml:space="preserve">Prior to our acquisition of BCT-197, Novartis performed three Phase 1 clinical trials. One of these trials was a three-part Phase 1 clinical trial in a total of 141 healthy volunteers designed to evaluate the safety and anti-inflammatory properties of BCT-197 following lipopolysaccharide, or LPS, challenge, a method of inducing an inflammatory response. Parts 1 and 2 of this trial assessed the ability of BCT-197 to inhibit TNFa, a pro-inflammatory cytokine,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following LPS challenge and Part 3 assessed the same </w:t>
      </w:r>
      <w:r>
        <w:rPr>
          <w:rFonts w:ascii="Arial" w:cs="Arial" w:eastAsia="Arial" w:hAnsi="Arial"/>
          <w:sz w:val="18"/>
          <w:szCs w:val="18"/>
          <w:i w:val="1"/>
          <w:iCs w:val="1"/>
          <w:color w:val="auto"/>
        </w:rPr>
        <w:t>in vivo</w:t>
      </w:r>
      <w:r>
        <w:rPr>
          <w:rFonts w:ascii="Arial" w:cs="Arial" w:eastAsia="Arial" w:hAnsi="Arial"/>
          <w:sz w:val="18"/>
          <w:szCs w:val="18"/>
          <w:color w:val="auto"/>
        </w:rPr>
        <w:t>. In Part 1, which was a single ascending dose trial, TNFa was inhibited by a mean of 50% by doses of at least 30 mg, and in Part 2, which was a multi-ascending dose trial, TNFa was inhibited by a mean of 70%.</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24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331"/>
        <w:spacing w:after="0" w:line="249" w:lineRule="auto"/>
        <w:rPr>
          <w:sz w:val="20"/>
          <w:szCs w:val="20"/>
          <w:color w:val="auto"/>
        </w:rPr>
      </w:pPr>
      <w:r>
        <w:rPr>
          <w:rFonts w:ascii="Arial" w:cs="Arial" w:eastAsia="Arial" w:hAnsi="Arial"/>
          <w:sz w:val="18"/>
          <w:szCs w:val="18"/>
          <w:color w:val="auto"/>
        </w:rPr>
        <w:t>In Part 3, a three-arm trial, 24 subjects were randomized to receive placebo, 20 mg of BCT-197, or 75 mg of BCT-197. Subjects were exposed to LPS three hours following dosing of BCT-197 or placebo and the concentration of TNFa was measured. In this trial, BCT-197 produced a statistically significant reduction in the levels of TNFa in the treated subjects versus placebo. The following graph shows that the TNFa response was seen in both doses of BCT-197.</w:t>
      </w: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TNF</w:t>
      </w:r>
      <w:r>
        <w:rPr>
          <w:rFonts w:ascii="Arial" w:cs="Arial" w:eastAsia="Arial" w:hAnsi="Arial"/>
          <w:sz w:val="18"/>
          <w:szCs w:val="18"/>
          <w:color w:val="auto"/>
        </w:rPr>
        <w:t>a</w:t>
      </w:r>
      <w:r>
        <w:rPr>
          <w:rFonts w:ascii="Arial" w:cs="Arial" w:eastAsia="Arial" w:hAnsi="Arial"/>
          <w:sz w:val="18"/>
          <w:szCs w:val="18"/>
          <w:b w:val="1"/>
          <w:bCs w:val="1"/>
          <w:color w:val="auto"/>
        </w:rPr>
        <w:t xml:space="preserve"> Concentration over Time following LPS Challenge</w:t>
      </w:r>
    </w:p>
    <w:p>
      <w:pPr>
        <w:spacing w:after="0" w:line="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229235</wp:posOffset>
            </wp:positionV>
            <wp:extent cx="4845050" cy="2684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45050"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In addition, a radiolabeled pharmacology trial was performed in four healthy volunteers. We believe the results of this trial suggest that BCT-197 has pharmacology appropriate for an oral drug.</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Clinical Trial in AECOPD</w:t>
      </w:r>
    </w:p>
    <w:p>
      <w:pPr>
        <w:spacing w:after="0" w:line="95"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Novartis conducted a double-blind, Phase 2 clinical trial in Europe comparing BCT-197 to the steroid prednisolone and a placebo control. The trial was designed to assess the effect of single and repeated dose of BCT-197 in AECOPD patients. The primary endpoint was to demonstrate an improvement in FEV1 relative to placebo. Secondary and exploratory endpoints included the assessment of safety and tolerability, measurement of the time to recovery, and the determination of the pharmacokinetic properties of BCT-197.</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trial was split into four parts and included a total of 183 patients:</w:t>
      </w:r>
    </w:p>
    <w:p>
      <w:pPr>
        <w:spacing w:after="0" w:line="239" w:lineRule="exact"/>
        <w:rPr>
          <w:sz w:val="20"/>
          <w:szCs w:val="20"/>
          <w:color w:val="auto"/>
        </w:rPr>
      </w:pPr>
    </w:p>
    <w:p>
      <w:pPr>
        <w:ind w:left="960" w:hanging="432"/>
        <w:spacing w:after="0" w:line="218"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1: 91 patients were randomized to receive either: 75 mg of BCT-197 on day one plus placebo daily for 10 days, prednisolone on day one plus placebo daily for 10 days, or placebo on day one and for 10 days daily;</w:t>
      </w:r>
    </w:p>
    <w:p>
      <w:pPr>
        <w:spacing w:after="0" w:line="27" w:lineRule="exact"/>
        <w:rPr>
          <w:rFonts w:ascii="MS PGothic" w:cs="MS PGothic" w:eastAsia="MS PGothic" w:hAnsi="MS PGothic"/>
          <w:sz w:val="25"/>
          <w:szCs w:val="25"/>
          <w:color w:val="auto"/>
          <w:vertAlign w:val="superscript"/>
        </w:rPr>
      </w:pPr>
    </w:p>
    <w:p>
      <w:pPr>
        <w:ind w:left="960" w:right="680" w:hanging="432"/>
        <w:spacing w:after="0" w:line="218"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2: 30 patients were randomized to receive 20 mg of BCT-197 or placebo on day one of the trial. The ratio of patients receiving BCT-197 to patients receiving placebo was five to one;</w:t>
      </w:r>
    </w:p>
    <w:p>
      <w:pPr>
        <w:spacing w:after="0" w:line="27" w:lineRule="exact"/>
        <w:rPr>
          <w:rFonts w:ascii="MS PGothic" w:cs="MS PGothic" w:eastAsia="MS PGothic" w:hAnsi="MS PGothic"/>
          <w:sz w:val="25"/>
          <w:szCs w:val="25"/>
          <w:color w:val="auto"/>
          <w:vertAlign w:val="superscript"/>
        </w:rPr>
      </w:pPr>
    </w:p>
    <w:p>
      <w:pPr>
        <w:ind w:left="960" w:right="660" w:hanging="432"/>
        <w:spacing w:after="0" w:line="218"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3: 32 patients were randomized to receive 20 mg of BCT-197 or placebo on days one and six of the trial. The ratio of patients receiving BCT-197 to patients receiving placebo was five to one; and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520" w:hanging="432"/>
        <w:spacing w:after="0" w:line="218" w:lineRule="auto"/>
        <w:tabs>
          <w:tab w:leader="none" w:pos="960" w:val="left"/>
        </w:tabs>
        <w:numPr>
          <w:ilvl w:val="0"/>
          <w:numId w:val="67"/>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4: 30 patients were randomized to receive 75 mg of BCT-197 or placebo on days one and six of the trial. The ratio of patients receiving BCT-197 to patients receiving placebo was five to one.</w:t>
      </w:r>
    </w:p>
    <w:p>
      <w:pPr>
        <w:spacing w:after="0" w:line="203"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The data on FEV1 were recorded on days three, five, eight, 10, 14 and 30 and showed a clinically meaningful increase in FEV1 (of greater than 100 milliliters) on measuring dates in patients receiving two doses of BCT-197, during a 14-day period, consistent with the duration of most AECOPDs. The following graph summarizes the mean change from baseline in FEV1 values for each dose arm. The change was greatest in the group that received two doses of 75 mg of BCT-197, reaching statistical significance in this group at day 8 (p=0.022). On analysis of the area under the curve to Day 14, two doses of 75 mg of BCT-197 demonstrated a statistically significant improvement in FEV1 versus placebo and prednisolone (p=0.0198 and 0.0102 respectively).</w:t>
      </w: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Mean Change from Baseline in FEV1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243205</wp:posOffset>
            </wp:positionV>
            <wp:extent cx="4519295" cy="2830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19295"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Summary of Safety Results</w:t>
      </w:r>
    </w:p>
    <w:p>
      <w:pPr>
        <w:spacing w:after="0" w:line="12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trials conducted by Novartis, BCT-197 was well tolerated in the target patient population. In the Phase 2a clinical trial, 54% of patients out of 183 experienced one or more adverse events. There were six deaths, none of which were deemed to be attributable to BCT197. Over the six-month follow-up period, 13 patients experienced 15 significant adverse events, excluding deaths: 10 cases of COPD worsening or re-exacerbation, three of pneumonia, one of sinusitis and one of bladder cancer. Six of the COPD adverse events were in the placebo and prednisolone arms, two in the 20 mg repeat dose and two in the 75 mg repeat dose. None of these adverse events were considered by the investigators to be related to BCT-197. There were also two cases of rash in the 75 mg repeat dose arm. Two cases of mild and transient transaminase elevations were reported as adverse events, one in the 20 mg dose group and the other in the 75 mg repeat dose group. Other events were mild to moderate.</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Dose-Ranging Clinical Trial in AECOPD</w:t>
      </w:r>
    </w:p>
    <w:p>
      <w:pPr>
        <w:spacing w:after="0" w:line="122"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In December 2017, we reported top-line data from our completed dose-ranging Phase 2 clinical trial in the United States and Europe to identify the most effective dosing regimen for AECOPD</w:t>
      </w:r>
    </w:p>
    <w:p>
      <w:pPr>
        <w:spacing w:after="0" w:line="1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240" w:top="459" w:right="5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patients. The primary endpoint of the trial was to demonstrate a change in FEV1 from baseline to Day 7. A total of 282 patients enrolled in the trial.</w:t>
      </w:r>
    </w:p>
    <w:p>
      <w:pPr>
        <w:spacing w:after="0" w:line="197"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This dose-ranging trial assessed two dosing regimens of BCT-197 and placebo in combination with standard of care, which included steroids, antibiotics, and bronchodilators. Patients were followed for 26 weeks to explore recurrence rates of AECOPD and number of re-hospitalizations. Secondary and exploratory endpoints included clinical failure rate, number of moderate/severe AECOPDs during the trial, the area under the curve of FEV1 over time and time to normalization of FEV1.</w:t>
      </w:r>
    </w:p>
    <w:p>
      <w:pPr>
        <w:spacing w:after="0" w:line="202"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The reduction in clinical failure rate was also observed. Clinical treatment failure is defined as a composite endpoint in which any patient fulfils one of more of the following criteria:</w:t>
      </w:r>
    </w:p>
    <w:p>
      <w:pPr>
        <w:spacing w:after="0" w:line="188" w:lineRule="exact"/>
        <w:rPr>
          <w:sz w:val="20"/>
          <w:szCs w:val="20"/>
          <w:color w:val="auto"/>
        </w:rPr>
      </w:pPr>
    </w:p>
    <w:p>
      <w:pPr>
        <w:ind w:left="960" w:hanging="432"/>
        <w:spacing w:after="0"/>
        <w:tabs>
          <w:tab w:leader="none" w:pos="960" w:val="left"/>
        </w:tabs>
        <w:numPr>
          <w:ilvl w:val="0"/>
          <w:numId w:val="68"/>
        </w:numPr>
        <w:rPr>
          <w:rFonts w:ascii="MS PGothic" w:cs="MS PGothic" w:eastAsia="MS PGothic" w:hAnsi="MS PGothic"/>
          <w:sz w:val="25"/>
          <w:szCs w:val="25"/>
          <w:color w:val="auto"/>
          <w:vertAlign w:val="superscript"/>
        </w:rPr>
      </w:pPr>
      <w:r>
        <w:rPr>
          <w:rFonts w:ascii="Arial" w:cs="Arial" w:eastAsia="Arial" w:hAnsi="Arial"/>
          <w:sz w:val="18"/>
          <w:szCs w:val="18"/>
          <w:color w:val="auto"/>
        </w:rPr>
        <w:t>hospitalization or re-hospitalization due to worsening respiratory symptoms;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8"/>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the addition of another antibiotic or substitution of a new antibiotic;</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8"/>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an increase in dose of oral corticosteroids or initiation of new corticosteroids;</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68"/>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an additional treatment regimen of systemic corticosteroids and/or antibiotics, after completion of the first regimen;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8"/>
        </w:numPr>
        <w:rPr>
          <w:rFonts w:ascii="MS PGothic" w:cs="MS PGothic" w:eastAsia="MS PGothic" w:hAnsi="MS PGothic"/>
          <w:sz w:val="25"/>
          <w:szCs w:val="25"/>
          <w:color w:val="auto"/>
          <w:vertAlign w:val="superscript"/>
        </w:rPr>
      </w:pPr>
      <w:r>
        <w:rPr>
          <w:rFonts w:ascii="Arial" w:cs="Arial" w:eastAsia="Arial" w:hAnsi="Arial"/>
          <w:sz w:val="18"/>
          <w:szCs w:val="18"/>
          <w:color w:val="auto"/>
        </w:rPr>
        <w:t>COPD-related death;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new moderate or severe exacerbation after a period of seven days of resolution from the index AECOPD.</w:t>
      </w:r>
    </w:p>
    <w:p>
      <w:pPr>
        <w:spacing w:after="0" w:line="189" w:lineRule="exact"/>
        <w:rPr>
          <w:sz w:val="20"/>
          <w:szCs w:val="20"/>
          <w:color w:val="auto"/>
        </w:rPr>
      </w:pPr>
    </w:p>
    <w:p>
      <w:pPr>
        <w:ind w:left="200" w:right="80" w:firstLine="331"/>
        <w:spacing w:after="0" w:line="245" w:lineRule="auto"/>
        <w:rPr>
          <w:sz w:val="20"/>
          <w:szCs w:val="20"/>
          <w:color w:val="auto"/>
        </w:rPr>
      </w:pPr>
      <w:r>
        <w:rPr>
          <w:rFonts w:ascii="Arial" w:cs="Arial" w:eastAsia="Arial" w:hAnsi="Arial"/>
          <w:sz w:val="18"/>
          <w:szCs w:val="18"/>
          <w:color w:val="auto"/>
        </w:rPr>
        <w:t>Both dosing regimens of BCT-197 showed a statistically significant change in FEV1 from baseline to Day 7 (p=0.012 and p £ 0.001), meeting the trial’s primary endpoint on an intent-to-treat patient population basis. The standard of care plus placebo group did not show a significant change from baseline (p=0.102). The high- and low-dosage BCT-197 groups showed a mean improvement in FEV1 of 84 ml and 115 ml, respectively, compared to 57 ml for the standard of care plus placebo group. While the BCT-197 groups showed greater improvement when compared to the standard of care plus placebo group, the difference in improvement was not statistically significant.</w:t>
      </w:r>
    </w:p>
    <w:p>
      <w:pPr>
        <w:spacing w:after="0" w:line="1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24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41" w:lineRule="auto"/>
        <w:rPr>
          <w:sz w:val="20"/>
          <w:szCs w:val="20"/>
          <w:color w:val="auto"/>
        </w:rPr>
      </w:pPr>
      <w:r>
        <w:rPr>
          <w:rFonts w:ascii="Arial" w:cs="Arial" w:eastAsia="Arial" w:hAnsi="Arial"/>
          <w:sz w:val="18"/>
          <w:szCs w:val="18"/>
          <w:color w:val="auto"/>
        </w:rPr>
        <w:t>As shown in the chart below, the high-dose BCT-197 group showed a statistically significant reduction in clinical treatment failure of more than 50% (p £ 0.027 to 0.05) compared to the standard of care plus placebo group, measured by the number of rehospitalizations for the treatment of COPD at Days 90 through 150, with a trend observed as early as Day 30. A trend showing reduced composite clinical treatment failures of 56% to 28% from Day 30 through Day 150 was also observed in the high-dose BCT-197 group. We are currently conducting analysis of the data for the secondary and exploratory endpoints.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146685</wp:posOffset>
            </wp:positionV>
            <wp:extent cx="4622165" cy="2847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22165"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In a prespecified subgroup analysis of patients with low blood eosinophils of less than 2%, which comprised 68% of the patients in this trial, BCT-197 showed a trend toward improvement of FEV1 from baseline at Day 7, compared to standard of care plus placebo, which showed almost no improvement. Approximately 50% of COPD patients have low blood eosinophils and are considered to be resistant to treatment with steroids.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this trial, BCT-197 was observed to be well tolerated. Adverse events included two cases of acneiform rash, which were resolved.</w:t>
      </w:r>
    </w:p>
    <w:p>
      <w:pPr>
        <w:ind w:left="200"/>
        <w:spacing w:after="0"/>
        <w:rPr>
          <w:sz w:val="20"/>
          <w:szCs w:val="20"/>
          <w:color w:val="auto"/>
        </w:rPr>
      </w:pPr>
      <w:r>
        <w:rPr>
          <w:rFonts w:ascii="Arial" w:cs="Arial" w:eastAsia="Arial" w:hAnsi="Arial"/>
          <w:sz w:val="18"/>
          <w:szCs w:val="18"/>
          <w:color w:val="auto"/>
        </w:rPr>
        <w:t>No induced liver injuries were observed.</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BGS-649 (leflutrozole) for the Treatment of Hypogonadotropic Hypogonadism</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We are developing BGS-649 (leflutrozole) for the treatment of HH in obese men. In obese men, a decline in testosterone is exacerbated by high levels of the aromatase enzyme in the fat tissue. The aromatase enzyme converts testosterone to estradiol, thereby reducing testosterone levels. BGS-649 is a novel once-weekly oral aromatase inhibitor designed to normalize testosterone levels and improve HH without causing the excessively high testosterone levels and impaired fertility that may result from exogenous hormone replacement therapy, or TRT, the primary treatment for HH.</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Hypogonadotropic Hypogonadism</w:t>
      </w:r>
    </w:p>
    <w:p>
      <w:pPr>
        <w:spacing w:after="0" w:line="85" w:lineRule="exact"/>
        <w:rPr>
          <w:sz w:val="20"/>
          <w:szCs w:val="20"/>
          <w:color w:val="auto"/>
        </w:rPr>
      </w:pPr>
    </w:p>
    <w:p>
      <w:pPr>
        <w:ind w:left="200" w:right="320" w:firstLine="334"/>
        <w:spacing w:after="0" w:line="246" w:lineRule="auto"/>
        <w:tabs>
          <w:tab w:leader="none" w:pos="841"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 a clinical syndrome that results from the failure of the testes to produce adequate levels of testosterone. Low testosterone or male hypogonadism is classified in two different types: primary</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hypogonadism and HH. Primary hypogonadism generally results from the failure of the testes to produce sufficient levels of testosterone, due to testicular trauma, disease (such as mumps), or genetic defects. HH also results from the failure of the testes to produce sufficient levels of testosterone, in this case due to the disruption of the hypothalamic-pituitary-testicular, or HPT, axis, an endocrine pathway, and is typically associated with obesity, aging, stress, or as a side effect of medications. The symptoms of testosterone deficiency are non-specific, which can make the diagnosis difficult. Symptoms that are most commonly associated with testosterone deficiency include reduced or loss of libido, the absence of morning erections and erectile dysfunction. Other common symptoms include fatigue, impaired physical endurance, loss of vitality, lack of motivation and mood disturbance. In physician assessments of the symptoms of HH, patients rate decreased energy levels and impaired sexual function as having the greatest negative impact on quality of life.</w:t>
      </w:r>
    </w:p>
    <w:p>
      <w:pPr>
        <w:spacing w:after="0" w:line="208"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largest group affected by HH is comprised of men over the age of 40 who suffer from chronic diseases, such as obesity or type 2 diabetes. Based on World Health Organization, or WHO, estimates and scientific data, we believe there are approximately seven million cases of HH in obese men, generally defined as men with a body mass index, or BMI, of 30 kilograms per meter squared or more, in the United States and approximately five million cases of HH in obese men in Europe. Over 85% of men with HH are untreated despite access to care. Obesity rates continue to increase in the United States and in other developed and developing countries around the world. In 2016, the WHO estimated that 35.5% and 21.9% of males in the United States and the EU, respectively, were obese. A recent study in obese men, published in the Netherlands Journal of Medicine, showed that HH increased linearly with an increase in BMI.</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of Hypogonadotropic Hypogonadism</w:t>
      </w:r>
    </w:p>
    <w:p>
      <w:pPr>
        <w:spacing w:after="0" w:line="99"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The primary treatment for HH is TRT, in which testosterone is administered to normalize testosterone levels. There are several available routes of administering TRT, including intramuscular injections, scrotal patches, transdermal patches, transdermal gel, and implants. The direct replacement of testosterone exposes the patient to significant side effects. The FDA has concluded that there is a possible increased cardiovascular risk associated with TRT. One of the most common and serious side effects associated with TRT is impaired sperm formation. Additional complications caused by excessive testosterone include prostate enlargement, sleep apnea and worsening heart failure, gynecomastia, or breast development in males, and mood swings. Besides these side effects, each of these delivery methods also has considerable drawbacks. For example, intramuscular injections can be painful, gels and patches run the risk of testosterone transmission to other people, and patches can cause skin irritation.</w:t>
      </w:r>
    </w:p>
    <w:p>
      <w:pPr>
        <w:spacing w:after="0" w:line="208"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leading testosterone replacement products on the market are Abbvie’s AndroGel and Eli Lilly’s Axiron, both of which carry a black box warning. Both products are administered transdermally by applying a gel formulation. Allergan’s Androderm is the leading transdermal patch on the market. The most frequently prescribed intramuscular injections are Bayer’s Nebido and Endo’s Aveed. The leading implant on the market is Endo’s Testopel.</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8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Our product candidate for treating HH in obese men is BGS-649, which is intended for once-weekly oral administration and is designed to inhibit the aromatase enzyme, instead of directly replacing testosterone. The aromatase enzyme converts testosterone to estradiol, thereby reducing testosterone levels. Aromatase is expressed at high levels in fat tissue, and therefore obese men are potentially more prone to HH. BGS-649 is intended to restore normal levels of testosterone without causing the excessively high testosterone levels that may result from TRT. In addition, we believe that the long half-life of BGS-649 of 22 days may allow for convenient weekly dosing.</w:t>
      </w:r>
    </w:p>
    <w:p>
      <w:pPr>
        <w:spacing w:after="0" w:line="205"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Testosterone is a hormone that is regulated by three organs in the body, the hypothalamus, anterior pituitary glands and testes, which comprise the HPT axis. The initial stimulus for hormone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formation begins in the hypothalamus with the formation of hormones, such as gonadotropin-releasing hormone, or GnRH, that stimulate the pituitary gland to release LH and FSH. LH, in turn, stimulates the testicular production of testosterone, while FSH stimulates sperm formation. As testosterone levels rise, they feedback directly to the hypothalamus and indirectly through estradiol to the hypothalamus and anterior pituitary gland, which reduces the stimulation to produce more hormones, thereby creating a negative feedback loop that maintains normal testosterone levels. In obese men with HH, excessive aromatase enzyme in fat tissue convert testosterone into estradiol, which inhibits the HPT axis by the negative feedback loop.</w:t>
      </w:r>
    </w:p>
    <w:p>
      <w:pPr>
        <w:spacing w:after="0" w:line="205"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The administration of exogenous testosterone, such as with TRT, which is not controlled by the HPT feedback loop, rapidly leads to suppression of LH and FSH. Furthermore, as exogenous testosterone is not controlled by the HPT feedback loop, supraphysiological, or excessively high, levels of testosterone can be reached, which have been associated with cardiovascular disease. In contrast to exogenous TRT, BGS-649 is designed to inhibit aromatase and restore testosterone without disturbing the physiological feedback in the HPT axis, thereby maintaining or increasing LH and FSH with minimal risk of reaching supraphysiological levels of testosterone.</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diagram below illustrates the HPT feedback loop process, including the negative effects of TRT: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152400</wp:posOffset>
            </wp:positionV>
            <wp:extent cx="3944620" cy="32931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94462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BGS-649</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table of the historical, current and planned clinical trials of BGS-649:</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Historical Trials</w:t>
            </w: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Current Trials</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Planned Trials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Subjects</w:t>
            </w:r>
          </w:p>
        </w:tc>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Treated</w:t>
            </w: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Phase</w:t>
            </w:r>
          </w:p>
        </w:tc>
        <w:tc>
          <w:tcPr>
            <w:tcW w:w="32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9"/>
              </w:rPr>
              <w:t>with</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Phase</w:t>
            </w:r>
          </w:p>
        </w:tc>
        <w:tc>
          <w:tcPr>
            <w:tcW w:w="32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320" w:type="dxa"/>
            <w:vAlign w:val="bottom"/>
          </w:tcPr>
          <w:p>
            <w:pPr>
              <w:spacing w:after="0"/>
              <w:rPr>
                <w:sz w:val="14"/>
                <w:szCs w:val="14"/>
                <w:color w:val="auto"/>
              </w:rPr>
            </w:pPr>
          </w:p>
        </w:tc>
        <w:tc>
          <w:tcPr>
            <w:tcW w:w="1060" w:type="dxa"/>
            <w:vAlign w:val="bottom"/>
            <w:gridSpan w:val="2"/>
          </w:tcPr>
          <w:p>
            <w:pPr>
              <w:jc w:val="center"/>
              <w:ind w:right="28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 w:type="dxa"/>
            <w:vAlign w:val="bottom"/>
            <w:gridSpan w:val="2"/>
            <w:vMerge w:val="continue"/>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Studies</w:t>
            </w:r>
          </w:p>
        </w:tc>
        <w:tc>
          <w:tcPr>
            <w:tcW w:w="3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Population</w:t>
            </w:r>
          </w:p>
        </w:tc>
        <w:tc>
          <w:tcPr>
            <w:tcW w:w="15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BGS-649</w:t>
            </w:r>
          </w:p>
        </w:tc>
        <w:tc>
          <w:tcPr>
            <w:tcW w:w="15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Enrollment</w:t>
            </w:r>
          </w:p>
        </w:tc>
        <w:tc>
          <w:tcPr>
            <w:tcW w:w="24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Phase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Population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224"/>
              <w:spacing w:after="0"/>
              <w:rPr>
                <w:sz w:val="20"/>
                <w:szCs w:val="20"/>
                <w:color w:val="auto"/>
              </w:rPr>
            </w:pPr>
            <w:r>
              <w:rPr>
                <w:rFonts w:ascii="Arial" w:cs="Arial" w:eastAsia="Arial" w:hAnsi="Arial"/>
                <w:sz w:val="7"/>
                <w:szCs w:val="7"/>
                <w:color w:val="auto"/>
                <w:w w:val="71"/>
              </w:rPr>
              <w:t>*</w:t>
            </w: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0" w:type="dxa"/>
            <w:vAlign w:val="bottom"/>
            <w:gridSpan w:val="2"/>
          </w:tcPr>
          <w:p>
            <w:pPr>
              <w:spacing w:after="0"/>
              <w:rPr>
                <w:sz w:val="20"/>
                <w:szCs w:val="20"/>
                <w:color w:val="auto"/>
              </w:rPr>
            </w:pPr>
            <w:r>
              <w:rPr>
                <w:rFonts w:ascii="Arial" w:cs="Arial" w:eastAsia="Arial" w:hAnsi="Arial"/>
                <w:sz w:val="14"/>
                <w:szCs w:val="14"/>
                <w:color w:val="auto"/>
              </w:rPr>
              <w:t>Phase 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480" w:type="dxa"/>
            <w:vAlign w:val="bottom"/>
            <w:gridSpan w:val="2"/>
          </w:tcPr>
          <w:p>
            <w:pPr>
              <w:jc w:val="center"/>
              <w:ind w:left="308"/>
              <w:spacing w:after="0"/>
              <w:rPr>
                <w:sz w:val="20"/>
                <w:szCs w:val="20"/>
                <w:color w:val="auto"/>
              </w:rPr>
            </w:pPr>
            <w:r>
              <w:rPr>
                <w:rFonts w:ascii="Arial" w:cs="Arial" w:eastAsia="Arial" w:hAnsi="Arial"/>
                <w:sz w:val="14"/>
                <w:szCs w:val="14"/>
                <w:color w:val="auto"/>
              </w:rPr>
              <w:t>Healthy Women /</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95</w:t>
            </w:r>
          </w:p>
        </w:tc>
        <w:tc>
          <w:tcPr>
            <w:tcW w:w="58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Phase 2b</w:t>
            </w:r>
          </w:p>
        </w:tc>
        <w:tc>
          <w:tcPr>
            <w:tcW w:w="3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HH obese men</w:t>
            </w:r>
          </w:p>
        </w:tc>
        <w:tc>
          <w:tcPr>
            <w:tcW w:w="320" w:type="dxa"/>
            <w:vAlign w:val="bottom"/>
            <w:vMerge w:val="continue"/>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271</w:t>
            </w:r>
          </w:p>
        </w:tc>
        <w:tc>
          <w:tcPr>
            <w:tcW w:w="300" w:type="dxa"/>
            <w:vAlign w:val="bottom"/>
            <w:vMerge w:val="continue"/>
          </w:tcPr>
          <w:p>
            <w:pPr>
              <w:spacing w:after="0"/>
              <w:rPr>
                <w:sz w:val="13"/>
                <w:szCs w:val="13"/>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color w:val="auto"/>
              </w:rPr>
              <w:t>Phase 3</w:t>
            </w:r>
          </w:p>
        </w:tc>
        <w:tc>
          <w:tcPr>
            <w:tcW w:w="1000" w:type="dxa"/>
            <w:vAlign w:val="bottom"/>
          </w:tcPr>
          <w:p>
            <w:pPr>
              <w:jc w:val="center"/>
              <w:spacing w:after="0"/>
              <w:rPr>
                <w:sz w:val="20"/>
                <w:szCs w:val="20"/>
                <w:color w:val="auto"/>
              </w:rPr>
            </w:pPr>
            <w:r>
              <w:rPr>
                <w:rFonts w:ascii="Arial" w:cs="Arial" w:eastAsia="Arial" w:hAnsi="Arial"/>
                <w:sz w:val="14"/>
                <w:szCs w:val="14"/>
                <w:color w:val="auto"/>
              </w:rPr>
              <w:t>HH obese men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Endometriosis</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gridSpan w:val="2"/>
          </w:tcPr>
          <w:p>
            <w:pPr>
              <w:spacing w:after="0"/>
              <w:rPr>
                <w:sz w:val="20"/>
                <w:szCs w:val="20"/>
                <w:color w:val="auto"/>
              </w:rPr>
            </w:pPr>
            <w:r>
              <w:rPr>
                <w:rFonts w:ascii="Arial" w:cs="Arial" w:eastAsia="Arial" w:hAnsi="Arial"/>
                <w:sz w:val="14"/>
                <w:szCs w:val="14"/>
                <w:color w:val="auto"/>
              </w:rPr>
              <w:t>Phase 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Endometriosis</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5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Phase 2b (extension</w:t>
            </w:r>
          </w:p>
        </w:tc>
        <w:tc>
          <w:tcPr>
            <w:tcW w:w="3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HH obese men</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~120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60" w:type="dxa"/>
            <w:vAlign w:val="bottom"/>
            <w:gridSpan w:val="2"/>
            <w:vMerge w:val="restart"/>
          </w:tcPr>
          <w:p>
            <w:pPr>
              <w:spacing w:after="0"/>
              <w:rPr>
                <w:sz w:val="20"/>
                <w:szCs w:val="20"/>
                <w:color w:val="auto"/>
              </w:rPr>
            </w:pPr>
            <w:r>
              <w:rPr>
                <w:rFonts w:ascii="Arial" w:cs="Arial" w:eastAsia="Arial" w:hAnsi="Arial"/>
                <w:sz w:val="14"/>
                <w:szCs w:val="14"/>
                <w:color w:val="auto"/>
              </w:rPr>
              <w:t>Phase 2</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HH obese men</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24</w:t>
            </w:r>
          </w:p>
        </w:tc>
        <w:tc>
          <w:tcPr>
            <w:tcW w:w="5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study)</w:t>
            </w: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18180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ind w:left="520" w:hanging="316"/>
        <w:spacing w:after="0"/>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Trial fully enrolled.</w:t>
      </w:r>
    </w:p>
    <w:p>
      <w:pPr>
        <w:spacing w:after="0" w:line="19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i w:val="1"/>
          <w:iCs w:val="1"/>
          <w:color w:val="auto"/>
        </w:rPr>
        <w:t>Phase 2 Proof-of-Concept Clinical Trial in Hypogonadotropic Hypogonadism</w:t>
      </w:r>
    </w:p>
    <w:p>
      <w:pPr>
        <w:spacing w:after="0" w:line="94"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Novartis conducted a two-part Phase 2 proof-of-concept trial for HH in obese men in North America.</w:t>
      </w:r>
    </w:p>
    <w:p>
      <w:pPr>
        <w:spacing w:after="0" w:line="212"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Part 1 was an open-label trial to evaluate the pharmacokinetics and pharmacodynamics of BGS-649 in obese men. Fourteen patients were enrolled in this 12-week trial with a three-month follow-up phase. Patients received a first dose of BGS-649, and testosterone was measured on days five through seven to allow the physicians to choose subsequent doses with the goal of achieving and maintaining normal testosterone levels. Following the first dose, a range of doses were administered. The average BMI of participants was 34 kilograms per meter squared.</w:t>
      </w:r>
    </w:p>
    <w:p>
      <w:pPr>
        <w:spacing w:after="0" w:line="203"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Consistent with the goal of the trial, BGS-649 treatment increased testosterone into the normal range of 300 to 1,000 nanograms per deciliter, or ng/dl, in all patients exposed in Part 1. Mean baseline testosterone was 239 ng/dl, and rose to a mean of 514 ng/dl at week 12 of the trial. Both FSH and LH levels also increased in the BGS-649 group.</w:t>
      </w:r>
    </w:p>
    <w:p>
      <w:pPr>
        <w:spacing w:after="0" w:line="203" w:lineRule="exact"/>
        <w:rPr>
          <w:sz w:val="20"/>
          <w:szCs w:val="20"/>
          <w:color w:val="auto"/>
        </w:rPr>
      </w:pPr>
    </w:p>
    <w:p>
      <w:pPr>
        <w:jc w:val="both"/>
        <w:ind w:left="200" w:right="480" w:firstLine="331"/>
        <w:spacing w:after="0"/>
        <w:rPr>
          <w:sz w:val="20"/>
          <w:szCs w:val="20"/>
          <w:color w:val="auto"/>
        </w:rPr>
      </w:pPr>
      <w:r>
        <w:rPr>
          <w:rFonts w:ascii="Arial" w:cs="Arial" w:eastAsia="Arial" w:hAnsi="Arial"/>
          <w:sz w:val="18"/>
          <w:szCs w:val="18"/>
          <w:color w:val="auto"/>
        </w:rPr>
        <w:t>Part 2 was a two-arm, randomized, placebo-controlled, double-blind 12-week trial, with a three-month follow-up trial. The primary objectives were to evaluate the ability of BGS-649 to normalize testosterone and examine if normalized testosterone benefits insulin sensitivity. The secondary endpoints were safety, tolerability, pharmacodynamic effects on glucose, insulin and lipid metabolism.</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Fifteen patients were enrolled in Part 2 of the trial, eight in the placebo group and seven in the treatment arm. Originally, 30 patients were to be enrolled. Enrollment was terminated early due to a dosing error at a trial site, which resulted in three placebo patients receiving an active dose of BGS-649. The error was identified after testosterone levels in these three patients normalized, and was confirmed by the presence of BGS-649 in these patients’ plasma. The patients who were inadvertently given an initial dose of BGS-649 continued to the end of the trial on placebo. Their results were included in the safety database, but were not included in the efficacy analysis. Therefore, there were five placebo patients. Due to the early termination of the trial, among the placebo patients, one completed the full 12-week protocol, two completed week 10, one completed week seven and one completed week six.</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Of the seven patients treated with BGS-649, five completed all 11 doses, one completed week eight and one completed week six prior to termination of the trial. Their subsequent testosterone levels were recorded and included in efficacy analyses, though one patient missed the end-of-trial blood test as he withdrew consent. Despite the early termination, BGS-649 normalized testosterone levels in all patients treated.</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240" w:top="459" w:right="4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firstLine="331"/>
        <w:spacing w:after="0" w:line="234" w:lineRule="auto"/>
        <w:rPr>
          <w:sz w:val="20"/>
          <w:szCs w:val="20"/>
          <w:color w:val="auto"/>
        </w:rPr>
      </w:pPr>
      <w:r>
        <w:rPr>
          <w:rFonts w:ascii="Arial" w:cs="Arial" w:eastAsia="Arial" w:hAnsi="Arial"/>
          <w:sz w:val="18"/>
          <w:szCs w:val="18"/>
          <w:color w:val="auto"/>
        </w:rPr>
        <w:t>The treated patients received a loading dose of BGS-649 on day one, followed by a lower weekly dose of BGS-649. The testosterone levels of all patients treated with BGS-649 normalized after one dose and remained in the normal range throughout the treatment period, with the exception of one patient on day 21, whose level dropped to 279 ng/dl but recovered to a level of 480 ng/dl on day 27.</w:t>
      </w:r>
    </w:p>
    <w:p>
      <w:pPr>
        <w:spacing w:after="0" w:line="2"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Testosterone levels in the placebo patients occasionally reached the normal range, but this effect was not consistent or sustained. In the BGS-649 arm, the mean testosterone level increased from 273 ng/dl at baseline to 423 ng/dl at week 12. Both FSH and LH levels also increased in the BGS-649 group.</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following graph illustrates the percentage increase in testosterone level relative to baseline in patients receiving a weekly dose of BGS-649 or placebo. The testosterone increase was statistically significant in the BGS-649 group from day 4 (p=0.012), with a trend towards return to baseline by the end of the trial, with no evidence of increased total testosterone levels beyond the upper limit of the normal range in any patient exposed to BGS-649.</w:t>
      </w:r>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Percentage Change in Testosterone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243205</wp:posOffset>
            </wp:positionV>
            <wp:extent cx="5188585" cy="25044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8858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 w:hanging="316"/>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Last dose of BGS-649 administered at week 12 (day 78).</w:t>
      </w:r>
    </w:p>
    <w:p>
      <w:pPr>
        <w:jc w:val="both"/>
        <w:ind w:left="520" w:right="180" w:hanging="316"/>
        <w:spacing w:after="0" w:line="234"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Due to the early termination of this trial, some of these patients did not receive all doses of BGS-649 or placebo. Instead of the total number of patients who completed the trial in each group, the number of patients that were randomly assigned to each group at the start of the trial, or rn, is provided in this graph.</w:t>
      </w:r>
    </w:p>
    <w:p>
      <w:pPr>
        <w:spacing w:after="0" w:line="2" w:lineRule="exact"/>
        <w:rPr>
          <w:rFonts w:ascii="Arial" w:cs="Arial" w:eastAsia="Arial" w:hAnsi="Arial"/>
          <w:sz w:val="18"/>
          <w:szCs w:val="18"/>
          <w:color w:val="auto"/>
        </w:rPr>
      </w:pPr>
    </w:p>
    <w:p>
      <w:pPr>
        <w:ind w:left="520" w:right="620" w:hanging="316"/>
        <w:spacing w:after="0" w:line="234"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Five patients received BGS-649 through week 12 of the trial, one patient received BGS-649 through week 10, and one patient received BGS-649 through week eight.</w:t>
      </w:r>
    </w:p>
    <w:p>
      <w:pPr>
        <w:spacing w:after="0" w:line="1" w:lineRule="exact"/>
        <w:rPr>
          <w:rFonts w:ascii="Arial" w:cs="Arial" w:eastAsia="Arial" w:hAnsi="Arial"/>
          <w:sz w:val="18"/>
          <w:szCs w:val="18"/>
          <w:color w:val="auto"/>
        </w:rPr>
      </w:pPr>
    </w:p>
    <w:p>
      <w:pPr>
        <w:ind w:left="520" w:right="200" w:hanging="316"/>
        <w:spacing w:after="0"/>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One patient received placebo through week 12 of the trial, two patients received placebo through week 10, one patient received placebo through week seven and one patient received placebo through week six. Results from three patients randomly assigned to the placebo group who mistakenly received a dose of BGS-649 are excluded from this graph.</w:t>
      </w:r>
    </w:p>
    <w:p>
      <w:pPr>
        <w:spacing w:after="0" w:line="203" w:lineRule="exact"/>
        <w:rPr>
          <w:sz w:val="20"/>
          <w:szCs w:val="20"/>
          <w:color w:val="auto"/>
        </w:rPr>
      </w:pPr>
    </w:p>
    <w:p>
      <w:pPr>
        <w:ind w:left="200" w:right="260" w:firstLine="331"/>
        <w:spacing w:after="0"/>
        <w:rPr>
          <w:sz w:val="20"/>
          <w:szCs w:val="20"/>
          <w:color w:val="auto"/>
        </w:rPr>
      </w:pPr>
      <w:r>
        <w:rPr>
          <w:rFonts w:ascii="Arial" w:cs="Arial" w:eastAsia="Arial" w:hAnsi="Arial"/>
          <w:sz w:val="18"/>
          <w:szCs w:val="18"/>
          <w:color w:val="auto"/>
        </w:rPr>
        <w:t>The following graph illustrates the percentage change in LH levels in patients receiving a weekly dose of BGS-649 or placebo, showing a trend towards an increase in LH levels in the treated group with a return to baseline by end of trial. These results, combined with observed upregulated FSH levels</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240" w:top="459"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in the treated group (described below), suggest that the negative feedback loop controlling the gonadotropin levels in the HPT axis was not disrupted.</w:t>
      </w:r>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Percentage Change in LH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243205</wp:posOffset>
            </wp:positionV>
            <wp:extent cx="5188585" cy="23323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8585"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0" w:hanging="316"/>
        <w:spacing w:after="0"/>
        <w:tabs>
          <w:tab w:leader="none" w:pos="5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Last dose of BGS-649 administered at week 12 (day 78).</w:t>
      </w:r>
    </w:p>
    <w:p>
      <w:pPr>
        <w:jc w:val="both"/>
        <w:ind w:left="520" w:right="180" w:hanging="316"/>
        <w:spacing w:after="0" w:line="234"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Due to the early termination of this trial, some of these patients did not receive all doses of BGS-649 or placebo. Instead of the total number of patients who completed the trial in each group, the number of patients that were randomly assigned to each group at the start of the trial, or rn, is provided in this graph.</w:t>
      </w:r>
    </w:p>
    <w:p>
      <w:pPr>
        <w:spacing w:after="0" w:line="2" w:lineRule="exact"/>
        <w:rPr>
          <w:rFonts w:ascii="Arial" w:cs="Arial" w:eastAsia="Arial" w:hAnsi="Arial"/>
          <w:sz w:val="18"/>
          <w:szCs w:val="18"/>
          <w:color w:val="auto"/>
        </w:rPr>
      </w:pPr>
    </w:p>
    <w:p>
      <w:pPr>
        <w:ind w:left="520" w:hanging="316"/>
        <w:spacing w:after="0" w:line="234"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Five patients received BGS-649 through week 12 of the trial, one patient received BGS-649 through week 10, and one patient received BGS-649 through week eight. Results at week 10 reflect only three patients, as LH was not measured at this data point in all patients.</w:t>
      </w:r>
    </w:p>
    <w:p>
      <w:pPr>
        <w:spacing w:after="0" w:line="2" w:lineRule="exact"/>
        <w:rPr>
          <w:rFonts w:ascii="Arial" w:cs="Arial" w:eastAsia="Arial" w:hAnsi="Arial"/>
          <w:sz w:val="18"/>
          <w:szCs w:val="18"/>
          <w:color w:val="auto"/>
        </w:rPr>
      </w:pPr>
    </w:p>
    <w:p>
      <w:pPr>
        <w:ind w:left="520" w:right="200" w:hanging="316"/>
        <w:spacing w:after="0" w:line="239" w:lineRule="auto"/>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One patient received placebo through week 12 of the trial, two patients received placebo through week 10, one patient received placebo through week seven and one patient received placebo through week six. Results from three patients randomly assigned to the placebo group who mistakenly received a dose of BGS-649 are excluded from this graph. Results at week 10 reflect only two patients, as LH was not measured at this data point in all patients.</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240" w:top="459" w:right="5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120" w:firstLine="331"/>
        <w:spacing w:after="0"/>
        <w:rPr>
          <w:sz w:val="20"/>
          <w:szCs w:val="20"/>
          <w:color w:val="auto"/>
        </w:rPr>
      </w:pPr>
      <w:r>
        <w:rPr>
          <w:rFonts w:ascii="Arial" w:cs="Arial" w:eastAsia="Arial" w:hAnsi="Arial"/>
          <w:sz w:val="18"/>
          <w:szCs w:val="18"/>
          <w:color w:val="auto"/>
        </w:rPr>
        <w:t>The following graph illustrates the percentage change in FSH levels in patients receiving a weekly dose of BGS-649 or placebo. The trend towards an increase in FSH as compared to placebo indicates that the production of FSH increased in the treatment group and that production was sustained during the trial period, in contrast to placebo.</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Percentage Change in FSH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243205</wp:posOffset>
            </wp:positionV>
            <wp:extent cx="5205730" cy="2693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05730"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0" w:hanging="316"/>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Last dose of BGS-649 administered at week 12 (day 78).</w:t>
      </w:r>
    </w:p>
    <w:p>
      <w:pPr>
        <w:jc w:val="both"/>
        <w:ind w:left="520" w:right="260" w:hanging="316"/>
        <w:spacing w:after="0" w:line="234"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Due to the early termination of this trial, some of these patients did not receive all doses of BGS-649 or placebo. Instead of the total number of patients who completed the trial in each group, the number of patients that were randomly assigned to each group at the start of the trial, or rn, is provided in this graph.</w:t>
      </w:r>
    </w:p>
    <w:p>
      <w:pPr>
        <w:spacing w:after="0" w:line="2" w:lineRule="exact"/>
        <w:rPr>
          <w:rFonts w:ascii="Arial" w:cs="Arial" w:eastAsia="Arial" w:hAnsi="Arial"/>
          <w:sz w:val="18"/>
          <w:szCs w:val="18"/>
          <w:color w:val="auto"/>
        </w:rPr>
      </w:pPr>
    </w:p>
    <w:p>
      <w:pPr>
        <w:ind w:left="520" w:right="180" w:hanging="316"/>
        <w:spacing w:after="0" w:line="234"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Five patients received BGS-649 through week 12 of the trial, one patient received BGS-649 through week 10, and one patient received BGS-649 through week eight. Results at week 10 reflect only three patients, as FSH was not measured at this data point in all patients.</w:t>
      </w:r>
    </w:p>
    <w:p>
      <w:pPr>
        <w:spacing w:after="0" w:line="2" w:lineRule="exact"/>
        <w:rPr>
          <w:rFonts w:ascii="Arial" w:cs="Arial" w:eastAsia="Arial" w:hAnsi="Arial"/>
          <w:sz w:val="18"/>
          <w:szCs w:val="18"/>
          <w:color w:val="auto"/>
        </w:rPr>
      </w:pPr>
    </w:p>
    <w:p>
      <w:pPr>
        <w:ind w:left="520" w:right="280" w:hanging="316"/>
        <w:spacing w:after="0" w:line="239"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One patient received placebo through week 12 of the trial, two patients received placebo through week 10, one patient received placebo through week seven and one patient received placebo through week six. Results from three patients randomly assigned to the placebo group who mistakenly received a dose of BGS-649 are excluded from this graph. Results at week 10 reflect only two patients, as FSH was not measured at this data point in all patients.</w:t>
      </w:r>
    </w:p>
    <w:p>
      <w:pPr>
        <w:spacing w:after="0" w:line="18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i w:val="1"/>
          <w:iCs w:val="1"/>
          <w:color w:val="auto"/>
        </w:rPr>
        <w:t>Summary of Safety Results</w:t>
      </w:r>
    </w:p>
    <w:p>
      <w:pPr>
        <w:spacing w:after="0" w:line="54"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In the clinical trials conducted by Novartis, BGS-649 was well tolerated in the 131 treated patients, with no treatment related serious adverse events. In the Phase 2 proof-of-concept trial in HH, there were 41 adverse events, 16 in the BGS-649 group and 25 in the placebo group. In the BGS-649 group, six of the adverse events were moderate and 10 were mild.</w:t>
      </w:r>
    </w:p>
    <w:p>
      <w:pPr>
        <w:spacing w:after="0" w:line="203"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In Part 1 of the trial there were 59 adverse events, 16 of which were moderate and 43 of which were mild. These adverse events were transient and resolved spontaneously. Four patients reported spontaneous penile erection, three patients reported an episode of a headache and two patients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spacing w:after="0"/>
        <w:rPr>
          <w:sz w:val="20"/>
          <w:szCs w:val="20"/>
          <w:color w:val="auto"/>
        </w:rPr>
      </w:pPr>
      <w:r>
        <w:rPr>
          <w:rFonts w:ascii="Arial" w:cs="Arial" w:eastAsia="Arial" w:hAnsi="Arial"/>
          <w:sz w:val="18"/>
          <w:szCs w:val="18"/>
          <w:color w:val="auto"/>
        </w:rPr>
        <w:t>reported abnormal hair growth, which were suspected of being related to BGS-649. Other common adverse events were oropharyngeal pain, nasal congestion, diarrhea, arthralgia, cough, dizziness and frequent bowel movements. There were no drug-related significant adverse events.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Part 2 of the trial, the most common adverse events were lack of energy, headache, nasal congestion, somnolence, and spontaneous penile erection, which were distributed broadly across the BGS-649 and placebo groups. None of these adverse events occurred in more than three patients. Special safety parameters, including prostate specific antigen, haematocrit, hemoglobin, high-density lipoprotein, and bone turnover markers, showed no significant effect of BGS-649. We are monitoring these parameters in the current trial.</w:t>
      </w:r>
    </w:p>
    <w:p>
      <w:pPr>
        <w:spacing w:after="0" w:line="202"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A reproductive toxicology trial was also performed in rats to evaluate the risk of potential transference of BGS-649 in the semen, and no reproductive toxicology risk was identified. The maximum dosage would equate to a maximum of 4,700 times the human exposure, which should provide a significant safety margin.</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Current Phase 2b Clinical Trial in Hypogonadotropic Hypogonadism</w:t>
      </w:r>
    </w:p>
    <w:p>
      <w:pPr>
        <w:spacing w:after="0" w:line="54"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We have fully enrolled 271 patients in a Phase 2b clinical trial of BGS-649 in the United States and Europe. This is a multi-center, randomized double-blind, dose-ranging, placebo-controlled trial of BGS-649 in obese males with HH with a BMI of over 30.</w:t>
      </w:r>
    </w:p>
    <w:p>
      <w:pPr>
        <w:spacing w:after="0" w:line="197"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The primary endpoint of this trial is to measure the percentage of patients whose testosterone levels normalize. The trial is designed to detect when at least 75% of patients have normalized testosterone levels.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secondary endpoints are:</w:t>
      </w:r>
    </w:p>
    <w:p>
      <w:pPr>
        <w:spacing w:after="0" w:line="203" w:lineRule="exact"/>
        <w:rPr>
          <w:sz w:val="20"/>
          <w:szCs w:val="20"/>
          <w:color w:val="auto"/>
        </w:rPr>
      </w:pPr>
    </w:p>
    <w:p>
      <w:pPr>
        <w:ind w:left="960" w:hanging="432"/>
        <w:spacing w:after="0"/>
        <w:tabs>
          <w:tab w:leader="none" w:pos="9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of BGS-649 to normalize testosterone in at least 90% of patients;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proportion of subjects that have normalization of testosterone at week 24;</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effects of BGS-649 on LH and FSH;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proportion of subjects that overshoot testosterone levels at 24 weeks.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addition, the trial is designed:</w:t>
      </w:r>
    </w:p>
    <w:p>
      <w:pPr>
        <w:spacing w:after="0" w:line="239" w:lineRule="exact"/>
        <w:rPr>
          <w:sz w:val="20"/>
          <w:szCs w:val="20"/>
          <w:color w:val="auto"/>
        </w:rPr>
      </w:pPr>
    </w:p>
    <w:p>
      <w:pPr>
        <w:ind w:left="960" w:right="20" w:hanging="432"/>
        <w:spacing w:after="0" w:line="223"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investigate the benefit on patient-reported outcomes, including the International Index of Erectile Function, PROMIS SexFS, and the Brief Fatigue Inventory, which examine the most common complaints HH patients present to a doctor, sexual dysfunction and fatigue;</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assess the effects of BGS-649 on semen analysis (sperm count and motility), in a subset of patients; and</w:t>
      </w:r>
    </w:p>
    <w:p>
      <w:pPr>
        <w:spacing w:after="0" w:line="26" w:lineRule="exact"/>
        <w:rPr>
          <w:rFonts w:ascii="MS PGothic" w:cs="MS PGothic" w:eastAsia="MS PGothic" w:hAnsi="MS PGothic"/>
          <w:sz w:val="25"/>
          <w:szCs w:val="25"/>
          <w:color w:val="auto"/>
          <w:vertAlign w:val="superscript"/>
        </w:rPr>
      </w:pPr>
    </w:p>
    <w:p>
      <w:pPr>
        <w:ind w:left="960" w:right="520" w:hanging="432"/>
        <w:spacing w:after="0" w:line="218"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safety and tolerability, which will include analysis of lipid profiles, haematocrit bone turnover markers, and bone mineral density measured by DEXA score.</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Patients have been split into a placebo arm and three BGS-649 arms. The trial involves a four-week screening phase followed by a 24-week treatment phase and a 12-week follow-up period. A subset of patients are entering into a six-month extension study, to gain long-term data on both efficacy and safety. An interim analysis was completed in early 2017 that recommended the continuation of all three dosing arms following a review of efficacy and safety data.</w:t>
      </w:r>
    </w:p>
    <w:p>
      <w:pPr>
        <w:spacing w:after="0" w:line="202"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We expect to report top-line data from this trial in the first quarter of 2018. If the results from the Phase 2b clinical trial are favorable, and subject to an End of Phase 2 meeting to be conducted with the FDA, we intend to commence a Phase 3 clinical program for BGS-649.</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Agreements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Novartis Agreements</w:t>
      </w:r>
    </w:p>
    <w:p>
      <w:pPr>
        <w:spacing w:after="0" w:line="99"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In July 2015, our wholly owned subsidiaries, Mereo BioPharma 3 Limited, Mereo BioPharma 2 Limited, and Mereo BioPharma 1 Limited, or the Subsidiaries, entered into asset purchase agreements, or the Purchase Agreements, to acquire from Novartis rights to, respectively, BPS-804, BCT-197, and BGS-649, or the Compounds, and certain related assets, which, together with the Compounds, we refer to as the Novartis Assets. In connection with the acquisition of the Novartis Assets, we issued 3,849,000 ordinary shares to Novartis pursuant to a subscription agreement. See “Related Party Transactions—Subscription Agreement” for more information. In addition, we paid Novartis $ 1.5 million for a payment made by Novartis to a third party in full satisfaction of all monetary obligations of Novartis to such third party with respect to BCT-197. Under the Purchase Agreements, we have agreed to make tiered royalty payments to Novartis based on annual worldwide net sales of products that include the Compounds, or the Acquired Novartis Products, at percentages ranging from the high single digits to low double digits. In the event that the parties agree or it is otherwise determined in accordance with the Purchase Agreements that we require third-party intellectual property rights to exploit the Acquired Novartis Products,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 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21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granted Novartis an irrevocable, transferable, royalty-free, worldwide and non-exclusive license to use know-how included within the Novartis Assets for Novartis’ activities unrelated to any Acquired Novartis Products. We have agreed to use commercially reasonable efforts to develop at least one Acquired Novartis Product. In addition, Novartis agreed to a three-year non-competition restriction in relation to clinical trial activities for the therapeutic treatment of HH in obese men in respect of the BGS-649 Compound and sclerostin in respect of the BGS-804 Compound, subject to exceptions, including where Novartis does not have the ability to control such clinical trial activity and for any of Novartis’ existing contracts or relationships.</w:t>
      </w:r>
    </w:p>
    <w:p>
      <w:pPr>
        <w:spacing w:after="0" w:line="20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We also entered into a sublicense agreement with Novartis, or the Sublicense Agreement, pursuant to which Novartis granted us an exclusive, worldwide, royalty-bearing sublicense for certain therapeutic antibody products directed against sclerostin, or the Antibody Products, including BPS-804. Under the Sublicense Agreement, we have agreed to pay Novartis royalties in the low single digits on worldwide net sales of Antibody Products. Royalties will be payable on a country-by-country basis until the later of expiration of the last valid claim of the licensed patents covering the Antibody Products in a country and ten years after the first commercial sale of the Antibody Products in such country, with a maximum royalty term of 12 years after the first commercial sale of the Antibody Products in such country. We have also agreed to pay Novartis up to $3.25 million in development and regulatory milestones, and to use commercially reasonable efforts to develop and commercialize an Antibody Product. The Sublicense Agreement will expire on the earlier of the termination of the agreement under which Novartis is granting us a sublicense, or the Original License Agreement, and, on a product-by-product and country-by-country basis, the expiration of the royalty term with respect to such Antibody Product in such country. The Original License Agreement has a perpetual term and may be terminated for breach or upon a change in control of the licensing party. We may terminate the Sublicense Agreement upon written notice to Novartis and either party may terminate the Sublicense Agreement for the other party’s uncured material breach or bankruptcy.</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AstraZeneca Agreement</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or the License Agreement, to obtain from AstraZeneca an exclusive worldwide, sub-licensable license under AstraZeneca’s intellectual property rights relating to certain products containing a NE inhibitor, including products that contain AZD-9668, with an option to acquire such intellectual property rights following commencement of a pivotal trial and payment of related milestone payments, or the Option, together with the acquisition of certain related assets.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Upon entering into the License Agreement, we made a payment of $3.0 million and issued 490,798 ordinary shares to AstraZeneca, for an aggregate upfront payment equal to $5.0 million. In connection with certain development and regulatory milestones, we have agreed to make payments of up to $115.5 million in the aggregate and issue additional ordinary shares to AstraZeneca for licensed products containing AZD-9668. In addition, we have agreed to make payments to AstraZeneca based on specified commercial milestones of the product. In the event that we sub-license AZD-9668, we have also agreed to pay a specified percentage of sublicensing revenue to AstraZeneca. Otherwise, we have agreed to make royalty payments to AstraZeneca equal to ascending specified percentages of tiered annual worldwide net sales by us or our affiliates of licensed products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we may freely grant sub-licenses to affiliates upon notice to AstraZeneca and we must obtain AstraZeneca’s consent, not be unreasonably withheld, to grant sub-licenses to a third party. We have agreed to use commercially reasonable efforts to develop and commercialize at least one licensed product.</w:t>
      </w:r>
    </w:p>
    <w:p>
      <w:pPr>
        <w:spacing w:after="0" w:line="205"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The License Agreement will expire on the expiry of the last-to-expire royalty term with respect to all licensed products. Upon the expiration of the royalty term for a licensed product in a particular country, the licenses to us for such product in such country will become fully-paid and irrevocable. Prior to exercise of the Option, if at all, we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 inhibitors for the treatment of AATD. In addition, AstraZeneca agreed not to assert any AstraZeneca intellectual property rights that were included in the scope of the License Agreement against 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We do not own or operate manufacturing facilities for the production of our product candidates, nor do we have plans to develop our own manufacturing operations in the foreseeable future. We have entered into manufacturing agreements with a number of drug substance, drug product, and other manufacturers and suppliers for BPS-804, BCT-197, and BGS-649, and we intend to enter into additional manufacturing agreements as necessary. Following our license of AZD-9668, we acquired certain clinical trial materials and we plan to outsource production of further clinical supplies to our own manufacturing suppliers. We also intend to outsource certain product formulation trials. We expect that drug product pre-validation and validation batches will be manufactured to satisfy regulatory requirements where we progress products to late stage trials.</w:t>
      </w:r>
    </w:p>
    <w:p>
      <w:pPr>
        <w:spacing w:after="0" w:line="203"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We do not yet have any contractual relationships for the manufacture of commercial supplies of BPS-804, AZD-9668, BCT-197, or BGS-649, and we intend to enter into contractual relationships for commercial supplies prior to commercialization of any product candidates. Any batches of product candidates for commercialization will need to be manufactured in facilities, and by processes, that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0"/>
        <w:spacing w:after="0"/>
        <w:rPr>
          <w:sz w:val="20"/>
          <w:szCs w:val="20"/>
          <w:color w:val="auto"/>
        </w:rPr>
      </w:pPr>
      <w:r>
        <w:rPr>
          <w:rFonts w:ascii="Arial" w:cs="Arial" w:eastAsia="Arial" w:hAnsi="Arial"/>
          <w:sz w:val="18"/>
          <w:szCs w:val="18"/>
          <w:color w:val="auto"/>
        </w:rPr>
        <w:t>comply with the requirements of the FDA, the EMA, and the regulatory agencies of other jurisdictions in which we are seeking approval. We employ internal resources to manage our manufacturing contractors and ensure they are compliant with current good manufacturing practices.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Commercialization, Sales and Marketing</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do not have our own marketing, sales, or distribution capabilities. In order to commercialize our product candidates, if approved for commercial sale, we must either develop a sales and marketing infrastructure or collaborate with third parties that have sales and marketing experience. We plan to establish our own sales and marketing organization in the United States and Europe for BPS-804 and AZD-9668, and may seek to directly commercialize our future rare disease product candidates. In markets for which commercialization may be less capital efficient for us, we may selectively pursue arrangements with third parties in order to maximize the commercial potential of BPS-804, AZD-9668, and our future rare disease product candidates. We intend to seek to enter into one or more strategic relationships with third parties for BCT-197 to undertake the next phase of clinical development and, if approved, for commercialization, and to seek to enter into strategic relationships with third parties for further clinical development and/or commercialization of BGS-649.</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85"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We compete directly with other biopharmaceutical and pharmaceutical companies that focus on the treatment of OI, AATD, AECOPD or HH. We may also face competition from academic research institutions, governmental agencies and other various public and private research institutions. We expect to face increasingly intense competition as new technologies become available. Any product candidates, including BPS-804, AZD-9668, BCT-197, and BGS-649 that we successfully develop and commercialize will compete with existing therapies and new therapies that may become available in the future.</w:t>
      </w:r>
    </w:p>
    <w:p>
      <w:pPr>
        <w:spacing w:after="0" w:line="203"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We consider BPS-804’s current closest potential competitors in development for the treatment of OI to be Amgen’s denosumab (Prolia) an anti-resorptive agent, and Amgen and UCB’s anti-sclerostin antibody, romosozumab. Blosozumab, an anti-sclerostin antibody, was in Phase 1 development for osteoporosis by Eli Lilly; however, we are not aware of any ongoing clinical trials for this product candidate and we do not believe this product candidate remains under active development. Additionally, Bone Therapeutics is developing osteoblastic cell therapy products.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We consider AZD-9668’s current closest potential competitors for the treatment of severe AATD to be alpha1-proteinase inhibitors that are administered intravenously in AAT augmentation therapy. Currently, there are four inhibitors on the market in the United States: Grifols’s Prolastin-C, Shire’s Aralast, CSL’s Zemaira and Kamada’s Glassia. Kamada is also investigating an inhaled version of augmentation therapy and Apic Bio and Adverum are in the early stages of developing gene-therapy approaches for AATD. Santhera has inlicensed an inhaled neutrophil elastase inhibitor and is planning a multiple ascending dose study, with the initial indication targeted being cystic fibrosis.</w:t>
      </w:r>
    </w:p>
    <w:p>
      <w:pPr>
        <w:spacing w:after="0" w:line="205"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current standard of care for AECOPD involves steroids, antibiotics and bronchodilators; however, we are not aware of any drugs specifically approved for the treatment of AECOPD. There are a number of products currently in development, with Verona Pharma, GlaxoSmithKline, and AstraZeneca each conducting Phase 2 clinical trials of drugs for the treatment of COPD. We consider BCT-197’s current closest potential competitor in development for the treatment of AECOPD to be Verona Pharma’s RPL554, a PDE3 / PDE4 dual inhibitor that is currently being developed as a bronchodilator and anti-inflammatory agent for COPD and asthma patients. GlaxoSmithKline is developing GSK-2269557, a PI3Kd inhibitor, for the treatment of acute and long term use in COPD and asthma, which we believe to be an anti-inflammatory. GSK-2269557 is currently being studied in a Phase 2 clinical trial.</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consider BGS-649’s current closest potential competitors for the treatment of HH to be TRT therapies. These include Abbvie’s Androgel and Eli Lilly’s Axiron, both administered transdermally by applying a gel formulation, which are approved in the United States and Europe, and Merck’s Andriol, an oral testosterone therapy, which is approved in Europe but not in the United States. There are also other approved TRT products that are administered via injection and other oral TRTs that are still in the development or registration stages, such as JATENZO from Clarus and TLANDO from Lipocine. The FDA held Advisory Committee meetings in January 2018 for JATENZO and TLANDO. Lipocine has a PDUFA date of May 8, 2018. In addition, Repros is developing a selective estrogen receptor modulator and CHMP/EMA adopted a negative opinion recommending the refusal of its marketing authorization. In December 2017, Allergen announced the acquisition of Repros.</w:t>
      </w:r>
    </w:p>
    <w:p>
      <w:pPr>
        <w:spacing w:after="0" w:line="208"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We may face increasing competition for additional new product acquisitions from pharmaceutical companies as new companies emerge with a similar business model and other more established companies focus on acquiring products to develop their pipeline. Many of our competitors have significantly greater financial, manufacturing, marketing, drug development, technical and human resources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and establishing clinical trial sites and patient registration for clinical trials.</w:t>
      </w:r>
    </w:p>
    <w:p>
      <w:pPr>
        <w:spacing w:after="0" w:line="208"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key competitive factors affecting the success of BPS-804, AZD-9668, BCT-197 and BGS-649, if approved, are likely to be their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203"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less expensive, more convenient or easier to administer, or have fewer or less severe effects than any products that we may develop. Our competitors may also obtain FDA, EMA or other regulatory approval for their products more rapidly than we may obtain approval for ours, which could result in our competitors establishing a strong market position before we are able to enter the market. Even if BPS-804, AZD-9668, BCT-197 or BGS-649 achieve marketing approval, they may be priced at a significant premium over competitive products if any have been approved by then.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99"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We have acquired or exclusively licensed a comprehensive intellectual property portfolio from Novartis and AstraZeneca, respectively. We strive to protect and enhance the proprietary technologies, inventions and improvements that we believe are important to our business, including seeking, maintaining and defending patent rights, whether developed internally or acquired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20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Mereo BioPharma Group plc is the parent company of four wholly-owned subsidiaries: Mereo BioPharma 1 Limited, Mereo BioPharma 2 Limited, Mereo BioPharma 3 Limited and Mereo BioPharma 4 Limited, each of which holds the intellectual property for our product candidates BCT-197, BGS-649, BPS-804 and AZD-9668, respectively. As of March 1, 2018, our patent portfolio comprises approximately 275 issued patents and approximately 39 pending patent applications on a global basis.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BPS-804 (setrusumab)</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As of March 1, 2018, our patent portfolio relating to our product candidate BPS-804 consisted of three issued U.S. patents, one pending U.S. patent application, 84 issued foreign patents, five pending foreign patent applications and two pending international patent applications filed under the Patent Cooperation Treaty, or PCT. These patents and patent applications include claims directed to the BPS-804 antibody as well as nucleic acids encoding the antibody and the antibody’s use as a medicament; the use of anti-sclerostin antibodies in the treatment of OI; the use of the BPS-804 antibody in the treatment of OI with a specific dosing regimen; and the use of a specific anti-sclerostin antibody in the treatment of OI, with expected expiry dates not earlier than between 2028 and 2037.</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our product candidate BPS-804 includes two patent families:</w:t>
      </w:r>
    </w:p>
    <w:p>
      <w:pPr>
        <w:spacing w:after="0" w:line="239" w:lineRule="exact"/>
        <w:rPr>
          <w:sz w:val="20"/>
          <w:szCs w:val="20"/>
          <w:color w:val="auto"/>
        </w:rPr>
      </w:pPr>
    </w:p>
    <w:p>
      <w:pPr>
        <w:ind w:left="960" w:right="60" w:hanging="432"/>
        <w:spacing w:after="0" w:line="229" w:lineRule="auto"/>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the BPS-804 antibody as well as nucleic acids encoding the antibody and the antibody’s use as a medicament. As of March 1, 2018, this patent family included granted patents in Algeria, Argentina, Australia, Canada, China, Colombia, Europe (Austria, Belgium, Bulgaria, Croatia, Cyprus, Czech Republic, Denmark, Estonia, Finland, France, Germany, Greece, Hungary, Iceland, Ireland, Italy, Latvia, Lithuania, Luxembourg, Malta, Monaco, Netherlands, Norway, Poland, Portugal, Romania, Slovakia, Slovenia, Spain, Sweden, Switzerland, Turkey and United Kingdom), Gulf Cooperation Council countries, Hong Kong, Indonesia, Israel, Japan, Macau, Mexico, New Zealand, Russia, Singapore, South Africa, South Korea and the United States. We expect patents in this family to expire in 2028.</w:t>
      </w:r>
    </w:p>
    <w:p>
      <w:pPr>
        <w:spacing w:after="0" w:line="72" w:lineRule="exact"/>
        <w:rPr>
          <w:rFonts w:ascii="MS PGothic" w:cs="MS PGothic" w:eastAsia="MS PGothic" w:hAnsi="MS PGothic"/>
          <w:sz w:val="25"/>
          <w:szCs w:val="25"/>
          <w:color w:val="auto"/>
          <w:vertAlign w:val="superscript"/>
        </w:rPr>
      </w:pPr>
    </w:p>
    <w:p>
      <w:pPr>
        <w:ind w:left="960" w:right="60" w:hanging="432"/>
        <w:spacing w:after="0" w:line="226" w:lineRule="auto"/>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anti-sclerostin antibodies in the treatment of OI and the use of the BPS-804 antibody in the treatment of OI at a specific dosing regimen. As of March 1, 2018, this patent family included one U.S. non-provisional application and two pending international patent applications filed under the PCT. We expect patents emanating from this family to expire in 2036/2037.</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AZD-9668 (alvelestat)</w:t>
      </w:r>
    </w:p>
    <w:p>
      <w:pPr>
        <w:spacing w:after="0" w:line="85" w:lineRule="exact"/>
        <w:rPr>
          <w:sz w:val="20"/>
          <w:szCs w:val="20"/>
          <w:color w:val="auto"/>
        </w:rPr>
      </w:pPr>
    </w:p>
    <w:p>
      <w:pPr>
        <w:ind w:left="200" w:right="400" w:firstLine="331"/>
        <w:spacing w:after="0" w:line="238" w:lineRule="auto"/>
        <w:rPr>
          <w:sz w:val="20"/>
          <w:szCs w:val="20"/>
          <w:color w:val="auto"/>
        </w:rPr>
      </w:pPr>
      <w:r>
        <w:rPr>
          <w:rFonts w:ascii="Arial" w:cs="Arial" w:eastAsia="Arial" w:hAnsi="Arial"/>
          <w:sz w:val="18"/>
          <w:szCs w:val="18"/>
          <w:color w:val="auto"/>
        </w:rPr>
        <w:t>As of March 1, 2018, our patent portfolio relating to our product candidate AZD-9668 consisted of three issued U.S. patents, no pending U.S. patent applications, 34 issued foreign patents and four pending foreign patent applications. These patents have all been licensed under our agreement with AstraZeneca. See “—Material Agreements—AstraZeneca Agreement.” These patents and patent applications include claims directed to 2-pyridone derivatives as NE inhibitors and their uses as well as claims to polymorphs of the tosylate salt of a 5-pyrazolyl-2-pyridone derivative, with expected expiry dates not earlier than between 2024 and 2030.</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our product candidate AZD-9668 includes two patent families:</w:t>
      </w:r>
    </w:p>
    <w:p>
      <w:pPr>
        <w:spacing w:after="0" w:line="239" w:lineRule="exact"/>
        <w:rPr>
          <w:sz w:val="20"/>
          <w:szCs w:val="20"/>
          <w:color w:val="auto"/>
        </w:rPr>
      </w:pPr>
    </w:p>
    <w:p>
      <w:pPr>
        <w:ind w:left="960" w:right="60" w:hanging="432"/>
        <w:spacing w:after="0" w:line="226"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2-pyridone derivatives as NE inhibitors and their use. As of March 1, 2018, this patent family included granted patents in Australia, Canada, China, Europe (France, Germany, Italy, Netherlands, Spain, Sweden, Switzerland, Turkey and United Kingdom), Hong Kong, India, Japan, Mexico, Russia, South Korea and the United States. We expect patents in this family to expire in 2024.</w:t>
      </w:r>
    </w:p>
    <w:p>
      <w:pPr>
        <w:spacing w:after="0" w:line="27" w:lineRule="exact"/>
        <w:rPr>
          <w:rFonts w:ascii="MS PGothic" w:cs="MS PGothic" w:eastAsia="MS PGothic" w:hAnsi="MS PGothic"/>
          <w:sz w:val="25"/>
          <w:szCs w:val="25"/>
          <w:color w:val="auto"/>
          <w:vertAlign w:val="superscript"/>
        </w:rPr>
      </w:pPr>
    </w:p>
    <w:p>
      <w:pPr>
        <w:ind w:left="960" w:right="80" w:hanging="432"/>
        <w:spacing w:after="0" w:line="226"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polymorphs of the tosylate salt of a 5-pyrazolyl-2-pyridone derivative. As of March 1, 2018, this patent family included granted patents in Australia, Canada, China, Europe (France, Germany, Italy, Netherlands, Spain, Sweden, Switzerland, Turkey and United Kingdom ), Hong Kong, Japan, Mexico, Russia and the United States. We expect patents in this family to expire in 2030.</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BCT-197 (acumapimod)</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As of March 1, 2018, our patent portfolio relating to our product candidate BCT-197 consisted of five issued U.S. patents, no pending U.S. patent applications, 129 issued foreign patents, 13 pending foreign applications, and four pending international patent applications filed under the PCT. These patents and patent applications include claims directed to 5-membered heterocycle-based p38 kinase inhibitors, the use of a pyrazole derivative in the treatment of AECOPD, dosage regimens of BCT-197, the use of BCT-197 in the treatment of specific patient subpopulations, and methods of producing specific polymorphs of BCT-197, with expected expiry dates not earlier than between 2024 and 2038.</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our product candidate BCT-197 includes five patent families:</w:t>
      </w:r>
    </w:p>
    <w:p>
      <w:pPr>
        <w:spacing w:after="0" w:line="239" w:lineRule="exact"/>
        <w:rPr>
          <w:sz w:val="20"/>
          <w:szCs w:val="20"/>
          <w:color w:val="auto"/>
        </w:rPr>
      </w:pPr>
    </w:p>
    <w:p>
      <w:pPr>
        <w:ind w:left="960" w:right="200" w:hanging="432"/>
        <w:spacing w:after="0" w:line="229" w:lineRule="auto"/>
        <w:tabs>
          <w:tab w:leader="none" w:pos="9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the key composition per se and other 5-membered heterocycle-based p38 kinase inhibitors. As of March 1, 2018, this patent family included granted patents in Algeria, Australia, Canada, China, Colombia, Europe (Austria, Belgium, Bulgaria, Croatia, Cyprus, Czech Republic, Denmark, Estonia, Finland, France, Germany, Greece, Hungary, Iceland, Ireland, Italy, Latvia, Lithuania, Luxembourg, Monaco, Netherlands, Poland, Portugal, Romania, Slovenia, Slovakia, Spain, Sweden, Switzerland, Turkey and United Kingdom), Hong Kong, India, Indonesia, Israel, Japan, Malaysia, Mexico, New Zealand, Norway, Russia, Singapore, South Africa, South Korea and the United States. We expect patents in this family to expire in 2024.</w:t>
      </w:r>
    </w:p>
    <w:p>
      <w:pPr>
        <w:spacing w:after="0" w:line="32" w:lineRule="exact"/>
        <w:rPr>
          <w:rFonts w:ascii="MS PGothic" w:cs="MS PGothic" w:eastAsia="MS PGothic" w:hAnsi="MS PGothic"/>
          <w:sz w:val="25"/>
          <w:szCs w:val="25"/>
          <w:color w:val="auto"/>
          <w:vertAlign w:val="superscript"/>
        </w:rPr>
      </w:pPr>
    </w:p>
    <w:p>
      <w:pPr>
        <w:ind w:left="960" w:right="80" w:hanging="432"/>
        <w:spacing w:after="0" w:line="229" w:lineRule="auto"/>
        <w:tabs>
          <w:tab w:leader="none" w:pos="9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pyrazole derivatives in the treatment of AECOPD. As of March 1, 2018, this patent family included granted patents in Algeria, Australia, Canada, China, Europe (Austria, Belgium, Bulgaria, Croatia, Cyprus, Czech Republic, Denmark, Estonia, Germany, Finland, France, Greece, Hungary, Iceland, Ireland, Italy, Latvia, Liechtenstein, Lithuania, Luxembourg, Malta, Monaco, Netherlands, Poland, Portugal, Romania, Slovakia, Slovenia, Spain, Sweden, Switzerland, Turkey, Norway and United Kingdom,), Hong Kong, Israel, Japan, Mexico, New Zealand, Russia, Singapore, South Africa, South Korea, Taiwan and the United States. We expect patents in this family to expire in 2033.</w:t>
      </w:r>
    </w:p>
    <w:p>
      <w:pPr>
        <w:spacing w:after="0" w:line="27"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dosage regimens of BCT-197. As of March 1, 2018, this patent family included two PCT patent applications. We expect patents emanating from this family to expire in 2036.</w:t>
      </w:r>
    </w:p>
    <w:p>
      <w:pPr>
        <w:spacing w:after="0" w:line="27"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fourth of these patent families relates to specific polymorphs of BCT-197. As of March 1, 2018, this patent family included two PCT patent applications. We expect patents emanating from this family to expire in 2037.</w:t>
      </w:r>
    </w:p>
    <w:p>
      <w:pPr>
        <w:spacing w:after="0" w:line="27" w:lineRule="exact"/>
        <w:rPr>
          <w:rFonts w:ascii="MS PGothic" w:cs="MS PGothic" w:eastAsia="MS PGothic" w:hAnsi="MS PGothic"/>
          <w:sz w:val="25"/>
          <w:szCs w:val="25"/>
          <w:color w:val="auto"/>
          <w:vertAlign w:val="superscript"/>
        </w:rPr>
      </w:pPr>
    </w:p>
    <w:p>
      <w:pPr>
        <w:ind w:left="960" w:right="80" w:hanging="432"/>
        <w:spacing w:after="0" w:line="223" w:lineRule="auto"/>
        <w:tabs>
          <w:tab w:leader="none" w:pos="9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fifth of these patent families relates to novel regimes for the prevention of AECOPD and the use of BCT-197 in a specific patient subpopulation. As of March 1, 2018, this patent family included four U.K. national patent applications. We expect patents emanating from this family to expire in 2038.</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BGS-649 (leflutrozole)</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As of March 1, 2018, our patent portfolio relating to our product candidate BGS-649 consisted of three issued U.S. patents, one pending U.S. patent application, 83 issued foreign patents, 14 pending foreign patent applications, and one pending international patent application filed under the PCT. These patents and patent applications include claims directed to BGS-649 formulations and to the use of BGS-649 in treating hypogonadism according to a specific dosing regimen, with expected expiry dates not earlier than 2032. The pending PCT application includes claims directed to the use of BGS-649 in treating endometriosis according to a specific dosing regimen, with an expected expiry date not earlier than 2037.</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our product candidate BGS-649 includes two patent families:</w:t>
      </w:r>
    </w:p>
    <w:p>
      <w:pPr>
        <w:spacing w:after="0" w:line="239" w:lineRule="exact"/>
        <w:rPr>
          <w:sz w:val="20"/>
          <w:szCs w:val="20"/>
          <w:color w:val="auto"/>
        </w:rPr>
      </w:pPr>
    </w:p>
    <w:p>
      <w:pPr>
        <w:ind w:left="960" w:right="20" w:hanging="432"/>
        <w:spacing w:after="0" w:line="229"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BGS-649 formulations and to the use of BGS-649 in treating hypogonadism according to a specific dosing regimen. As of March 1, 2018, this patent family included granted patents in Algeria, Australia, China, Europe (Austria, Belgium, Bulgaria, Croatia, Cyprus, Czech Republic, Denmark, Estonia, Finland, France, Germany, Greece, Hungary, Iceland, Ireland, Italy, Latvia, Liechtenstein, Lithuania, Luxembourg, Malta, Monaco, Norway, Netherlands, Poland, Portugal, Romania, Slovakia, Slovenia, Spain, Sweden, Switzerland, Turkey, and United Kingdom), Hong Kong, Indonesia, Israel, Japan, Mexico, New Zealand, Russia, South Africa and the United States. We expect patents in this family to expire in 2032.</w:t>
      </w:r>
    </w:p>
    <w:p>
      <w:pPr>
        <w:spacing w:after="0" w:line="32" w:lineRule="exact"/>
        <w:rPr>
          <w:rFonts w:ascii="MS PGothic" w:cs="MS PGothic" w:eastAsia="MS PGothic" w:hAnsi="MS PGothic"/>
          <w:sz w:val="25"/>
          <w:szCs w:val="25"/>
          <w:color w:val="auto"/>
          <w:vertAlign w:val="superscript"/>
        </w:rPr>
      </w:pPr>
    </w:p>
    <w:p>
      <w:pPr>
        <w:ind w:left="960" w:right="300" w:hanging="432"/>
        <w:spacing w:after="0" w:line="223"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BGS-649 in treating endometriosis according to a specific dosing regimen. As of March 1, 2018, this patent family included a single PCT patent application. We expect patents emanating from this family to expire in 2037.</w:t>
      </w:r>
    </w:p>
    <w:p>
      <w:pPr>
        <w:spacing w:after="0" w:line="204"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the duration of foreign issued patents is also 20 years from the earliest effective filing date. However, the actual protection afforded by a given patent varies on a product-by-product basis and from country to country, dependent on many factors, including the type of patent, the scope of its coverage, the availability of regulatory-related extensions, the availability of legal remedies in a particular country and the validity and enforceability of the patent.</w:t>
      </w:r>
    </w:p>
    <w:p>
      <w:pPr>
        <w:spacing w:after="0" w:line="20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addition to patent protection, we also rely upon trademarks,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“Risk Factors—Risks Related to Intellectual Property and Data Protection.”</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99"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Among others, the FDA, the EMA, U.S. Department of Health and Human Services Office of Inspector General, the Centers for Medicare and Medicaid Services, or CMS,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85"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and biological products, or biologics, under both the FDCA and the Public Health Service Act, or PHSA, and its implementing regulations.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process required by the FDA before a drug or biologic may be marketed in the United States generally involves the following:</w:t>
      </w:r>
    </w:p>
    <w:p>
      <w:pPr>
        <w:spacing w:after="0" w:line="203" w:lineRule="exact"/>
        <w:rPr>
          <w:sz w:val="20"/>
          <w:szCs w:val="20"/>
          <w:color w:val="auto"/>
        </w:rPr>
      </w:pPr>
    </w:p>
    <w:p>
      <w:pPr>
        <w:ind w:left="960" w:hanging="432"/>
        <w:spacing w:after="0"/>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completion of pre-clinical laboratory tests, animal studies and formulation studies in compliance with the FDA’s GLP regulations;</w:t>
      </w:r>
    </w:p>
    <w:p>
      <w:pPr>
        <w:spacing w:after="0" w:line="26"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submission to the FDA of an investigational new drug application, or IND, which must become effective before human clinical trials may begin;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approval by an independent institutional review board, or IRB, at each clinical site before each trial may be initiated;</w:t>
      </w:r>
    </w:p>
    <w:p>
      <w:pPr>
        <w:spacing w:after="0" w:line="26" w:lineRule="exact"/>
        <w:rPr>
          <w:rFonts w:ascii="MS PGothic" w:cs="MS PGothic" w:eastAsia="MS PGothic" w:hAnsi="MS PGothic"/>
          <w:sz w:val="25"/>
          <w:szCs w:val="25"/>
          <w:color w:val="auto"/>
          <w:vertAlign w:val="superscript"/>
        </w:rPr>
      </w:pPr>
    </w:p>
    <w:p>
      <w:pPr>
        <w:ind w:left="960" w:right="1060" w:hanging="432"/>
        <w:spacing w:after="0" w:line="218"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product for each indication;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submission to the FDA of an NDA or BLA;</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an FDA advisory committee review, if applicable;</w:t>
      </w:r>
    </w:p>
    <w:p>
      <w:pPr>
        <w:spacing w:after="0" w:line="26" w:lineRule="exact"/>
        <w:rPr>
          <w:rFonts w:ascii="MS PGothic" w:cs="MS PGothic" w:eastAsia="MS PGothic" w:hAnsi="MS PGothic"/>
          <w:sz w:val="25"/>
          <w:szCs w:val="25"/>
          <w:color w:val="auto"/>
          <w:vertAlign w:val="superscript"/>
        </w:rPr>
      </w:pPr>
    </w:p>
    <w:p>
      <w:pPr>
        <w:ind w:left="960" w:right="100" w:hanging="432"/>
        <w:spacing w:after="0" w:line="223"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product’s identity, strength, quality and purity;</w:t>
      </w:r>
    </w:p>
    <w:p>
      <w:pPr>
        <w:spacing w:after="0" w:line="28"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potential FDA audits of clinical trials sites and the sponsor’s clinical trial records to assure compliance with GCPs and the integrity of the clinical data;</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payment of user fees and FDA review and approval of the NDA or BLA; and</w:t>
      </w:r>
    </w:p>
    <w:p>
      <w:pPr>
        <w:spacing w:after="0" w:line="26" w:lineRule="exact"/>
        <w:rPr>
          <w:rFonts w:ascii="MS PGothic" w:cs="MS PGothic" w:eastAsia="MS PGothic" w:hAnsi="MS PGothic"/>
          <w:sz w:val="25"/>
          <w:szCs w:val="25"/>
          <w:color w:val="auto"/>
          <w:vertAlign w:val="superscript"/>
        </w:rPr>
      </w:pPr>
    </w:p>
    <w:p>
      <w:pPr>
        <w:ind w:left="960" w:right="660" w:hanging="432"/>
        <w:spacing w:after="0" w:line="218"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99"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The conduct of the pre-clinical tests must comply with federal regulations and requirements, including GLPs.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Trials</w:t>
      </w:r>
    </w:p>
    <w:p>
      <w:pPr>
        <w:spacing w:after="0" w:line="8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Clinical trials involve the administration of the investigational new drug or biologic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institutional review board, or IRB, must review and approve the plan for a clinical trial. This can be a central or local IRB. In the case of a central IRB a single IRB will be the source of record for all sites in a trial; otherwise, a local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for public dissemination on their www.clinicaltrials.gov website.</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39" w:lineRule="exact"/>
        <w:rPr>
          <w:sz w:val="20"/>
          <w:szCs w:val="20"/>
          <w:color w:val="auto"/>
        </w:rPr>
      </w:pPr>
    </w:p>
    <w:p>
      <w:pPr>
        <w:jc w:val="both"/>
        <w:ind w:left="960" w:hanging="432"/>
        <w:spacing w:after="0" w:line="223" w:lineRule="auto"/>
        <w:tabs>
          <w:tab w:leader="none" w:pos="960" w:val="left"/>
        </w:tabs>
        <w:numPr>
          <w:ilvl w:val="0"/>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28" w:lineRule="exact"/>
        <w:rPr>
          <w:rFonts w:ascii="MS PGothic" w:cs="MS PGothic" w:eastAsia="MS PGothic" w:hAnsi="MS PGothic"/>
          <w:sz w:val="25"/>
          <w:szCs w:val="25"/>
          <w:color w:val="auto"/>
          <w:vertAlign w:val="superscript"/>
        </w:rPr>
      </w:pPr>
    </w:p>
    <w:p>
      <w:pPr>
        <w:ind w:left="960" w:right="220" w:hanging="432"/>
        <w:spacing w:after="0" w:line="223" w:lineRule="auto"/>
        <w:tabs>
          <w:tab w:leader="none" w:pos="960" w:val="left"/>
        </w:tabs>
        <w:numPr>
          <w:ilvl w:val="0"/>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26" w:lineRule="auto"/>
        <w:tabs>
          <w:tab w:leader="none" w:pos="960" w:val="left"/>
        </w:tabs>
        <w:numPr>
          <w:ilvl w:val="0"/>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Special FDA Expedited Review and Approval</w:t>
      </w:r>
    </w:p>
    <w:p>
      <w:pPr>
        <w:spacing w:after="0" w:line="99"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which are intended to expedite or simplify the process for the development and FDA review of drugs and biologics that are intended for the treatment of serious or life-threatening diseases or conditions and demonstrate the potential to address unmet medical needs. The purpose of these programs is to provide important new drugs and biologics to patients earlier than under standard FDA review procedures.</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To be eligible for a fast-track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Fast-track designation provides opportunities for frequent interactions with the FDA review team to expedite development and review of the product. The FDA may also review sections of the NDA or BLA for a fast-track product on a rolling basis before the complete application is submitted, if the sponsor and FDA agree on a schedule for the submission of the application sections, and the sponsor pays any required user fees upon submission of the first section of the NDA or BLA.</w:t>
      </w:r>
    </w:p>
    <w:p>
      <w:pPr>
        <w:spacing w:after="0" w:line="20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In addition, under the provisions of the Food and Drug Administration Safety and Innovation Act passed in July 2012, a sponsor can request designation of a product candidate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208"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Products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As a condition of approval, the FDA may require a sponsor of a product receiving accelerated approval to perform post-marketing studies to verify and describe the predicted effect on IMM or other clinical endpoint, and the product may be subject to accelerated withdrawal procedures.</w:t>
      </w:r>
    </w:p>
    <w:p>
      <w:pPr>
        <w:spacing w:after="0" w:line="208"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Once an NDA or BLA is submitted for a product intended to treat a serious condition, the FDA may assign a priority review designation if the FDA determines that the product, if approved, would provide a significant improvement in safety or effectiveness. Under priority review, the FDA must review an application in six months, compared to 10 months for a standard review. Most products that are eligible for fast-track or breakthrough therapy designation are also likely to be considered appropriate to receive a priority review.</w:t>
      </w:r>
    </w:p>
    <w:p>
      <w:pPr>
        <w:spacing w:after="0" w:line="202" w:lineRule="exact"/>
        <w:rPr>
          <w:sz w:val="20"/>
          <w:szCs w:val="20"/>
          <w:color w:val="auto"/>
        </w:rPr>
      </w:pPr>
    </w:p>
    <w:p>
      <w:pPr>
        <w:ind w:left="200" w:right="340" w:firstLine="331"/>
        <w:spacing w:after="0" w:line="23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fast-track designation, breakthrough-therapy designation, accelerated approval and priority review do not change the standards for approval and may not ultimately expedite the development or approval process.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Orphan Product Designation and Exclusivity</w:t>
      </w:r>
    </w:p>
    <w:p>
      <w:pPr>
        <w:spacing w:after="0" w:line="99"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product candidate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or BLA. If the request is granted, the FDA will publicly disclose the identity of the therapeutic agent and its potential use. We have been granted Orphan Product Designation by the FDA for our product candidate BPS-804 for the treatment of OI. Orphan product designation does not convey any advantage in or shorten the duration of the regulatory review and approval process.</w:t>
      </w:r>
    </w:p>
    <w:p>
      <w:pPr>
        <w:spacing w:after="0" w:line="203"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If a product with orphan status receives the first FDA approval for the disease or condition for which it has such designation or for a select indication or use within the rare disease or condition for which it was designated, the product is entitled to orphan-product exclusivity. Orphan-product exclusivity means that the FDA may not approve any other applications for the same product for the same indication for seven years, except in certain limited circumstances. If a product candidate designated as an orphan product ultimately receives marketing approval for an indication broader than what was designated in its orphan-product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In most cases, the submission of an NDA or BLA is subject to a substantial application user fee. Under the goals and policies agreed to by the FDA under the Prescription Drug User Fee Act, or PDUFA, for new molecular entity NDAs and original BLAs, the FDA has 10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12 months from the date the NDA or BLA is submitted to the FDA because the FDA has approximately two months to make a “filing” decision.</w:t>
      </w:r>
    </w:p>
    <w:p>
      <w:pPr>
        <w:spacing w:after="0" w:line="20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BLAs or supplements to an NDA or BLA must contain data that are adequate to assess the safety and effectiveness of the product candidate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The FDA may also require submission of a REMS plan if it determines that a REMS is necessary to ensure that the benefits of the product outweigh its risks. Depending on the specific serious risk(s) to be addressed, the FDA may require that the REMS include a medication guide or patient package insert, physician communication plans, assessment plans, and/or elements to assure safe use, such as restricted distribution methods, patient registries, or other risk minimization tools.</w:t>
      </w:r>
    </w:p>
    <w:p>
      <w:pPr>
        <w:spacing w:after="0" w:line="202"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application to determine, among other things, whether the drug is safe and effective (for biologics, the standard is referred to as safe, pure and potent) and whether the facility in which it is manufactured, processed, packaged or held meets standards designed to assure the product’s continued safety, quality and purity.</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FDA may refer an application for a novel drug or biologic candidate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2"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Before approving an application,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may inspect the sponsor and one or more clinical trial sites to assure compliance with GCP requirements and the integrity of the clinical data submitted in an NDA.</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details specific conditions that must be met in order to secure final approval of the application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additional contraindications, warnings or precautions to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99"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205" w:lineRule="exact"/>
        <w:rPr>
          <w:sz w:val="20"/>
          <w:szCs w:val="20"/>
          <w:color w:val="auto"/>
        </w:rPr>
      </w:pPr>
    </w:p>
    <w:p>
      <w:pPr>
        <w:jc w:val="both"/>
        <w:ind w:left="200" w:right="260" w:firstLine="331"/>
        <w:spacing w:after="0"/>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addition,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03"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32" w:lineRule="exact"/>
        <w:rPr>
          <w:sz w:val="20"/>
          <w:szCs w:val="20"/>
          <w:color w:val="auto"/>
        </w:rPr>
      </w:pPr>
    </w:p>
    <w:p>
      <w:pPr>
        <w:ind w:left="960" w:right="400" w:hanging="432"/>
        <w:spacing w:after="0" w:line="218"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fines, warning letters or holds on post-approval clinical trials;</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 seizure or detention, or refusal to permit the import or export of products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injunctions or the imposition of civil or criminal penalties;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consent decrees, corporate integrity agreements, debarment, or exclusion from federal healthcare programs;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mandated modification of promotional materials and labeling and the issuance of corrective information; or</w:t>
      </w:r>
    </w:p>
    <w:p>
      <w:pPr>
        <w:spacing w:after="0" w:line="26" w:lineRule="exact"/>
        <w:rPr>
          <w:rFonts w:ascii="MS PGothic" w:cs="MS PGothic" w:eastAsia="MS PGothic" w:hAnsi="MS PGothic"/>
          <w:sz w:val="25"/>
          <w:szCs w:val="25"/>
          <w:color w:val="auto"/>
          <w:vertAlign w:val="superscript"/>
        </w:rPr>
      </w:pPr>
    </w:p>
    <w:p>
      <w:pPr>
        <w:ind w:left="960" w:right="700" w:hanging="432"/>
        <w:spacing w:after="0" w:line="218"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or other regulatory authorities may issue safety alerts, Dear Healthcare Provider letters, press releases or other communications containing warnings or other safety information about the product.</w:t>
      </w:r>
    </w:p>
    <w:p>
      <w:pPr>
        <w:spacing w:after="0" w:line="203"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Products may be promoted only for the approved indications and in accordance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99"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Our product candidates will be subject to similar laws and regulations imposed by jurisdictions outside of the United States, and, in particular, Europe,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02" w:lineRule="exact"/>
        <w:rPr>
          <w:sz w:val="20"/>
          <w:szCs w:val="20"/>
          <w:color w:val="auto"/>
        </w:rPr>
      </w:pPr>
    </w:p>
    <w:p>
      <w:pPr>
        <w:jc w:val="both"/>
        <w:ind w:left="200" w:right="260" w:firstLine="331"/>
        <w:spacing w:after="0" w:line="239" w:lineRule="auto"/>
        <w:rPr>
          <w:sz w:val="20"/>
          <w:szCs w:val="20"/>
          <w:color w:val="auto"/>
        </w:rPr>
      </w:pPr>
      <w:r>
        <w:rPr>
          <w:rFonts w:ascii="Arial" w:cs="Arial" w:eastAsia="Arial" w:hAnsi="Arial"/>
          <w:sz w:val="18"/>
          <w:szCs w:val="18"/>
          <w:color w:val="auto"/>
        </w:rPr>
        <w:t>In order to market our future products in the European Economic Area (which is comprised of the 28 Member States of the EU plus Norway, Iceland and Liechtenstein), or EEA, and many other foreign jurisdictions, we must obtain separate regulatory approvals. More concretely, in the EEA, medicinal products can only be commercialized after obtaining a Marketing Authorization, or MA. There are two types of marketing authorizations:</w:t>
      </w:r>
    </w:p>
    <w:p>
      <w:pPr>
        <w:spacing w:after="0" w:line="229" w:lineRule="exact"/>
        <w:rPr>
          <w:sz w:val="20"/>
          <w:szCs w:val="20"/>
          <w:color w:val="auto"/>
        </w:rPr>
      </w:pPr>
    </w:p>
    <w:p>
      <w:pPr>
        <w:ind w:left="960" w:right="220" w:hanging="432"/>
        <w:spacing w:after="0" w:line="229"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Community MA, which is issued by the European Commission through the Centralized Procedure, based on the opinion of the Committee for Medicinal Products for Human Use of the European Medicines Agency,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and</w:t>
      </w:r>
    </w:p>
    <w:p>
      <w:pPr>
        <w:spacing w:after="0" w:line="32" w:lineRule="exact"/>
        <w:rPr>
          <w:rFonts w:ascii="MS PGothic" w:cs="MS PGothic" w:eastAsia="MS PGothic" w:hAnsi="MS PGothic"/>
          <w:sz w:val="25"/>
          <w:szCs w:val="25"/>
          <w:color w:val="auto"/>
          <w:vertAlign w:val="superscript"/>
        </w:rPr>
      </w:pPr>
    </w:p>
    <w:p>
      <w:pPr>
        <w:ind w:left="960" w:right="80" w:hanging="432"/>
        <w:spacing w:after="0" w:line="228"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202"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i w:val="1"/>
          <w:iCs w:val="1"/>
          <w:color w:val="auto"/>
        </w:rPr>
        <w:t>Data and marketing exclusivity</w:t>
      </w:r>
      <w:r>
        <w:rPr>
          <w:rFonts w:ascii="Arial" w:cs="Arial" w:eastAsia="Arial" w:hAnsi="Arial"/>
          <w:sz w:val="18"/>
          <w:szCs w:val="18"/>
          <w:color w:val="auto"/>
        </w:rPr>
        <w:t>. In the EEA, new products authorized for marketing, or reference products, qualify for eight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i w:val="1"/>
          <w:iCs w:val="1"/>
          <w:color w:val="auto"/>
        </w:rPr>
        <w:t>Pediatric investigation plan</w:t>
      </w:r>
      <w:r>
        <w:rPr>
          <w:rFonts w:ascii="Arial" w:cs="Arial" w:eastAsia="Arial" w:hAnsi="Arial"/>
          <w:sz w:val="18"/>
          <w:szCs w:val="18"/>
          <w:color w:val="auto"/>
        </w:rPr>
        <w:t>. In the EEA, marketing authorization applications for new medicinal products not authorized have to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results of studies conducted in the pediatric population, in compliance with a pediatric investigation plan, or PIP, agreed with the EMA’s Pediatric Committee, or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a six-months supplementary protection certificate extension.</w:t>
      </w:r>
    </w:p>
    <w:p>
      <w:pPr>
        <w:spacing w:after="0" w:line="189"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i w:val="1"/>
          <w:iCs w:val="1"/>
          <w:color w:val="auto"/>
        </w:rPr>
        <w:t>Orphan drug designation</w:t>
      </w:r>
      <w:r>
        <w:rPr>
          <w:rFonts w:ascii="Arial" w:cs="Arial" w:eastAsia="Arial" w:hAnsi="Arial"/>
          <w:sz w:val="18"/>
          <w:szCs w:val="18"/>
          <w:color w:val="auto"/>
        </w:rPr>
        <w:t>. In the EEA, a medicinal product can be designated as an orphan drug if its sponsor can establish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is intended for the diagnosis, prevention or treatment of a life-threatening or chronically-debilitating condition affecting not more than five in 10,000 persons in the EU when the application is made, or that the product is intended for the diagnosis, prevention or treatment of a life-threatening, seriously-debilitating or serious and chronic condition in the European Community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206"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In the EEA, an application for designation as an orphan product can be made any time prior to the filing of an application for approval to market the product. Marketing authorization for an orphan drug leads to a ten-year period of market exclusivity. During this market exclusivity period, the EMA or the member state competent authorities, cannot accept another application for a marketing authorization, or grant a marketing authorization, for a similar medicinal product for the same indication. The period of market exclusivity is extended by two years for medicines that have also complied with an agreed PIP.</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This period may, however, be reduced to six years if, at the end of the fifth year, it is established that the product no longer meets the criteria for orphan drug designation, for example because the product is sufficiently profitable not to justify market exclusivity. Market exclusivity can be revoked only in very selected cases, such as consent from the marketing authorization holder, inability to supply sufficient quantities of the product, demonstration of “clinical superiority” by a similar medicinal product, or, after a review by the Committee for Orphan Medicinal Products, requested by a member state in the fifth year of the marketing exclusivity period (if the designation criteria are believed to no longer apply). Medicinal products designated as orphan drugs are eligible for incentives made available by the EU and its Member States to support research into, and the development and availability of, orphan drugs. In March 2016, we obtained orphan drug designation for BPS-804 for the treatment of OI in the EU.</w:t>
      </w:r>
    </w:p>
    <w:p>
      <w:pPr>
        <w:spacing w:after="0" w:line="190" w:lineRule="exact"/>
        <w:rPr>
          <w:sz w:val="20"/>
          <w:szCs w:val="20"/>
          <w:color w:val="auto"/>
        </w:rPr>
      </w:pPr>
    </w:p>
    <w:p>
      <w:pPr>
        <w:ind w:left="200" w:right="200" w:firstLine="331"/>
        <w:spacing w:after="0" w:line="241" w:lineRule="auto"/>
        <w:rPr>
          <w:sz w:val="20"/>
          <w:szCs w:val="20"/>
          <w:color w:val="auto"/>
        </w:rPr>
      </w:pPr>
      <w:r>
        <w:rPr>
          <w:rFonts w:ascii="Arial" w:cs="Arial" w:eastAsia="Arial" w:hAnsi="Arial"/>
          <w:sz w:val="18"/>
          <w:szCs w:val="18"/>
          <w:i w:val="1"/>
          <w:iCs w:val="1"/>
          <w:color w:val="auto"/>
        </w:rPr>
        <w:t xml:space="preserve">Adaptive pathways. </w:t>
      </w:r>
      <w:r>
        <w:rPr>
          <w:rFonts w:ascii="Arial" w:cs="Arial" w:eastAsia="Arial" w:hAnsi="Arial"/>
          <w:sz w:val="18"/>
          <w:szCs w:val="18"/>
          <w:color w:val="auto"/>
        </w:rPr>
        <w:t>The EMA has an adaptive pathways program which allows for early and progressive patient access to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medicine. The adaptive pathways concept is an approach to medicines 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bodies early in development to increase the chance that medicines will be recommended for payment and ultimately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 builds on regulatory processes already in place within the existing EU legal framework. These include: scientific advice; compassionate use; the conditional approval mechanism (for medicines addressing life-threatening conditions); patient registries and other pharmacovigilance tools that allow collection of real-life data and development of a risk-management plan for each medicine.</w:t>
      </w:r>
    </w:p>
    <w:p>
      <w:pPr>
        <w:spacing w:after="0" w:line="205"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The adaptive pathways program does not change the standards for the evaluation of benefits and risks or the requirement to demonstrate a positive benefit-risk balance to obtain marketing authorization. In February 2017, BPS-804 was accepted into the adaptive pathways program.</w:t>
      </w:r>
    </w:p>
    <w:p>
      <w:pPr>
        <w:spacing w:after="0" w:line="1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i w:val="1"/>
          <w:iCs w:val="1"/>
          <w:color w:val="auto"/>
        </w:rPr>
        <w:t xml:space="preserve">PRIME scheme. </w:t>
      </w:r>
      <w:r>
        <w:rPr>
          <w:rFonts w:ascii="Arial" w:cs="Arial" w:eastAsia="Arial" w:hAnsi="Arial"/>
          <w:sz w:val="18"/>
          <w:szCs w:val="18"/>
          <w:color w:val="auto"/>
        </w:rPr>
        <w:t>In July 2016, the EMA launched its Priority Medicines scheme, or PRIME. PRIME is a voluntary scheme aimed at</w:t>
      </w:r>
      <w:r>
        <w:rPr>
          <w:rFonts w:ascii="Arial" w:cs="Arial" w:eastAsia="Arial" w:hAnsi="Arial"/>
          <w:sz w:val="18"/>
          <w:szCs w:val="18"/>
          <w:i w:val="1"/>
          <w:iCs w:val="1"/>
          <w:color w:val="auto"/>
        </w:rPr>
        <w:t xml:space="preserve"> </w:t>
      </w:r>
      <w:r>
        <w:rPr>
          <w:rFonts w:ascii="Arial" w:cs="Arial" w:eastAsia="Arial" w:hAnsi="Arial"/>
          <w:sz w:val="18"/>
          <w:szCs w:val="18"/>
          <w:color w:val="auto"/>
        </w:rPr>
        <w:t>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however not guaranteed. The benefits of a PRIME designation includes the appointment of a rapporteur from the Committee for Medicinal Products for Human Use before submission of an MAA, early dialogue and scientific advice at key development milestones, and the potential to qualify products for accelerated review earlier in the application process. In November 2017, the EMA granted PRIME designation for BPS-804 for the treatment of OI.</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99"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In addition to FDA restrictions on marketing of pharmaceutical and biologic products, other U.S. federal and state healthcare regulatory laws restrict business practices in the pharmaceutical and biotechnology industry, which include, but are not limited to, state and federal anti-kickback, false claims, data privacy and security and physician payment and pricing transparency laws.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such as those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203"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Additionally, the intent standard under the U.S. federal Anti-Kickback Statute was amended by the Patient Protection and Affordable Care Act, as amended by the Health Care and Education</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Reconciliation Act of 2010, or collectively,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U.S.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 or to self-pay patients.</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208"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addition, there has been a trend of increased federal and state regulation of payments made to physicians and certain other healthcare providers. The ACA imposed, among other things, new annual reporting requirements through the Physician Payments Sunshine Act for applicable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Applicable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206"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Ensuring that internal operations and business arrangements with third parties comply with applicable healthcare laws and regulations involve substantial costs.</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Violations of any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laws.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and Reimbursement</w:t>
      </w:r>
    </w:p>
    <w:p>
      <w:pPr>
        <w:spacing w:after="0" w:line="99"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the United States, the process for determining whether a third-party payor will provide coverage for a pharmaceutical or biologic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 product does not imply that an adequate reimbursement rate will be approved. Adequate third-party reimbursement may not be available to enable us to maintain price levels sufficient to realize an appropriate return on our investment in product development. Additionally,</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coverage-determination process will require us to provide scientific and clinical support for the use of our products to each payor separately and will be a time-consuming process.</w:t>
      </w:r>
    </w:p>
    <w:p>
      <w:pPr>
        <w:spacing w:after="0" w:line="202" w:lineRule="exact"/>
        <w:rPr>
          <w:sz w:val="20"/>
          <w:szCs w:val="20"/>
          <w:color w:val="auto"/>
        </w:rPr>
      </w:pPr>
    </w:p>
    <w:p>
      <w:pPr>
        <w:ind w:left="200" w:right="160" w:firstLine="331"/>
        <w:spacing w:after="0" w:line="236" w:lineRule="auto"/>
        <w:rPr>
          <w:sz w:val="20"/>
          <w:szCs w:val="20"/>
          <w:color w:val="auto"/>
        </w:rPr>
      </w:pPr>
      <w:r>
        <w:rPr>
          <w:rFonts w:ascii="Arial" w:cs="Arial" w:eastAsia="Arial" w:hAnsi="Arial"/>
          <w:sz w:val="18"/>
          <w:szCs w:val="18"/>
          <w:color w:val="auto"/>
        </w:rPr>
        <w:t>In the EEA, governments influence the price of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in general, particularly prescription products,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208"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 effective compared to other available therapies, they may not cover our products after approval, if any, or, if they do, the level of payment may not be sufficient to allow us to sell our products at a profit.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Healthcare Reform</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the ACA , among other things, increased the minimum Medicaid rebates owed by most manufacturers under the Medicaid Drug Rebate Program; introduced a new methodology by which rebates owed by manufacturers under the Medicaid Drug Rebate Program are calculated for products that are inhaled, infused, instilled, implanted or injected; extended the Medicaid Drug Rebate Program to utilization of prescriptions of individuals enrolled in Medicaid-managed care plans; imposed mandatory discounts for certain Medicare Part D beneficiaries as a condition for manufacturers’ outpatient drugs coverage under Medicare Part D; subjected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created the Independent Payment Advisory Board, which, once empaneled, will have authority to recommend certain changes to the Medicare program that could result in reduced payments for prescription drugs and biologics; and established a Center for Medicare Innovation at CMS to test innovative payment and service delivery models to lower Medicare and Medicaid spending. Since its enactment, the U.S. federal government has delayed or suspended implementation of certain provisions of the ACA. In addition, there have been judicial and Congressional challenges to certain aspects of the ACA, and we expect there will be additional challenges and amendments to the ACA in the future.</w:t>
      </w:r>
    </w:p>
    <w:p>
      <w:pPr>
        <w:spacing w:after="0" w:line="202"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lower reimbursement, and additional</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downward pressure on the price that we receive for any approved product.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products. The implementation of cost containment measures or other healthcare reforms may prevent us from being able to generate revenue, attain profitability or commercialize our product candidates.</w:t>
      </w:r>
    </w:p>
    <w:p>
      <w:pPr>
        <w:spacing w:after="0" w:line="20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Additionally, in August, 2011, the Budget Control Act of 2011 was signed into law, which, among other things, included aggregate reductions of Medicare payments to providers of 2% per fiscal year. These reductions went into effect on April 1, 2013 and, due to subsequent legislative amendments to the statute, will stay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products.</w:t>
      </w:r>
    </w:p>
    <w:p>
      <w:pPr>
        <w:spacing w:after="0" w:line="207"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As of March 1, 2018, we had 33 employees. None of our employees is subject to a collective bargaining agreement or represented by a trade or labor union. We consider our relationship with our employees to be good.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85"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Our principal office is located at Fourth Floor, One Cavendish Place, London W1G 0QF, United Kingdom, where we lease approximately 4,000 square feet of office space. We lease this office space under a lease that terminates on August 16, 2025. We intend to add new facilities as we add employees, and we believe that suitable additional or substitute space will be available as needed to accommodate any such expansion of our operations.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are not subject to any material legal proceedings.</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60"/>
          </w:cols>
          <w:pgMar w:left="240" w:top="460"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99" w:lineRule="exact"/>
        <w:rPr>
          <w:sz w:val="20"/>
          <w:szCs w:val="20"/>
          <w:color w:val="auto"/>
        </w:rPr>
      </w:pPr>
    </w:p>
    <w:p>
      <w:pPr>
        <w:ind w:left="200" w:right="820" w:firstLine="331"/>
        <w:spacing w:after="0" w:line="246" w:lineRule="auto"/>
        <w:rPr>
          <w:sz w:val="20"/>
          <w:szCs w:val="20"/>
          <w:color w:val="auto"/>
        </w:rPr>
      </w:pPr>
      <w:r>
        <w:rPr>
          <w:rFonts w:ascii="Arial" w:cs="Arial" w:eastAsia="Arial" w:hAnsi="Arial"/>
          <w:sz w:val="18"/>
          <w:szCs w:val="18"/>
          <w:color w:val="auto"/>
        </w:rPr>
        <w:t>The following table presents information about our executive officers and directors, including their ages, as of the date of this prospectus: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jc w:val="right"/>
              <w:ind w:right="91"/>
              <w:spacing w:after="0"/>
              <w:rPr>
                <w:sz w:val="20"/>
                <w:szCs w:val="20"/>
                <w:color w:val="auto"/>
              </w:rPr>
            </w:pPr>
            <w:r>
              <w:rPr>
                <w:rFonts w:ascii="Arial" w:cs="Arial" w:eastAsia="Arial" w:hAnsi="Arial"/>
                <w:sz w:val="14"/>
                <w:szCs w:val="14"/>
                <w:b w:val="1"/>
                <w:bCs w:val="1"/>
                <w:color w:val="auto"/>
              </w:rPr>
              <w:t>Age</w:t>
            </w:r>
          </w:p>
        </w:tc>
        <w:tc>
          <w:tcPr>
            <w:tcW w:w="380" w:type="dxa"/>
            <w:vAlign w:val="bottom"/>
          </w:tcPr>
          <w:p>
            <w:pPr>
              <w:spacing w:after="0"/>
              <w:rPr>
                <w:sz w:val="16"/>
                <w:szCs w:val="16"/>
                <w:color w:val="auto"/>
              </w:rPr>
            </w:pPr>
          </w:p>
        </w:tc>
        <w:tc>
          <w:tcPr>
            <w:tcW w:w="5820" w:type="dxa"/>
            <w:vAlign w:val="bottom"/>
          </w:tcPr>
          <w:p>
            <w:pPr>
              <w:ind w:left="26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220" w:type="dxa"/>
            <w:vAlign w:val="bottom"/>
            <w:gridSpan w:val="2"/>
          </w:tcPr>
          <w:p>
            <w:pPr>
              <w:spacing w:after="0" w:line="182" w:lineRule="exact"/>
              <w:rPr>
                <w:sz w:val="20"/>
                <w:szCs w:val="20"/>
                <w:color w:val="auto"/>
              </w:rPr>
            </w:pPr>
            <w:r>
              <w:rPr>
                <w:rFonts w:ascii="Arial" w:cs="Arial" w:eastAsia="Arial" w:hAnsi="Arial"/>
                <w:sz w:val="18"/>
                <w:szCs w:val="18"/>
                <w:b w:val="1"/>
                <w:bCs w:val="1"/>
                <w:i w:val="1"/>
                <w:iCs w:val="1"/>
                <w:color w:val="auto"/>
              </w:rPr>
              <w:t>Executive Officers</w:t>
            </w: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Denise Scots-Knight, Ph.D.</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Richard Jones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Chief Financial Officer and 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Alastair MacKinnon, MBBS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John Richard</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Head of Corporate Development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Charles Sermon</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6200" w:type="dxa"/>
            <w:vAlign w:val="bottom"/>
            <w:gridSpan w:val="2"/>
          </w:tcPr>
          <w:p>
            <w:pPr>
              <w:ind w:left="360"/>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r>
        <w:trPr>
          <w:trHeight w:val="296"/>
        </w:trPr>
        <w:tc>
          <w:tcPr>
            <w:tcW w:w="42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Non-Executive Directors</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Peter Fellner, Ph.D.</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Frank Armstrong, MBChB</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Peter Bains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Paul Blackburn</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Anders Ekblom, M.D., Ph.D.</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Kunal Kashyap</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620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740" w:firstLine="331"/>
        <w:spacing w:after="0" w:line="246" w:lineRule="auto"/>
        <w:rPr>
          <w:sz w:val="20"/>
          <w:szCs w:val="20"/>
          <w:color w:val="auto"/>
        </w:rPr>
      </w:pPr>
      <w:r>
        <w:rPr>
          <w:rFonts w:ascii="Arial" w:cs="Arial" w:eastAsia="Arial" w:hAnsi="Arial"/>
          <w:sz w:val="18"/>
          <w:szCs w:val="18"/>
          <w:color w:val="auto"/>
        </w:rPr>
        <w:t>The current business addresses for our executive officers and directors is c/o Mereo BioPharma Group plc, Fourth Floor, One Cavendish Place, London, W1G 0QF, United Kingdom.</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are brief biographies of our executive officers and directors:</w:t>
      </w:r>
    </w:p>
    <w:p>
      <w:pPr>
        <w:spacing w:after="0" w:line="190" w:lineRule="exact"/>
        <w:rPr>
          <w:sz w:val="20"/>
          <w:szCs w:val="20"/>
          <w:color w:val="auto"/>
        </w:rPr>
      </w:pPr>
    </w:p>
    <w:p>
      <w:pPr>
        <w:ind w:left="200" w:right="60" w:firstLine="331"/>
        <w:spacing w:after="0" w:line="247" w:lineRule="auto"/>
        <w:rPr>
          <w:sz w:val="20"/>
          <w:szCs w:val="20"/>
          <w:color w:val="auto"/>
        </w:rPr>
      </w:pPr>
      <w:r>
        <w:rPr>
          <w:rFonts w:ascii="Arial" w:cs="Arial" w:eastAsia="Arial" w:hAnsi="Arial"/>
          <w:sz w:val="18"/>
          <w:szCs w:val="18"/>
          <w:b w:val="1"/>
          <w:bCs w:val="1"/>
          <w:i w:val="1"/>
          <w:iCs w:val="1"/>
          <w:color w:val="auto"/>
        </w:rPr>
        <w:t xml:space="preserve">Denise Scots-Knight, Ph.D. </w:t>
      </w:r>
      <w:r>
        <w:rPr>
          <w:rFonts w:ascii="Arial" w:cs="Arial" w:eastAsia="Arial" w:hAnsi="Arial"/>
          <w:sz w:val="18"/>
          <w:szCs w:val="18"/>
          <w:color w:val="auto"/>
        </w:rPr>
        <w:t>Dr. Scots-Knight has served as our Chief Executive Officer since July 2015 and as a member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since our inception. From 2010 until joining Mereo, Dr. Scots-Knight was the Managing Partner of Phase4 Partners Ltd., or Phase4, a global life science venture capital firm. Dr. Scots-Knight is currently a board member of OncoMed Pharmaceuticals, Inc. and Phase4. Dr. Scots-Knight holds a B.Sc. (Hons.) and a Ph.D. from Birmingham University.</w:t>
      </w:r>
    </w:p>
    <w:p>
      <w:pPr>
        <w:spacing w:after="0" w:line="174" w:lineRule="exact"/>
        <w:rPr>
          <w:sz w:val="20"/>
          <w:szCs w:val="20"/>
          <w:color w:val="auto"/>
        </w:rPr>
      </w:pPr>
    </w:p>
    <w:p>
      <w:pPr>
        <w:ind w:left="200" w:right="220" w:firstLine="331"/>
        <w:spacing w:after="0" w:line="266" w:lineRule="auto"/>
        <w:rPr>
          <w:sz w:val="20"/>
          <w:szCs w:val="20"/>
          <w:color w:val="auto"/>
        </w:rPr>
      </w:pPr>
      <w:r>
        <w:rPr>
          <w:rFonts w:ascii="Arial" w:cs="Arial" w:eastAsia="Arial" w:hAnsi="Arial"/>
          <w:sz w:val="17"/>
          <w:szCs w:val="17"/>
          <w:b w:val="1"/>
          <w:bCs w:val="1"/>
          <w:i w:val="1"/>
          <w:iCs w:val="1"/>
          <w:color w:val="auto"/>
        </w:rPr>
        <w:t xml:space="preserve">Richard Jones. </w:t>
      </w:r>
      <w:r>
        <w:rPr>
          <w:rFonts w:ascii="Arial" w:cs="Arial" w:eastAsia="Arial" w:hAnsi="Arial"/>
          <w:sz w:val="17"/>
          <w:szCs w:val="17"/>
          <w:color w:val="auto"/>
        </w:rPr>
        <w:t>Mr. Jones has served as our Chief Financial Officer and as a member of our board of directors since January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2011 until joining Mereo, Mr. Jones was the Chief Financial Officer and Company Secretary of Shield Therapeutics plc, where he also served as a Non-Executive Director from 2010 to 2011. Mr. Jones is a qualified chartered accountant (ACA) with the Institute of Chartered Accountants in England and Wales (ICAEW) and holds a B.Eng. (Hons.) from the University of Newcastle upon Tyne.</w:t>
      </w:r>
    </w:p>
    <w:p>
      <w:pPr>
        <w:spacing w:after="0" w:line="160" w:lineRule="exact"/>
        <w:rPr>
          <w:sz w:val="20"/>
          <w:szCs w:val="20"/>
          <w:color w:val="auto"/>
        </w:rPr>
      </w:pPr>
    </w:p>
    <w:p>
      <w:pPr>
        <w:jc w:val="both"/>
        <w:ind w:left="200" w:right="100" w:firstLine="331"/>
        <w:spacing w:after="0" w:line="253" w:lineRule="auto"/>
        <w:rPr>
          <w:sz w:val="20"/>
          <w:szCs w:val="20"/>
          <w:color w:val="auto"/>
        </w:rPr>
      </w:pPr>
      <w:r>
        <w:rPr>
          <w:rFonts w:ascii="Arial" w:cs="Arial" w:eastAsia="Arial" w:hAnsi="Arial"/>
          <w:sz w:val="18"/>
          <w:szCs w:val="18"/>
          <w:b w:val="1"/>
          <w:bCs w:val="1"/>
          <w:i w:val="1"/>
          <w:iCs w:val="1"/>
          <w:color w:val="auto"/>
        </w:rPr>
        <w:t xml:space="preserve">Alastair MacKinnon, MBBS. </w:t>
      </w:r>
      <w:r>
        <w:rPr>
          <w:rFonts w:ascii="Arial" w:cs="Arial" w:eastAsia="Arial" w:hAnsi="Arial"/>
          <w:sz w:val="18"/>
          <w:szCs w:val="18"/>
          <w:color w:val="auto"/>
        </w:rPr>
        <w:t>Dr. MacKinnon has served as our Chief Medical Officer since July 2015. From 2010 until joining Mereo,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MacKinnon was a Partner of Phase4, where he currently serves as a member of the Board of Directors. Dr. MacKinnon holds a B.Sc. and a MBBS from King’s College London and is a Member of the Royal College of Surgeons in Edinburgh.</w:t>
      </w:r>
    </w:p>
    <w:p>
      <w:pPr>
        <w:spacing w:after="0" w:line="169" w:lineRule="exact"/>
        <w:rPr>
          <w:sz w:val="20"/>
          <w:szCs w:val="20"/>
          <w:color w:val="auto"/>
        </w:rPr>
      </w:pPr>
    </w:p>
    <w:p>
      <w:pPr>
        <w:jc w:val="both"/>
        <w:ind w:left="200" w:right="400" w:firstLine="331"/>
        <w:spacing w:after="0" w:line="275" w:lineRule="auto"/>
        <w:rPr>
          <w:sz w:val="20"/>
          <w:szCs w:val="20"/>
          <w:color w:val="auto"/>
        </w:rPr>
      </w:pPr>
      <w:r>
        <w:rPr>
          <w:rFonts w:ascii="Arial" w:cs="Arial" w:eastAsia="Arial" w:hAnsi="Arial"/>
          <w:sz w:val="17"/>
          <w:szCs w:val="17"/>
          <w:b w:val="1"/>
          <w:bCs w:val="1"/>
          <w:i w:val="1"/>
          <w:iCs w:val="1"/>
          <w:color w:val="auto"/>
        </w:rPr>
        <w:t xml:space="preserve">John Richard. </w:t>
      </w:r>
      <w:r>
        <w:rPr>
          <w:rFonts w:ascii="Arial" w:cs="Arial" w:eastAsia="Arial" w:hAnsi="Arial"/>
          <w:sz w:val="17"/>
          <w:szCs w:val="17"/>
          <w:color w:val="auto"/>
        </w:rPr>
        <w:t>Mr. Richard has served as our Head of Corporate Development since July 2015. Prior to joining Mereo, he was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consultant for Nomura, a global investment bank, and Phase4. Mr. Richard serves on the boards of Vaxart, Inc., Catalyst Biosciences, QUE Oncology, and Phase4. Mr. Richard holds a B.S. from Stanford University and an MBA from Harvard Business School.</w:t>
      </w:r>
    </w:p>
    <w:p>
      <w:pPr>
        <w:spacing w:after="0" w:line="152" w:lineRule="exact"/>
        <w:rPr>
          <w:sz w:val="20"/>
          <w:szCs w:val="20"/>
          <w:color w:val="auto"/>
        </w:rPr>
      </w:pPr>
    </w:p>
    <w:p>
      <w:pPr>
        <w:ind w:left="200" w:right="220" w:firstLine="331"/>
        <w:spacing w:after="0" w:line="271" w:lineRule="auto"/>
        <w:rPr>
          <w:sz w:val="20"/>
          <w:szCs w:val="20"/>
          <w:color w:val="auto"/>
        </w:rPr>
      </w:pPr>
      <w:r>
        <w:rPr>
          <w:rFonts w:ascii="Arial" w:cs="Arial" w:eastAsia="Arial" w:hAnsi="Arial"/>
          <w:sz w:val="18"/>
          <w:szCs w:val="18"/>
          <w:b w:val="1"/>
          <w:bCs w:val="1"/>
          <w:i w:val="1"/>
          <w:iCs w:val="1"/>
          <w:color w:val="auto"/>
        </w:rPr>
        <w:t xml:space="preserve">Charles Sermon. </w:t>
      </w:r>
      <w:r>
        <w:rPr>
          <w:rFonts w:ascii="Arial" w:cs="Arial" w:eastAsia="Arial" w:hAnsi="Arial"/>
          <w:sz w:val="18"/>
          <w:szCs w:val="18"/>
          <w:color w:val="auto"/>
        </w:rPr>
        <w:t>Mr. Sermon has served as our General Counsel and Company Secretary since July 2015. From 2010 until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Mereo, Mr. Sermon was a Partner of Phase4, where he currently</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240" w:top="459" w:right="4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0"/>
        <w:spacing w:after="0" w:line="246" w:lineRule="auto"/>
        <w:rPr>
          <w:sz w:val="20"/>
          <w:szCs w:val="20"/>
          <w:color w:val="auto"/>
        </w:rPr>
      </w:pPr>
      <w:r>
        <w:rPr>
          <w:rFonts w:ascii="Arial" w:cs="Arial" w:eastAsia="Arial" w:hAnsi="Arial"/>
          <w:sz w:val="18"/>
          <w:szCs w:val="18"/>
          <w:color w:val="auto"/>
        </w:rPr>
        <w:t>serves as a member of the Board of Directors. Mr. Sermon trained and qualified as a lawyer with Freshfields after completing the Law Society’s Final Examination. Mr. Sermon holds an LL.B. (Hons.) from Hull University.</w:t>
      </w:r>
    </w:p>
    <w:p>
      <w:pPr>
        <w:spacing w:after="0" w:line="175" w:lineRule="exact"/>
        <w:rPr>
          <w:sz w:val="20"/>
          <w:szCs w:val="20"/>
          <w:color w:val="auto"/>
        </w:rPr>
      </w:pPr>
    </w:p>
    <w:p>
      <w:pPr>
        <w:ind w:left="200" w:right="200" w:firstLine="331"/>
        <w:spacing w:after="0" w:line="242" w:lineRule="auto"/>
        <w:rPr>
          <w:sz w:val="20"/>
          <w:szCs w:val="20"/>
          <w:color w:val="auto"/>
        </w:rPr>
      </w:pPr>
      <w:r>
        <w:rPr>
          <w:rFonts w:ascii="Arial" w:cs="Arial" w:eastAsia="Arial" w:hAnsi="Arial"/>
          <w:sz w:val="18"/>
          <w:szCs w:val="18"/>
          <w:b w:val="1"/>
          <w:bCs w:val="1"/>
          <w:i w:val="1"/>
          <w:iCs w:val="1"/>
          <w:color w:val="auto"/>
        </w:rPr>
        <w:t>Peter Fellner, Ph.D</w:t>
      </w:r>
      <w:r>
        <w:rPr>
          <w:rFonts w:ascii="Arial" w:cs="Arial" w:eastAsia="Arial" w:hAnsi="Arial"/>
          <w:sz w:val="18"/>
          <w:szCs w:val="18"/>
          <w:color w:val="auto"/>
        </w:rPr>
        <w:t>. Dr. Fellner has been Chairman of our board of directors since July 2015. He also serves as Chairman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of Consort Medical plc and Vernalis plc, and was Chairman of the board of directors of Ablynx nv until January 2018. Dr. Fellner was previously Chairman of the board of directors of Acambis plc until its acquisition by Sanofi Pasteur and Optos plc until its acquisition by Nikon Corporation, and Vice Chairman of Astex Pharmaceuticals Inc. until its acquisition by Otsuka Pharmaceutical Company. He also served as a Director of UCB SA and was CEO and then Chairman of Celltech Group plc. Dr. Fellner holds a B.Sc. (Hons.) from the University of Sheffield and a Ph.D. from the University of Cambridge.</w:t>
      </w:r>
    </w:p>
    <w:p>
      <w:pPr>
        <w:spacing w:after="0" w:line="179" w:lineRule="exact"/>
        <w:rPr>
          <w:sz w:val="20"/>
          <w:szCs w:val="20"/>
          <w:color w:val="auto"/>
        </w:rPr>
      </w:pPr>
    </w:p>
    <w:p>
      <w:pPr>
        <w:ind w:left="200" w:right="60" w:firstLine="331"/>
        <w:spacing w:after="0" w:line="242" w:lineRule="auto"/>
        <w:rPr>
          <w:sz w:val="20"/>
          <w:szCs w:val="20"/>
          <w:color w:val="auto"/>
        </w:rPr>
      </w:pPr>
      <w:r>
        <w:rPr>
          <w:rFonts w:ascii="Arial" w:cs="Arial" w:eastAsia="Arial" w:hAnsi="Arial"/>
          <w:sz w:val="18"/>
          <w:szCs w:val="18"/>
          <w:b w:val="1"/>
          <w:bCs w:val="1"/>
          <w:i w:val="1"/>
          <w:iCs w:val="1"/>
          <w:color w:val="auto"/>
        </w:rPr>
        <w:t xml:space="preserve">Frank Armstrong, MBChB. </w:t>
      </w:r>
      <w:r>
        <w:rPr>
          <w:rFonts w:ascii="Arial" w:cs="Arial" w:eastAsia="Arial" w:hAnsi="Arial"/>
          <w:sz w:val="18"/>
          <w:szCs w:val="18"/>
          <w:color w:val="auto"/>
        </w:rPr>
        <w:t>Dr. Armstrong has served on our board of directors since July 2015. Dr. Armstrong served as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CuraGen Corporation and Fulcrum Pharmaceuticals. Prior to that, Dr. Armstrong served as Senior Vice President at Merck Serono, Executive Vice President Product Development at Bayer AG, and Senior Vice President Medical Research at Zeneca Pharmaceuticals (now AstraZeneca). Dr. Armstrong currently serves as Non-Executive Chairman of Caldan Therapeutics Ltd., Summit Therapeutics plc, and Faron Pharmaceuticals. Dr. Armstrong holds a B.Sc. (Hons.) and MBChB from the University of Edinburgh, and is a Fellow of the Royal College of Physicians.</w:t>
      </w:r>
    </w:p>
    <w:p>
      <w:pPr>
        <w:spacing w:after="0" w:line="179" w:lineRule="exact"/>
        <w:rPr>
          <w:sz w:val="20"/>
          <w:szCs w:val="20"/>
          <w:color w:val="auto"/>
        </w:rPr>
      </w:pPr>
    </w:p>
    <w:p>
      <w:pPr>
        <w:ind w:left="200" w:right="80" w:firstLine="331"/>
        <w:spacing w:after="0" w:line="244" w:lineRule="auto"/>
        <w:rPr>
          <w:sz w:val="20"/>
          <w:szCs w:val="20"/>
          <w:color w:val="auto"/>
        </w:rPr>
      </w:pPr>
      <w:r>
        <w:rPr>
          <w:rFonts w:ascii="Arial" w:cs="Arial" w:eastAsia="Arial" w:hAnsi="Arial"/>
          <w:sz w:val="18"/>
          <w:szCs w:val="18"/>
          <w:b w:val="1"/>
          <w:bCs w:val="1"/>
          <w:i w:val="1"/>
          <w:iCs w:val="1"/>
          <w:color w:val="auto"/>
        </w:rPr>
        <w:t xml:space="preserve">Peter Bains. </w:t>
      </w:r>
      <w:r>
        <w:rPr>
          <w:rFonts w:ascii="Arial" w:cs="Arial" w:eastAsia="Arial" w:hAnsi="Arial"/>
          <w:sz w:val="18"/>
          <w:szCs w:val="18"/>
          <w:color w:val="auto"/>
        </w:rPr>
        <w:t>Mr. Bains has served on our board of directors since July 2015. Mr. Bains is Representative Executive Officer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Sosei Group Corporation, a biotechnology company. Previously, he was Chief Executive Officer of Syngene International Ltd., or Syngene, and served as a Non-Executive Director until 2016. Mr. Bains currently serves as Non-Executive Director for Phase4 and MiNA Therapeutics Ltd. and as Non-Executive Chairman of Fermenta Biotech Ltd. Mr. Bains holds a B.Sc. (Hons.) from Sheffield University.</w:t>
      </w:r>
    </w:p>
    <w:p>
      <w:pPr>
        <w:spacing w:after="0" w:line="177" w:lineRule="exact"/>
        <w:rPr>
          <w:sz w:val="20"/>
          <w:szCs w:val="20"/>
          <w:color w:val="auto"/>
        </w:rPr>
      </w:pPr>
    </w:p>
    <w:p>
      <w:pPr>
        <w:ind w:left="200" w:right="260" w:firstLine="331"/>
        <w:spacing w:after="0" w:line="253" w:lineRule="auto"/>
        <w:rPr>
          <w:sz w:val="20"/>
          <w:szCs w:val="20"/>
          <w:color w:val="auto"/>
        </w:rPr>
      </w:pPr>
      <w:r>
        <w:rPr>
          <w:rFonts w:ascii="Arial" w:cs="Arial" w:eastAsia="Arial" w:hAnsi="Arial"/>
          <w:sz w:val="18"/>
          <w:szCs w:val="18"/>
          <w:b w:val="1"/>
          <w:bCs w:val="1"/>
          <w:i w:val="1"/>
          <w:iCs w:val="1"/>
          <w:color w:val="auto"/>
        </w:rPr>
        <w:t xml:space="preserve">Paul Blackburn. </w:t>
      </w:r>
      <w:r>
        <w:rPr>
          <w:rFonts w:ascii="Arial" w:cs="Arial" w:eastAsia="Arial" w:hAnsi="Arial"/>
          <w:sz w:val="18"/>
          <w:szCs w:val="18"/>
          <w:color w:val="auto"/>
        </w:rPr>
        <w:t>Mr. Blackburn has served on our board of directors since October 2015. Mr. Blackburn was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Finance Projects and Financial Controller at GlaxoSmithKline. Mr. Blackburn currently serves on the Board of Directors of Syngene. Mr. Blackburn holds a B.Sc. from Warwick University.</w:t>
      </w:r>
    </w:p>
    <w:p>
      <w:pPr>
        <w:spacing w:after="0" w:line="169" w:lineRule="exact"/>
        <w:rPr>
          <w:sz w:val="20"/>
          <w:szCs w:val="20"/>
          <w:color w:val="auto"/>
        </w:rPr>
      </w:pPr>
    </w:p>
    <w:p>
      <w:pPr>
        <w:ind w:left="200" w:right="120" w:firstLine="331"/>
        <w:spacing w:after="0" w:line="241" w:lineRule="auto"/>
        <w:rPr>
          <w:sz w:val="20"/>
          <w:szCs w:val="20"/>
          <w:color w:val="auto"/>
        </w:rPr>
      </w:pPr>
      <w:r>
        <w:rPr>
          <w:rFonts w:ascii="Arial" w:cs="Arial" w:eastAsia="Arial" w:hAnsi="Arial"/>
          <w:sz w:val="18"/>
          <w:szCs w:val="18"/>
          <w:b w:val="1"/>
          <w:bCs w:val="1"/>
          <w:i w:val="1"/>
          <w:iCs w:val="1"/>
          <w:color w:val="auto"/>
        </w:rPr>
        <w:t xml:space="preserve">Anders Ekblom, M.D., Ph.D. </w:t>
      </w:r>
      <w:r>
        <w:rPr>
          <w:rFonts w:ascii="Arial" w:cs="Arial" w:eastAsia="Arial" w:hAnsi="Arial"/>
          <w:sz w:val="18"/>
          <w:szCs w:val="18"/>
          <w:color w:val="auto"/>
        </w:rPr>
        <w:t>Dr. Ekblom has served on our board of directors since July 2015. Dr. Ekblom has held a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positions at AstraZeneca, including Executive Vice President Global Drug Development, Executive Vice President Global Medicines Development, Global Head Clinical Development, Global Therapy Area Head, Global Head Science &amp; Technology Integration, and Chief Executive Officer of AstraZeneca AB Sweden. He currently serves as Chairman of the Board at the Karolinska University Hospital and on the Boards of Directors of Alligator Bioscience AB, Infant Bacterial AB, and Medivir AB. Dr. Ekblom is a board-certified medical doctor and an Associate Professor at the Karolinska Institute. Dr. Ekblom holds a D.D.S., M.D. and Ph.D. from Karolinska Institutet.</w:t>
      </w:r>
    </w:p>
    <w:p>
      <w:pPr>
        <w:spacing w:after="0" w:line="179" w:lineRule="exact"/>
        <w:rPr>
          <w:sz w:val="20"/>
          <w:szCs w:val="20"/>
          <w:color w:val="auto"/>
        </w:rPr>
      </w:pPr>
    </w:p>
    <w:p>
      <w:pPr>
        <w:ind w:left="200" w:firstLine="331"/>
        <w:spacing w:after="0" w:line="247" w:lineRule="auto"/>
        <w:rPr>
          <w:sz w:val="20"/>
          <w:szCs w:val="20"/>
          <w:color w:val="auto"/>
        </w:rPr>
      </w:pPr>
      <w:r>
        <w:rPr>
          <w:rFonts w:ascii="Arial" w:cs="Arial" w:eastAsia="Arial" w:hAnsi="Arial"/>
          <w:sz w:val="18"/>
          <w:szCs w:val="18"/>
          <w:b w:val="1"/>
          <w:bCs w:val="1"/>
          <w:i w:val="1"/>
          <w:iCs w:val="1"/>
          <w:color w:val="auto"/>
        </w:rPr>
        <w:t xml:space="preserve">Kunal Kashyap. </w:t>
      </w:r>
      <w:r>
        <w:rPr>
          <w:rFonts w:ascii="Arial" w:cs="Arial" w:eastAsia="Arial" w:hAnsi="Arial"/>
          <w:sz w:val="18"/>
          <w:szCs w:val="18"/>
          <w:color w:val="auto"/>
        </w:rPr>
        <w:t>Mr. Kashyap has served on our board of directors since July 2015. Mr. Kashyap is Chairman and Managing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Allegro Capital Advisors and also serves as an Independent Director of GlaxoSmithKline Consumer Healthcare Ltd and a Non-Executive Director of Phase4. Mr. Kashyap is also the Founder and was the Executive Director of Celstream Technologies Private Limited. Mr. Kashyap holds a Bachelor of Commerce from Bombay University.</w:t>
      </w:r>
    </w:p>
    <w:p>
      <w:pPr>
        <w:sectPr>
          <w:pgSz w:w="11900" w:h="16838" w:orient="portrait"/>
          <w:cols w:equalWidth="0" w:num="1">
            <w:col w:w="11200"/>
          </w:cols>
          <w:pgMar w:left="240" w:top="459" w:right="459" w:bottom="1440" w:gutter="0" w:footer="0" w:header="0"/>
        </w:sectPr>
      </w:pPr>
    </w:p>
    <w:p>
      <w:pPr>
        <w:spacing w:after="0" w:line="3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our Articles of Association, our directors serve for three-year terms. In</w:t>
      </w:r>
    </w:p>
    <w:p>
      <w:pPr>
        <w:spacing w:after="0" w:line="7" w:lineRule="exact"/>
        <w:rPr>
          <w:sz w:val="20"/>
          <w:szCs w:val="20"/>
          <w:color w:val="auto"/>
        </w:rPr>
      </w:pPr>
    </w:p>
    <w:p>
      <w:pPr>
        <w:ind w:left="780"/>
        <w:spacing w:after="0"/>
        <w:tabs>
          <w:tab w:leader="none" w:pos="1900" w:val="left"/>
          <w:tab w:leader="none" w:pos="38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will expire. In</w:t>
      </w:r>
      <w:r>
        <w:rPr>
          <w:sz w:val="20"/>
          <w:szCs w:val="20"/>
          <w:color w:val="auto"/>
        </w:rPr>
        <w:tab/>
      </w:r>
      <w:r>
        <w:rPr>
          <w:rFonts w:ascii="Arial" w:cs="Arial" w:eastAsia="Arial" w:hAnsi="Arial"/>
          <w:sz w:val="17"/>
          <w:szCs w:val="17"/>
          <w:color w:val="auto"/>
        </w:rPr>
        <w:t>, the term for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the term</w:t>
      </w:r>
    </w:p>
    <w:p>
      <w:pPr>
        <w:spacing w:after="0" w:line="358" w:lineRule="exact"/>
        <w:rPr>
          <w:sz w:val="20"/>
          <w:szCs w:val="20"/>
          <w:color w:val="auto"/>
        </w:rPr>
      </w:pPr>
    </w:p>
    <w:p>
      <w:pPr>
        <w:sectPr>
          <w:pgSz w:w="11900" w:h="16838" w:orient="portrait"/>
          <w:cols w:equalWidth="0" w:num="3">
            <w:col w:w="420" w:space="120"/>
            <w:col w:w="7220" w:space="720"/>
            <w:col w:w="2720"/>
          </w:cols>
          <w:pgMar w:left="240" w:top="459" w:right="459" w:bottom="1440" w:gutter="0" w:footer="0" w:header="0"/>
          <w:type w:val="continuous"/>
        </w:sectPr>
      </w:pPr>
    </w:p>
    <w:p>
      <w:pPr>
        <w:jc w:val="center"/>
        <w:ind w:right="-21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200"/>
          </w:cols>
          <w:pgMar w:left="240" w:top="459" w:right="45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tabs>
          <w:tab w:leader="none" w:pos="1340" w:val="left"/>
          <w:tab w:leader="none" w:pos="3220" w:val="left"/>
          <w:tab w:leader="none" w:pos="5140" w:val="left"/>
          <w:tab w:leader="none" w:pos="63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will expire. In</w:t>
      </w:r>
      <w:r>
        <w:rPr>
          <w:sz w:val="20"/>
          <w:szCs w:val="20"/>
          <w:color w:val="auto"/>
        </w:rPr>
        <w:tab/>
      </w:r>
      <w:r>
        <w:rPr>
          <w:rFonts w:ascii="Arial" w:cs="Arial" w:eastAsia="Arial" w:hAnsi="Arial"/>
          <w:sz w:val="18"/>
          <w:szCs w:val="18"/>
          <w:color w:val="auto"/>
        </w:rPr>
        <w:t>, the term for</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7"/>
          <w:szCs w:val="17"/>
          <w:color w:val="auto"/>
        </w:rPr>
        <w:t>will expire. Our shareholders elect directors in accordance</w:t>
      </w:r>
    </w:p>
    <w:p>
      <w:pPr>
        <w:ind w:left="200"/>
        <w:spacing w:after="0" w:line="275" w:lineRule="auto"/>
        <w:rPr>
          <w:sz w:val="20"/>
          <w:szCs w:val="20"/>
          <w:color w:val="auto"/>
        </w:rPr>
      </w:pPr>
      <w:r>
        <w:rPr>
          <w:rFonts w:ascii="Arial" w:cs="Arial" w:eastAsia="Arial" w:hAnsi="Arial"/>
          <w:sz w:val="17"/>
          <w:szCs w:val="17"/>
          <w:color w:val="auto"/>
        </w:rPr>
        <w:t>with our Articles of Association. If our shareholders do not elect a new director, then the retiring director may, if willing to serve, continue as a director. See “Description of Share Capital and Articles of Association—Articles of Association—Directors—Appointment of Directors.”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Private Issuer Exemption</w:t>
      </w:r>
    </w:p>
    <w:p>
      <w:pPr>
        <w:spacing w:after="0" w:line="99" w:lineRule="exact"/>
        <w:rPr>
          <w:sz w:val="20"/>
          <w:szCs w:val="20"/>
          <w:color w:val="auto"/>
        </w:rPr>
      </w:pPr>
    </w:p>
    <w:p>
      <w:pPr>
        <w:jc w:val="both"/>
        <w:ind w:left="200" w:right="40" w:firstLine="331"/>
        <w:spacing w:after="0" w:line="261" w:lineRule="auto"/>
        <w:rPr>
          <w:sz w:val="20"/>
          <w:szCs w:val="20"/>
          <w:color w:val="auto"/>
        </w:rPr>
      </w:pPr>
      <w:r>
        <w:rPr>
          <w:rFonts w:ascii="Arial" w:cs="Arial" w:eastAsia="Arial" w:hAnsi="Arial"/>
          <w:sz w:val="17"/>
          <w:szCs w:val="17"/>
          <w:color w:val="auto"/>
        </w:rPr>
        <w:t>As a “foreign private issuer,” as defined by the SEC, we are permitted to follow home country corporate governance practices, instead of certain corporate governance practices required by Nasdaq for U.S. domestic issuers. While we intend to follow most Nasdaq corporate governance rules, we intend to follow U.K. corporate governance practices in lieu of Nasdaq corporate governance rules as follows:</w:t>
      </w:r>
    </w:p>
    <w:p>
      <w:pPr>
        <w:spacing w:after="0" w:line="213" w:lineRule="exact"/>
        <w:rPr>
          <w:sz w:val="20"/>
          <w:szCs w:val="20"/>
          <w:color w:val="auto"/>
        </w:rPr>
      </w:pPr>
    </w:p>
    <w:p>
      <w:pPr>
        <w:jc w:val="both"/>
        <w:ind w:left="960" w:right="160" w:hanging="432"/>
        <w:spacing w:after="0" w:line="223"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intend to follow Nasdaq Rule 5620(c) regarding quorum requirements applicable to meetings of shareholders. Such quorum requirements are not required under English law. In accordance with generally accepted business practice, our Articles of Association provide alternative quorum requirements that are generally applicable to meetings of shareholders.</w:t>
      </w:r>
    </w:p>
    <w:p>
      <w:pPr>
        <w:spacing w:after="0" w:line="28" w:lineRule="exact"/>
        <w:rPr>
          <w:rFonts w:ascii="MS PGothic" w:cs="MS PGothic" w:eastAsia="MS PGothic" w:hAnsi="MS PGothic"/>
          <w:sz w:val="25"/>
          <w:szCs w:val="25"/>
          <w:color w:val="auto"/>
          <w:vertAlign w:val="superscript"/>
        </w:rPr>
      </w:pPr>
    </w:p>
    <w:p>
      <w:pPr>
        <w:ind w:left="960" w:right="220" w:hanging="432"/>
        <w:spacing w:after="0" w:line="223"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intend to follow Nasdaq Rule 5605(b)(2), which requires that independent directors regularly meet in executive session, where only independent directors are present. Our independent directors may choose to meet in executive session at their discretion.</w:t>
      </w:r>
    </w:p>
    <w:p>
      <w:pPr>
        <w:spacing w:after="0" w:line="204"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Although we may rely on certain home country corporate governance practices, we must comply with Nasdaq Rule 5640 Notification of Noncompliance and Rule 5640 Voting Rights. Further, we must have an audit committee that satisfies Rule 5605(c)(3), which addresses audit committee responsibilities and authority, and that consists of committee members that meet the independence requirements of Rule 5605(c)(2)(A)(ii).</w:t>
      </w:r>
    </w:p>
    <w:p>
      <w:pPr>
        <w:spacing w:after="0" w:line="202"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We intend to take all actions necessary for us to maintain compliance as a foreign private issuer under the applicable corporate governance requirements of the Sarbanes-Oxley Act of 2002, the rules adopted by the SEC and the Nasdaq corporate governance rules and listing standards.</w:t>
      </w:r>
    </w:p>
    <w:p>
      <w:pPr>
        <w:spacing w:after="0" w:line="20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81" w:lineRule="exact"/>
        <w:rPr>
          <w:sz w:val="20"/>
          <w:szCs w:val="20"/>
          <w:color w:val="auto"/>
        </w:rPr>
      </w:pPr>
    </w:p>
    <w:p>
      <w:pPr>
        <w:ind w:left="540"/>
        <w:spacing w:after="0"/>
        <w:tabs>
          <w:tab w:leader="none" w:pos="9340" w:val="left"/>
        </w:tabs>
        <w:rPr>
          <w:sz w:val="20"/>
          <w:szCs w:val="20"/>
          <w:color w:val="auto"/>
        </w:rPr>
      </w:pPr>
      <w:r>
        <w:rPr>
          <w:rFonts w:ascii="Arial" w:cs="Arial" w:eastAsia="Arial" w:hAnsi="Arial"/>
          <w:sz w:val="18"/>
          <w:szCs w:val="18"/>
          <w:color w:val="auto"/>
        </w:rPr>
        <w:t>Our board of directors currently consists of eight members. Our board of directors has determined that</w:t>
      </w:r>
      <w:r>
        <w:rPr>
          <w:sz w:val="20"/>
          <w:szCs w:val="20"/>
          <w:color w:val="auto"/>
        </w:rPr>
        <w:tab/>
      </w:r>
      <w:r>
        <w:rPr>
          <w:rFonts w:ascii="Arial" w:cs="Arial" w:eastAsia="Arial" w:hAnsi="Arial"/>
          <w:sz w:val="17"/>
          <w:szCs w:val="17"/>
          <w:color w:val="auto"/>
        </w:rPr>
        <w:t>of our eight</w:t>
      </w:r>
    </w:p>
    <w:p>
      <w:pPr>
        <w:ind w:left="200"/>
        <w:spacing w:after="0"/>
        <w:tabs>
          <w:tab w:leader="none" w:pos="1780" w:val="left"/>
          <w:tab w:leader="none" w:pos="2680" w:val="left"/>
          <w:tab w:leader="none" w:pos="3920" w:val="left"/>
        </w:tabs>
        <w:rPr>
          <w:sz w:val="20"/>
          <w:szCs w:val="20"/>
          <w:color w:val="auto"/>
        </w:rPr>
      </w:pPr>
      <w:r>
        <w:rPr>
          <w:rFonts w:ascii="Arial" w:cs="Arial" w:eastAsia="Arial" w:hAnsi="Arial"/>
          <w:sz w:val="18"/>
          <w:szCs w:val="18"/>
          <w:color w:val="auto"/>
        </w:rPr>
        <w:t>directors,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7"/>
          <w:szCs w:val="17"/>
          <w:color w:val="auto"/>
        </w:rPr>
        <w:t>, do not have a relationship that would interfere with the exercise of independent judgment</w:t>
      </w:r>
    </w:p>
    <w:p>
      <w:pPr>
        <w:spacing w:after="0" w:line="1"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in carrying out the responsibilities of director and that each of these directors is “independent” as that term is defined under the rules of Nasdaq. There are no family relationships among any of our directors or senior management.</w:t>
      </w:r>
    </w:p>
    <w:p>
      <w:pPr>
        <w:spacing w:after="0" w:line="197"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In accordance with our Articles of Association, each of our directors serves for a term of three years, and, as a result, effectively one-third of our directors retire from office at every annual general meeting of shareholders. Retiring directors are eligible for re-election and, if no other director is elected to fill his or her position and the director is willing, shall be re-elected by default. See “Description of Share Capital and Articles of Association—Articles of Association—Directors—Appointment of Directors.”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85" w:lineRule="exact"/>
        <w:rPr>
          <w:sz w:val="20"/>
          <w:szCs w:val="20"/>
          <w:color w:val="auto"/>
        </w:rPr>
      </w:pPr>
    </w:p>
    <w:p>
      <w:pPr>
        <w:ind w:left="200" w:right="920" w:firstLine="331"/>
        <w:spacing w:after="0" w:line="246" w:lineRule="auto"/>
        <w:rPr>
          <w:sz w:val="20"/>
          <w:szCs w:val="20"/>
          <w:color w:val="auto"/>
        </w:rPr>
      </w:pPr>
      <w:r>
        <w:rPr>
          <w:rFonts w:ascii="Arial" w:cs="Arial" w:eastAsia="Arial" w:hAnsi="Arial"/>
          <w:sz w:val="18"/>
          <w:szCs w:val="18"/>
          <w:color w:val="auto"/>
        </w:rPr>
        <w:t>Our board of directors has four standing committees: an audit and risk committee, a remuneration committee, a nomination committee, and a research and development committee.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534"/>
        </w:trPr>
        <w:tc>
          <w:tcPr>
            <w:tcW w:w="474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Audit and Risk Committee</w:t>
            </w: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69"/>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The audit and risk committee, which consists of</w:t>
            </w: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ind w:left="420"/>
              <w:spacing w:after="0"/>
              <w:rPr>
                <w:sz w:val="20"/>
                <w:szCs w:val="20"/>
                <w:color w:val="auto"/>
              </w:rPr>
            </w:pPr>
            <w:r>
              <w:rPr>
                <w:rFonts w:ascii="Arial" w:cs="Arial" w:eastAsia="Arial" w:hAnsi="Arial"/>
                <w:sz w:val="18"/>
                <w:szCs w:val="18"/>
                <w:color w:val="auto"/>
              </w:rPr>
              <w:t>, and</w:t>
            </w:r>
          </w:p>
        </w:tc>
        <w:tc>
          <w:tcPr>
            <w:tcW w:w="4420" w:type="dxa"/>
            <w:vAlign w:val="bottom"/>
            <w:gridSpan w:val="2"/>
          </w:tcPr>
          <w:p>
            <w:pPr>
              <w:ind w:left="600"/>
              <w:spacing w:after="0"/>
              <w:rPr>
                <w:sz w:val="20"/>
                <w:szCs w:val="20"/>
                <w:color w:val="auto"/>
              </w:rPr>
            </w:pPr>
            <w:r>
              <w:rPr>
                <w:rFonts w:ascii="Arial" w:cs="Arial" w:eastAsia="Arial" w:hAnsi="Arial"/>
                <w:sz w:val="18"/>
                <w:szCs w:val="18"/>
                <w:color w:val="auto"/>
                <w:w w:val="99"/>
              </w:rPr>
              <w:t>, assists the board in overseeing our accounting</w:t>
            </w:r>
          </w:p>
        </w:tc>
      </w:tr>
      <w:tr>
        <w:trPr>
          <w:trHeight w:val="203"/>
        </w:trPr>
        <w:tc>
          <w:tcPr>
            <w:tcW w:w="670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and financial reporting processes and the audits of our financial statements.</w:t>
            </w:r>
          </w:p>
        </w:tc>
        <w:tc>
          <w:tcPr>
            <w:tcW w:w="442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serves as Chairman of the committee. The audit and</w:t>
            </w:r>
          </w:p>
        </w:tc>
      </w:tr>
      <w:tr>
        <w:trPr>
          <w:trHeight w:val="203"/>
        </w:trPr>
        <w:tc>
          <w:tcPr>
            <w:tcW w:w="7960" w:type="dxa"/>
            <w:vAlign w:val="bottom"/>
            <w:gridSpan w:val="5"/>
          </w:tcPr>
          <w:p>
            <w:pPr>
              <w:ind w:left="200"/>
              <w:spacing w:after="0" w:line="202" w:lineRule="exact"/>
              <w:rPr>
                <w:sz w:val="20"/>
                <w:szCs w:val="20"/>
                <w:color w:val="auto"/>
              </w:rPr>
            </w:pPr>
            <w:r>
              <w:rPr>
                <w:rFonts w:ascii="Arial" w:cs="Arial" w:eastAsia="Arial" w:hAnsi="Arial"/>
                <w:sz w:val="18"/>
                <w:szCs w:val="18"/>
                <w:color w:val="auto"/>
              </w:rPr>
              <w:t>risk committee consists exclusively of members of our board who are financially literate, and</w:t>
            </w:r>
          </w:p>
        </w:tc>
        <w:tc>
          <w:tcPr>
            <w:tcW w:w="3160" w:type="dxa"/>
            <w:vAlign w:val="bottom"/>
          </w:tcPr>
          <w:p>
            <w:pPr>
              <w:ind w:left="420"/>
              <w:spacing w:after="0" w:line="202" w:lineRule="exact"/>
              <w:rPr>
                <w:sz w:val="20"/>
                <w:szCs w:val="20"/>
                <w:color w:val="auto"/>
              </w:rPr>
            </w:pPr>
            <w:r>
              <w:rPr>
                <w:rFonts w:ascii="Arial" w:cs="Arial" w:eastAsia="Arial" w:hAnsi="Arial"/>
                <w:sz w:val="18"/>
                <w:szCs w:val="18"/>
                <w:color w:val="auto"/>
              </w:rPr>
              <w:t>is considered an “audit committee</w:t>
            </w:r>
          </w:p>
        </w:tc>
      </w:tr>
    </w:tbl>
    <w:p>
      <w:pPr>
        <w:ind w:left="200" w:right="10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expert” as defined by applicable SEC rules and has the requisite financial sophistication as defined under the applicable Nasdaq rules and regulations. Our board has determined that all of the members of the audit and risk committee satisfy the “independence” requirements set forth in Rule 10A-3 under the Exchange Act. The audit and risk committee will be governed by a charter that complies with Nasdaq rules.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audit and risk committee’s responsibilities include:</w:t>
      </w:r>
    </w:p>
    <w:p>
      <w:pPr>
        <w:spacing w:after="0" w:line="203" w:lineRule="exact"/>
        <w:rPr>
          <w:sz w:val="20"/>
          <w:szCs w:val="20"/>
          <w:color w:val="auto"/>
        </w:rPr>
      </w:pPr>
    </w:p>
    <w:p>
      <w:pPr>
        <w:ind w:left="960" w:hanging="432"/>
        <w:spacing w:after="0"/>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the appointment of the independent auditor to the general meeting of shareholders;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spacing w:after="0" w:line="27"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the independent auditor’s qualifications, performance and independence, and presenting its conclusions to the full board on at least an annual basis;</w:t>
      </w:r>
    </w:p>
    <w:p>
      <w:pPr>
        <w:spacing w:after="0" w:line="27"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discussing with the executive officers, the board, and the independent auditor our financial statements and our financial reporting process; and</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approving or ratifying any related person transaction (as defined in our related person transaction policy) in accordance with our related person transaction policy.</w:t>
      </w:r>
    </w:p>
    <w:p>
      <w:pPr>
        <w:spacing w:after="0" w:line="203"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The audit and risk committee will meet as often as one or more members of the audit and risk committee deem necessary, but in any event will meet at least four times per year. The audit and risk committee will meet at least once per year with our independent accountant, without our senior management being present.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85" w:lineRule="exact"/>
        <w:rPr>
          <w:sz w:val="20"/>
          <w:szCs w:val="20"/>
          <w:color w:val="auto"/>
        </w:rPr>
      </w:pPr>
    </w:p>
    <w:p>
      <w:pPr>
        <w:ind w:left="200" w:right="740" w:firstLine="331"/>
        <w:spacing w:after="0" w:line="234" w:lineRule="auto"/>
        <w:rPr>
          <w:sz w:val="20"/>
          <w:szCs w:val="20"/>
          <w:color w:val="auto"/>
        </w:rPr>
      </w:pPr>
      <w:r>
        <w:rPr>
          <w:rFonts w:ascii="Arial" w:cs="Arial" w:eastAsia="Arial" w:hAnsi="Arial"/>
          <w:sz w:val="18"/>
          <w:szCs w:val="18"/>
          <w:color w:val="auto"/>
        </w:rPr>
        <w:t>The remuneration committee, which consists of , , and , assists the board in determining senior management compensation. serves as Chairman of the committee. Under SEC and Nasdaq rules, there are heightened</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independence standards for members of the remuneration committee, including a prohibition against the receipt of any compensation from us other than standard board member fees. Although foreign private issuers are not required to meet this heightened standard, as of the date of this prospectus, all of our remuneration committee members meet this heightened standard.</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remuneration committee’s responsibilities include:</w:t>
      </w:r>
    </w:p>
    <w:p>
      <w:pPr>
        <w:spacing w:after="0" w:line="203" w:lineRule="exact"/>
        <w:rPr>
          <w:sz w:val="20"/>
          <w:szCs w:val="20"/>
          <w:color w:val="auto"/>
        </w:rPr>
      </w:pPr>
    </w:p>
    <w:p>
      <w:pPr>
        <w:ind w:left="960" w:hanging="432"/>
        <w:spacing w:after="0"/>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identifying, reviewing, and proposing policies relevant to senior management compensation;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each member of senior management’s performance in light of such policies and reporting to the board;</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analyzing the possible outcomes of the variable compensation components and how they may affect the compensation of senior management;</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any equity long-term incentive component of each member of senior management’s compensation in line with any compensation policy and reviewing our senior management compensation and benefits policies generally;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assessing risks arising from our compensation policies and practices.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46"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Nomination Committee</w:t>
      </w:r>
    </w:p>
    <w:p>
      <w:pPr>
        <w:spacing w:after="0" w:line="94" w:lineRule="exact"/>
        <w:rPr>
          <w:sz w:val="20"/>
          <w:szCs w:val="20"/>
          <w:color w:val="auto"/>
        </w:rPr>
      </w:pPr>
    </w:p>
    <w:p>
      <w:pPr>
        <w:ind w:left="540"/>
        <w:spacing w:after="0"/>
        <w:tabs>
          <w:tab w:leader="none" w:pos="4940" w:val="left"/>
          <w:tab w:leader="none" w:pos="5840" w:val="left"/>
          <w:tab w:leader="none" w:pos="7100" w:val="left"/>
        </w:tabs>
        <w:rPr>
          <w:sz w:val="20"/>
          <w:szCs w:val="20"/>
          <w:color w:val="auto"/>
        </w:rPr>
      </w:pPr>
      <w:r>
        <w:rPr>
          <w:rFonts w:ascii="Arial" w:cs="Arial" w:eastAsia="Arial" w:hAnsi="Arial"/>
          <w:sz w:val="18"/>
          <w:szCs w:val="18"/>
          <w:color w:val="auto"/>
        </w:rPr>
        <w:t>The nomination committee, which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7"/>
          <w:szCs w:val="17"/>
          <w:color w:val="auto"/>
        </w:rPr>
        <w:t>, assists our board in identifying individuals</w:t>
      </w:r>
    </w:p>
    <w:p>
      <w:pPr>
        <w:ind w:left="200"/>
        <w:spacing w:after="0" w:line="234" w:lineRule="auto"/>
        <w:rPr>
          <w:sz w:val="20"/>
          <w:szCs w:val="20"/>
          <w:color w:val="auto"/>
        </w:rPr>
      </w:pPr>
      <w:r>
        <w:rPr>
          <w:rFonts w:ascii="Arial" w:cs="Arial" w:eastAsia="Arial" w:hAnsi="Arial"/>
          <w:sz w:val="18"/>
          <w:szCs w:val="18"/>
          <w:color w:val="auto"/>
        </w:rPr>
        <w:t>qualified to become members of our board and senior management consistent with criteria established by our board and in developing our</w:t>
      </w:r>
    </w:p>
    <w:p>
      <w:pPr>
        <w:spacing w:after="0" w:line="1" w:lineRule="exact"/>
        <w:rPr>
          <w:sz w:val="20"/>
          <w:szCs w:val="20"/>
          <w:color w:val="auto"/>
        </w:rPr>
      </w:pPr>
    </w:p>
    <w:p>
      <w:pPr>
        <w:ind w:left="200"/>
        <w:spacing w:after="0"/>
        <w:tabs>
          <w:tab w:leader="none" w:pos="3500" w:val="left"/>
        </w:tabs>
        <w:rPr>
          <w:sz w:val="20"/>
          <w:szCs w:val="20"/>
          <w:color w:val="auto"/>
        </w:rPr>
      </w:pPr>
      <w:r>
        <w:rPr>
          <w:rFonts w:ascii="Arial" w:cs="Arial" w:eastAsia="Arial" w:hAnsi="Arial"/>
          <w:sz w:val="18"/>
          <w:szCs w:val="18"/>
          <w:color w:val="auto"/>
        </w:rPr>
        <w:t>corporate governance principles.</w:t>
      </w:r>
      <w:r>
        <w:rPr>
          <w:sz w:val="20"/>
          <w:szCs w:val="20"/>
          <w:color w:val="auto"/>
        </w:rPr>
        <w:tab/>
      </w:r>
      <w:r>
        <w:rPr>
          <w:rFonts w:ascii="Arial" w:cs="Arial" w:eastAsia="Arial" w:hAnsi="Arial"/>
          <w:sz w:val="17"/>
          <w:szCs w:val="17"/>
          <w:color w:val="auto"/>
        </w:rPr>
        <w:t>serves as Chairman of the nomination committee.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nomination committee’s responsibilities include:</w:t>
      </w:r>
    </w:p>
    <w:p>
      <w:pPr>
        <w:spacing w:after="0" w:line="203" w:lineRule="exact"/>
        <w:rPr>
          <w:sz w:val="20"/>
          <w:szCs w:val="20"/>
          <w:color w:val="auto"/>
        </w:rPr>
      </w:pPr>
    </w:p>
    <w:p>
      <w:pPr>
        <w:ind w:left="960" w:hanging="432"/>
        <w:spacing w:after="0"/>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drawing up selection criteria and appointment procedures for board members;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evaluating the size and composition of our board and making a proposal for a composition profile of the board at least annually;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nominees for election to our board and its corresponding committees;</w:t>
      </w:r>
    </w:p>
    <w:p>
      <w:pPr>
        <w:spacing w:after="0" w:line="26" w:lineRule="exact"/>
        <w:rPr>
          <w:rFonts w:ascii="MS PGothic" w:cs="MS PGothic" w:eastAsia="MS PGothic" w:hAnsi="MS PGothic"/>
          <w:sz w:val="25"/>
          <w:szCs w:val="25"/>
          <w:color w:val="auto"/>
          <w:vertAlign w:val="superscript"/>
        </w:rPr>
      </w:pPr>
    </w:p>
    <w:p>
      <w:pPr>
        <w:ind w:left="960" w:right="800" w:hanging="432"/>
        <w:spacing w:after="0" w:line="218" w:lineRule="auto"/>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assessing the functioning of individual members of the board and senior management and reporting the results of such assessment to the board; and</w:t>
      </w:r>
    </w:p>
    <w:p>
      <w:pPr>
        <w:spacing w:after="0" w:line="27"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developing and recommending to the board rules governing the board, reviewing and reassessing the adequacy of such rules governing the board, and recommending any proposed changes to the board.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Committee</w:t>
      </w:r>
    </w:p>
    <w:p>
      <w:pPr>
        <w:spacing w:after="0" w:line="81" w:lineRule="exact"/>
        <w:rPr>
          <w:sz w:val="20"/>
          <w:szCs w:val="20"/>
          <w:color w:val="auto"/>
        </w:rPr>
      </w:pPr>
    </w:p>
    <w:p>
      <w:pPr>
        <w:ind w:left="540"/>
        <w:spacing w:after="0"/>
        <w:tabs>
          <w:tab w:leader="none" w:pos="6200" w:val="left"/>
          <w:tab w:leader="none" w:pos="7100" w:val="left"/>
          <w:tab w:leader="none" w:pos="8340" w:val="left"/>
        </w:tabs>
        <w:rPr>
          <w:sz w:val="20"/>
          <w:szCs w:val="20"/>
          <w:color w:val="auto"/>
        </w:rPr>
      </w:pPr>
      <w:r>
        <w:rPr>
          <w:rFonts w:ascii="Arial" w:cs="Arial" w:eastAsia="Arial" w:hAnsi="Arial"/>
          <w:sz w:val="18"/>
          <w:szCs w:val="18"/>
          <w:color w:val="auto"/>
        </w:rPr>
        <w:t>The research and development committee, which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7"/>
          <w:szCs w:val="17"/>
          <w:color w:val="auto"/>
        </w:rPr>
        <w:t>, assists our senior management</w:t>
      </w:r>
    </w:p>
    <w:p>
      <w:pPr>
        <w:ind w:left="200"/>
        <w:spacing w:after="0" w:line="234" w:lineRule="auto"/>
        <w:rPr>
          <w:sz w:val="20"/>
          <w:szCs w:val="20"/>
          <w:color w:val="auto"/>
        </w:rPr>
      </w:pPr>
      <w:r>
        <w:rPr>
          <w:rFonts w:ascii="Arial" w:cs="Arial" w:eastAsia="Arial" w:hAnsi="Arial"/>
          <w:sz w:val="18"/>
          <w:szCs w:val="18"/>
          <w:color w:val="auto"/>
        </w:rPr>
        <w:t>with oversight and guidance related to research and development matters and provides guidance and makes recommendations to our</w:t>
      </w:r>
    </w:p>
    <w:p>
      <w:pPr>
        <w:spacing w:after="0" w:line="1" w:lineRule="exact"/>
        <w:rPr>
          <w:sz w:val="20"/>
          <w:szCs w:val="20"/>
          <w:color w:val="auto"/>
        </w:rPr>
      </w:pPr>
    </w:p>
    <w:p>
      <w:pPr>
        <w:ind w:left="200"/>
        <w:spacing w:after="0"/>
        <w:tabs>
          <w:tab w:leader="none" w:pos="5040" w:val="left"/>
        </w:tabs>
        <w:rPr>
          <w:sz w:val="20"/>
          <w:szCs w:val="20"/>
          <w:color w:val="auto"/>
        </w:rPr>
      </w:pPr>
      <w:r>
        <w:rPr>
          <w:rFonts w:ascii="Arial" w:cs="Arial" w:eastAsia="Arial" w:hAnsi="Arial"/>
          <w:sz w:val="18"/>
          <w:szCs w:val="18"/>
          <w:color w:val="auto"/>
        </w:rPr>
        <w:t>board regarding research and development matters.</w:t>
      </w:r>
      <w:r>
        <w:rPr>
          <w:sz w:val="20"/>
          <w:szCs w:val="20"/>
          <w:color w:val="auto"/>
        </w:rPr>
        <w:tab/>
      </w:r>
      <w:r>
        <w:rPr>
          <w:rFonts w:ascii="Arial" w:cs="Arial" w:eastAsia="Arial" w:hAnsi="Arial"/>
          <w:sz w:val="17"/>
          <w:szCs w:val="17"/>
          <w:color w:val="auto"/>
        </w:rPr>
        <w:t>serves as Chairman of the research and development committee.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research and development committee’s responsibilities include oversight of:</w:t>
      </w:r>
    </w:p>
    <w:p>
      <w:pPr>
        <w:spacing w:after="0" w:line="203" w:lineRule="exact"/>
        <w:rPr>
          <w:sz w:val="20"/>
          <w:szCs w:val="20"/>
          <w:color w:val="auto"/>
        </w:rPr>
      </w:pPr>
    </w:p>
    <w:p>
      <w:pPr>
        <w:ind w:left="960" w:hanging="432"/>
        <w:spacing w:after="0"/>
        <w:tabs>
          <w:tab w:leader="none" w:pos="960" w:val="left"/>
        </w:tabs>
        <w:numPr>
          <w:ilvl w:val="0"/>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strategic development plans for products, taking into account any regulatory feedback; and</w:t>
      </w:r>
    </w:p>
    <w:p>
      <w:pPr>
        <w:spacing w:after="0" w:line="6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acquisition of new products.</w:t>
      </w:r>
    </w:p>
    <w:p>
      <w:pPr>
        <w:spacing w:after="0" w:line="203"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In addition, the research and development committee is tasked with keeping informed of strategic issues and commercial changes affecting our development programs and potential product acquisitions.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8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In connection with the global offering, we intend to adopt a Code of Business Conduct and Ethics that covers a broad range of matters including the handling of conflicts of interest, compliance issues, and other corporate policies such as equal opportunity and non-discrimination standards.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24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 Remuneration</w:t>
      </w:r>
    </w:p>
    <w:p>
      <w:pPr>
        <w:spacing w:after="0" w:line="99"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The following table sets forth the approximate remuneration paid during the years ended December 31, 2017 and 2016 to our current executive officers.</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Salary</w:t>
            </w: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Bonus(1)</w:t>
            </w:r>
          </w:p>
        </w:tc>
        <w:tc>
          <w:tcPr>
            <w:tcW w:w="16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Compensation(2)</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Total(3)</w:t>
            </w:r>
          </w:p>
        </w:tc>
      </w:tr>
      <w:tr>
        <w:trPr>
          <w:trHeight w:val="175"/>
        </w:trPr>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27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Year</w:t>
            </w:r>
          </w:p>
        </w:tc>
        <w:tc>
          <w:tcPr>
            <w:tcW w:w="4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r>
      <w:tr>
        <w:trPr>
          <w:trHeight w:val="196"/>
        </w:trPr>
        <w:tc>
          <w:tcPr>
            <w:tcW w:w="4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Denise Scots-Knight, Ph.D.</w:t>
            </w:r>
          </w:p>
        </w:tc>
        <w:tc>
          <w:tcPr>
            <w:tcW w:w="46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94"/>
              </w:rPr>
              <w:t>2017</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365,000</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242,725</w:t>
            </w: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64,196</w:t>
            </w: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671,921</w:t>
            </w:r>
          </w:p>
        </w:tc>
        <w:tc>
          <w:tcPr>
            <w:tcW w:w="60" w:type="dxa"/>
            <w:vAlign w:val="bottom"/>
            <w:shd w:val="clear" w:color="auto" w:fill="CCEEFF"/>
          </w:tcPr>
          <w:p>
            <w:pPr>
              <w:spacing w:after="0"/>
              <w:rPr>
                <w:sz w:val="17"/>
                <w:szCs w:val="17"/>
                <w:color w:val="auto"/>
              </w:rPr>
            </w:pPr>
          </w:p>
        </w:tc>
      </w:tr>
      <w:tr>
        <w:trPr>
          <w:trHeight w:val="203"/>
        </w:trPr>
        <w:tc>
          <w:tcPr>
            <w:tcW w:w="4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Chief Executive Officer</w:t>
            </w:r>
          </w:p>
        </w:tc>
        <w:tc>
          <w:tcPr>
            <w:tcW w:w="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2016</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340,000</w:t>
            </w:r>
          </w:p>
        </w:tc>
        <w:tc>
          <w:tcPr>
            <w:tcW w:w="44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166,600</w:t>
            </w:r>
          </w:p>
        </w:tc>
        <w:tc>
          <w:tcPr>
            <w:tcW w:w="16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56,863</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563,463</w:t>
            </w:r>
          </w:p>
        </w:tc>
        <w:tc>
          <w:tcPr>
            <w:tcW w:w="60" w:type="dxa"/>
            <w:vAlign w:val="bottom"/>
          </w:tcPr>
          <w:p>
            <w:pPr>
              <w:spacing w:after="0"/>
              <w:rPr>
                <w:sz w:val="17"/>
                <w:szCs w:val="17"/>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Jones (4)</w:t>
            </w:r>
          </w:p>
        </w:tc>
        <w:tc>
          <w:tcPr>
            <w:tcW w:w="9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2017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231,090</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166,250</w:t>
            </w:r>
          </w:p>
        </w:tc>
        <w:tc>
          <w:tcPr>
            <w:tcW w:w="16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29,224</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426,564</w:t>
            </w:r>
          </w:p>
        </w:tc>
        <w:tc>
          <w:tcPr>
            <w:tcW w:w="60" w:type="dxa"/>
            <w:vAlign w:val="bottom"/>
            <w:shd w:val="clear" w:color="auto" w:fill="CCEEFF"/>
          </w:tcPr>
          <w:p>
            <w:pPr>
              <w:spacing w:after="0"/>
              <w:rPr>
                <w:sz w:val="17"/>
                <w:szCs w:val="17"/>
                <w:color w:val="auto"/>
              </w:rPr>
            </w:pPr>
          </w:p>
        </w:tc>
      </w:tr>
      <w:tr>
        <w:trPr>
          <w:trHeight w:val="203"/>
        </w:trPr>
        <w:tc>
          <w:tcPr>
            <w:tcW w:w="4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Chief Financial Officer</w:t>
            </w:r>
          </w:p>
        </w:tc>
        <w:tc>
          <w:tcPr>
            <w:tcW w:w="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2016</w:t>
            </w: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Alastair MacKinnon, MBBS</w:t>
            </w:r>
          </w:p>
        </w:tc>
        <w:tc>
          <w:tcPr>
            <w:tcW w:w="9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2017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256,000</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170,240</w:t>
            </w:r>
          </w:p>
        </w:tc>
        <w:tc>
          <w:tcPr>
            <w:tcW w:w="16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27,916</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454,156</w:t>
            </w:r>
          </w:p>
        </w:tc>
        <w:tc>
          <w:tcPr>
            <w:tcW w:w="60" w:type="dxa"/>
            <w:vAlign w:val="bottom"/>
            <w:shd w:val="clear" w:color="auto" w:fill="CCEEFF"/>
          </w:tcPr>
          <w:p>
            <w:pPr>
              <w:spacing w:after="0"/>
              <w:rPr>
                <w:sz w:val="17"/>
                <w:szCs w:val="17"/>
                <w:color w:val="auto"/>
              </w:rPr>
            </w:pPr>
          </w:p>
        </w:tc>
      </w:tr>
      <w:tr>
        <w:trPr>
          <w:trHeight w:val="203"/>
        </w:trPr>
        <w:tc>
          <w:tcPr>
            <w:tcW w:w="4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Chief Medical Officer</w:t>
            </w:r>
          </w:p>
        </w:tc>
        <w:tc>
          <w:tcPr>
            <w:tcW w:w="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2016</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230,000</w:t>
            </w:r>
          </w:p>
        </w:tc>
        <w:tc>
          <w:tcPr>
            <w:tcW w:w="44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112,700</w:t>
            </w:r>
          </w:p>
        </w:tc>
        <w:tc>
          <w:tcPr>
            <w:tcW w:w="16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25,071</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367,771</w:t>
            </w:r>
          </w:p>
        </w:tc>
        <w:tc>
          <w:tcPr>
            <w:tcW w:w="60" w:type="dxa"/>
            <w:vAlign w:val="bottom"/>
          </w:tcPr>
          <w:p>
            <w:pPr>
              <w:spacing w:after="0"/>
              <w:rPr>
                <w:sz w:val="17"/>
                <w:szCs w:val="17"/>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Charles Sermon</w:t>
            </w:r>
          </w:p>
        </w:tc>
        <w:tc>
          <w:tcPr>
            <w:tcW w:w="9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2017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271,625</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180,631</w:t>
            </w:r>
          </w:p>
        </w:tc>
        <w:tc>
          <w:tcPr>
            <w:tcW w:w="16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33,164</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485,420</w:t>
            </w:r>
          </w:p>
        </w:tc>
        <w:tc>
          <w:tcPr>
            <w:tcW w:w="60" w:type="dxa"/>
            <w:vAlign w:val="bottom"/>
            <w:shd w:val="clear" w:color="auto" w:fill="CCEEFF"/>
          </w:tcPr>
          <w:p>
            <w:pPr>
              <w:spacing w:after="0"/>
              <w:rPr>
                <w:sz w:val="17"/>
                <w:szCs w:val="17"/>
                <w:color w:val="auto"/>
              </w:rPr>
            </w:pPr>
          </w:p>
        </w:tc>
      </w:tr>
      <w:tr>
        <w:trPr>
          <w:trHeight w:val="203"/>
        </w:trPr>
        <w:tc>
          <w:tcPr>
            <w:tcW w:w="4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General Counsel</w:t>
            </w:r>
          </w:p>
        </w:tc>
        <w:tc>
          <w:tcPr>
            <w:tcW w:w="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2016</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265,000</w:t>
            </w:r>
          </w:p>
        </w:tc>
        <w:tc>
          <w:tcPr>
            <w:tcW w:w="44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129,850</w:t>
            </w:r>
          </w:p>
        </w:tc>
        <w:tc>
          <w:tcPr>
            <w:tcW w:w="16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31,847</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426,697</w:t>
            </w:r>
          </w:p>
        </w:tc>
        <w:tc>
          <w:tcPr>
            <w:tcW w:w="60" w:type="dxa"/>
            <w:vAlign w:val="bottom"/>
          </w:tcPr>
          <w:p>
            <w:pPr>
              <w:spacing w:after="0"/>
              <w:rPr>
                <w:sz w:val="17"/>
                <w:szCs w:val="17"/>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 Richard (5)</w:t>
            </w:r>
          </w:p>
        </w:tc>
        <w:tc>
          <w:tcPr>
            <w:tcW w:w="9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2017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275,338</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218,727</w:t>
            </w:r>
          </w:p>
        </w:tc>
        <w:tc>
          <w:tcPr>
            <w:tcW w:w="164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494,065</w:t>
            </w:r>
          </w:p>
        </w:tc>
        <w:tc>
          <w:tcPr>
            <w:tcW w:w="60" w:type="dxa"/>
            <w:vAlign w:val="bottom"/>
            <w:shd w:val="clear" w:color="auto" w:fill="CCEEFF"/>
          </w:tcPr>
          <w:p>
            <w:pPr>
              <w:spacing w:after="0"/>
              <w:rPr>
                <w:sz w:val="17"/>
                <w:szCs w:val="17"/>
                <w:color w:val="auto"/>
              </w:rPr>
            </w:pPr>
          </w:p>
        </w:tc>
      </w:tr>
      <w:tr>
        <w:trPr>
          <w:trHeight w:val="217"/>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Head of Corporate Development</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2016</w:t>
            </w:r>
          </w:p>
        </w:tc>
        <w:tc>
          <w:tcPr>
            <w:tcW w:w="720" w:type="dxa"/>
            <w:vAlign w:val="bottom"/>
          </w:tcPr>
          <w:p>
            <w:pPr>
              <w:jc w:val="right"/>
              <w:spacing w:after="0"/>
              <w:rPr>
                <w:sz w:val="20"/>
                <w:szCs w:val="20"/>
                <w:color w:val="auto"/>
              </w:rPr>
            </w:pPr>
            <w:r>
              <w:rPr>
                <w:rFonts w:ascii="Arial" w:cs="Arial" w:eastAsia="Arial" w:hAnsi="Arial"/>
                <w:sz w:val="18"/>
                <w:szCs w:val="18"/>
                <w:color w:val="auto"/>
              </w:rPr>
              <w:t>259,745</w:t>
            </w:r>
          </w:p>
        </w:tc>
        <w:tc>
          <w:tcPr>
            <w:tcW w:w="4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158,589</w:t>
            </w:r>
          </w:p>
        </w:tc>
        <w:tc>
          <w:tcPr>
            <w:tcW w:w="16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418,334</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36" w:lineRule="exact"/>
        <w:rPr>
          <w:sz w:val="20"/>
          <w:szCs w:val="20"/>
          <w:color w:val="auto"/>
        </w:rPr>
      </w:pPr>
    </w:p>
    <w:p>
      <w:pPr>
        <w:ind w:left="520" w:hanging="316"/>
        <w:spacing w:after="0"/>
        <w:tabs>
          <w:tab w:leader="none" w:pos="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Amount shown reflects cash bonuses awarded for achievement of performance goals in 2016 and 2017, as applicable.</w:t>
      </w:r>
    </w:p>
    <w:p>
      <w:pPr>
        <w:ind w:left="520" w:hanging="316"/>
        <w:spacing w:after="0" w:line="234" w:lineRule="auto"/>
        <w:tabs>
          <w:tab w:leader="none" w:pos="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Amount shown represents health benefit payments and pension contributions made by us.</w:t>
      </w:r>
    </w:p>
    <w:p>
      <w:pPr>
        <w:ind w:left="520" w:hanging="316"/>
        <w:spacing w:after="0" w:line="234" w:lineRule="auto"/>
        <w:tabs>
          <w:tab w:leader="none" w:pos="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Total compensation set out in this table does not include any amounts for awards under our Deferred Bonus Share Plan or the value of options to acquire our ordinary shares or awards granted to or held by current senior management, which is described in “—Equity Compensation Arrangements.”</w:t>
      </w:r>
    </w:p>
    <w:p>
      <w:pPr>
        <w:spacing w:after="0" w:line="2" w:lineRule="exact"/>
        <w:rPr>
          <w:rFonts w:ascii="Arial" w:cs="Arial" w:eastAsia="Arial" w:hAnsi="Arial"/>
          <w:sz w:val="18"/>
          <w:szCs w:val="18"/>
          <w:color w:val="auto"/>
        </w:rPr>
      </w:pPr>
    </w:p>
    <w:p>
      <w:pPr>
        <w:ind w:left="520" w:hanging="316"/>
        <w:spacing w:after="0" w:line="234" w:lineRule="auto"/>
        <w:tabs>
          <w:tab w:leader="none" w:pos="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Mr. Jones commenced employment with us in January 2017.</w:t>
      </w:r>
    </w:p>
    <w:p>
      <w:pPr>
        <w:ind w:left="520" w:right="40" w:hanging="316"/>
        <w:spacing w:after="0"/>
        <w:tabs>
          <w:tab w:leader="none" w:pos="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Mr. Richard provided services to us in 2017 under a consultancy agreement and currently provides services to us under a consultancy agreement and an employment agreement. These agreements are described in “—Executive Officer Employment and Consultancy Agreements—John Richard.”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 Employment and Consultancy Agreements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Denise Scots-Knight, Ph.D.</w:t>
      </w:r>
    </w:p>
    <w:p>
      <w:pPr>
        <w:spacing w:after="0" w:line="41" w:lineRule="exact"/>
        <w:rPr>
          <w:sz w:val="20"/>
          <w:szCs w:val="20"/>
          <w:color w:val="auto"/>
        </w:rPr>
      </w:pPr>
    </w:p>
    <w:p>
      <w:pPr>
        <w:ind w:left="200" w:firstLine="331"/>
        <w:spacing w:after="0" w:line="248" w:lineRule="auto"/>
        <w:rPr>
          <w:sz w:val="20"/>
          <w:szCs w:val="20"/>
          <w:color w:val="auto"/>
        </w:rPr>
      </w:pPr>
      <w:r>
        <w:rPr>
          <w:rFonts w:ascii="Arial" w:cs="Arial" w:eastAsia="Arial" w:hAnsi="Arial"/>
          <w:sz w:val="17"/>
          <w:szCs w:val="17"/>
          <w:color w:val="auto"/>
        </w:rPr>
        <w:t>We entered into an employment agreement with Dr. Scots-Knight on July 29, 2015. This agreement entitles Dr. Scots-Knight to receive an initial annual base salary of £275,000 (which was subsequently increased to £ 365,000 for the year ended December 31, 2017) and an opportunity to earn an annual discretionary performance-based bonus, subject to the achievement of performance goals determined in accordance with our annual bonus plan. We currently contribute to Dr. Scots-Knight’s Self-Invested Personal Pension Scheme an amount equal to 15% of Dr. Scots-Knight’s annual salary, provided that she contributes 4% or more of her annual salary to that scheme. In lieu of a pension contribution, we may, at Dr. Scots-Knight’s request, pay a pro-rata amount equal to 10% of her base salary as additional compensation. Either party may terminate the employment agreement by giving the other party not less than 12 months’ written notice, provided that we may terminate Dr. Scots-Knight at any time with immediate effect for cause or by giving written notice to</w:t>
      </w:r>
    </w:p>
    <w:p>
      <w:pPr>
        <w:spacing w:after="0" w:line="5"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Dr. Scots-Knight that we will instead pay her basic salary for any remaining notice period. Dr. Scots-Knight’s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Richard Jones</w:t>
      </w:r>
    </w:p>
    <w:p>
      <w:pPr>
        <w:spacing w:after="0" w:line="9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entered into an employment agreement with Mr. Jones on November 7, 2016 pursuant to which he commenced employment with us on January 28, 2017. This agreement entitles Mr. Jones to receive an initial annual base salary of £250,000 and an opportunity to earn an annual discretionary performance-based bonus, subject to the achievement of performance goals determined in accordance with our annual bonus plan. Mr. Jones is also eligible to participate in our group personal pension scheme and we have agreed to contribute to the pension scheme an amount equal to 10% of Mr. Jones’s annual salary provided that he contributes 4% or more of his annual salary to that scheme. In lieu of a pension contribution, we may, at Mr. Jones’s request, pay a pro-rata amount equal to 10% of his base salary as additional compensation. Either party may terminate the employment agreement by giving the other party not less than six months’ written notice, provided that we may terminate Mr. Jones at any time with immediate effect for cause or by giving written notice to Mr. Jones that we will instead pay his basic salary for any remaining notice period. Mr. Jones’s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Alastair MacKinnon</w:t>
      </w:r>
    </w:p>
    <w:p>
      <w:pPr>
        <w:spacing w:after="0" w:line="81"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We entered into an employment agreement with Dr. MacKinnon on July 29, 2015, and subsequently amended the agreement on November 24, 2017. This agreement entitles Dr. MacKinnon to receive an initial annual base salary of £210,000 (which was subsequently increased to £256,000 for the year ended December 31, 2017) and an opportunity to earn an annual discretionary performance-based bonus, subject to the achievement of performance goals determined in accordance with our annual bonus plan. Dr. MacKinnon is also eligible to participate in our group personal pension scheme and we have agreed to contribute to the pension scheme an amount equal to 10% of Dr. MacKinnon’s annual salary provided that he contributes 4% or more of his annual salary to that scheme. In lieu of a pension contribution, we may, at Dr. MacKinnon’s request, pay a pro-rata amount equal to 10% of his base salary as additional compensation. Either party may terminate the employment agreement by giving the other party not less than six months’ written notice, provided that we may terminate Dr. MacKinnon at any time with immediate effect for cause or by giving written notice to Dr. MacKinnon that we instead pay his basic salary for any remaining notice period. Dr. MacKinnon’s employment agreement also contains restrictive covenants pursuant to which he has agreed to refrain from competing with us for a period of three months following his termination of employment, soliciting our key employees for a period of six months following his termination of employment, or soliciting our customers for a period of nine months following his termination of employment.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Charles Sermon</w:t>
      </w:r>
    </w:p>
    <w:p>
      <w:pPr>
        <w:spacing w:after="0" w:line="8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entered into an employment agreement with Mr. Sermon on July 29, 2015. This agreement entitles Mr. Sermon to receive an initial annual base salary of £245,000 (which was subsequently increased to £271,625 for the year ended December 31, 2017) and an opportunity to earn an annual discretionary performance-based bonus, subject to the achievement of performance goals determined in accordance with our annual bonus plan. We have agreed to contribute to Mr. Sermon’s Self-Invested Personal Pension Scheme an amount equal to 10% of Mr. Sermon’s annual salary provided that he contributes 4% or more of his annual salary to that scheme. In lieu of a pension contribution, we may, at Mr. Sermon’s request, pay a pro-rata amount equal to 10% of his base salary as additional compensation. Either party may terminate the employment agreement by giving the other party not less than six months’ written notice, provided that we may terminate Mr. Sermon at any time with immediate effect for cause or by giving written notice to Mr. Sermon that we will instead pay his basic salary for any remaining notice period. Mr. Sermon’s employment agreement also contains restrictive covenants pursuant to which he has agreed to refrain from competing with us or soliciting our key</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40"/>
        <w:spacing w:after="0" w:line="246" w:lineRule="auto"/>
        <w:rPr>
          <w:sz w:val="20"/>
          <w:szCs w:val="20"/>
          <w:color w:val="auto"/>
        </w:rPr>
      </w:pPr>
      <w:r>
        <w:rPr>
          <w:rFonts w:ascii="Arial" w:cs="Arial" w:eastAsia="Arial" w:hAnsi="Arial"/>
          <w:sz w:val="18"/>
          <w:szCs w:val="18"/>
          <w:color w:val="auto"/>
        </w:rPr>
        <w:t>employees for a period of six months following his termination of employment or soliciting our customers for a period of nine months following his termination of employment.</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John Richard</w:t>
      </w:r>
    </w:p>
    <w:p>
      <w:pPr>
        <w:spacing w:after="0" w:line="95"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We entered into a consultancy agreement with Mr. Richard on February 1, 2017, pursuant to which he provided services to us during 2017 and which has subsequently expired. Mr. Richard currently provides services to us pursuant to an employment agreement dated February 26, 2018, or the Richard Employment Agreement, and a consultancy agreement dated February 1, 2018, or the Richard Consulting Agreement.</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Richard Employment Agreement entitles Mr. Richard to receive an initial base salary of £3,900 per month and an opportunity to earn an annual discretionary performance-based bonus, subject to the achievement of performance goals determined in accordance with our annual bonus plan. Mr. Richard is also eligible to participate in our group personal pension scheme and we have agreed to contribute to the pension scheme an amount equal to 10% of Mr. Richard’s annual salary provided that he contributes 4% or more of his annual salary to that scheme. In lieu of a pension contribution, we may, at Mr. Richard’s request, pay a pro-rata amount equal to 10% of his base salary as additional compensation. Either party may terminate the employment agreement by giving the other party not less than six months’ written notice, provided that we may terminate Mr. Richard at any time with immediate effect for cause or by giving written notice to Mr. Richard that we will instead pay his basic salary for any remaining notice period. Mr. Richard’s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Pursuant to the Richard Consulting Agreement, Mr. Richard also provides services to us. The Richard Consulting Agreement is</w:t>
      </w:r>
    </w:p>
    <w:p>
      <w:pPr>
        <w:ind w:left="200"/>
        <w:spacing w:after="0" w:line="234" w:lineRule="auto"/>
        <w:rPr>
          <w:sz w:val="20"/>
          <w:szCs w:val="20"/>
          <w:color w:val="auto"/>
        </w:rPr>
      </w:pPr>
      <w:r>
        <w:rPr>
          <w:rFonts w:ascii="Arial" w:cs="Arial" w:eastAsia="Arial" w:hAnsi="Arial"/>
          <w:sz w:val="18"/>
          <w:szCs w:val="18"/>
          <w:color w:val="auto"/>
        </w:rPr>
        <w:t>expected to remain in effect until January 31, 2019. The Richard Consulting Agreement entitles Mr. Richard to receive a retainer of</w:t>
      </w:r>
    </w:p>
    <w:p>
      <w:pPr>
        <w:ind w:left="200"/>
        <w:spacing w:after="0" w:line="235" w:lineRule="auto"/>
        <w:rPr>
          <w:sz w:val="20"/>
          <w:szCs w:val="20"/>
          <w:color w:val="auto"/>
        </w:rPr>
      </w:pPr>
      <w:r>
        <w:rPr>
          <w:rFonts w:ascii="Arial" w:cs="Arial" w:eastAsia="Arial" w:hAnsi="Arial"/>
          <w:sz w:val="18"/>
          <w:szCs w:val="18"/>
          <w:color w:val="auto"/>
        </w:rPr>
        <w:t>$25,550 per month and an opportunity to earn a one-time discretionary payment from us based upon the achievement of agreed-upon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performance goals with regard to the preceding 12-month period.</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Arrangements</w:t>
      </w:r>
    </w:p>
    <w:p>
      <w:pPr>
        <w:spacing w:after="0" w:line="85"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We have granted share options and awards under the following four equity award plans, or the Share Plans: (i) the 2015 Plan; (ii) the Share Option Plan; (iii) the LTIP; and (iv) the DBSP.</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2015 Plan</w:t>
      </w:r>
    </w:p>
    <w:p>
      <w:pPr>
        <w:spacing w:after="0" w:line="85" w:lineRule="exact"/>
        <w:rPr>
          <w:sz w:val="20"/>
          <w:szCs w:val="20"/>
          <w:color w:val="auto"/>
        </w:rPr>
      </w:pPr>
    </w:p>
    <w:p>
      <w:pPr>
        <w:ind w:left="200" w:right="400" w:firstLine="331"/>
        <w:spacing w:after="0" w:line="246" w:lineRule="auto"/>
        <w:rPr>
          <w:sz w:val="20"/>
          <w:szCs w:val="20"/>
          <w:color w:val="auto"/>
        </w:rPr>
      </w:pPr>
      <w:r>
        <w:rPr>
          <w:rFonts w:ascii="Arial" w:cs="Arial" w:eastAsia="Arial" w:hAnsi="Arial"/>
          <w:sz w:val="18"/>
          <w:szCs w:val="18"/>
          <w:color w:val="auto"/>
        </w:rPr>
        <w:t>Prior to the admission of our ordinary shares to trading on AIM, or Admission, we granted options under the 2015 Plan. No further grants have been made under the 2015 Plan since Admission.</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2015 Plan provides for the grant of options to executive directors, non-executive directors, employees and consultants.</w:t>
      </w:r>
    </w:p>
    <w:p>
      <w:pPr>
        <w:spacing w:after="0" w:line="212"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Options granted under the 2015 Plan vest in accordance with the vesting schedule set out in each option holder’s option agreement, in normal circumstances, between the first and fourth anniversary (or between the first and third anniversary for non-executive directors) of the vesting start date (typically the date of commencement of employment, appointment as a director, or entering into a consultancy agreement with us).</w:t>
      </w:r>
    </w:p>
    <w:p>
      <w:pPr>
        <w:spacing w:after="0" w:line="202" w:lineRule="exact"/>
        <w:rPr>
          <w:sz w:val="20"/>
          <w:szCs w:val="20"/>
          <w:color w:val="auto"/>
        </w:rPr>
      </w:pPr>
    </w:p>
    <w:p>
      <w:pPr>
        <w:ind w:left="200" w:right="460" w:firstLine="331"/>
        <w:spacing w:after="0"/>
        <w:rPr>
          <w:sz w:val="20"/>
          <w:szCs w:val="20"/>
          <w:color w:val="auto"/>
        </w:rPr>
      </w:pPr>
      <w:r>
        <w:rPr>
          <w:rFonts w:ascii="Arial" w:cs="Arial" w:eastAsia="Arial" w:hAnsi="Arial"/>
          <w:sz w:val="18"/>
          <w:szCs w:val="18"/>
          <w:color w:val="auto"/>
        </w:rPr>
        <w:t>Admission did not automatically accelerate the vesting of options, and unvested options continue to vest in accordance with their original vesting schedule, subject to the rules of the 2015 Plan. The options are not subject to performance conditions other than continued service.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Options are not automatically exercisable on vesting, but upon Admission became exercisable to the extent vested. Options may generally be exercised until the day immediately preceding the tenth anniversary of the date of grant.</w:t>
      </w:r>
    </w:p>
    <w:p>
      <w:pPr>
        <w:spacing w:after="0" w:line="197"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Options have been granted under the 2015 Plan with an exercise price ranging from £1.29 per ordinary share to £2.21 per ordinary share.</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Plan Leavers</w:t>
      </w:r>
    </w:p>
    <w:p>
      <w:pPr>
        <w:spacing w:after="0" w:line="95"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Options held by option holders who leave their office or employment will lapse immediately, unless the option holder is a Good Leaver (as defined in the plan rules). If the option holder is a Good Leaver, the option may be exercised to the extent vested at the date of cessation of services and for such period as our board of directors determines and communicates to the option holder at that time (except upon death, in which case, options may be exercised for a period of one year), after which time they will lapse.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Under the 2015 Plan, certain corporate events such as a Takeover or a Trade Sale (as defined in the plan rules) will accelerate the vesting of all unvested options upon the occurrence of such event. Options will then be exercisable for a period of 40 days thereafter, after which they will lapse.</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Adjustments</w:t>
      </w:r>
    </w:p>
    <w:p>
      <w:pPr>
        <w:spacing w:after="0" w:line="81"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In the event of any capitalization, rights issue, consolidation, subdivision, reduction or any other variation of our share capital, the number of ordinary shares subject to an option and the exercise price applying to an option may be varied in such manner as our board of directors may determine.</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Amendment and Termination</w:t>
      </w:r>
    </w:p>
    <w:p>
      <w:pPr>
        <w:spacing w:after="0" w:line="9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Our board of directors may, at any time, amend the rules of the 2015 Plan with effect from a current, future or past date by way of a resolution, except that no amendment may be made which would abrogate or adversely affect the subsisting rights of option holders, unless consent from a majority of the affected option holders is obtained (by reference to the number of ordinary shares subject to options). However, any amendment to benefit the administration of the 2015 Plan, to take account of legislative changes, a Takeover or a Trade Sale (as defined in the plan rules) or to obtain or maintain favorable tax treatment or regulatory treatment may be made by our board of directors without the consent of option holders.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BioPharma Group plc Share Option Plan</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board of directors adopted the Share Option Plan on March 4, 2016, and amended it on April 4, 2017.</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jc w:val="both"/>
        <w:ind w:left="200" w:right="40" w:firstLine="331"/>
        <w:spacing w:after="0" w:line="238" w:lineRule="auto"/>
        <w:rPr>
          <w:sz w:val="20"/>
          <w:szCs w:val="20"/>
          <w:color w:val="auto"/>
        </w:rPr>
      </w:pPr>
      <w:r>
        <w:rPr>
          <w:rFonts w:ascii="Arial" w:cs="Arial" w:eastAsia="Arial" w:hAnsi="Arial"/>
          <w:sz w:val="18"/>
          <w:szCs w:val="18"/>
          <w:color w:val="auto"/>
        </w:rPr>
        <w:t>The Share Option Plan provides for the grant of options to acquire our ordinary shares to employees and executive directors. Options may be granted to all eligible employees on commencement of employment and may be granted on a periodic basis after that. The Share Option Plan is administered by our board of directors who also set the terms and conditions of all options granted under the Share Option Plan, including any vesting and vesting acceleration conditions. Options are granted under the Share Option Plan at the discretion of our board of directors.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Vesting and Exercise</w:t>
      </w:r>
    </w:p>
    <w:p>
      <w:pPr>
        <w:spacing w:after="0" w:line="95" w:lineRule="exact"/>
        <w:rPr>
          <w:sz w:val="20"/>
          <w:szCs w:val="20"/>
          <w:color w:val="auto"/>
        </w:rPr>
      </w:pPr>
    </w:p>
    <w:p>
      <w:pPr>
        <w:ind w:left="200" w:right="260" w:firstLine="331"/>
        <w:spacing w:after="0" w:line="246" w:lineRule="auto"/>
        <w:rPr>
          <w:sz w:val="20"/>
          <w:szCs w:val="20"/>
          <w:color w:val="auto"/>
        </w:rPr>
      </w:pPr>
      <w:r>
        <w:rPr>
          <w:rFonts w:ascii="Arial" w:cs="Arial" w:eastAsia="Arial" w:hAnsi="Arial"/>
          <w:sz w:val="18"/>
          <w:szCs w:val="18"/>
          <w:color w:val="auto"/>
        </w:rPr>
        <w:t>Under the Share Option Plan, our board of directors may determine if the vesting of an option will be subject to the satisfaction of a performance condition. With regard to an option which is</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80"/>
          </w:cols>
          <w:pgMar w:left="24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subject to satisfaction of a performance condition, the option will normally vest on the later of: (i) the date on which our board of directors determines that the performance condition has been satisfied; and (ii) the third anniversary of the date of grant. With regard to an option which is not subject to the satisfaction of a performance condition, the option will normally vest on the third anniversary of the date of grant, or such other date determined by our board of directors and notified to the participant.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Options are not currently subject to performance conditions other than continued service with us and typically vest on the third anniversary of the date of grant, after which they remain exercisable generally until the tenth anniversary of the grant date. Our board of directors may determine that an options be settled in cash or by net exercise of the option.</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9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Share Option Plan is subject to an overall limit, such that our board of directors may not grant an option that would cause the number of ordinary shares allocated under the Share Option Plan and any other employee share plan adopted by us to exceed 10% of our ordinary share capital in issue at that time. No eligible employee may be granted options that, at the time they are granted, would cause the market value of shares subject to the options granted to the employee in respect of a financial year to exceed 200% of the employee’s salary.</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Plan Leavers</w:t>
      </w:r>
    </w:p>
    <w:p>
      <w:pPr>
        <w:spacing w:after="0" w:line="81"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Options held by participants who cease to hold office or employment with us for any reason prior to the first anniversary of the date of grant will lapse immediately, unless otherwise determined by our board of directors.</w:t>
      </w:r>
    </w:p>
    <w:p>
      <w:pPr>
        <w:spacing w:after="0" w:line="197"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If a participant ceases to hold office or employment with us as a result of dismissal for gross misconduct, any option the participant holds, whether vested or unvested, will lapse.</w:t>
      </w:r>
    </w:p>
    <w:p>
      <w:pPr>
        <w:spacing w:after="0" w:line="197"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If a participant ceases to hold office or employment with us on or after the first anniversary of the date of grant of any option for any reason other than dismissal for gross misconduct then: (i) if the option is already vested, it may be exercised within six months from the date of cessation of services if such cessation did not occur as a result of the participant’s death, and within 12 months from the date of cessation of services if such cessation occurred as a result of the participant’s death; and (ii) if the option is not already vested, it will vest on the normal vesting date as described above, unless our board of directors determines that the option will vest as soon as reasonably practicable following the date of cessation of services.</w:t>
      </w:r>
    </w:p>
    <w:p>
      <w:pPr>
        <w:spacing w:after="0" w:line="205"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Options may not be transferred in any way and will lapse immediately on any attempt to do so, except that options may be transferred to a participant’s personal representative upon death.</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200" w:right="220" w:firstLine="331"/>
        <w:spacing w:after="0" w:line="248" w:lineRule="auto"/>
        <w:rPr>
          <w:sz w:val="20"/>
          <w:szCs w:val="20"/>
          <w:color w:val="auto"/>
        </w:rPr>
      </w:pPr>
      <w:r>
        <w:rPr>
          <w:rFonts w:ascii="Arial" w:cs="Arial" w:eastAsia="Arial" w:hAnsi="Arial"/>
          <w:sz w:val="17"/>
          <w:szCs w:val="17"/>
          <w:color w:val="auto"/>
        </w:rPr>
        <w:t>Under the Share Option Plan, if certain changes are made in, or events occur with respect to our ordinary shares (including any variation of share capital, demerger, delisting, special dividend, rights issue or any other event, which may, in the opinion of our board of directors affect the current or future value of our ordinary shares), the number of shares subject to an option or the exercise price of an option may be adjusted as determined by our board of directors. In addition, upon such an event, our board of directors will determine:</w:t>
      </w:r>
    </w:p>
    <w:p>
      <w:pPr>
        <w:spacing w:after="0" w:line="2" w:lineRule="exact"/>
        <w:rPr>
          <w:sz w:val="20"/>
          <w:szCs w:val="20"/>
          <w:color w:val="auto"/>
        </w:rPr>
      </w:pPr>
    </w:p>
    <w:p>
      <w:pPr>
        <w:ind w:left="200" w:right="220" w:firstLine="4"/>
        <w:spacing w:after="0" w:line="246" w:lineRule="auto"/>
        <w:tabs>
          <w:tab w:leader="none" w:pos="41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whether and to what extent options which have not yet vested will vest; and (ii) the period of time during which any vested option may be exercised.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60"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scheme of arrangement or general offer, the vesting and exercisability of all options will accelerate to the extent determined by our board of directors, after which they will be exercisable for one month (or such longer period as determined by our board of directors, but not exceeding six months), following which they will lapse. However, if there is an internal reorganization, unless our board of directors determines otherwise, an option will generally be exchanged in consideration of the grant of a new option which, as determined by our board of directors, is equivalent to the option but relates to shares in a different company (whether the acquiring company or a different company). Any option that does not vest or is not exchanged will lapse immediately.</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Amendment and Termination</w:t>
      </w:r>
    </w:p>
    <w:p>
      <w:pPr>
        <w:spacing w:after="0" w:line="9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board of directors may, at any time, amend the rules of the Share Option Plan,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Share Option Plan from being an employees’ share scheme in accordance with the Companies Act 2006. No options may be granted pursuant to the Share Option Plan after the tenth anniversary of the date of our Admission.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BioPharma Group plc Long Term Incentive Plan</w:t>
      </w:r>
    </w:p>
    <w:p>
      <w:pPr>
        <w:spacing w:after="0" w:line="85"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In order to further incentivize our executive directors and senior management and align their interests with shareholders, our board of directors adopted the LTIP on June 9, 2016.</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The LTIP provides for the grant of nil-cost options, conditional awards, cash conditional awards or cash options, or, the LTIP Awards, to our key executive directors and senior management employees. The shares used to satisfy the LTIP Awards are currently delivered through the Mereo BioPharma Group plc Employee Benefit Trust, which is based in Jersey.</w:t>
      </w:r>
    </w:p>
    <w:p>
      <w:pPr>
        <w:spacing w:after="0" w:line="203" w:lineRule="exact"/>
        <w:rPr>
          <w:sz w:val="20"/>
          <w:szCs w:val="20"/>
          <w:color w:val="auto"/>
        </w:rPr>
      </w:pPr>
    </w:p>
    <w:p>
      <w:pPr>
        <w:jc w:val="both"/>
        <w:ind w:left="200" w:right="60" w:firstLine="331"/>
        <w:spacing w:after="0"/>
        <w:rPr>
          <w:sz w:val="20"/>
          <w:szCs w:val="20"/>
          <w:color w:val="auto"/>
        </w:rPr>
      </w:pPr>
      <w:r>
        <w:rPr>
          <w:rFonts w:ascii="Arial" w:cs="Arial" w:eastAsia="Arial" w:hAnsi="Arial"/>
          <w:sz w:val="18"/>
          <w:szCs w:val="18"/>
          <w:color w:val="auto"/>
        </w:rPr>
        <w:t>The LTIP Awards generally vest over a five year period and the vesting of the LTIP Awards is subject to: (i) a share price performance condition; and (ii) the achievement of strategic operational targets. Our board of directors may determine that the LTIP Awards are settled in cash.</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Vesting and Exercise</w:t>
      </w:r>
    </w:p>
    <w:p>
      <w:pPr>
        <w:spacing w:after="0" w:line="95" w:lineRule="exact"/>
        <w:rPr>
          <w:sz w:val="20"/>
          <w:szCs w:val="20"/>
          <w:color w:val="auto"/>
        </w:rPr>
      </w:pPr>
    </w:p>
    <w:p>
      <w:pPr>
        <w:ind w:left="200" w:right="260" w:firstLine="331"/>
        <w:spacing w:after="0" w:line="246" w:lineRule="auto"/>
        <w:rPr>
          <w:sz w:val="20"/>
          <w:szCs w:val="20"/>
          <w:color w:val="auto"/>
        </w:rPr>
      </w:pPr>
      <w:r>
        <w:rPr>
          <w:rFonts w:ascii="Arial" w:cs="Arial" w:eastAsia="Arial" w:hAnsi="Arial"/>
          <w:sz w:val="18"/>
          <w:szCs w:val="18"/>
          <w:color w:val="auto"/>
        </w:rPr>
        <w:t>If on the date a LTIP Award is due to vest or be exercisable a restriction on share dealing (as may be imposed by our share dealing code or the AIM rules) applies to the award, then the award will vest on the date on which such dealing restriction lifts.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81" w:lineRule="exact"/>
        <w:rPr>
          <w:sz w:val="20"/>
          <w:szCs w:val="20"/>
          <w:color w:val="auto"/>
        </w:rPr>
      </w:pPr>
    </w:p>
    <w:p>
      <w:pPr>
        <w:jc w:val="both"/>
        <w:ind w:left="200" w:right="100" w:firstLine="331"/>
        <w:spacing w:after="0" w:line="239" w:lineRule="auto"/>
        <w:rPr>
          <w:sz w:val="20"/>
          <w:szCs w:val="20"/>
          <w:color w:val="auto"/>
        </w:rPr>
      </w:pPr>
      <w:r>
        <w:rPr>
          <w:rFonts w:ascii="Arial" w:cs="Arial" w:eastAsia="Arial" w:hAnsi="Arial"/>
          <w:sz w:val="18"/>
          <w:szCs w:val="18"/>
          <w:color w:val="auto"/>
        </w:rPr>
        <w:t>The LTIP is subject to an overall limit, such that the number of ordinary shares which may be issued under it and any other employee share plan we adopted may not exceed the limit of 10% of our ordinary share capital. No eligible employee may be granted LTIP Awards that, at the time they are granted, would cause the market value of shares subject to the LTIP Awards granted to the employee in respect of a financial year to exceed 300% of the employee’s salary.</w:t>
      </w:r>
    </w:p>
    <w:p>
      <w:pPr>
        <w:spacing w:after="0" w:line="202" w:lineRule="exact"/>
        <w:rPr>
          <w:sz w:val="20"/>
          <w:szCs w:val="20"/>
          <w:color w:val="auto"/>
        </w:rPr>
      </w:pPr>
    </w:p>
    <w:p>
      <w:pPr>
        <w:ind w:left="200" w:right="40" w:firstLine="331"/>
        <w:spacing w:after="0" w:line="257" w:lineRule="auto"/>
        <w:rPr>
          <w:sz w:val="20"/>
          <w:szCs w:val="20"/>
          <w:color w:val="auto"/>
        </w:rPr>
      </w:pPr>
      <w:r>
        <w:rPr>
          <w:rFonts w:ascii="Arial" w:cs="Arial" w:eastAsia="Arial" w:hAnsi="Arial"/>
          <w:sz w:val="17"/>
          <w:szCs w:val="17"/>
          <w:color w:val="auto"/>
        </w:rPr>
        <w:t>The LTIP Awards may be: (i) reduced; or (ii) where the underlying shares or cash has already been transferred to the participant following vesting or exercise of the LTIP Award (as applicable), clawed back, where prior to the second anniversary of the end of the relevant performance period there has been a material misstatement of our accounts, an error in assessing a performance condition such that the LTIP Award vests to a greater extent than it would have vested, or fraudulent or material misconduct on the part of the participant.</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Scheme Leavers</w:t>
      </w:r>
    </w:p>
    <w:p>
      <w:pPr>
        <w:spacing w:after="0" w:line="95"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The LTIP Awards will usually lapse on the participant’s cessation of employment or office, unless the cessation is because of death, ill health, injury or disability, or where the participant is no longer employed by us, or for any other reason at our board of directors’ discretion, except where the participant is summarily dismissed, in which case any unvested LTIP Awards will usually continue until the normal vesting date, unless our board of directors determines otherwise.</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Under the LTIP, if certain changes are made in or events occur with respect to our ordinary shares (including any variation of share capital, any demerger, delisting, special dividend, rights issue or other event which may in the opinion of our board of directors, affect the current or future value of our ordinary shares), the number of shares subject to a LTIP Award, or any performance condition, may be adjusted as determined by our board of directors. In addition, upon such an event, our board of directors will determine: (i) whether and to what extent Awards which have not yet vested will vest; and (ii) the period of time during which any vested option may be exercised.</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general offer or a scheme of arrangement, the vesting and exercisability of all LTIP Awards will accelerate to the extent determined by our board of directors (taking into account the extent to which any performance conditions have been satisfied and usually the period of time from the date of grant to the date of the corporate transaction), and any nil-cost options will remain exercisable for one month (or such other period as determined by our board of directors), following which they will lapse. However, if there is an internal reorganization, a LTIP Award will be exchanged in consideration of the grant of a new award which, as determined by our board of directors, is equivalent to the LTIP Award but relates to shares in a different company (whether the acquiring company or a different company). Any LTIP Award that does not vest or is not exchanged will lapse immediately.</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Our board of directors may, at any time, amend the rules of the LTIP or the terms of any LTIP Award,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LTIP from being an employees’ share scheme in accordance with the Companies Act 2006. No LTIP Awards may be granted pursuant to the LTIP after the tenth anniversary of the date of Admission.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BioPharma Group plc Deferred Bonus Share Plan</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board of directors adopted the DBSP on June 9, 2016.</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The DBSP provides for the deferral of a percentage (currently 30%) of the annual bonuses awarded to our executive directors and senior management team into the right to acquire shares equal in value to the amount deferred, free of charge.</w:t>
      </w:r>
    </w:p>
    <w:p>
      <w:pPr>
        <w:spacing w:after="0" w:line="197"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Under the DBSP, conditional awards or nil-cost options, or the DBSP Awards, may only be granted to participants who have earned a bonus, pursuant to our annual bonus plan, for the financial year immediately preceding the financial year in which the grant date occurs. A DBSP Award will be granted over such number of shares as have at the grant date a market value, as determined by our board of directors, equal to the deferred bonus (the amount of bonus which is to be delivered in the form of a conditional award or a nil-cost option).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Vesting and Exercise</w:t>
      </w:r>
    </w:p>
    <w:p>
      <w:pPr>
        <w:spacing w:after="0" w:line="9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 DBSP Awards will generally vest three years after the date of grant and have no performance conditions or service condition. The DBSP Awards may be settled in cash if determined by our board of directors. The shares used to satisfy the DBSP Awards are currently delivered through the Mereo BioPharma Group plc Employee Benefit Trust, which is based in Jersey.</w:t>
      </w:r>
    </w:p>
    <w:p>
      <w:pPr>
        <w:spacing w:after="0" w:line="203"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If on the date a DBSP Award is due to vest or be exercisable a restriction on share dealing (as may be imposed by our share dealing code or the AIM rules) applies to the award, then the award will vest on the date on which such dealing restriction lifts.</w:t>
      </w:r>
    </w:p>
    <w:p>
      <w:pPr>
        <w:spacing w:after="0" w:line="197"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Once a nil-cost option has vested, it may be exercised during the period ending on the first anniversary of the date on which it vested in such manner as our board of directors determines, after which time it will lapse.</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8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DBSP is subject to an overall limit, such that the number of ordinary shares which may be issued under it and any other employee share plan adopted by us may not exceed 10% of our ordinary share capital in issue at that time. No eligible employee may be granted DBSP Awards that, at the time they are granted, would cause the market value of shares subject to the DBSP Awards granted to the employee in respect of a financial year to exceed 100% of the employee’s salary.</w:t>
      </w:r>
    </w:p>
    <w:p>
      <w:pPr>
        <w:spacing w:after="0" w:line="202"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The DBSP Awards may be: (i) reduced; or (ii) where the underlying shares or cash have already been transferred to prior to the third anniversary of the grant date the participant following vesting or exercise of the DBSP Award (as applicable), clawed back, where there has been a material misstatement of our accounts, an error in assessing the information on which the bonus was determined such that the bonus was overpaid, or fraudulent or material misconduct on the part of the participant.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Under the DBSP, if certain changes are made in or events occur with respect to our ordinary shares (including any variation of share capital, any demerger, delisting, special dividend, rights issue or other event which may in the opinion of our board of directors, affect the current or future value of our ordinary shares), the number of shares subject to a DBSP Award may be adjusted as determined by our board of directors. In addition, upon such an event, our board of directors will determine: (i) whether and to what extent DBSP Awards which have not yet vested will vest; and (ii) the period of time during which any vested option may be exercised.</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general offer or a scheme of arrangement, the vesting and exercisability of all DBSP Awards will accelerate to the extent determined by our board of directors, after which, the DBSP Awards will be exercisable for one month (or such other period as or determined by our board of directors), following which they will lapse. However, if there is an internal reorganization, a DBSP Award will be exchanged in consideration of the grant of a new award which, as determined by our board of directors, is equivalent to the DBSP Award but relates to shares in a different company (whether the acquiring company or a different company).</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Scheme Leavers</w:t>
      </w:r>
    </w:p>
    <w:p>
      <w:pPr>
        <w:spacing w:after="0" w:line="95" w:lineRule="exact"/>
        <w:rPr>
          <w:sz w:val="20"/>
          <w:szCs w:val="20"/>
          <w:color w:val="auto"/>
        </w:rPr>
      </w:pPr>
    </w:p>
    <w:p>
      <w:pPr>
        <w:jc w:val="both"/>
        <w:ind w:left="200" w:right="520" w:firstLine="331"/>
        <w:spacing w:after="0"/>
        <w:rPr>
          <w:sz w:val="20"/>
          <w:szCs w:val="20"/>
          <w:color w:val="auto"/>
        </w:rPr>
      </w:pPr>
      <w:r>
        <w:rPr>
          <w:rFonts w:ascii="Arial" w:cs="Arial" w:eastAsia="Arial" w:hAnsi="Arial"/>
          <w:sz w:val="18"/>
          <w:szCs w:val="18"/>
          <w:color w:val="auto"/>
        </w:rPr>
        <w:t>Except for where a participant is summarily dismissed (in which case the awards will be forfeited), the DBSP Awards usually will continue upon cessation of office or employment with us and vest in full on the normal vesting date as described above. Options will remain exercisable for a period of 12 months from the date of vesting.</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Amendment and Termination</w:t>
      </w:r>
    </w:p>
    <w:p>
      <w:pPr>
        <w:spacing w:after="0" w:line="95" w:lineRule="exact"/>
        <w:rPr>
          <w:sz w:val="20"/>
          <w:szCs w:val="20"/>
          <w:color w:val="auto"/>
        </w:rPr>
      </w:pPr>
    </w:p>
    <w:p>
      <w:pPr>
        <w:jc w:val="both"/>
        <w:ind w:left="200" w:right="40" w:firstLine="331"/>
        <w:spacing w:after="0" w:line="234" w:lineRule="auto"/>
        <w:rPr>
          <w:sz w:val="20"/>
          <w:szCs w:val="20"/>
          <w:color w:val="auto"/>
        </w:rPr>
      </w:pPr>
      <w:r>
        <w:rPr>
          <w:rFonts w:ascii="Arial" w:cs="Arial" w:eastAsia="Arial" w:hAnsi="Arial"/>
          <w:sz w:val="18"/>
          <w:szCs w:val="18"/>
          <w:color w:val="auto"/>
        </w:rPr>
        <w:t>Our board of directors may, at any time, amend the rules of the DBSP,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w:t>
      </w:r>
    </w:p>
    <w:p>
      <w:pPr>
        <w:spacing w:after="0" w:line="2" w:lineRule="exact"/>
        <w:rPr>
          <w:sz w:val="20"/>
          <w:szCs w:val="20"/>
          <w:color w:val="auto"/>
        </w:rPr>
      </w:pPr>
    </w:p>
    <w:p>
      <w:pPr>
        <w:ind w:left="540" w:right="1420" w:hanging="336"/>
        <w:spacing w:after="0" w:line="485" w:lineRule="auto"/>
        <w:tabs>
          <w:tab w:leader="none" w:pos="45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which would prevent the DBSP from being an employees’ share scheme in accordance with the Companies Act 2006. No DBSP Awards may be granted pursuant to the DBSP after the tenth anniversary of the date of Admission.</w:t>
      </w:r>
    </w:p>
    <w:p>
      <w:pPr>
        <w:spacing w:after="0" w:line="1"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The following table summarizes: (i) the outstanding number of options and awards under the Share Plans; and (ii) the number of shares granted to directors, executive officers, and non-executive directors, as of February 15, 2018:</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Per Ordinary</w:t>
            </w: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Share (£)</w:t>
            </w:r>
          </w:p>
        </w:tc>
        <w:tc>
          <w:tcPr>
            <w:tcW w:w="200" w:type="dxa"/>
            <w:vAlign w:val="bottom"/>
          </w:tcPr>
          <w:p>
            <w:pPr>
              <w:spacing w:after="0"/>
              <w:rPr>
                <w:sz w:val="15"/>
                <w:szCs w:val="15"/>
                <w:color w:val="auto"/>
              </w:rPr>
            </w:pPr>
          </w:p>
        </w:tc>
        <w:tc>
          <w:tcPr>
            <w:tcW w:w="1640" w:type="dxa"/>
            <w:vAlign w:val="bottom"/>
          </w:tcPr>
          <w:p>
            <w:pPr>
              <w:ind w:left="440"/>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15"/>
                <w:szCs w:val="15"/>
                <w:color w:val="auto"/>
              </w:rPr>
            </w:pPr>
          </w:p>
        </w:tc>
        <w:tc>
          <w:tcPr>
            <w:tcW w:w="1640" w:type="dxa"/>
            <w:vAlign w:val="bottom"/>
          </w:tcPr>
          <w:p>
            <w:pPr>
              <w:ind w:left="28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2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Scots-Knight, Ph.D.</w:t>
            </w:r>
          </w:p>
        </w:tc>
        <w:tc>
          <w:tcPr>
            <w:tcW w:w="1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w w:val="72"/>
              </w:rPr>
              <w:t>Denise</w:t>
            </w:r>
          </w:p>
        </w:tc>
        <w:tc>
          <w:tcPr>
            <w:tcW w:w="2720" w:type="dxa"/>
            <w:vAlign w:val="bottom"/>
            <w:vMerge w:val="continue"/>
            <w:shd w:val="clear" w:color="auto" w:fill="CCEEFF"/>
          </w:tcPr>
          <w:p>
            <w:pPr>
              <w:spacing w:after="0"/>
              <w:rPr>
                <w:sz w:val="16"/>
                <w:szCs w:val="16"/>
                <w:color w:val="auto"/>
              </w:rPr>
            </w:pP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844,199</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1,544,745</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25,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461,538</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June 9, 2016</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25,319</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Richard Jones</w:t>
            </w: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650,000</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3.02</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April 4, 2027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185,950</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14"/>
        </w:trPr>
        <w:tc>
          <w:tcPr>
            <w:tcW w:w="40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Alastair MacKinnon</w:t>
            </w: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425,974</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772,371</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25,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234,162</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June 9, 2016</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17,127</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John Richard</w:t>
            </w: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249,658</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772,371</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September 25, 2015</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50,000</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2.21</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June 1, 2016</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June 1, 2026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14"/>
        </w:trPr>
        <w:tc>
          <w:tcPr>
            <w:tcW w:w="40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Charles Sermon</w:t>
            </w: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524,504</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772,371</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25,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269,796</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June 9, 2016</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19,734</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Peter Fellner</w:t>
            </w: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10,000</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1,692,673</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14"/>
        </w:trPr>
        <w:tc>
          <w:tcPr>
            <w:tcW w:w="40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Frank Armstrong</w:t>
            </w: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256,444</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216,264</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Peter Bains</w:t>
            </w: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107,906</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710,583</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14"/>
        </w:trPr>
        <w:tc>
          <w:tcPr>
            <w:tcW w:w="40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Paul Blackburn</w:t>
            </w: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22,624</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236,974</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1.84</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May 11, 2016</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May 11, 2026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Anders Ekblom</w:t>
            </w: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93,002</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216,264</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14"/>
        </w:trPr>
        <w:tc>
          <w:tcPr>
            <w:tcW w:w="40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Kunal Kashyap</w:t>
            </w: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1,497,735</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216,264</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 Remuneration</w:t>
      </w:r>
    </w:p>
    <w:p>
      <w:pPr>
        <w:spacing w:after="0" w:line="99"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The following table sets forth the remuneration paid during 2017 to the current non-employee directors, all of which was in the form of annual fees: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Annual</w:t>
            </w:r>
          </w:p>
        </w:tc>
      </w:tr>
      <w:tr>
        <w:trPr>
          <w:trHeight w:val="175"/>
        </w:trPr>
        <w:tc>
          <w:tcPr>
            <w:tcW w:w="10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Fees (£)</w:t>
            </w:r>
          </w:p>
        </w:tc>
      </w:tr>
      <w:tr>
        <w:trPr>
          <w:trHeight w:val="196"/>
        </w:trPr>
        <w:tc>
          <w:tcPr>
            <w:tcW w:w="20" w:type="dxa"/>
            <w:vAlign w:val="bottom"/>
          </w:tcPr>
          <w:p>
            <w:pPr>
              <w:spacing w:after="0"/>
              <w:rPr>
                <w:sz w:val="17"/>
                <w:szCs w:val="17"/>
                <w:color w:val="auto"/>
              </w:rPr>
            </w:pPr>
          </w:p>
        </w:tc>
        <w:tc>
          <w:tcPr>
            <w:tcW w:w="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8"/>
              </w:rPr>
              <w:t>Frank</w:t>
            </w:r>
          </w:p>
        </w:tc>
        <w:tc>
          <w:tcPr>
            <w:tcW w:w="984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Armstrong</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20" w:type="dxa"/>
            <w:vAlign w:val="bottom"/>
            <w:gridSpan w:val="2"/>
          </w:tcPr>
          <w:p>
            <w:pPr>
              <w:spacing w:after="0" w:line="202" w:lineRule="exact"/>
              <w:rPr>
                <w:sz w:val="20"/>
                <w:szCs w:val="20"/>
                <w:color w:val="auto"/>
              </w:rPr>
            </w:pPr>
            <w:r>
              <w:rPr>
                <w:rFonts w:ascii="Arial" w:cs="Arial" w:eastAsia="Arial" w:hAnsi="Arial"/>
                <w:sz w:val="18"/>
                <w:szCs w:val="18"/>
                <w:color w:val="auto"/>
              </w:rPr>
              <w:t>Peter Bains</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44,000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Paul Blackburn</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48,000</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20" w:type="dxa"/>
            <w:vAlign w:val="bottom"/>
            <w:gridSpan w:val="2"/>
          </w:tcPr>
          <w:p>
            <w:pPr>
              <w:spacing w:after="0" w:line="202" w:lineRule="exact"/>
              <w:rPr>
                <w:sz w:val="20"/>
                <w:szCs w:val="20"/>
                <w:color w:val="auto"/>
              </w:rPr>
            </w:pPr>
            <w:r>
              <w:rPr>
                <w:rFonts w:ascii="Arial" w:cs="Arial" w:eastAsia="Arial" w:hAnsi="Arial"/>
                <w:sz w:val="18"/>
                <w:szCs w:val="18"/>
                <w:color w:val="auto"/>
              </w:rPr>
              <w:t>Anders Ekblom</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Fellner</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Kunal Kashyap</w:t>
            </w:r>
          </w:p>
        </w:tc>
        <w:tc>
          <w:tcPr>
            <w:tcW w:w="720" w:type="dxa"/>
            <w:vAlign w:val="bottom"/>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8"/>
                <w:szCs w:val="18"/>
                <w:color w:val="auto"/>
              </w:rPr>
            </w:pPr>
          </w:p>
        </w:tc>
      </w:tr>
    </w:tbl>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Service Contracts</w:t>
      </w:r>
    </w:p>
    <w:p>
      <w:pPr>
        <w:spacing w:after="0" w:line="85"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The remuneration of the non-executive directors is determined by our board as a whole, based on a review of current practices in other companies. We have entered into service contracts with our directors for their services, which are subject to a three-month termination period. There are no arrangements under which any non-executive director is entitled to receive compensation upon the early termination of his appointment.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85"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We operate a defined contribution pension scheme which is available to all employees. We make payments of up to 10% of basic salary for executives (up to 15% for our Chief Executive Officer) into any pension scheme or similar arrangement as the participating executive may reasonably request (or a payment in lieu thereof) Such payments are not counted for the purposes of determining bonuses or awards under the LTIP. The total amount set aside or accrued by us to provide pension, retirement or similar benefits to our current directors and our senior management with respect to 2017 was £145,293, which represents contributions made by us in 2017 in respect of a defined contribution scheme.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As of December 31, 2017 and 2016, we had 31 and 24 employees, respectively. All of our employees were based in the United Kingdom. All of our employees were engaged in either general and administrative or research and development functions. None of our employees are covered by a collective bargaining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 and Indemnification</w:t>
      </w:r>
    </w:p>
    <w:p>
      <w:pPr>
        <w:spacing w:after="0" w:line="85"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To the extent permitted by the U.K. Companies Act 2006, we are empowered to indemnify our directors against any liability they incur by reason of their directorship. We maintain directors’ and officers’ insurance to ensure such persons against certain liabilities. We have entered into a deed of indemnity with each of our directors and we expect to enter into a new deed of indemnity with each of our directors and executive officers in connection with the global offering.</w:t>
      </w:r>
    </w:p>
    <w:p>
      <w:pPr>
        <w:spacing w:after="0" w:line="202" w:lineRule="exact"/>
        <w:rPr>
          <w:sz w:val="20"/>
          <w:szCs w:val="20"/>
          <w:color w:val="auto"/>
        </w:rPr>
      </w:pPr>
    </w:p>
    <w:p>
      <w:pPr>
        <w:jc w:val="both"/>
        <w:ind w:left="200" w:right="200" w:firstLine="331"/>
        <w:spacing w:after="0"/>
        <w:rPr>
          <w:sz w:val="20"/>
          <w:szCs w:val="20"/>
          <w:color w:val="auto"/>
        </w:rPr>
      </w:pPr>
      <w:r>
        <w:rPr>
          <w:rFonts w:ascii="Arial" w:cs="Arial" w:eastAsia="Arial" w:hAnsi="Arial"/>
          <w:sz w:val="18"/>
          <w:szCs w:val="18"/>
          <w:color w:val="auto"/>
        </w:rPr>
        <w:t>Insofar as indemnification of liabilities arising under the Securities Act may be permitted to our board, executive officers, or persons controlling us pursuant to the forgoing provisions, we have been informed that, in the opinion of the SEC, such indemnification is against public policy as expressed in the Securities Act and is therefore unenforceable.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240" w:top="460" w:right="4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SHAREHOLDERS</w:t>
      </w:r>
    </w:p>
    <w:p>
      <w:pPr>
        <w:spacing w:after="0" w:line="342"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8"/>
                <w:szCs w:val="18"/>
                <w:color w:val="auto"/>
              </w:rPr>
              <w:t>The following table sets forth information relating to the beneficial ownership of our ordinary shares as of</w:t>
            </w:r>
          </w:p>
        </w:tc>
        <w:tc>
          <w:tcPr>
            <w:tcW w:w="1300" w:type="dxa"/>
            <w:vAlign w:val="bottom"/>
          </w:tcPr>
          <w:p>
            <w:pPr>
              <w:ind w:left="520"/>
              <w:spacing w:after="0"/>
              <w:rPr>
                <w:sz w:val="20"/>
                <w:szCs w:val="20"/>
                <w:color w:val="auto"/>
              </w:rPr>
            </w:pPr>
            <w:r>
              <w:rPr>
                <w:rFonts w:ascii="Arial" w:cs="Arial" w:eastAsia="Arial" w:hAnsi="Arial"/>
                <w:sz w:val="18"/>
                <w:szCs w:val="18"/>
                <w:color w:val="auto"/>
                <w:w w:val="96"/>
              </w:rPr>
              <w:t>, 2018 by:</w:t>
            </w:r>
          </w:p>
        </w:tc>
      </w:tr>
    </w:tbl>
    <w:p>
      <w:pPr>
        <w:spacing w:after="0" w:line="193" w:lineRule="exact"/>
        <w:rPr>
          <w:sz w:val="20"/>
          <w:szCs w:val="20"/>
          <w:color w:val="auto"/>
        </w:rPr>
      </w:pPr>
    </w:p>
    <w:p>
      <w:pPr>
        <w:ind w:left="960" w:hanging="432"/>
        <w:spacing w:after="0"/>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person, or group of affiliated persons, known by us to own beneficially 3% or more of our outstanding ordinary shares;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member of our board of directors and each of our other executive officers.</w:t>
      </w:r>
    </w:p>
    <w:p>
      <w:pPr>
        <w:spacing w:after="0" w:line="203"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The number of ordinary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w:t>
      </w:r>
    </w:p>
    <w:p>
      <w:pPr>
        <w:spacing w:after="0" w:line="2" w:lineRule="exact"/>
        <w:rPr>
          <w:sz w:val="20"/>
          <w:szCs w:val="20"/>
          <w:color w:val="auto"/>
        </w:rPr>
      </w:pPr>
    </w:p>
    <w:p>
      <w:pPr>
        <w:jc w:val="both"/>
        <w:ind w:left="200" w:right="180"/>
        <w:spacing w:after="0"/>
        <w:rPr>
          <w:sz w:val="20"/>
          <w:szCs w:val="20"/>
          <w:color w:val="auto"/>
        </w:rPr>
      </w:pPr>
      <w:r>
        <w:rPr>
          <w:rFonts w:ascii="Arial" w:cs="Arial" w:eastAsia="Arial" w:hAnsi="Arial"/>
          <w:sz w:val="18"/>
          <w:szCs w:val="18"/>
          <w:color w:val="auto"/>
        </w:rPr>
        <w:t>as well as any shares that the individual has the right to acquire within 60 days of , 2018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98" w:lineRule="exact"/>
        <w:rPr>
          <w:sz w:val="20"/>
          <w:szCs w:val="20"/>
          <w:color w:val="auto"/>
        </w:rPr>
      </w:pPr>
    </w:p>
    <w:p>
      <w:pPr>
        <w:ind w:left="540"/>
        <w:spacing w:after="0"/>
        <w:tabs>
          <w:tab w:leader="none" w:pos="9240" w:val="left"/>
        </w:tabs>
        <w:rPr>
          <w:sz w:val="20"/>
          <w:szCs w:val="20"/>
          <w:color w:val="auto"/>
        </w:rPr>
      </w:pPr>
      <w:r>
        <w:rPr>
          <w:rFonts w:ascii="Arial" w:cs="Arial" w:eastAsia="Arial" w:hAnsi="Arial"/>
          <w:sz w:val="18"/>
          <w:szCs w:val="18"/>
          <w:color w:val="auto"/>
        </w:rPr>
        <w:t>The percentage of ordinary shares beneficially owned before the offering is computed on the basis of</w:t>
      </w:r>
      <w:r>
        <w:rPr>
          <w:sz w:val="20"/>
          <w:szCs w:val="20"/>
          <w:color w:val="auto"/>
        </w:rPr>
        <w:tab/>
      </w:r>
      <w:r>
        <w:rPr>
          <w:rFonts w:ascii="Arial" w:cs="Arial" w:eastAsia="Arial" w:hAnsi="Arial"/>
          <w:sz w:val="17"/>
          <w:szCs w:val="17"/>
          <w:color w:val="auto"/>
        </w:rPr>
        <w:t>ordinary shares</w:t>
      </w:r>
    </w:p>
    <w:p>
      <w:pPr>
        <w:ind w:left="200"/>
        <w:spacing w:after="0" w:line="234" w:lineRule="auto"/>
        <w:tabs>
          <w:tab w:leader="none" w:pos="2600" w:val="left"/>
          <w:tab w:leader="none" w:pos="9900" w:val="left"/>
        </w:tabs>
        <w:rPr>
          <w:sz w:val="20"/>
          <w:szCs w:val="20"/>
          <w:color w:val="auto"/>
        </w:rPr>
      </w:pPr>
      <w:r>
        <w:rPr>
          <w:rFonts w:ascii="Arial" w:cs="Arial" w:eastAsia="Arial" w:hAnsi="Arial"/>
          <w:sz w:val="18"/>
          <w:szCs w:val="18"/>
          <w:color w:val="auto"/>
        </w:rPr>
        <w:t>outstanding as of</w:t>
      </w:r>
      <w:r>
        <w:rPr>
          <w:sz w:val="20"/>
          <w:szCs w:val="20"/>
          <w:color w:val="auto"/>
        </w:rPr>
        <w:tab/>
      </w:r>
      <w:r>
        <w:rPr>
          <w:rFonts w:ascii="Arial" w:cs="Arial" w:eastAsia="Arial" w:hAnsi="Arial"/>
          <w:sz w:val="18"/>
          <w:szCs w:val="18"/>
          <w:color w:val="auto"/>
        </w:rPr>
        <w:t>, 2018. Ordinary shares that a person has the right to acquire within 60 days of</w:t>
      </w:r>
      <w:r>
        <w:rPr>
          <w:sz w:val="20"/>
          <w:szCs w:val="20"/>
          <w:color w:val="auto"/>
        </w:rPr>
        <w:tab/>
      </w:r>
      <w:r>
        <w:rPr>
          <w:rFonts w:ascii="Arial" w:cs="Arial" w:eastAsia="Arial" w:hAnsi="Arial"/>
          <w:sz w:val="18"/>
          <w:szCs w:val="18"/>
          <w:color w:val="auto"/>
        </w:rPr>
        <w:t>, 2018 are</w:t>
      </w:r>
    </w:p>
    <w:p>
      <w:pPr>
        <w:spacing w:after="0" w:line="1"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deemed outstanding for purposes of computing the percentage ownership of the person holding such rights, but are not deemed outstanding for purposes of computing the percentage ownership of any other person, except with respect to the percentage ownership of all board members and executive officers as a group. Unless otherwise indicated below, the address for each beneficial owner listed is c/o Mereo BioPharma Group plc, Fourth Floor, One Cavendish Place, London W1G 0QF, United Kingdom.</w:t>
      </w:r>
    </w:p>
    <w:p>
      <w:pPr>
        <w:sectPr>
          <w:pgSz w:w="11900" w:h="16838" w:orient="portrait"/>
          <w:cols w:equalWidth="0" w:num="1">
            <w:col w:w="11220"/>
          </w:cols>
          <w:pgMar w:left="240" w:top="460" w:right="439" w:bottom="1440" w:gutter="0" w:footer="0" w:header="0"/>
        </w:sectPr>
      </w:pP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2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r>
      <w:tr>
        <w:trPr>
          <w:trHeight w:val="162"/>
        </w:trPr>
        <w:tc>
          <w:tcPr>
            <w:tcW w:w="2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r>
      <w:tr>
        <w:trPr>
          <w:trHeight w:val="162"/>
        </w:trPr>
        <w:tc>
          <w:tcPr>
            <w:tcW w:w="2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Beneficially</w:t>
            </w:r>
          </w:p>
        </w:tc>
      </w:tr>
      <w:tr>
        <w:trPr>
          <w:trHeight w:val="162"/>
        </w:trPr>
        <w:tc>
          <w:tcPr>
            <w:tcW w:w="2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r>
      <w:tr>
        <w:trPr>
          <w:trHeight w:val="182"/>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7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Before Offering</w:t>
            </w:r>
          </w:p>
        </w:tc>
      </w:tr>
    </w:tbl>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3% or Greater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-116205</wp:posOffset>
            </wp:positionV>
            <wp:extent cx="6577965"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Novartis Pharma AG(1)</w:t>
      </w:r>
    </w:p>
    <w:p>
      <w:pPr>
        <w:ind w:left="540"/>
        <w:spacing w:after="0" w:line="234" w:lineRule="auto"/>
        <w:rPr>
          <w:sz w:val="20"/>
          <w:szCs w:val="20"/>
          <w:color w:val="auto"/>
        </w:rPr>
      </w:pPr>
      <w:r>
        <w:rPr>
          <w:rFonts w:ascii="Arial" w:cs="Arial" w:eastAsia="Arial" w:hAnsi="Arial"/>
          <w:sz w:val="18"/>
          <w:szCs w:val="18"/>
          <w:color w:val="auto"/>
        </w:rPr>
        <w:t>Woodford Investment Management(2)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Invesco Asset Management(3)</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Hargreave Hale(4)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Executive Officers and Directors:</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Denise Scots-Knight, Ph.D.(5)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-127635</wp:posOffset>
            </wp:positionV>
            <wp:extent cx="657796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4" w:lineRule="auto"/>
        <w:rPr>
          <w:sz w:val="20"/>
          <w:szCs w:val="20"/>
          <w:color w:val="auto"/>
        </w:rPr>
      </w:pPr>
      <w:r>
        <w:rPr>
          <w:rFonts w:ascii="Arial" w:cs="Arial" w:eastAsia="Arial" w:hAnsi="Arial"/>
          <w:sz w:val="18"/>
          <w:szCs w:val="18"/>
          <w:color w:val="auto"/>
        </w:rPr>
        <w:t>Richard Jones</w:t>
      </w:r>
    </w:p>
    <w:p>
      <w:pPr>
        <w:ind w:left="540"/>
        <w:spacing w:after="0" w:line="235" w:lineRule="auto"/>
        <w:rPr>
          <w:sz w:val="20"/>
          <w:szCs w:val="20"/>
          <w:color w:val="auto"/>
        </w:rPr>
      </w:pPr>
      <w:r>
        <w:rPr>
          <w:rFonts w:ascii="Arial" w:cs="Arial" w:eastAsia="Arial" w:hAnsi="Arial"/>
          <w:sz w:val="18"/>
          <w:szCs w:val="18"/>
          <w:color w:val="auto"/>
        </w:rPr>
        <w:t>Alastair MacKinnon, MBBS(6)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John Richard(7)</w:t>
      </w:r>
    </w:p>
    <w:p>
      <w:pPr>
        <w:ind w:left="540"/>
        <w:spacing w:after="0" w:line="235" w:lineRule="auto"/>
        <w:rPr>
          <w:sz w:val="20"/>
          <w:szCs w:val="20"/>
          <w:color w:val="auto"/>
        </w:rPr>
      </w:pPr>
      <w:r>
        <w:rPr>
          <w:rFonts w:ascii="Arial" w:cs="Arial" w:eastAsia="Arial" w:hAnsi="Arial"/>
          <w:sz w:val="18"/>
          <w:szCs w:val="18"/>
          <w:color w:val="auto"/>
        </w:rPr>
        <w:t>Charles Sermon(8)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Peter Fellner, Ph.D.(9)</w:t>
      </w:r>
    </w:p>
    <w:p>
      <w:pPr>
        <w:ind w:left="540"/>
        <w:spacing w:after="0" w:line="235" w:lineRule="auto"/>
        <w:rPr>
          <w:sz w:val="20"/>
          <w:szCs w:val="20"/>
          <w:color w:val="auto"/>
        </w:rPr>
      </w:pPr>
      <w:r>
        <w:rPr>
          <w:rFonts w:ascii="Arial" w:cs="Arial" w:eastAsia="Arial" w:hAnsi="Arial"/>
          <w:sz w:val="18"/>
          <w:szCs w:val="18"/>
          <w:color w:val="auto"/>
        </w:rPr>
        <w:t>Frank Armstrong, MBChB(10)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Peter Bains(11)</w:t>
      </w:r>
    </w:p>
    <w:p>
      <w:pPr>
        <w:ind w:left="540"/>
        <w:spacing w:after="0" w:line="235" w:lineRule="auto"/>
        <w:rPr>
          <w:sz w:val="20"/>
          <w:szCs w:val="20"/>
          <w:color w:val="auto"/>
        </w:rPr>
      </w:pPr>
      <w:r>
        <w:rPr>
          <w:rFonts w:ascii="Arial" w:cs="Arial" w:eastAsia="Arial" w:hAnsi="Arial"/>
          <w:sz w:val="18"/>
          <w:szCs w:val="18"/>
          <w:color w:val="auto"/>
        </w:rPr>
        <w:t>Paul Blackburn(12)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-127635</wp:posOffset>
            </wp:positionV>
            <wp:extent cx="6577965"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Anders Ekblom, M.D., Ph.D.(13)</w:t>
      </w:r>
    </w:p>
    <w:p>
      <w:pPr>
        <w:ind w:left="540"/>
        <w:spacing w:after="0"/>
        <w:rPr>
          <w:sz w:val="20"/>
          <w:szCs w:val="20"/>
          <w:color w:val="auto"/>
        </w:rPr>
      </w:pPr>
      <w:r>
        <w:rPr>
          <w:rFonts w:ascii="Arial" w:cs="Arial" w:eastAsia="Arial" w:hAnsi="Arial"/>
          <w:sz w:val="18"/>
          <w:szCs w:val="18"/>
          <w:color w:val="auto"/>
        </w:rPr>
        <w:t>Kunal Kashyap(14)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77965" cy="12890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83820</wp:posOffset>
            </wp:positionV>
            <wp:extent cx="18180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5" w:lineRule="exact"/>
        <w:rPr>
          <w:sz w:val="20"/>
          <w:szCs w:val="20"/>
          <w:color w:val="auto"/>
        </w:rPr>
      </w:pPr>
    </w:p>
    <w:p>
      <w:pPr>
        <w:ind w:left="5560" w:hanging="5356"/>
        <w:spacing w:after="0" w:line="418" w:lineRule="auto"/>
        <w:tabs>
          <w:tab w:leader="none" w:pos="52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ordinary shares. 156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Percentage of Ordinary Shares</w:t>
      </w:r>
    </w:p>
    <w:p>
      <w:pPr>
        <w:spacing w:after="0" w:line="19"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wp:posOffset>
            </wp:positionV>
            <wp:extent cx="18351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52" w:lineRule="exact"/>
        <w:rPr>
          <w:sz w:val="20"/>
          <w:szCs w:val="20"/>
          <w:color w:val="auto"/>
        </w:rPr>
      </w:pPr>
    </w:p>
    <w:p>
      <w:pPr>
        <w:spacing w:after="0"/>
        <w:tabs>
          <w:tab w:leader="none" w:pos="1920" w:val="left"/>
        </w:tabs>
        <w:rPr>
          <w:sz w:val="20"/>
          <w:szCs w:val="20"/>
          <w:color w:val="auto"/>
        </w:rPr>
      </w:pPr>
      <w:r>
        <w:rPr>
          <w:rFonts w:ascii="Arial" w:cs="Arial" w:eastAsia="Arial" w:hAnsi="Arial"/>
          <w:sz w:val="14"/>
          <w:szCs w:val="14"/>
          <w:b w:val="1"/>
          <w:bCs w:val="1"/>
          <w:u w:val="single" w:color="auto"/>
          <w:color w:val="auto"/>
        </w:rPr>
        <w:t>Before Offering</w:t>
      </w:r>
      <w:r>
        <w:rPr>
          <w:sz w:val="20"/>
          <w:szCs w:val="20"/>
          <w:color w:val="auto"/>
        </w:rPr>
        <w:tab/>
      </w:r>
      <w:r>
        <w:rPr>
          <w:rFonts w:ascii="Arial" w:cs="Arial" w:eastAsia="Arial" w:hAnsi="Arial"/>
          <w:sz w:val="14"/>
          <w:szCs w:val="14"/>
          <w:b w:val="1"/>
          <w:bCs w:val="1"/>
          <w:u w:val="single" w:color="auto"/>
          <w:color w:val="auto"/>
        </w:rPr>
        <w:t>After Offering</w:t>
      </w:r>
    </w:p>
    <w:p>
      <w:pPr>
        <w:spacing w:after="0" w:line="392" w:lineRule="exact"/>
        <w:rPr>
          <w:sz w:val="20"/>
          <w:szCs w:val="20"/>
          <w:color w:val="auto"/>
        </w:rPr>
      </w:pPr>
    </w:p>
    <w:p>
      <w:pPr>
        <w:jc w:val="both"/>
        <w:ind w:left="1060"/>
        <w:spacing w:after="0"/>
        <w:tabs>
          <w:tab w:leader="none" w:pos="2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2">
            <w:col w:w="7420" w:space="380"/>
            <w:col w:w="3420"/>
          </w:cols>
          <w:pgMar w:left="240" w:top="460" w:right="439" w:bottom="1440" w:gutter="0" w:footer="0" w:header="0"/>
          <w:type w:val="continuous"/>
        </w:sectPr>
      </w:pPr>
    </w:p>
    <w:bookmarkStart w:id="160" w:name="page161"/>
    <w:bookmarkEnd w:id="16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519"/>
        </w:trPr>
        <w:tc>
          <w:tcPr>
            <w:tcW w:w="580" w:type="dxa"/>
            <w:vAlign w:val="bottom"/>
          </w:tcPr>
          <w:p>
            <w:pPr>
              <w:ind w:left="20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5360" w:type="dxa"/>
            <w:vAlign w:val="bottom"/>
            <w:gridSpan w:val="4"/>
          </w:tcPr>
          <w:p>
            <w:pPr>
              <w:ind w:left="400"/>
              <w:spacing w:after="0"/>
              <w:rPr>
                <w:sz w:val="20"/>
                <w:szCs w:val="20"/>
                <w:color w:val="auto"/>
              </w:rPr>
            </w:pPr>
            <w:r>
              <w:rPr>
                <w:rFonts w:ascii="Arial" w:cs="Arial" w:eastAsia="Arial" w:hAnsi="Arial"/>
                <w:sz w:val="18"/>
                <w:szCs w:val="18"/>
                <w:color w:val="auto"/>
              </w:rPr>
              <w:t>ordinary shares held directly by Novartis Pharma AG and (b)</w:t>
            </w:r>
          </w:p>
        </w:tc>
        <w:tc>
          <w:tcPr>
            <w:tcW w:w="3620" w:type="dxa"/>
            <w:vAlign w:val="bottom"/>
          </w:tcPr>
          <w:p>
            <w:pPr>
              <w:ind w:left="700"/>
              <w:spacing w:after="0"/>
              <w:rPr>
                <w:sz w:val="20"/>
                <w:szCs w:val="20"/>
                <w:color w:val="auto"/>
              </w:rPr>
            </w:pPr>
            <w:r>
              <w:rPr>
                <w:rFonts w:ascii="Arial" w:cs="Arial" w:eastAsia="Arial" w:hAnsi="Arial"/>
                <w:sz w:val="18"/>
                <w:szCs w:val="18"/>
                <w:color w:val="auto"/>
              </w:rPr>
              <w:t>ordinary shares issuable within 60</w:t>
            </w:r>
          </w:p>
        </w:tc>
      </w:tr>
      <w:tr>
        <w:trPr>
          <w:trHeight w:val="217"/>
        </w:trPr>
        <w:tc>
          <w:tcPr>
            <w:tcW w:w="5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days of</w:t>
            </w:r>
          </w:p>
        </w:tc>
        <w:tc>
          <w:tcPr>
            <w:tcW w:w="4400" w:type="dxa"/>
            <w:vAlign w:val="bottom"/>
            <w:gridSpan w:val="4"/>
          </w:tcPr>
          <w:p>
            <w:pPr>
              <w:ind w:left="120"/>
              <w:spacing w:after="0"/>
              <w:rPr>
                <w:sz w:val="20"/>
                <w:szCs w:val="20"/>
                <w:color w:val="auto"/>
              </w:rPr>
            </w:pPr>
            <w:r>
              <w:rPr>
                <w:rFonts w:ascii="Arial" w:cs="Arial" w:eastAsia="Arial" w:hAnsi="Arial"/>
                <w:sz w:val="18"/>
                <w:szCs w:val="18"/>
                <w:color w:val="auto"/>
              </w:rPr>
              <w:t>, 2018 upon conversion of the Novartis Notes.</w:t>
            </w: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w:t>
            </w:r>
          </w:p>
        </w:tc>
        <w:tc>
          <w:tcPr>
            <w:tcW w:w="300" w:type="dxa"/>
            <w:vAlign w:val="bottom"/>
          </w:tcPr>
          <w:p>
            <w:pPr>
              <w:spacing w:after="0"/>
              <w:rPr>
                <w:sz w:val="24"/>
                <w:szCs w:val="24"/>
                <w:color w:val="auto"/>
              </w:rPr>
            </w:pPr>
          </w:p>
        </w:tc>
        <w:tc>
          <w:tcPr>
            <w:tcW w:w="1400" w:type="dxa"/>
            <w:vAlign w:val="bottom"/>
          </w:tcPr>
          <w:p>
            <w:pPr>
              <w:ind w:left="80"/>
              <w:spacing w:after="0"/>
              <w:rPr>
                <w:sz w:val="20"/>
                <w:szCs w:val="20"/>
                <w:color w:val="auto"/>
              </w:rPr>
            </w:pPr>
            <w:r>
              <w:rPr>
                <w:rFonts w:ascii="Arial" w:cs="Arial" w:eastAsia="Arial" w:hAnsi="Arial"/>
                <w:sz w:val="18"/>
                <w:szCs w:val="18"/>
                <w:color w:val="auto"/>
              </w:rPr>
              <w:t>shares held by</w:t>
            </w:r>
          </w:p>
        </w:tc>
        <w:tc>
          <w:tcPr>
            <w:tcW w:w="7580" w:type="dxa"/>
            <w:vAlign w:val="bottom"/>
            <w:gridSpan w:val="4"/>
          </w:tcPr>
          <w:p>
            <w:pPr>
              <w:ind w:left="700"/>
              <w:spacing w:after="0"/>
              <w:rPr>
                <w:sz w:val="20"/>
                <w:szCs w:val="20"/>
                <w:color w:val="auto"/>
              </w:rPr>
            </w:pPr>
            <w:r>
              <w:rPr>
                <w:rFonts w:ascii="Arial" w:cs="Arial" w:eastAsia="Arial" w:hAnsi="Arial"/>
                <w:sz w:val="18"/>
                <w:szCs w:val="18"/>
                <w:color w:val="auto"/>
                <w:w w:val="99"/>
              </w:rPr>
              <w:t>. Beneficial ownership information is based on information known to us and a Form TR</w:t>
            </w:r>
          </w:p>
        </w:tc>
      </w:tr>
      <w:tr>
        <w:trPr>
          <w:trHeight w:val="217"/>
        </w:trPr>
        <w:tc>
          <w:tcPr>
            <w:tcW w:w="58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Arial" w:cs="Arial" w:eastAsia="Arial" w:hAnsi="Arial"/>
                <w:sz w:val="18"/>
                <w:szCs w:val="18"/>
                <w:color w:val="auto"/>
              </w:rPr>
              <w:t>1 provided to us on</w:t>
            </w:r>
          </w:p>
        </w:tc>
        <w:tc>
          <w:tcPr>
            <w:tcW w:w="5360" w:type="dxa"/>
            <w:vAlign w:val="bottom"/>
            <w:gridSpan w:val="4"/>
          </w:tcPr>
          <w:p>
            <w:pPr>
              <w:ind w:left="720"/>
              <w:spacing w:after="0"/>
              <w:rPr>
                <w:sz w:val="20"/>
                <w:szCs w:val="20"/>
                <w:color w:val="auto"/>
              </w:rPr>
            </w:pPr>
            <w:r>
              <w:rPr>
                <w:rFonts w:ascii="Arial" w:cs="Arial" w:eastAsia="Arial" w:hAnsi="Arial"/>
                <w:sz w:val="18"/>
                <w:szCs w:val="18"/>
                <w:color w:val="auto"/>
              </w:rPr>
              <w:t>. Woodford Investment Management’s mailing address is</w:t>
            </w:r>
          </w:p>
        </w:tc>
        <w:tc>
          <w:tcPr>
            <w:tcW w:w="362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w:t>
            </w:r>
          </w:p>
        </w:tc>
        <w:tc>
          <w:tcPr>
            <w:tcW w:w="300" w:type="dxa"/>
            <w:vAlign w:val="bottom"/>
          </w:tcPr>
          <w:p>
            <w:pPr>
              <w:spacing w:after="0"/>
              <w:rPr>
                <w:sz w:val="24"/>
                <w:szCs w:val="24"/>
                <w:color w:val="auto"/>
              </w:rPr>
            </w:pPr>
          </w:p>
        </w:tc>
        <w:tc>
          <w:tcPr>
            <w:tcW w:w="1400" w:type="dxa"/>
            <w:vAlign w:val="bottom"/>
          </w:tcPr>
          <w:p>
            <w:pPr>
              <w:ind w:left="80"/>
              <w:spacing w:after="0"/>
              <w:rPr>
                <w:sz w:val="20"/>
                <w:szCs w:val="20"/>
                <w:color w:val="auto"/>
              </w:rPr>
            </w:pPr>
            <w:r>
              <w:rPr>
                <w:rFonts w:ascii="Arial" w:cs="Arial" w:eastAsia="Arial" w:hAnsi="Arial"/>
                <w:sz w:val="18"/>
                <w:szCs w:val="18"/>
                <w:color w:val="auto"/>
              </w:rPr>
              <w:t>shares held by</w:t>
            </w:r>
          </w:p>
        </w:tc>
        <w:tc>
          <w:tcPr>
            <w:tcW w:w="7580" w:type="dxa"/>
            <w:vAlign w:val="bottom"/>
            <w:gridSpan w:val="4"/>
          </w:tcPr>
          <w:p>
            <w:pPr>
              <w:ind w:left="700"/>
              <w:spacing w:after="0"/>
              <w:rPr>
                <w:sz w:val="20"/>
                <w:szCs w:val="20"/>
                <w:color w:val="auto"/>
              </w:rPr>
            </w:pPr>
            <w:r>
              <w:rPr>
                <w:rFonts w:ascii="Arial" w:cs="Arial" w:eastAsia="Arial" w:hAnsi="Arial"/>
                <w:sz w:val="18"/>
                <w:szCs w:val="18"/>
                <w:color w:val="auto"/>
                <w:w w:val="99"/>
              </w:rPr>
              <w:t>. Beneficial ownership information is based on information known to us and a Form TR</w:t>
            </w:r>
          </w:p>
        </w:tc>
      </w:tr>
      <w:tr>
        <w:trPr>
          <w:trHeight w:val="217"/>
        </w:trPr>
        <w:tc>
          <w:tcPr>
            <w:tcW w:w="58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Arial" w:cs="Arial" w:eastAsia="Arial" w:hAnsi="Arial"/>
                <w:sz w:val="18"/>
                <w:szCs w:val="18"/>
                <w:color w:val="auto"/>
              </w:rPr>
              <w:t>1 provided to us on</w:t>
            </w:r>
          </w:p>
        </w:tc>
        <w:tc>
          <w:tcPr>
            <w:tcW w:w="5360" w:type="dxa"/>
            <w:vAlign w:val="bottom"/>
            <w:gridSpan w:val="4"/>
          </w:tcPr>
          <w:p>
            <w:pPr>
              <w:ind w:left="720"/>
              <w:spacing w:after="0"/>
              <w:rPr>
                <w:sz w:val="20"/>
                <w:szCs w:val="20"/>
                <w:color w:val="auto"/>
              </w:rPr>
            </w:pPr>
            <w:r>
              <w:rPr>
                <w:rFonts w:ascii="Arial" w:cs="Arial" w:eastAsia="Arial" w:hAnsi="Arial"/>
                <w:sz w:val="18"/>
                <w:szCs w:val="18"/>
                <w:color w:val="auto"/>
              </w:rPr>
              <w:t>. Invesco Asset Management’s mailing address is</w:t>
            </w:r>
          </w:p>
        </w:tc>
        <w:tc>
          <w:tcPr>
            <w:tcW w:w="3620" w:type="dxa"/>
            <w:vAlign w:val="bottom"/>
          </w:tcPr>
          <w:p>
            <w:pPr>
              <w:jc w:val="right"/>
              <w:ind w:right="3370"/>
              <w:spacing w:after="0"/>
              <w:rPr>
                <w:sz w:val="20"/>
                <w:szCs w:val="20"/>
                <w:color w:val="auto"/>
              </w:rPr>
            </w:pPr>
            <w:r>
              <w:rPr>
                <w:rFonts w:ascii="Arial" w:cs="Arial" w:eastAsia="Arial" w:hAnsi="Arial"/>
                <w:sz w:val="18"/>
                <w:szCs w:val="18"/>
                <w:color w:val="auto"/>
              </w:rPr>
              <w:t>.</w:t>
            </w: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(4)</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w:t>
            </w:r>
          </w:p>
        </w:tc>
        <w:tc>
          <w:tcPr>
            <w:tcW w:w="300" w:type="dxa"/>
            <w:vAlign w:val="bottom"/>
          </w:tcPr>
          <w:p>
            <w:pPr>
              <w:spacing w:after="0"/>
              <w:rPr>
                <w:sz w:val="24"/>
                <w:szCs w:val="24"/>
                <w:color w:val="auto"/>
              </w:rPr>
            </w:pPr>
          </w:p>
        </w:tc>
        <w:tc>
          <w:tcPr>
            <w:tcW w:w="1400" w:type="dxa"/>
            <w:vAlign w:val="bottom"/>
          </w:tcPr>
          <w:p>
            <w:pPr>
              <w:ind w:left="80"/>
              <w:spacing w:after="0"/>
              <w:rPr>
                <w:sz w:val="20"/>
                <w:szCs w:val="20"/>
                <w:color w:val="auto"/>
              </w:rPr>
            </w:pPr>
            <w:r>
              <w:rPr>
                <w:rFonts w:ascii="Arial" w:cs="Arial" w:eastAsia="Arial" w:hAnsi="Arial"/>
                <w:sz w:val="18"/>
                <w:szCs w:val="18"/>
                <w:color w:val="auto"/>
              </w:rPr>
              <w:t>shares held by</w:t>
            </w:r>
          </w:p>
        </w:tc>
        <w:tc>
          <w:tcPr>
            <w:tcW w:w="7580" w:type="dxa"/>
            <w:vAlign w:val="bottom"/>
            <w:gridSpan w:val="4"/>
          </w:tcPr>
          <w:p>
            <w:pPr>
              <w:ind w:left="700"/>
              <w:spacing w:after="0"/>
              <w:rPr>
                <w:sz w:val="20"/>
                <w:szCs w:val="20"/>
                <w:color w:val="auto"/>
              </w:rPr>
            </w:pPr>
            <w:r>
              <w:rPr>
                <w:rFonts w:ascii="Arial" w:cs="Arial" w:eastAsia="Arial" w:hAnsi="Arial"/>
                <w:sz w:val="18"/>
                <w:szCs w:val="18"/>
                <w:color w:val="auto"/>
                <w:w w:val="99"/>
              </w:rPr>
              <w:t>. Beneficial ownership information is based on information known to us and a Form TR</w:t>
            </w:r>
          </w:p>
        </w:tc>
      </w:tr>
      <w:tr>
        <w:trPr>
          <w:trHeight w:val="217"/>
        </w:trPr>
        <w:tc>
          <w:tcPr>
            <w:tcW w:w="58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Arial" w:cs="Arial" w:eastAsia="Arial" w:hAnsi="Arial"/>
                <w:sz w:val="18"/>
                <w:szCs w:val="18"/>
                <w:color w:val="auto"/>
              </w:rPr>
              <w:t>1 provided to us on</w:t>
            </w:r>
          </w:p>
        </w:tc>
        <w:tc>
          <w:tcPr>
            <w:tcW w:w="4100" w:type="dxa"/>
            <w:vAlign w:val="bottom"/>
            <w:gridSpan w:val="3"/>
          </w:tcPr>
          <w:p>
            <w:pPr>
              <w:ind w:left="720"/>
              <w:spacing w:after="0"/>
              <w:rPr>
                <w:sz w:val="20"/>
                <w:szCs w:val="20"/>
                <w:color w:val="auto"/>
              </w:rPr>
            </w:pPr>
            <w:r>
              <w:rPr>
                <w:rFonts w:ascii="Arial" w:cs="Arial" w:eastAsia="Arial" w:hAnsi="Arial"/>
                <w:sz w:val="18"/>
                <w:szCs w:val="18"/>
                <w:color w:val="auto"/>
              </w:rPr>
              <w:t>. Hargreave Hale’s mailing address is</w:t>
            </w:r>
          </w:p>
        </w:tc>
        <w:tc>
          <w:tcPr>
            <w:tcW w:w="12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(5)</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(6)</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(7)</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(8)</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(9)</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(12)</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right="200" w:firstLine="331"/>
        <w:spacing w:after="0"/>
        <w:rPr>
          <w:sz w:val="20"/>
          <w:szCs w:val="20"/>
          <w:color w:val="auto"/>
        </w:rPr>
      </w:pPr>
      <w:r>
        <w:rPr>
          <w:rFonts w:ascii="Arial" w:cs="Arial" w:eastAsia="Arial" w:hAnsi="Arial"/>
          <w:sz w:val="18"/>
          <w:szCs w:val="18"/>
          <w:color w:val="auto"/>
        </w:rPr>
        <w:t>To our knowledge, and other than changes in percentage ownership as a result of the shares issued in connection with our initial public offering in the United Kingdom, there has been no significant change in the percentage ownership held by the major shareholders listed above in the last three years, except as discussed under the heading “Related Party Transactions.”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46"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RELATED PARTY TRANSACTIONS</w:t>
      </w:r>
    </w:p>
    <w:p>
      <w:pPr>
        <w:spacing w:after="0" w:line="342" w:lineRule="exact"/>
        <w:rPr>
          <w:sz w:val="20"/>
          <w:szCs w:val="20"/>
          <w:color w:val="auto"/>
        </w:rPr>
      </w:pPr>
    </w:p>
    <w:p>
      <w:pPr>
        <w:ind w:left="200" w:right="540" w:firstLine="331"/>
        <w:spacing w:after="0"/>
        <w:rPr>
          <w:sz w:val="20"/>
          <w:szCs w:val="20"/>
          <w:color w:val="auto"/>
        </w:rPr>
      </w:pPr>
      <w:r>
        <w:rPr>
          <w:rFonts w:ascii="Arial" w:cs="Arial" w:eastAsia="Arial" w:hAnsi="Arial"/>
          <w:sz w:val="18"/>
          <w:szCs w:val="18"/>
          <w:color w:val="auto"/>
        </w:rPr>
        <w:t>The following is a description of related party transactions we have entered into with the beneficial owners of 3% or more of our ordinary shares, which are our only voting securities, and senior management and members of our board of directors, since our incorporation.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Subscription Agreement</w:t>
      </w:r>
    </w:p>
    <w:p>
      <w:pPr>
        <w:spacing w:after="0" w:line="99" w:lineRule="exact"/>
        <w:rPr>
          <w:sz w:val="20"/>
          <w:szCs w:val="20"/>
          <w:color w:val="auto"/>
        </w:rPr>
      </w:pPr>
    </w:p>
    <w:p>
      <w:pPr>
        <w:ind w:left="200" w:right="240" w:firstLine="331"/>
        <w:spacing w:after="0" w:line="238" w:lineRule="auto"/>
        <w:rPr>
          <w:sz w:val="20"/>
          <w:szCs w:val="20"/>
          <w:color w:val="auto"/>
        </w:rPr>
      </w:pPr>
      <w:r>
        <w:rPr>
          <w:rFonts w:ascii="Arial" w:cs="Arial" w:eastAsia="Arial" w:hAnsi="Arial"/>
          <w:sz w:val="18"/>
          <w:szCs w:val="18"/>
          <w:color w:val="auto"/>
        </w:rPr>
        <w:t>On July 28, 2015, we entered into a subscription agreement for ordinary shares, or the Subscription Agreement, with Invesco Perpetual High Income Fund, Woodford Patient Capital Trust plc and LF Woodford Equity Income Fund, or, collectively, the Existing Investors, and Novartis. Under the Subscription Agreement, we initially issued 10,869,566 ordinary shares to the Existing Investors at a price per ordinary share of £1.84 for total aggregate cash proceeds of £20.0 million, and 3,849,000 ordinary shares to Novartis in connection with the asset purchase agreements described under “—Other Transactions with Novartis.”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Subscription Agreement provided for us to draw down additional investments from the Existing Investors. The Subscription Agreement also obligated us, upon the issuance of additional ordinary shares, to issue to Novartis the number of ordinary shares required to maintain Novartis’ percentage ownership of us at 19.5%, with the maximum aggregate number of ordinary shares that may be issued to Novartis under the Subscription Agreement set at 14,000,000. On June 9, 2016, we issued an additional 30,727,361 ordinary shares to the Existing Investors pursuant to the drawdown and 8,697,480 ordinary shares to Novartis to maintain its percentage ownership following the drawdown and an additional private placement of our ordinary shares, for aggregate cash proceeds to us of £72.6 million. In accordance with its terms, the Subscription Agreement was terminated upon the admission of our ordinary shares to trading on AIM on June 9, 2016. In lieu of the remaining ordinary shares that we were obligated to issue to Novartis under the Subscription Agreement, Novartis is entitled to receive additional shares upon conversion of the convertible notes issued to Novartis on June 3, 2016. See “—Other Transactions with Novartis—Novartis Notes.”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Transactions with Novartis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July 28, 2015, we entered into asset purchase agreements with Novartis to purchase each of BPS-804, BCT-197, and BGS-649.</w:t>
      </w:r>
    </w:p>
    <w:p>
      <w:pPr>
        <w:ind w:left="200"/>
        <w:spacing w:after="0"/>
        <w:rPr>
          <w:sz w:val="20"/>
          <w:szCs w:val="20"/>
          <w:color w:val="auto"/>
        </w:rPr>
      </w:pPr>
      <w:r>
        <w:rPr>
          <w:rFonts w:ascii="Arial" w:cs="Arial" w:eastAsia="Arial" w:hAnsi="Arial"/>
          <w:sz w:val="18"/>
          <w:szCs w:val="18"/>
          <w:color w:val="auto"/>
        </w:rPr>
        <w:t>See “Business—Material Agreements—Novartis Agreements.” As consideration, we issued 3,849,000 ordinary shares to Novartis.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Novartis Notes</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On June 3, 2016, we issued 3,463,563 Novartis Notes to Novartis, for aggregate proceeds to us of £3.5 million. The Novartis Notes bear interest at 4% per annum and accruing daily. Novartis may at any time convert all or some of the Novartis Notes into our ordinary shares at a conversion price of £2.21 per ordinary share. In addition, upon the conversion of any Novartis Notes, Novartis is entitled to receive a number of Bonus Shares equal to the number of shares into which such Novartis Notes are converted multiplied by 0.93, up to 1,453,520 Bonus Shares in aggregate. To the extent any of the Novartis Notes remain outstanding on March 2, 2021, we are obligated to pay Novartis the principal amount of such outstanding Novartis Notes together with any accrued interest.</w:t>
      </w:r>
    </w:p>
    <w:p>
      <w:pPr>
        <w:spacing w:after="0" w:line="205"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Bonus Shares to Novartis.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the date of this prospectus, the outstanding principal and accrued interest of the Novartis Notes is £2,257,700.</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80"/>
          </w:cols>
          <w:pgMar w:left="24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Supply Payments</w:t>
      </w:r>
    </w:p>
    <w:p>
      <w:pPr>
        <w:spacing w:after="0" w:line="99"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In 2016, we paid Novartis a total of £968,219. In 2017, we paid Novartis a total of £4,610,106 for the manufacture and supply of clinical trial material.</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Novartis Board Observer Rights</w:t>
      </w:r>
    </w:p>
    <w:p>
      <w:pPr>
        <w:spacing w:after="0" w:line="85" w:lineRule="exact"/>
        <w:rPr>
          <w:sz w:val="20"/>
          <w:szCs w:val="20"/>
          <w:color w:val="auto"/>
        </w:rPr>
      </w:pPr>
    </w:p>
    <w:p>
      <w:pPr>
        <w:ind w:left="200" w:right="260" w:firstLine="331"/>
        <w:spacing w:after="0" w:line="246" w:lineRule="auto"/>
        <w:rPr>
          <w:sz w:val="20"/>
          <w:szCs w:val="20"/>
          <w:color w:val="auto"/>
        </w:rPr>
      </w:pPr>
      <w:r>
        <w:rPr>
          <w:rFonts w:ascii="Arial" w:cs="Arial" w:eastAsia="Arial" w:hAnsi="Arial"/>
          <w:sz w:val="18"/>
          <w:szCs w:val="18"/>
          <w:color w:val="auto"/>
        </w:rPr>
        <w:t>Pursuant to our Articles of Association, for as long as Novartis holds not less than one percent of our issued share capital, Novartis may appoint one observer who may attend, but not participate or vote in, any meeting of our board of directors.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Our Executive Officers and Directors</w:t>
      </w:r>
    </w:p>
    <w:p>
      <w:pPr>
        <w:spacing w:after="0" w:line="85"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Frank Armstrong, a member of our board of directors, is a director of Dr. Frank M Armstrong Consulting Ltd., or Armstrong Consulting. In 2015, we paid Armstrong Consulting a total of £120,412 for assistance with diligence activities, advisory services and reimbursement of travel costs.</w:t>
      </w:r>
    </w:p>
    <w:p>
      <w:pPr>
        <w:spacing w:after="0" w:line="203" w:lineRule="exact"/>
        <w:rPr>
          <w:sz w:val="20"/>
          <w:szCs w:val="20"/>
          <w:color w:val="auto"/>
        </w:rPr>
      </w:pPr>
    </w:p>
    <w:p>
      <w:pPr>
        <w:jc w:val="both"/>
        <w:ind w:left="200" w:right="320" w:firstLine="331"/>
        <w:spacing w:after="0"/>
        <w:rPr>
          <w:sz w:val="20"/>
          <w:szCs w:val="20"/>
          <w:color w:val="auto"/>
        </w:rPr>
      </w:pPr>
      <w:r>
        <w:rPr>
          <w:rFonts w:ascii="Arial" w:cs="Arial" w:eastAsia="Arial" w:hAnsi="Arial"/>
          <w:sz w:val="18"/>
          <w:szCs w:val="18"/>
          <w:color w:val="auto"/>
        </w:rPr>
        <w:t>Dr. Denise Scots-Knight, Dr. Alastair MacKinnon, Charles Sermon, John Richard, Kunal Kashyap, and Peter Bains are directors of Phase4. In 2015, we paid Phase4 a total of £458,359 for reimbursement of pre-establishment third-party consultancy services and for office and travel costs.</w:t>
      </w:r>
    </w:p>
    <w:p>
      <w:pPr>
        <w:spacing w:after="0" w:line="203"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We have entered into employment agreements or consultancy agreements with certain of our executive officers. See “Management— Compensation—Executive Officer Employment and Consultancy Agreements.”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Indemnity Agreements</w:t>
      </w:r>
    </w:p>
    <w:p>
      <w:pPr>
        <w:spacing w:after="0" w:line="99"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We have entered into deeds of indemnity with each of our directors and we expect to enter into a new deed of indemnity with each of our directors and executive officers in connection with the global offering. See “Management—Insurance and Indemnification.”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Person Transaction Policy</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Prior to the closing of the global offering, we intend to enter into a related person transaction policy.</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80"/>
          </w:cols>
          <w:pgMar w:left="240" w:top="460"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were re-registered as a public limited company with the legal name Mereo BioPharma Group plc. Our registered office is 4th Floor, One Cavendish Place, London, W1G 0QF, United Kingdom. The principal legislation under which we operate and our ordinary shares are issued is the U.K. Companies Act 2006.</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Capital</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March 1, 2018, our issued share capital was £213,285. The nominal value of our ordinary shares is £0.003 per ordinary share.</w:t>
      </w:r>
    </w:p>
    <w:p>
      <w:pPr>
        <w:ind w:left="200"/>
        <w:spacing w:after="0"/>
        <w:rPr>
          <w:sz w:val="20"/>
          <w:szCs w:val="20"/>
          <w:color w:val="auto"/>
        </w:rPr>
      </w:pPr>
      <w:r>
        <w:rPr>
          <w:rFonts w:ascii="Arial" w:cs="Arial" w:eastAsia="Arial" w:hAnsi="Arial"/>
          <w:sz w:val="18"/>
          <w:szCs w:val="18"/>
          <w:color w:val="auto"/>
        </w:rPr>
        <w:t>Each issued ordinary share is fully paid.</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March 1, 2018, none of our ordinary shares were held by shareholders of record in the United States.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85"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As of March 1, 2018, there were options to purchase 11,916,424 ordinary shares outstanding with a weighted average exercise price of £1.42 per ordinary share. The options generally lapse after 10 years from the date of the grant.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Novartis Notes</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On June 3, 2016, we issued 3,463,563 Novartis Notes to Novartis. As of March 1, 2018, the outstanding principal and accrued interest on the Novartis Notes was £2,259,057, which may be converted into 1,022,197 ordinary shares at a conversion price of £2.21 per ordinary share at any time until they mature. In connection with any such conversion, we are also obligated to issue a number of Bonus Shares equal to the number of shares into which the Novartis Notes are converted multiplied by 0.93, up to a maximum of 1,453,520 Bonus Shares. To date, we have issued 588,532 Bonus Shares. The Novartis Notes mature on March 2, 2021, at which time we will be obligated to pay any outstanding principal together with any accrued interest.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Ordinary Shares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summarizes the rights of holders of our ordinary shares:</w:t>
      </w:r>
    </w:p>
    <w:p>
      <w:pPr>
        <w:spacing w:after="0" w:line="239" w:lineRule="exact"/>
        <w:rPr>
          <w:sz w:val="20"/>
          <w:szCs w:val="20"/>
          <w:color w:val="auto"/>
        </w:rPr>
      </w:pPr>
    </w:p>
    <w:p>
      <w:pPr>
        <w:ind w:left="960" w:hanging="432"/>
        <w:spacing w:after="0" w:line="226" w:lineRule="auto"/>
        <w:tabs>
          <w:tab w:leader="none" w:pos="96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holder of our ordinary shares is entitled to one vote per ordinary share at a meeting of shareholders (provided that certain shareholders each have their votes on a poll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Registered Shares</w:t>
      </w:r>
    </w:p>
    <w:p>
      <w:pPr>
        <w:spacing w:after="0" w:line="85"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We are required by the U.K. Companies Act 2006 to keep a register of our shareholders. Under English law, the ordinary shares are deemed to be issued when the name of the shareholder is entered in our share register. The share register therefore is prima facie evidence of the identity of our</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20"/>
        <w:spacing w:after="0" w:line="246" w:lineRule="auto"/>
        <w:rPr>
          <w:sz w:val="20"/>
          <w:szCs w:val="20"/>
          <w:color w:val="auto"/>
        </w:rPr>
      </w:pPr>
      <w:r>
        <w:rPr>
          <w:rFonts w:ascii="Arial" w:cs="Arial" w:eastAsia="Arial" w:hAnsi="Arial"/>
          <w:sz w:val="18"/>
          <w:szCs w:val="18"/>
          <w:color w:val="auto"/>
        </w:rPr>
        <w:t>shareholders, and the shares that they hold. The share register generally provides limited, or no, information regarding the ultimate beneficial owners of our ordinary shares. Our share register is maintained by our registrar, Link Asset Services.</w:t>
      </w:r>
    </w:p>
    <w:p>
      <w:pPr>
        <w:spacing w:after="0" w:line="197"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202"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Under the U.K. Companies Act 2006, we must enter an allotment of ordinary shares in our share register as soon as practicable and in any event within two months of the allotment. We will perform all procedures necessary to update the share register to reflect the ordinary shares being sold in the global offering, including updating the share register with the number of ordinary shares to be issued to the depositary upon the closing of the U.S. offering. We also are required by the U.K. Companies Act 2006 to register a transfer of ordinary shares (or give the transferee notice of and reasons for refusal) as soon as practicable and in any event within two months of receiving notice of the transfer.</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203" w:lineRule="exact"/>
        <w:rPr>
          <w:sz w:val="20"/>
          <w:szCs w:val="20"/>
          <w:color w:val="auto"/>
        </w:rPr>
      </w:pPr>
    </w:p>
    <w:p>
      <w:pPr>
        <w:ind w:left="960" w:hanging="432"/>
        <w:spacing w:after="0"/>
        <w:tabs>
          <w:tab w:leader="none" w:pos="960" w:val="left"/>
        </w:tabs>
        <w:numPr>
          <w:ilvl w:val="0"/>
          <w:numId w:val="10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any person, without sufficient cause, is wrongly entered in or omitted from our register of members; or</w:t>
      </w:r>
    </w:p>
    <w:p>
      <w:pPr>
        <w:spacing w:after="0" w:line="26" w:lineRule="exact"/>
        <w:rPr>
          <w:rFonts w:ascii="MS PGothic" w:cs="MS PGothic" w:eastAsia="MS PGothic" w:hAnsi="MS PGothic"/>
          <w:sz w:val="25"/>
          <w:szCs w:val="25"/>
          <w:color w:val="auto"/>
          <w:vertAlign w:val="superscript"/>
        </w:rPr>
      </w:pPr>
    </w:p>
    <w:p>
      <w:pPr>
        <w:jc w:val="both"/>
        <w:ind w:left="960" w:right="320" w:hanging="432"/>
        <w:spacing w:after="0" w:line="223" w:lineRule="auto"/>
        <w:tabs>
          <w:tab w:leader="none" w:pos="960" w:val="left"/>
        </w:tabs>
        <w:numPr>
          <w:ilvl w:val="0"/>
          <w:numId w:val="10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a default or unnecessary delay in entering on the register the fact of any person having ceased to be a member or on which we have a lien, provided that such refusal does not prevent dealings in the shares taking place on an open and proper basis.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Preemptive Rights</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in a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On June 2, 2016, our shareholders approved the exclusion of preemptive rights for a period of five years from the date of the approval in respect of the allotment of up to a maximum amount of £ 350,000 of ordinary shares of £0.003 each, which exclusion will need to be renewed upon expiration (i.e., at least every five years) to remain effective, but may be sought more frequently for additional five-year terms (or any shorter period).</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Articles of Association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Shares and Rights Attaching to Them</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Objects</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objects of our company are unrestricted.</w:t>
      </w:r>
    </w:p>
    <w:p>
      <w:pPr>
        <w:spacing w:after="0" w:line="4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Share Rights</w:t>
      </w:r>
    </w:p>
    <w:p>
      <w:pPr>
        <w:spacing w:after="0" w:line="54"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Subject to any special rights attaching to shares already in issue, our shares may be issued with or have attached to them any rights or restrictions as we may resolve by ordinary resolution of the shareholders or failing such determination, as the board may determine.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Voting Rights</w:t>
      </w:r>
    </w:p>
    <w:p>
      <w:pPr>
        <w:spacing w:after="0" w:line="54"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224" w:lineRule="exact"/>
        <w:rPr>
          <w:sz w:val="20"/>
          <w:szCs w:val="20"/>
          <w:color w:val="auto"/>
        </w:rPr>
      </w:pPr>
    </w:p>
    <w:p>
      <w:pPr>
        <w:ind w:left="960" w:right="200" w:hanging="432"/>
        <w:spacing w:after="0" w:line="218" w:lineRule="auto"/>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29" w:lineRule="auto"/>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spacing w:after="0" w:line="27" w:lineRule="exact"/>
        <w:rPr>
          <w:rFonts w:ascii="MS PGothic" w:cs="MS PGothic" w:eastAsia="MS PGothic" w:hAnsi="MS PGothic"/>
          <w:sz w:val="25"/>
          <w:szCs w:val="25"/>
          <w:color w:val="auto"/>
          <w:vertAlign w:val="superscript"/>
        </w:rPr>
      </w:pPr>
    </w:p>
    <w:p>
      <w:pPr>
        <w:jc w:val="both"/>
        <w:ind w:left="960" w:right="260" w:hanging="432"/>
        <w:spacing w:after="0" w:line="226" w:lineRule="auto"/>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poll every shareholder who is present in person or by proxy shall have one vote for each share of which he is the holder,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203" w:lineRule="exact"/>
        <w:rPr>
          <w:sz w:val="20"/>
          <w:szCs w:val="20"/>
          <w:color w:val="auto"/>
        </w:rPr>
      </w:pPr>
    </w:p>
    <w:p>
      <w:pPr>
        <w:ind w:left="200" w:right="300" w:firstLine="331"/>
        <w:spacing w:after="0"/>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U.K. Companies Act 2006, as described in “Differences in Corporate Law—Voting Rights” in this prospectus, a poll may be demanded by:</w:t>
      </w:r>
    </w:p>
    <w:p>
      <w:pPr>
        <w:spacing w:after="0" w:line="194" w:lineRule="exact"/>
        <w:rPr>
          <w:sz w:val="20"/>
          <w:szCs w:val="20"/>
          <w:color w:val="auto"/>
        </w:rPr>
      </w:pPr>
    </w:p>
    <w:p>
      <w:pPr>
        <w:ind w:left="960" w:hanging="432"/>
        <w:spacing w:after="0"/>
        <w:tabs>
          <w:tab w:leader="none" w:pos="96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chairman of the meeting;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two or more persons having the right to vote on the resolution; or</w:t>
      </w:r>
    </w:p>
    <w:p>
      <w:pPr>
        <w:spacing w:after="0" w:line="26"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or persons representing not less than 10% of the total voting rights of all shareholders having the right to vote on the resolution.</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Restrictions on Voting</w:t>
      </w:r>
    </w:p>
    <w:p>
      <w:pPr>
        <w:spacing w:after="0" w:line="54"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No shareholder shall be entitled to vote at any general meeting in respect of any share held by him unless all sums payable by him in respect of that share have been paid.</w:t>
      </w:r>
    </w:p>
    <w:p>
      <w:pPr>
        <w:spacing w:after="0" w:line="197" w:lineRule="exact"/>
        <w:rPr>
          <w:sz w:val="20"/>
          <w:szCs w:val="20"/>
          <w:color w:val="auto"/>
        </w:rPr>
      </w:pPr>
    </w:p>
    <w:p>
      <w:pPr>
        <w:ind w:left="200" w:right="420" w:firstLine="331"/>
        <w:spacing w:after="0"/>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shares.</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Dividends</w:t>
      </w:r>
    </w:p>
    <w:p>
      <w:pPr>
        <w:spacing w:after="0" w:line="54" w:lineRule="exact"/>
        <w:rPr>
          <w:sz w:val="20"/>
          <w:szCs w:val="20"/>
          <w:color w:val="auto"/>
        </w:rPr>
      </w:pPr>
    </w:p>
    <w:p>
      <w:pPr>
        <w:ind w:left="200" w:firstLine="331"/>
        <w:spacing w:after="0" w:line="255" w:lineRule="auto"/>
        <w:rPr>
          <w:sz w:val="20"/>
          <w:szCs w:val="20"/>
          <w:color w:val="auto"/>
        </w:rPr>
      </w:pPr>
      <w:r>
        <w:rPr>
          <w:rFonts w:ascii="Arial" w:cs="Arial" w:eastAsia="Arial" w:hAnsi="Arial"/>
          <w:sz w:val="17"/>
          <w:szCs w:val="17"/>
          <w:color w:val="auto"/>
        </w:rPr>
        <w:t>We may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203" w:lineRule="exact"/>
        <w:rPr>
          <w:sz w:val="20"/>
          <w:szCs w:val="20"/>
          <w:color w:val="auto"/>
        </w:rPr>
      </w:pPr>
    </w:p>
    <w:p>
      <w:pPr>
        <w:jc w:val="both"/>
        <w:ind w:left="200" w:right="180" w:firstLine="331"/>
        <w:spacing w:after="0"/>
        <w:rPr>
          <w:sz w:val="20"/>
          <w:szCs w:val="20"/>
          <w:color w:val="auto"/>
        </w:rPr>
      </w:pPr>
      <w:r>
        <w:rPr>
          <w:rFonts w:ascii="Arial" w:cs="Arial" w:eastAsia="Arial" w:hAnsi="Arial"/>
          <w:sz w:val="18"/>
          <w:szCs w:val="18"/>
          <w:color w:val="auto"/>
        </w:rPr>
        <w:t>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w:t>
      </w:r>
    </w:p>
    <w:p>
      <w:pPr>
        <w:spacing w:after="0" w:line="203"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97"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203" w:lineRule="exact"/>
        <w:rPr>
          <w:sz w:val="20"/>
          <w:szCs w:val="20"/>
          <w:color w:val="auto"/>
        </w:rPr>
      </w:pPr>
    </w:p>
    <w:p>
      <w:pPr>
        <w:ind w:left="200" w:right="400" w:firstLine="331"/>
        <w:spacing w:after="0" w:line="246" w:lineRule="auto"/>
        <w:rPr>
          <w:sz w:val="20"/>
          <w:szCs w:val="20"/>
          <w:color w:val="auto"/>
        </w:rPr>
      </w:pPr>
      <w:r>
        <w:rPr>
          <w:rFonts w:ascii="Arial" w:cs="Arial" w:eastAsia="Arial" w:hAnsi="Arial"/>
          <w:sz w:val="18"/>
          <w:szCs w:val="18"/>
          <w:color w:val="auto"/>
        </w:rPr>
        <w:t>The directors may, if authorized by an ordinary resolution of shareholders, offer any holders of ordinary shares the right to elect to receive in lieu of a dividend, or part of a dividend, an allotment of ordinary shares credited as fully paid up.</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Change of Control</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is no specific provision in our Articles that would have the effect of delaying, deferring, or preventing a change of control.</w:t>
      </w:r>
    </w:p>
    <w:p>
      <w:pPr>
        <w:spacing w:after="0" w:line="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 on Winding Up</w:t>
      </w:r>
    </w:p>
    <w:p>
      <w:pPr>
        <w:spacing w:after="0" w:line="4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the liquidation of the Company may be closed and the Company dissolved), but no shareholder shall be compelled to accept any shares or other assets upon which there is any liability or potential liability.</w:t>
      </w:r>
    </w:p>
    <w:p>
      <w:pPr>
        <w:spacing w:after="0" w:line="5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Variation of Rights</w:t>
      </w:r>
    </w:p>
    <w:p>
      <w:pPr>
        <w:spacing w:after="0" w:line="41"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Alteration to Share Capital</w:t>
      </w:r>
    </w:p>
    <w:p>
      <w:pPr>
        <w:spacing w:after="0" w:line="41"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We may, by ordinary resolution of shareholders, consolidate all or any of our share capital into shares of larger amount than our existing shares, or sub-divide our shares or any of them into shares of a smaller amount. We may, by special resolution of shareholders, confirmed by the court, reduce our</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share capital or any capital redemption reserve or any share premium account in any manner authorized by the U.K. Companies Act 2006. We may redeem or purchase all or any of our shares as described in “—Other U.K. Law Considerations—Purchase of Own Shares.”</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Preemption Rights</w:t>
      </w:r>
    </w:p>
    <w:p>
      <w:pPr>
        <w:spacing w:after="0" w:line="41"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In certain circumstances, our shareholders may have statutory preemption rights under the U.K. Companies Act 2006 in respect of the allotment of new shares as described in “—Preemptive Rights” and “—Differences in Corporate Law—Pre-emptive Rights” in this prospectus.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99"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Any shareholder holding shares in certificated form may transfer all or any of his shares by an instrument of transfer in any usual form or any other form approved by the board. Any written instrument of transfer shall be signed by or on behalf of the transferor and (in the case of a partly paid share) the transferee.</w:t>
      </w:r>
    </w:p>
    <w:p>
      <w:pPr>
        <w:spacing w:after="0" w:line="203" w:lineRule="exact"/>
        <w:rPr>
          <w:sz w:val="20"/>
          <w:szCs w:val="20"/>
          <w:color w:val="auto"/>
        </w:rPr>
      </w:pPr>
    </w:p>
    <w:p>
      <w:pPr>
        <w:ind w:left="200" w:right="560" w:firstLine="331"/>
        <w:spacing w:after="0"/>
        <w:rPr>
          <w:sz w:val="20"/>
          <w:szCs w:val="20"/>
          <w:color w:val="auto"/>
        </w:rPr>
      </w:pPr>
      <w:r>
        <w:rPr>
          <w:rFonts w:ascii="Arial" w:cs="Arial" w:eastAsia="Arial" w:hAnsi="Arial"/>
          <w:sz w:val="18"/>
          <w:szCs w:val="18"/>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03" w:lineRule="exact"/>
        <w:rPr>
          <w:sz w:val="20"/>
          <w:szCs w:val="20"/>
          <w:color w:val="auto"/>
        </w:rPr>
      </w:pPr>
    </w:p>
    <w:p>
      <w:pPr>
        <w:ind w:left="960" w:hanging="432"/>
        <w:spacing w:after="0"/>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which is not a fully paid share;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lodged at our registered office or such other place as the directors have appointed;</w:t>
      </w:r>
    </w:p>
    <w:p>
      <w:pPr>
        <w:spacing w:after="0" w:line="26" w:lineRule="exact"/>
        <w:rPr>
          <w:rFonts w:ascii="MS PGothic" w:cs="MS PGothic" w:eastAsia="MS PGothic" w:hAnsi="MS PGothic"/>
          <w:sz w:val="25"/>
          <w:szCs w:val="25"/>
          <w:color w:val="auto"/>
          <w:vertAlign w:val="superscript"/>
        </w:rPr>
      </w:pPr>
    </w:p>
    <w:p>
      <w:pPr>
        <w:ind w:left="960" w:right="540" w:hanging="432"/>
        <w:spacing w:after="0" w:line="223"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in respect of more than one class of share;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number of joint holders to whom the share is to be transferred exceeds four.</w:t>
      </w:r>
    </w:p>
    <w:p>
      <w:pPr>
        <w:spacing w:after="0" w:line="203"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CREST</w:t>
      </w:r>
    </w:p>
    <w:p>
      <w:pPr>
        <w:spacing w:after="0" w:line="85" w:lineRule="exact"/>
        <w:rPr>
          <w:sz w:val="20"/>
          <w:szCs w:val="20"/>
          <w:color w:val="auto"/>
        </w:rPr>
      </w:pPr>
    </w:p>
    <w:p>
      <w:pPr>
        <w:ind w:left="200" w:right="280" w:firstLine="331"/>
        <w:spacing w:after="0" w:line="239" w:lineRule="auto"/>
        <w:rPr>
          <w:sz w:val="20"/>
          <w:szCs w:val="20"/>
          <w:color w:val="auto"/>
        </w:rPr>
      </w:pPr>
      <w:r>
        <w:rPr>
          <w:rFonts w:ascii="Arial" w:cs="Arial" w:eastAsia="Arial" w:hAnsi="Arial"/>
          <w:sz w:val="18"/>
          <w:szCs w:val="18"/>
          <w:color w:val="auto"/>
        </w:rPr>
        <w:t>To be traded on AIM, securities must be able to be transferred and settled through the CREST system. CREST is a computerized paperless share transfer and settlement system which allows securities to be transferred by electronic means, without the need for a written instrument of transfer. The Articles are consistent with CREST membership and, amongst other things, allow for the holding and transfer of shares in uncertificated form.</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Annual General Meetings</w:t>
      </w:r>
    </w:p>
    <w:p>
      <w:pPr>
        <w:spacing w:after="0" w:line="54"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 Differences in Corporate Law—Annual General Meeting” and “—Differences in Corporate Law—Notice of General Meetings” in this prospectus.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Notice of General Meetings</w:t>
      </w:r>
    </w:p>
    <w:p>
      <w:pPr>
        <w:spacing w:after="0" w:line="54"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The arrangements for the calling of general meetings are described in “—Differences in Corporate Law—Notice of General Meetings” in this prospectus.</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Quorum of General Meetings</w:t>
      </w:r>
    </w:p>
    <w:p>
      <w:pPr>
        <w:spacing w:after="0" w:line="54"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No business shall be transacted at any general meeting unless a quorum is present. At least two shareholders present in person or by proxy and entitled to vote shall be a quorum for all purposes.</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Class Meetings</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provisions in the Articles relating to general meetings apply to every separate general meeting of the holders of a class of shares.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Directors</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Number of Directors</w:t>
      </w:r>
    </w:p>
    <w:p>
      <w:pPr>
        <w:spacing w:after="0" w:line="54"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We may not have less than two directors on the board of directors and not more than nine. We may, by ordinary resolution of the shareholders, vary the minimum and maximum number of directors from time to time.</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Appointment of Directors</w:t>
      </w:r>
    </w:p>
    <w:p>
      <w:pPr>
        <w:spacing w:after="0" w:line="54" w:lineRule="exact"/>
        <w:rPr>
          <w:sz w:val="20"/>
          <w:szCs w:val="20"/>
          <w:color w:val="auto"/>
        </w:rPr>
      </w:pPr>
    </w:p>
    <w:p>
      <w:pPr>
        <w:jc w:val="both"/>
        <w:ind w:left="200" w:right="240" w:firstLine="331"/>
        <w:spacing w:after="0" w:line="238" w:lineRule="auto"/>
        <w:rPr>
          <w:sz w:val="20"/>
          <w:szCs w:val="20"/>
          <w:color w:val="auto"/>
        </w:rPr>
      </w:pPr>
      <w:r>
        <w:rPr>
          <w:rFonts w:ascii="Arial" w:cs="Arial" w:eastAsia="Arial" w:hAnsi="Arial"/>
          <w:sz w:val="18"/>
          <w:szCs w:val="18"/>
          <w:color w:val="auto"/>
        </w:rPr>
        <w:t>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the Company their willingness to be elected as a director not later than seven days before the general meeting at which the relevant resolution is proposed.</w:t>
      </w:r>
    </w:p>
    <w:p>
      <w:pPr>
        <w:spacing w:after="0" w:line="203"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w:t>
      </w:r>
    </w:p>
    <w:p>
      <w:pPr>
        <w:spacing w:after="0" w:line="20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Directors’ Interests</w:t>
      </w:r>
    </w:p>
    <w:p>
      <w:pPr>
        <w:spacing w:after="0" w:line="54" w:lineRule="exact"/>
        <w:rPr>
          <w:sz w:val="20"/>
          <w:szCs w:val="20"/>
          <w:color w:val="auto"/>
        </w:rPr>
      </w:pPr>
    </w:p>
    <w:p>
      <w:pPr>
        <w:ind w:left="200" w:right="300" w:firstLine="331"/>
        <w:spacing w:after="0" w:line="238" w:lineRule="auto"/>
        <w:rPr>
          <w:sz w:val="20"/>
          <w:szCs w:val="20"/>
          <w:color w:val="auto"/>
        </w:rPr>
      </w:pPr>
      <w:r>
        <w:rPr>
          <w:rFonts w:ascii="Arial" w:cs="Arial" w:eastAsia="Arial" w:hAnsi="Arial"/>
          <w:sz w:val="18"/>
          <w:szCs w:val="18"/>
          <w:color w:val="auto"/>
        </w:rPr>
        <w:t>If a situation arises in which a director has, or can have, a direct or indirect interest that conflicts, or possibly may conflict, with our interests (other than a situation that cannot reasonably be regarded as likely to give rise to a conflict of interest or a conflict of interest arising in relation to a transaction or arrangement with the Company), the board may authorize in accordance with the U.K. Companies Act 2006 the director’s interest and the continuing performance by the relevant director of his duties as a director on such terms as the board may determine.</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A director shall not be accountable to us for any benefit which he derives from or in connection with a relationship involving a conflict of interest or possible conflict of interest which has been authorized by the directors or by the Company in a general meeting and any such transaction or arrangement shall not be liable to be avoided on the grounds of any such benefit.</w:t>
      </w:r>
    </w:p>
    <w:p>
      <w:pPr>
        <w:spacing w:after="0" w:line="203"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Subject to the requirements under sections 175, 177 and 182 of the U.K. Companies Act 2006, a director shall declare the nature and extent of such conflicts.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A director may participate in the decision-making process and count in the quorum and vote on a proposed decision of the board which is concerned with such director’s interests (subject to any restrictions imposed by the other directors when providing such consent) if such director has declared the nature and extent of any interest of his and provided a majority of the other directors consent, or if one of the following situations applies:</w:t>
      </w:r>
    </w:p>
    <w:p>
      <w:pPr>
        <w:spacing w:after="0" w:line="107" w:lineRule="exact"/>
        <w:rPr>
          <w:sz w:val="20"/>
          <w:szCs w:val="20"/>
          <w:color w:val="auto"/>
        </w:rPr>
      </w:pPr>
    </w:p>
    <w:p>
      <w:pPr>
        <w:ind w:left="960" w:right="100" w:hanging="432"/>
        <w:spacing w:after="0" w:line="218" w:lineRule="auto"/>
        <w:tabs>
          <w:tab w:leader="none" w:pos="96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 interest arises solely through an interest in shares, debentures or other securities of or otherwise in or through the Company;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ordinary resolution of the Company permits the director to count in the quorum and vote on the proposed decision;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 interest cannot reasonably be regarded as likely to give rise to a material conflict of interest;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conflict of interest arises from one of the following:</w:t>
      </w:r>
    </w:p>
    <w:p>
      <w:pPr>
        <w:spacing w:after="0" w:line="26" w:lineRule="exact"/>
        <w:rPr>
          <w:rFonts w:ascii="MS PGothic" w:cs="MS PGothic" w:eastAsia="MS PGothic" w:hAnsi="MS PGothic"/>
          <w:sz w:val="25"/>
          <w:szCs w:val="25"/>
          <w:color w:val="auto"/>
          <w:vertAlign w:val="superscript"/>
        </w:rPr>
      </w:pPr>
    </w:p>
    <w:p>
      <w:pPr>
        <w:ind w:left="1400" w:right="240" w:hanging="426"/>
        <w:spacing w:after="0" w:line="218" w:lineRule="auto"/>
        <w:tabs>
          <w:tab w:leader="none" w:pos="1400" w:val="left"/>
        </w:tabs>
        <w:numPr>
          <w:ilvl w:val="1"/>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a guarantee, security or indemnity given, or to be given, by or to the director in respect of an obligation incurred by or on behalf of the Company or any of its subsidiaries;</w:t>
      </w:r>
    </w:p>
    <w:p>
      <w:pPr>
        <w:spacing w:after="0" w:line="27" w:lineRule="exact"/>
        <w:rPr>
          <w:rFonts w:ascii="MS PGothic" w:cs="MS PGothic" w:eastAsia="MS PGothic" w:hAnsi="MS PGothic"/>
          <w:sz w:val="25"/>
          <w:szCs w:val="25"/>
          <w:color w:val="auto"/>
          <w:vertAlign w:val="superscript"/>
        </w:rPr>
      </w:pPr>
    </w:p>
    <w:p>
      <w:pPr>
        <w:ind w:left="1400" w:hanging="426"/>
        <w:spacing w:after="0" w:line="223" w:lineRule="auto"/>
        <w:tabs>
          <w:tab w:leader="none" w:pos="1400" w:val="left"/>
        </w:tabs>
        <w:numPr>
          <w:ilvl w:val="1"/>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subscription, or agreement to subscribe, for shares or other securities of the Company or any of its subsidiaries, or to underwrite, sub-underwrite or guarantee an offer of any such shares or securities by the Company or any of its subsidiaries for subscription, purchase or exchange;</w:t>
      </w:r>
    </w:p>
    <w:p>
      <w:pPr>
        <w:spacing w:after="0" w:line="28" w:lineRule="exact"/>
        <w:rPr>
          <w:rFonts w:ascii="MS PGothic" w:cs="MS PGothic" w:eastAsia="MS PGothic" w:hAnsi="MS PGothic"/>
          <w:sz w:val="25"/>
          <w:szCs w:val="25"/>
          <w:color w:val="auto"/>
          <w:vertAlign w:val="superscript"/>
        </w:rPr>
      </w:pPr>
    </w:p>
    <w:p>
      <w:pPr>
        <w:ind w:left="1400" w:right="180" w:hanging="426"/>
        <w:spacing w:after="0" w:line="223" w:lineRule="auto"/>
        <w:tabs>
          <w:tab w:leader="none" w:pos="1400" w:val="left"/>
        </w:tabs>
        <w:numPr>
          <w:ilvl w:val="1"/>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arrangements pursuant to which benefits are made are made available to employees and directors, or former employees and directors, of the Company or any of its subsidiaries which do not provide special benefits for directors or former directors;</w:t>
      </w:r>
    </w:p>
    <w:p>
      <w:pPr>
        <w:spacing w:after="0" w:line="28" w:lineRule="exact"/>
        <w:rPr>
          <w:rFonts w:ascii="MS PGothic" w:cs="MS PGothic" w:eastAsia="MS PGothic" w:hAnsi="MS PGothic"/>
          <w:sz w:val="25"/>
          <w:szCs w:val="25"/>
          <w:color w:val="auto"/>
          <w:vertAlign w:val="superscript"/>
        </w:rPr>
      </w:pPr>
    </w:p>
    <w:p>
      <w:pPr>
        <w:ind w:left="1400" w:right="460" w:hanging="426"/>
        <w:spacing w:after="0" w:line="218" w:lineRule="auto"/>
        <w:tabs>
          <w:tab w:leader="none" w:pos="1400" w:val="left"/>
        </w:tabs>
        <w:numPr>
          <w:ilvl w:val="1"/>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purchase or maintenance of insurance which the Company is empowered to purchase or maintain for directors or officers;</w:t>
      </w:r>
    </w:p>
    <w:p>
      <w:pPr>
        <w:spacing w:after="0" w:line="27" w:lineRule="exact"/>
        <w:rPr>
          <w:rFonts w:ascii="MS PGothic" w:cs="MS PGothic" w:eastAsia="MS PGothic" w:hAnsi="MS PGothic"/>
          <w:sz w:val="25"/>
          <w:szCs w:val="25"/>
          <w:color w:val="auto"/>
          <w:vertAlign w:val="superscript"/>
        </w:rPr>
      </w:pPr>
    </w:p>
    <w:p>
      <w:pPr>
        <w:ind w:left="1400" w:right="300" w:hanging="426"/>
        <w:spacing w:after="0" w:line="218" w:lineRule="auto"/>
        <w:tabs>
          <w:tab w:leader="none" w:pos="1400" w:val="left"/>
        </w:tabs>
        <w:numPr>
          <w:ilvl w:val="1"/>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giving to the director of an indemnity against liabilities incurred or to be incurred by the director in the execution and discharge of his duties;</w:t>
      </w:r>
    </w:p>
    <w:p>
      <w:pPr>
        <w:spacing w:after="0" w:line="27" w:lineRule="exact"/>
        <w:rPr>
          <w:rFonts w:ascii="MS PGothic" w:cs="MS PGothic" w:eastAsia="MS PGothic" w:hAnsi="MS PGothic"/>
          <w:sz w:val="25"/>
          <w:szCs w:val="25"/>
          <w:color w:val="auto"/>
          <w:vertAlign w:val="superscript"/>
        </w:rPr>
      </w:pPr>
    </w:p>
    <w:p>
      <w:pPr>
        <w:ind w:left="1400" w:right="100" w:hanging="426"/>
        <w:spacing w:after="0" w:line="223" w:lineRule="auto"/>
        <w:tabs>
          <w:tab w:leader="none" w:pos="1400" w:val="left"/>
        </w:tabs>
        <w:numPr>
          <w:ilvl w:val="1"/>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provision of funds to the director to meet expenditure incurred or to be incurred by the director in defending criminal or civil proceedings against him or in connection with any application under certain provisions of the U.K. Companies Act 2006 or otherwise enabling him to avoid incurring that expenditure; or</w:t>
      </w:r>
    </w:p>
    <w:p>
      <w:pPr>
        <w:spacing w:after="0" w:line="28" w:lineRule="exact"/>
        <w:rPr>
          <w:rFonts w:ascii="MS PGothic" w:cs="MS PGothic" w:eastAsia="MS PGothic" w:hAnsi="MS PGothic"/>
          <w:sz w:val="25"/>
          <w:szCs w:val="25"/>
          <w:color w:val="auto"/>
          <w:vertAlign w:val="superscript"/>
        </w:rPr>
      </w:pPr>
    </w:p>
    <w:p>
      <w:pPr>
        <w:ind w:left="1400" w:hanging="426"/>
        <w:spacing w:after="0" w:line="228" w:lineRule="auto"/>
        <w:tabs>
          <w:tab w:leader="none" w:pos="1400" w:val="left"/>
        </w:tabs>
        <w:numPr>
          <w:ilvl w:val="1"/>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proposals concerning another company in which the director is interested directly or indirectly (whether as officer, shareholder or otherwise), if the director and any other persons connected with him do not to his knowledge hold an interest in shares representing 1% or more of the issued shares of any class of the equity share capital of that company (or of any third company through which his or their interest is derived) or of the voting rights available to shareholders of the relevant company.</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director shall not be counted in the quorum present at a meeting in relation to a resolution on which he is not entitled to vote.</w:t>
      </w:r>
    </w:p>
    <w:p>
      <w:pPr>
        <w:spacing w:after="0" w:line="212" w:lineRule="exact"/>
        <w:rPr>
          <w:sz w:val="20"/>
          <w:szCs w:val="20"/>
          <w:color w:val="auto"/>
        </w:rPr>
      </w:pPr>
    </w:p>
    <w:p>
      <w:pPr>
        <w:ind w:left="200" w:right="260" w:firstLine="331"/>
        <w:spacing w:after="0"/>
        <w:rPr>
          <w:sz w:val="20"/>
          <w:szCs w:val="20"/>
          <w:color w:val="auto"/>
        </w:rPr>
      </w:pPr>
      <w:r>
        <w:rPr>
          <w:rFonts w:ascii="Arial" w:cs="Arial" w:eastAsia="Arial" w:hAnsi="Arial"/>
          <w:sz w:val="18"/>
          <w:szCs w:val="18"/>
          <w:color w:val="auto"/>
        </w:rPr>
        <w:t>If a question arises at a meeting of the board or of a committee of the board as to the right of a director to vote or be counted in the quorum, and such question is not resolved by his voluntarily agreeing to abstain from voting, the question shall be determined by a resolution of the board or such committee (with such director being excluded from voting on the resolution).</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Directors’ Fees and Remuneration</w:t>
      </w:r>
    </w:p>
    <w:p>
      <w:pPr>
        <w:spacing w:after="0" w:line="54" w:lineRule="exact"/>
        <w:rPr>
          <w:sz w:val="20"/>
          <w:szCs w:val="20"/>
          <w:color w:val="auto"/>
        </w:rPr>
      </w:pPr>
    </w:p>
    <w:p>
      <w:pPr>
        <w:ind w:left="200" w:right="860" w:firstLine="331"/>
        <w:spacing w:after="0" w:line="246" w:lineRule="auto"/>
        <w:rPr>
          <w:sz w:val="20"/>
          <w:szCs w:val="20"/>
          <w:color w:val="auto"/>
        </w:rPr>
      </w:pPr>
      <w:r>
        <w:rPr>
          <w:rFonts w:ascii="Arial" w:cs="Arial" w:eastAsia="Arial" w:hAnsi="Arial"/>
          <w:sz w:val="18"/>
          <w:szCs w:val="18"/>
          <w:color w:val="auto"/>
        </w:rPr>
        <w:t>Each of the directors is entitled to remuneration as determined by the board for their service as directors and other services undertaken for the Company.</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80"/>
          </w:cols>
          <w:pgMar w:left="24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680" w:firstLine="331"/>
        <w:spacing w:after="0"/>
        <w:rPr>
          <w:sz w:val="20"/>
          <w:szCs w:val="20"/>
          <w:color w:val="auto"/>
        </w:rPr>
      </w:pPr>
      <w:r>
        <w:rPr>
          <w:rFonts w:ascii="Arial" w:cs="Arial" w:eastAsia="Arial" w:hAnsi="Arial"/>
          <w:sz w:val="18"/>
          <w:szCs w:val="18"/>
          <w:color w:val="auto"/>
        </w:rPr>
        <w:t>Each director may be paid his reasonable expenses in connection with such director’s attendance at meetings of the board or committees of the board or general meetings or separate meetings of the holders class of shares or of debentures, or otherwise in connection with the exercise of powers and the discharge of responsibilities in relation to the Company.</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Indemnity</w:t>
      </w:r>
    </w:p>
    <w:p>
      <w:pPr>
        <w:spacing w:after="0" w:line="41"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Every director, officer or former director or officer of our group may be indemnified against all costs, charges, losses, expenses and liabilities incurred by him in connection with any negligence, default, breach of duty, or breach of trust by him in relation to us or in connection with our activities as a trustee of an occupational pension scheme, in the actual or purported exercise of his powers or duties or otherwise as our officer, to the extent permitted under the U.K. Companies Act 2006.</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Novartis Observer</w:t>
      </w:r>
    </w:p>
    <w:p>
      <w:pPr>
        <w:spacing w:after="0" w:line="41"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For as long as Novartis holds not less than one percent of our issued share capital, Novartis may appoint one observer who may attend, but not participate or vote in, any meeting of our board of directors.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U.K. Law Considerations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Notification of Voting Rights</w:t>
      </w:r>
    </w:p>
    <w:p>
      <w:pPr>
        <w:spacing w:after="0" w:line="41"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A shareholder in a public company incorporated in the United Kingdom whose shares are admitted to trading on AIM is required pursuant to Chapter 5 of the Disclosure Guidance and Transparency Rules of the U.K. Financial Conduct Authority to notify us of the percentage of his voting rights if the percentage of voting rights which he holds as a shareholder or through his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4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Sell Out</w:t>
      </w:r>
    </w:p>
    <w:p>
      <w:pPr>
        <w:spacing w:after="0" w:line="41"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60"/>
        <w:spacing w:after="0" w:line="246" w:lineRule="auto"/>
        <w:rPr>
          <w:sz w:val="20"/>
          <w:szCs w:val="20"/>
          <w:color w:val="auto"/>
        </w:rPr>
      </w:pPr>
      <w:r>
        <w:rPr>
          <w:rFonts w:ascii="Arial" w:cs="Arial" w:eastAsia="Arial" w:hAnsi="Arial"/>
          <w:sz w:val="18"/>
          <w:szCs w:val="18"/>
          <w:color w:val="auto"/>
        </w:rPr>
        <w:t>of the acceptance period. If a shareholder exercises his rights to be bought out, the offeror is required to acquire those shares on the terms of this offer or on such other terms as may be agreed.</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Disclosure of Interest in Shares</w:t>
      </w:r>
    </w:p>
    <w:p>
      <w:pPr>
        <w:spacing w:after="0" w:line="4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knowledge) particulars of any other interest that subsists or subsisted in those shares.</w:t>
      </w:r>
    </w:p>
    <w:p>
      <w:pPr>
        <w:spacing w:after="0" w:line="202" w:lineRule="exact"/>
        <w:rPr>
          <w:sz w:val="20"/>
          <w:szCs w:val="20"/>
          <w:color w:val="auto"/>
        </w:rPr>
      </w:pPr>
    </w:p>
    <w:p>
      <w:pPr>
        <w:ind w:left="200" w:right="400" w:firstLine="331"/>
        <w:spacing w:after="0" w:line="246" w:lineRule="auto"/>
        <w:rPr>
          <w:sz w:val="20"/>
          <w:szCs w:val="20"/>
          <w:color w:val="auto"/>
        </w:rPr>
      </w:pPr>
      <w:r>
        <w:rPr>
          <w:rFonts w:ascii="Arial" w:cs="Arial" w:eastAsia="Arial" w:hAnsi="Arial"/>
          <w:sz w:val="18"/>
          <w:szCs w:val="18"/>
          <w:color w:val="auto"/>
        </w:rPr>
        <w:t>Under our Articles, if a person defaults in supplying us with the required particulars in relation to the shares in question, or default shares, within the prescribed period, the directors may by notice direct that:</w:t>
      </w:r>
    </w:p>
    <w:p>
      <w:pPr>
        <w:spacing w:after="0" w:line="102" w:lineRule="exact"/>
        <w:rPr>
          <w:sz w:val="20"/>
          <w:szCs w:val="20"/>
          <w:color w:val="auto"/>
        </w:rPr>
      </w:pPr>
    </w:p>
    <w:p>
      <w:pPr>
        <w:ind w:left="960" w:hanging="432"/>
        <w:spacing w:after="0" w:line="218"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28"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29"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shares held by the relevant shareholder in uncertificated form shall be converted into certificated form and that shareholder shall not after that be entitled to convert all or any shares held by him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Purchase of Own Shares</w:t>
      </w:r>
    </w:p>
    <w:p>
      <w:pPr>
        <w:spacing w:after="0" w:line="41"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188" w:lineRule="exact"/>
        <w:rPr>
          <w:sz w:val="20"/>
          <w:szCs w:val="20"/>
          <w:color w:val="auto"/>
        </w:rPr>
      </w:pPr>
    </w:p>
    <w:p>
      <w:pPr>
        <w:ind w:left="960" w:hanging="432"/>
        <w:spacing w:after="0"/>
        <w:tabs>
          <w:tab w:leader="none" w:pos="960" w:val="left"/>
        </w:tabs>
        <w:numPr>
          <w:ilvl w:val="0"/>
          <w:numId w:val="110"/>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the maximum number of shares authorized to be acquired;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0"/>
        </w:numPr>
        <w:rPr>
          <w:rFonts w:ascii="MS PGothic" w:cs="MS PGothic" w:eastAsia="MS PGothic" w:hAnsi="MS PGothic"/>
          <w:sz w:val="25"/>
          <w:szCs w:val="25"/>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0"/>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203"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votes on the resolution and the resolution would not have been passed if he had not done so. The resolution authorizing the purchase must specify a date, not being later than five years after the passing of the resolution, on which the authority to purchase is to expire.</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 and Dividends</w:t>
      </w:r>
    </w:p>
    <w:p>
      <w:pPr>
        <w:spacing w:after="0" w:line="41"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20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230" w:lineRule="exact"/>
        <w:rPr>
          <w:sz w:val="20"/>
          <w:szCs w:val="20"/>
          <w:color w:val="auto"/>
        </w:rPr>
      </w:pPr>
    </w:p>
    <w:p>
      <w:pPr>
        <w:ind w:left="960" w:right="300" w:hanging="432"/>
        <w:spacing w:after="0" w:line="218" w:lineRule="auto"/>
        <w:tabs>
          <w:tab w:leader="none" w:pos="960" w:val="left"/>
        </w:tabs>
        <w:numPr>
          <w:ilvl w:val="0"/>
          <w:numId w:val="11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11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City Code on Takeovers and Mergers</w:t>
      </w:r>
    </w:p>
    <w:p>
      <w:pPr>
        <w:spacing w:after="0" w:line="4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As a public company incorporated in England and Wales with our registered office in England and Wales which has shares admitted to AIM, we are subject to the U.K. City Code on Takeovers and Mergers, or the City Code, which is issued and administered by the U.K. Panel on Takeovers and Mergers, or the Panel. The City Code provides a framework within which takeovers of companies subject to it are conducted. In particular, the City Code contains certain rules in respect of mandatory offers. Under Rule 9 of the City Code, if a person:</w:t>
      </w:r>
    </w:p>
    <w:p>
      <w:pPr>
        <w:spacing w:after="0" w:line="229" w:lineRule="exact"/>
        <w:rPr>
          <w:sz w:val="20"/>
          <w:szCs w:val="20"/>
          <w:color w:val="auto"/>
        </w:rPr>
      </w:pPr>
    </w:p>
    <w:p>
      <w:pPr>
        <w:ind w:left="960" w:right="160" w:hanging="432"/>
        <w:spacing w:after="0" w:line="218" w:lineRule="auto"/>
        <w:tabs>
          <w:tab w:leader="none" w:pos="960" w:val="left"/>
        </w:tabs>
        <w:numPr>
          <w:ilvl w:val="0"/>
          <w:numId w:val="112"/>
        </w:numPr>
        <w:rPr>
          <w:rFonts w:ascii="MS PGothic" w:cs="MS PGothic" w:eastAsia="MS PGothic" w:hAnsi="MS PGothic"/>
          <w:sz w:val="25"/>
          <w:szCs w:val="25"/>
          <w:color w:val="auto"/>
          <w:vertAlign w:val="superscript"/>
        </w:rPr>
      </w:pPr>
      <w:r>
        <w:rPr>
          <w:rFonts w:ascii="Arial" w:cs="Arial" w:eastAsia="Arial" w:hAnsi="Arial"/>
          <w:sz w:val="18"/>
          <w:szCs w:val="18"/>
          <w:color w:val="auto"/>
        </w:rPr>
        <w:t>acquires an interest in our shares which, when taken together with shares in which he or persons acting in concert with him are interested, carries 30% or more of the voting rights of our shares; or</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23" w:lineRule="auto"/>
        <w:tabs>
          <w:tab w:leader="none" w:pos="960" w:val="left"/>
        </w:tabs>
        <w:numPr>
          <w:ilvl w:val="0"/>
          <w:numId w:val="112"/>
        </w:numPr>
        <w:rPr>
          <w:rFonts w:ascii="MS PGothic" w:cs="MS PGothic" w:eastAsia="MS PGothic" w:hAnsi="MS PGothic"/>
          <w:sz w:val="25"/>
          <w:szCs w:val="25"/>
          <w:color w:val="auto"/>
          <w:vertAlign w:val="superscript"/>
        </w:rPr>
      </w:pPr>
      <w:r>
        <w:rPr>
          <w:rFonts w:ascii="Arial" w:cs="Arial" w:eastAsia="Arial" w:hAnsi="Arial"/>
          <w:sz w:val="18"/>
          <w:szCs w:val="18"/>
          <w:color w:val="auto"/>
        </w:rPr>
        <w:t>who, together with persons acting in concert with him, is interested in shares that in the aggregate carry not less than 30% and not more than 50% of the voting rights of our shares, and such persons, or any person acting in concert with him, acquires additional interests in shares that increase the percentage of shares carrying voting rights in which that person is interested,</w:t>
      </w:r>
    </w:p>
    <w:p>
      <w:pPr>
        <w:spacing w:after="0" w:line="96"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the acquirer and depending on the circumstances, its concert parties, would be required (except with the consent of the Panel) to make a cash offer for our outstanding shares at a price not less than the highest price paid for any interests in the shares by the acquirer or its concert parties during the previous 12 months.</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Exchange Controls</w:t>
      </w:r>
    </w:p>
    <w:p>
      <w:pPr>
        <w:spacing w:after="0" w:line="4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Differences in Corporate Law</w:t>
      </w:r>
    </w:p>
    <w:p>
      <w:pPr>
        <w:spacing w:after="0" w:line="81" w:lineRule="exact"/>
        <w:rPr>
          <w:sz w:val="20"/>
          <w:szCs w:val="20"/>
          <w:color w:val="auto"/>
        </w:rPr>
      </w:pPr>
    </w:p>
    <w:p>
      <w:pPr>
        <w:jc w:val="both"/>
        <w:ind w:left="200" w:right="60" w:firstLine="331"/>
        <w:spacing w:after="0" w:line="245" w:lineRule="auto"/>
        <w:rPr>
          <w:sz w:val="20"/>
          <w:szCs w:val="20"/>
          <w:color w:val="auto"/>
        </w:rPr>
      </w:pPr>
      <w:r>
        <w:rPr>
          <w:rFonts w:ascii="Arial" w:cs="Arial" w:eastAsia="Arial" w:hAnsi="Arial"/>
          <w:sz w:val="18"/>
          <w:szCs w:val="18"/>
          <w:i w:val="1"/>
          <w:iCs w:val="1"/>
          <w:color w:val="auto"/>
        </w:rPr>
        <w:t>The applicable provisions of the U.K. Companies Act 2006 differ from laws applicable to U.S. corporations and their shareholders. Set forth below is a summary of certain differences between the provisions of the U.K.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11220"/>
          </w:cols>
          <w:pgMar w:left="240" w:top="460" w:right="439" w:bottom="1440" w:gutter="0" w:footer="0" w:header="0"/>
        </w:sectPr>
      </w:pP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3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32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82"/>
        </w:trPr>
        <w:tc>
          <w:tcPr>
            <w:tcW w:w="13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4720" w:type="dxa"/>
            <w:vAlign w:val="bottom"/>
          </w:tcPr>
          <w:p>
            <w:pPr>
              <w:spacing w:after="0" w:line="182" w:lineRule="exact"/>
              <w:rPr>
                <w:sz w:val="20"/>
                <w:szCs w:val="20"/>
                <w:color w:val="auto"/>
              </w:rPr>
            </w:pPr>
            <w:r>
              <w:rPr>
                <w:rFonts w:ascii="Arial" w:cs="Arial" w:eastAsia="Arial" w:hAnsi="Arial"/>
                <w:sz w:val="18"/>
                <w:szCs w:val="18"/>
                <w:color w:val="auto"/>
              </w:rPr>
              <w:t>Under the U.K. Companies Act 2006, a public limited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Directors</w:t>
            </w: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company must have at least two directors and the number</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of directors may be fixed by or in the manner provided in a</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company’s articles of association.</w:t>
            </w: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0"/>
                <w:szCs w:val="20"/>
                <w:color w:val="auto"/>
              </w:rPr>
            </w:pPr>
            <w:r>
              <w:rPr>
                <w:rFonts w:ascii="Arial" w:cs="Arial" w:eastAsia="Arial" w:hAnsi="Arial"/>
                <w:sz w:val="18"/>
                <w:szCs w:val="18"/>
                <w:color w:val="auto"/>
              </w:rPr>
              <w:t>Removal of</w:t>
            </w: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Under the U.K. Companies Act 2006, shareholders may</w:t>
            </w: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Directors</w:t>
            </w: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remove a director without cause by an ordinary resolution</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(which is passed by a simple majority of those voting in</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person or by proxy at a general meeting) irrespective of</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any provisions of any service contract the director has with</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the company, provided 28 clear days’ notice of the</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resolution has been given to the company and its</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9"/>
              </w:rPr>
              <w:t>shareholders. On receipt of notice of an intended resolution</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to remove a director, the company must forthwith send a</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copy of the notice to the director concerned. Certain other</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procedural requirements under the U.K. Companies Act</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2006 must also be followed such as allowing the director to</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make representations against his or her removal either at</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the meeting or in writing.</w:t>
            </w:r>
          </w:p>
        </w:tc>
        <w:tc>
          <w:tcPr>
            <w:tcW w:w="0" w:type="dxa"/>
            <w:vAlign w:val="bottom"/>
          </w:tcPr>
          <w:p>
            <w:pPr>
              <w:spacing w:after="0"/>
              <w:rPr>
                <w:sz w:val="1"/>
                <w:szCs w:val="1"/>
                <w:color w:val="auto"/>
              </w:rPr>
            </w:pPr>
          </w:p>
        </w:tc>
      </w:tr>
      <w:tr>
        <w:trPr>
          <w:trHeight w:val="458"/>
        </w:trPr>
        <w:tc>
          <w:tcPr>
            <w:tcW w:w="1360" w:type="dxa"/>
            <w:vAlign w:val="bottom"/>
          </w:tcPr>
          <w:p>
            <w:pPr>
              <w:spacing w:after="0"/>
              <w:rPr>
                <w:sz w:val="20"/>
                <w:szCs w:val="20"/>
                <w:color w:val="auto"/>
              </w:rPr>
            </w:pPr>
            <w:r>
              <w:rPr>
                <w:rFonts w:ascii="Arial" w:cs="Arial" w:eastAsia="Arial" w:hAnsi="Arial"/>
                <w:sz w:val="18"/>
                <w:szCs w:val="18"/>
                <w:color w:val="auto"/>
              </w:rPr>
              <w:t>Vacancies on</w:t>
            </w: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Under English law, the procedure by which directors, other</w:t>
            </w: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the Board of</w:t>
            </w: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than a company’s initial directors, are appointed is</w:t>
            </w: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Directors</w:t>
            </w: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generally set out in a company’s articles of association,</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provided that where two or more persons are appointed as</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directors of a public limited company by resolution of the</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shareholders, resolutions appointing each director must be</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voted on individually.</w:t>
            </w:r>
          </w:p>
        </w:tc>
        <w:tc>
          <w:tcPr>
            <w:tcW w:w="0" w:type="dxa"/>
            <w:vAlign w:val="bottom"/>
          </w:tcPr>
          <w:p>
            <w:pPr>
              <w:spacing w:after="0"/>
              <w:rPr>
                <w:sz w:val="1"/>
                <w:szCs w:val="1"/>
                <w:color w:val="auto"/>
              </w:rPr>
            </w:pPr>
          </w:p>
        </w:tc>
      </w:tr>
      <w:tr>
        <w:trPr>
          <w:trHeight w:val="959"/>
        </w:trPr>
        <w:tc>
          <w:tcPr>
            <w:tcW w:w="1360" w:type="dxa"/>
            <w:vAlign w:val="bottom"/>
          </w:tcPr>
          <w:p>
            <w:pPr>
              <w:spacing w:after="0"/>
              <w:rPr>
                <w:sz w:val="24"/>
                <w:szCs w:val="24"/>
                <w:color w:val="auto"/>
              </w:rPr>
            </w:pPr>
          </w:p>
        </w:tc>
        <w:tc>
          <w:tcPr>
            <w:tcW w:w="5040" w:type="dxa"/>
            <w:vAlign w:val="bottom"/>
            <w:gridSpan w:val="2"/>
          </w:tcPr>
          <w:p>
            <w:pPr>
              <w:ind w:left="40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pacing w:after="0" w:line="2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5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Delaware law,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ectPr>
          <w:pgSz w:w="11900" w:h="16838" w:orient="portrait"/>
          <w:cols w:equalWidth="0" w:num="2">
            <w:col w:w="6600" w:space="100"/>
            <w:col w:w="4520"/>
          </w:cols>
          <w:pgMar w:left="240" w:top="460" w:right="439" w:bottom="1440" w:gutter="0" w:footer="0" w:header="0"/>
          <w:type w:val="continuous"/>
        </w:sectPr>
      </w:pPr>
    </w:p>
    <w:bookmarkStart w:id="174" w:name="page175"/>
    <w:bookmarkEnd w:id="1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60" w:right="45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r>
      <w:tr>
        <w:trPr>
          <w:trHeight w:val="249"/>
        </w:trPr>
        <w:tc>
          <w:tcPr>
            <w:tcW w:w="1500" w:type="dxa"/>
            <w:vAlign w:val="bottom"/>
          </w:tcPr>
          <w:p>
            <w:pPr>
              <w:spacing w:after="0"/>
              <w:rPr>
                <w:sz w:val="20"/>
                <w:szCs w:val="20"/>
                <w:color w:val="auto"/>
              </w:rPr>
            </w:pPr>
            <w:r>
              <w:rPr>
                <w:rFonts w:ascii="Arial" w:cs="Arial" w:eastAsia="Arial" w:hAnsi="Arial"/>
                <w:sz w:val="18"/>
                <w:szCs w:val="18"/>
                <w:color w:val="auto"/>
              </w:rPr>
              <w:t>Annual General</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Under the U.K. Companies Act 2006, a public limited</w:t>
            </w:r>
          </w:p>
        </w:tc>
      </w:tr>
      <w:tr>
        <w:trPr>
          <w:trHeight w:val="203"/>
        </w:trPr>
        <w:tc>
          <w:tcPr>
            <w:tcW w:w="1500" w:type="dxa"/>
            <w:vAlign w:val="bottom"/>
          </w:tcPr>
          <w:p>
            <w:pPr>
              <w:spacing w:after="0" w:line="202" w:lineRule="exact"/>
              <w:rPr>
                <w:sz w:val="20"/>
                <w:szCs w:val="20"/>
                <w:color w:val="auto"/>
              </w:rPr>
            </w:pPr>
            <w:r>
              <w:rPr>
                <w:rFonts w:ascii="Arial" w:cs="Arial" w:eastAsia="Arial" w:hAnsi="Arial"/>
                <w:sz w:val="18"/>
                <w:szCs w:val="18"/>
                <w:color w:val="auto"/>
              </w:rPr>
              <w:t>Meeting</w:t>
            </w: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company must hold an annual general meeting in each</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six-month period following the company’s annual</w:t>
            </w:r>
          </w:p>
        </w:tc>
      </w:tr>
      <w:tr>
        <w:trPr>
          <w:trHeight w:val="217"/>
        </w:trPr>
        <w:tc>
          <w:tcPr>
            <w:tcW w:w="150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accounting reference date.</w:t>
            </w:r>
          </w:p>
        </w:tc>
      </w:tr>
      <w:tr>
        <w:trPr>
          <w:trHeight w:val="458"/>
        </w:trPr>
        <w:tc>
          <w:tcPr>
            <w:tcW w:w="1500" w:type="dxa"/>
            <w:vAlign w:val="bottom"/>
          </w:tcPr>
          <w:p>
            <w:pPr>
              <w:spacing w:after="0"/>
              <w:rPr>
                <w:sz w:val="20"/>
                <w:szCs w:val="20"/>
                <w:color w:val="auto"/>
              </w:rPr>
            </w:pPr>
            <w:r>
              <w:rPr>
                <w:rFonts w:ascii="Arial" w:cs="Arial" w:eastAsia="Arial" w:hAnsi="Arial"/>
                <w:sz w:val="18"/>
                <w:szCs w:val="18"/>
                <w:color w:val="auto"/>
              </w:rPr>
              <w:t>General Meeting</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Under the U.K. Companies Act 2006, a general meeting of</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the shareholders of a public limited company may be called</w:t>
            </w:r>
          </w:p>
        </w:tc>
      </w:tr>
      <w:tr>
        <w:trPr>
          <w:trHeight w:val="217"/>
        </w:trPr>
        <w:tc>
          <w:tcPr>
            <w:tcW w:w="150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by the directors.</w:t>
            </w:r>
          </w:p>
        </w:tc>
      </w:tr>
      <w:tr>
        <w:trPr>
          <w:trHeight w:val="458"/>
        </w:trPr>
        <w:tc>
          <w:tcPr>
            <w:tcW w:w="1500" w:type="dxa"/>
            <w:vAlign w:val="bottom"/>
          </w:tcPr>
          <w:p>
            <w:pPr>
              <w:spacing w:after="0"/>
              <w:rPr>
                <w:sz w:val="24"/>
                <w:szCs w:val="24"/>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Shareholders holding at least 5% of the paid-up capital of</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the company carrying voting rights at general meetings</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(excluding any paid up capital held as treasury shares) can</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require the directors to call a general meeting and, if the</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directors fail to do so within a certain period, may</w:t>
            </w:r>
          </w:p>
        </w:tc>
      </w:tr>
      <w:tr>
        <w:trPr>
          <w:trHeight w:val="217"/>
        </w:trPr>
        <w:tc>
          <w:tcPr>
            <w:tcW w:w="150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themselves convene a general meeting.</w:t>
            </w:r>
          </w:p>
        </w:tc>
      </w:tr>
      <w:tr>
        <w:trPr>
          <w:trHeight w:val="256"/>
        </w:trPr>
        <w:tc>
          <w:tcPr>
            <w:tcW w:w="1500" w:type="dxa"/>
            <w:vAlign w:val="bottom"/>
          </w:tcPr>
          <w:p>
            <w:pPr>
              <w:spacing w:after="0"/>
              <w:rPr>
                <w:sz w:val="20"/>
                <w:szCs w:val="20"/>
                <w:color w:val="auto"/>
              </w:rPr>
            </w:pPr>
            <w:r>
              <w:rPr>
                <w:rFonts w:ascii="Arial" w:cs="Arial" w:eastAsia="Arial" w:hAnsi="Arial"/>
                <w:sz w:val="18"/>
                <w:szCs w:val="18"/>
                <w:color w:val="auto"/>
              </w:rPr>
              <w:t>Notice of</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Under the U.K. Companies Act 2006, 21 clear days’ notice</w:t>
            </w:r>
          </w:p>
        </w:tc>
      </w:tr>
      <w:tr>
        <w:trPr>
          <w:trHeight w:val="203"/>
        </w:trPr>
        <w:tc>
          <w:tcPr>
            <w:tcW w:w="1500" w:type="dxa"/>
            <w:vAlign w:val="bottom"/>
          </w:tcPr>
          <w:p>
            <w:pPr>
              <w:spacing w:after="0" w:line="202" w:lineRule="exact"/>
              <w:rPr>
                <w:sz w:val="20"/>
                <w:szCs w:val="20"/>
                <w:color w:val="auto"/>
              </w:rPr>
            </w:pPr>
            <w:r>
              <w:rPr>
                <w:rFonts w:ascii="Arial" w:cs="Arial" w:eastAsia="Arial" w:hAnsi="Arial"/>
                <w:sz w:val="18"/>
                <w:szCs w:val="18"/>
                <w:color w:val="auto"/>
              </w:rPr>
              <w:t>General</w:t>
            </w: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must be given for an annual general meeting and any</w:t>
            </w:r>
          </w:p>
        </w:tc>
      </w:tr>
      <w:tr>
        <w:trPr>
          <w:trHeight w:val="203"/>
        </w:trPr>
        <w:tc>
          <w:tcPr>
            <w:tcW w:w="1500" w:type="dxa"/>
            <w:vAlign w:val="bottom"/>
          </w:tcPr>
          <w:p>
            <w:pPr>
              <w:spacing w:after="0" w:line="202" w:lineRule="exact"/>
              <w:rPr>
                <w:sz w:val="20"/>
                <w:szCs w:val="20"/>
                <w:color w:val="auto"/>
              </w:rPr>
            </w:pPr>
            <w:r>
              <w:rPr>
                <w:rFonts w:ascii="Arial" w:cs="Arial" w:eastAsia="Arial" w:hAnsi="Arial"/>
                <w:sz w:val="18"/>
                <w:szCs w:val="18"/>
                <w:color w:val="auto"/>
              </w:rPr>
              <w:t>Meetings</w:t>
            </w: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resolutions to be proposed at the meeting. Subject to a</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company’s articles of association providing for a longer</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period, at least 14 clear days’ notice is required for any</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other general meeting. In addition, certain matters, such as</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the removal of directors or auditors, require special notice,</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which is 28 clear days’ notice. The shareholders of a</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company may in all cases consent to a shorter notice</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period, the proportion of shareholders’ consent required</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being 100% of those entitled to attend and vote in the case</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of an annual general meeting and, in the case of any other</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general meeting, a majority in number of the members</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having a right to attend and vote at the meeting, being a</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majority who together hold not less than 95% in nominal</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value of the shares giving a right to attend and vote at the</w:t>
            </w:r>
          </w:p>
        </w:tc>
      </w:tr>
      <w:tr>
        <w:trPr>
          <w:trHeight w:val="217"/>
        </w:trPr>
        <w:tc>
          <w:tcPr>
            <w:tcW w:w="150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meeting.</w:t>
            </w:r>
          </w:p>
        </w:tc>
      </w:tr>
      <w:tr>
        <w:trPr>
          <w:trHeight w:val="351"/>
        </w:trPr>
        <w:tc>
          <w:tcPr>
            <w:tcW w:w="1500" w:type="dxa"/>
            <w:vAlign w:val="bottom"/>
          </w:tcPr>
          <w:p>
            <w:pPr>
              <w:spacing w:after="0"/>
              <w:rPr>
                <w:sz w:val="24"/>
                <w:szCs w:val="24"/>
                <w:color w:val="auto"/>
              </w:rPr>
            </w:pPr>
          </w:p>
        </w:tc>
        <w:tc>
          <w:tcPr>
            <w:tcW w:w="4900" w:type="dxa"/>
            <w:vAlign w:val="bottom"/>
            <w:gridSpan w:val="2"/>
          </w:tcPr>
          <w:p>
            <w:pPr>
              <w:ind w:left="3860"/>
              <w:spacing w:after="0"/>
              <w:rPr>
                <w:sz w:val="20"/>
                <w:szCs w:val="20"/>
                <w:color w:val="auto"/>
              </w:rPr>
            </w:pPr>
            <w:r>
              <w:rPr>
                <w:rFonts w:ascii="Arial" w:cs="Arial" w:eastAsia="Arial" w:hAnsi="Arial"/>
                <w:sz w:val="18"/>
                <w:szCs w:val="18"/>
                <w:color w:val="auto"/>
              </w:rPr>
              <w:t>171</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5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ectPr>
          <w:pgSz w:w="11900" w:h="16838" w:orient="portrait"/>
          <w:cols w:equalWidth="0" w:num="2">
            <w:col w:w="6600" w:space="100"/>
            <w:col w:w="4500"/>
          </w:cols>
          <w:pgMar w:left="240" w:top="460" w:right="459" w:bottom="1440" w:gutter="0" w:footer="0" w:header="0"/>
          <w:type w:val="continuous"/>
        </w:sectPr>
      </w:pPr>
    </w:p>
    <w:bookmarkStart w:id="175" w:name="page176"/>
    <w:bookmarkEnd w:id="1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r>
      <w:tr>
        <w:trPr>
          <w:trHeight w:val="249"/>
        </w:trPr>
        <w:tc>
          <w:tcPr>
            <w:tcW w:w="1480" w:type="dxa"/>
            <w:vAlign w:val="bottom"/>
          </w:tcPr>
          <w:p>
            <w:pPr>
              <w:spacing w:after="0"/>
              <w:rPr>
                <w:sz w:val="20"/>
                <w:szCs w:val="20"/>
                <w:color w:val="auto"/>
              </w:rPr>
            </w:pPr>
            <w:r>
              <w:rPr>
                <w:rFonts w:ascii="Arial" w:cs="Arial" w:eastAsia="Arial" w:hAnsi="Arial"/>
                <w:sz w:val="18"/>
                <w:szCs w:val="18"/>
                <w:color w:val="auto"/>
              </w:rPr>
              <w:t>Proxy</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at any meeting of</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9"/>
              </w:rPr>
              <w:t>shareholders, a shareholder may designate another person</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to attend, speak and vote at the meeting on their behalf by</w:t>
            </w:r>
          </w:p>
        </w:tc>
      </w:tr>
      <w:tr>
        <w:trPr>
          <w:trHeight w:val="217"/>
        </w:trPr>
        <w:tc>
          <w:tcPr>
            <w:tcW w:w="1480" w:type="dxa"/>
            <w:vAlign w:val="bottom"/>
          </w:tcPr>
          <w:p>
            <w:pPr>
              <w:spacing w:after="0"/>
              <w:rPr>
                <w:sz w:val="18"/>
                <w:szCs w:val="18"/>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proxy.</w:t>
            </w:r>
          </w:p>
        </w:tc>
      </w:tr>
      <w:tr>
        <w:trPr>
          <w:trHeight w:val="863"/>
        </w:trPr>
        <w:tc>
          <w:tcPr>
            <w:tcW w:w="1480" w:type="dxa"/>
            <w:vAlign w:val="bottom"/>
          </w:tcPr>
          <w:p>
            <w:pPr>
              <w:spacing w:after="0"/>
              <w:rPr>
                <w:sz w:val="20"/>
                <w:szCs w:val="20"/>
                <w:color w:val="auto"/>
              </w:rPr>
            </w:pPr>
            <w:r>
              <w:rPr>
                <w:rFonts w:ascii="Arial" w:cs="Arial" w:eastAsia="Arial" w:hAnsi="Arial"/>
                <w:sz w:val="18"/>
                <w:szCs w:val="18"/>
                <w:color w:val="auto"/>
              </w:rPr>
              <w:t>Pre-emptive</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“equity securities”,</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Rights</w:t>
            </w: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being (i) shares in the company other than shares that,</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with respect to dividends and capital, carry a right to</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participate only up to a specified amount in a distribution</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(“ordinary shares”) or (ii) rights to subscribe for, or to</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convert securities into, ordinary shares, proposed to be</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allotted for cash must be offered first to the existing equity</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shareholders in the company in proportion to the</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respective nominal value of their holdings, unless an</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exception applies or a special resolution to the contrary</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has been passed by shareholders in a general meeting or</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the articles of association provide otherwise in each case</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 accordance with the provisions of the U.K. Companies</w:t>
            </w:r>
          </w:p>
        </w:tc>
      </w:tr>
      <w:tr>
        <w:trPr>
          <w:trHeight w:val="217"/>
        </w:trPr>
        <w:tc>
          <w:tcPr>
            <w:tcW w:w="1480" w:type="dxa"/>
            <w:vAlign w:val="bottom"/>
          </w:tcPr>
          <w:p>
            <w:pPr>
              <w:spacing w:after="0"/>
              <w:rPr>
                <w:sz w:val="18"/>
                <w:szCs w:val="18"/>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Act 2006.</w:t>
            </w:r>
          </w:p>
        </w:tc>
      </w:tr>
      <w:tr>
        <w:trPr>
          <w:trHeight w:val="256"/>
        </w:trPr>
        <w:tc>
          <w:tcPr>
            <w:tcW w:w="1480" w:type="dxa"/>
            <w:vAlign w:val="bottom"/>
          </w:tcPr>
          <w:p>
            <w:pPr>
              <w:spacing w:after="0"/>
              <w:rPr>
                <w:sz w:val="20"/>
                <w:szCs w:val="20"/>
                <w:color w:val="auto"/>
              </w:rPr>
            </w:pPr>
            <w:r>
              <w:rPr>
                <w:rFonts w:ascii="Arial" w:cs="Arial" w:eastAsia="Arial" w:hAnsi="Arial"/>
                <w:sz w:val="18"/>
                <w:szCs w:val="18"/>
                <w:color w:val="auto"/>
              </w:rPr>
              <w:t>Authority to Allot</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the directors of a</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company must not allot shares or grant of rights to</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subscribe for or to convert any security into shares unless</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an exception applies or an ordinary resolution to the</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contrary has been passed by shareholders in a general</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meeting or the articles of association provide otherwise in</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each case in accordance with the provisions of the U.K.</w:t>
            </w:r>
          </w:p>
        </w:tc>
      </w:tr>
      <w:tr>
        <w:trPr>
          <w:trHeight w:val="217"/>
        </w:trPr>
        <w:tc>
          <w:tcPr>
            <w:tcW w:w="1480" w:type="dxa"/>
            <w:vAlign w:val="bottom"/>
          </w:tcPr>
          <w:p>
            <w:pPr>
              <w:spacing w:after="0"/>
              <w:rPr>
                <w:sz w:val="18"/>
                <w:szCs w:val="18"/>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Companies Act 2006.</w:t>
            </w:r>
          </w:p>
        </w:tc>
      </w:tr>
      <w:tr>
        <w:trPr>
          <w:trHeight w:val="863"/>
        </w:trPr>
        <w:tc>
          <w:tcPr>
            <w:tcW w:w="1480" w:type="dxa"/>
            <w:vAlign w:val="bottom"/>
          </w:tcPr>
          <w:p>
            <w:pPr>
              <w:spacing w:after="0"/>
              <w:rPr>
                <w:sz w:val="20"/>
                <w:szCs w:val="20"/>
                <w:color w:val="auto"/>
              </w:rPr>
            </w:pPr>
            <w:r>
              <w:rPr>
                <w:rFonts w:ascii="Arial" w:cs="Arial" w:eastAsia="Arial" w:hAnsi="Arial"/>
                <w:sz w:val="18"/>
                <w:szCs w:val="18"/>
                <w:color w:val="auto"/>
              </w:rPr>
              <w:t>Liability of</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any provision,</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Directors and</w:t>
            </w: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whether contained in a company’s articles of association or</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Officers</w:t>
            </w: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any contract or otherwise, that purports to exempt a</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director of a company, to any extent, from any liability that</w:t>
            </w:r>
          </w:p>
        </w:tc>
      </w:tr>
      <w:tr>
        <w:trPr>
          <w:trHeight w:val="217"/>
        </w:trPr>
        <w:tc>
          <w:tcPr>
            <w:tcW w:w="1480" w:type="dxa"/>
            <w:vAlign w:val="bottom"/>
          </w:tcPr>
          <w:p>
            <w:pPr>
              <w:spacing w:after="0"/>
              <w:rPr>
                <w:sz w:val="18"/>
                <w:szCs w:val="18"/>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would</w:t>
            </w:r>
          </w:p>
        </w:tc>
      </w:tr>
      <w:tr>
        <w:trPr>
          <w:trHeight w:val="351"/>
        </w:trPr>
        <w:tc>
          <w:tcPr>
            <w:tcW w:w="1480" w:type="dxa"/>
            <w:vAlign w:val="bottom"/>
          </w:tcPr>
          <w:p>
            <w:pPr>
              <w:spacing w:after="0"/>
              <w:rPr>
                <w:sz w:val="24"/>
                <w:szCs w:val="24"/>
                <w:color w:val="auto"/>
              </w:rPr>
            </w:pPr>
          </w:p>
        </w:tc>
        <w:tc>
          <w:tcPr>
            <w:tcW w:w="4920" w:type="dxa"/>
            <w:vAlign w:val="bottom"/>
            <w:gridSpan w:val="2"/>
          </w:tcPr>
          <w:p>
            <w:pPr>
              <w:ind w:left="3880"/>
              <w:spacing w:after="0"/>
              <w:rPr>
                <w:sz w:val="20"/>
                <w:szCs w:val="20"/>
                <w:color w:val="auto"/>
              </w:rPr>
            </w:pPr>
            <w:r>
              <w:rPr>
                <w:rFonts w:ascii="Arial" w:cs="Arial" w:eastAsia="Arial" w:hAnsi="Arial"/>
                <w:sz w:val="18"/>
                <w:szCs w:val="18"/>
                <w:color w:val="auto"/>
              </w:rPr>
              <w:t>172</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74"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4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57"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 director to the corporation and its stockholders for damages arising from a breach of</w:t>
      </w:r>
    </w:p>
    <w:p>
      <w:pPr>
        <w:sectPr>
          <w:pgSz w:w="11900" w:h="16838" w:orient="portrait"/>
          <w:cols w:equalWidth="0" w:num="2">
            <w:col w:w="6600" w:space="100"/>
            <w:col w:w="4520"/>
          </w:cols>
          <w:pgMar w:left="240" w:top="459" w:right="439" w:bottom="1440" w:gutter="0" w:footer="0" w:header="0"/>
          <w:type w:val="continuous"/>
        </w:sectPr>
      </w:pPr>
    </w:p>
    <w:bookmarkStart w:id="176" w:name="page177"/>
    <w:bookmarkEnd w:id="1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80"/>
          </w:cols>
          <w:pgMar w:left="240" w:top="459" w:right="479" w:bottom="1440" w:gutter="0" w:footer="0" w:header="0"/>
        </w:sectPr>
      </w:pPr>
    </w:p>
    <w:p>
      <w:pPr>
        <w:spacing w:after="0" w:line="334" w:lineRule="exact"/>
        <w:rPr>
          <w:sz w:val="20"/>
          <w:szCs w:val="20"/>
          <w:color w:val="auto"/>
        </w:rPr>
      </w:pPr>
    </w:p>
    <w:p>
      <w:pPr>
        <w:jc w:val="center"/>
        <w:ind w:left="19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17780</wp:posOffset>
            </wp:positionV>
            <wp:extent cx="300164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otherwise attach to him in connection with any negligence, default, breach of duty or breach of trust in relation to the company is void.</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fiduciary duty as a director. However, no provision can limit the liability of a director for:</w:t>
      </w:r>
    </w:p>
    <w:p>
      <w:pPr>
        <w:spacing w:after="0" w:line="291" w:lineRule="exact"/>
        <w:rPr>
          <w:sz w:val="20"/>
          <w:szCs w:val="20"/>
          <w:color w:val="auto"/>
        </w:rPr>
      </w:pPr>
    </w:p>
    <w:p>
      <w:pPr>
        <w:sectPr>
          <w:pgSz w:w="11900" w:h="16838" w:orient="portrait"/>
          <w:cols w:equalWidth="0" w:num="2">
            <w:col w:w="6500" w:space="200"/>
            <w:col w:w="4480"/>
          </w:cols>
          <w:pgMar w:left="240" w:top="459" w:right="479" w:bottom="1440" w:gutter="0" w:footer="0" w:header="0"/>
          <w:type w:val="continuous"/>
        </w:sectPr>
      </w:pPr>
    </w:p>
    <w:p>
      <w:pPr>
        <w:ind w:left="1860" w:right="20"/>
        <w:spacing w:after="0" w:line="235" w:lineRule="auto"/>
        <w:rPr>
          <w:sz w:val="20"/>
          <w:szCs w:val="20"/>
          <w:color w:val="auto"/>
        </w:rPr>
      </w:pPr>
      <w:r>
        <w:rPr>
          <w:rFonts w:ascii="Arial" w:cs="Arial" w:eastAsia="Arial" w:hAnsi="Arial"/>
          <w:sz w:val="18"/>
          <w:szCs w:val="18"/>
          <w:color w:val="auto"/>
        </w:rPr>
        <w:t>Any provision by which a company directly or indirectly provides an indemnity, to any extent, for a director of the company or of an associated company against any liability attaching to him in connection with any negligence, default, breach of duty or breach of trust in relation to the company of which he is a director is also void except as permitted by the U.K. Companies Act 2006, which provides exceptions for the company to (a) purchase and maintain insurance against such liability; (b) provide a “qualifying third party indemnity” (being an indemnity against liability incurred by the director to a person other than the company or an associated company or criminal proceedings in which he is convicted); and (c) provide a “qualifying pension scheme indemnity” (being an indemnity against liability incurred in connection with the company’s activities as trustee of an occupational pension plan).</w:t>
      </w:r>
    </w:p>
    <w:p>
      <w:pPr>
        <w:spacing w:after="0" w:line="102" w:lineRule="exact"/>
        <w:rPr>
          <w:sz w:val="20"/>
          <w:szCs w:val="20"/>
          <w:color w:val="auto"/>
        </w:rPr>
      </w:pPr>
    </w:p>
    <w:p>
      <w:pPr>
        <w:ind w:left="200"/>
        <w:spacing w:after="0"/>
        <w:tabs>
          <w:tab w:leader="none" w:pos="184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7"/>
          <w:szCs w:val="17"/>
          <w:color w:val="auto"/>
        </w:rPr>
        <w:t>Under English law, unless a poll is demanded by the</w:t>
      </w:r>
    </w:p>
    <w:p>
      <w:pPr>
        <w:ind w:left="1860"/>
        <w:spacing w:after="0" w:line="236" w:lineRule="auto"/>
        <w:rPr>
          <w:sz w:val="20"/>
          <w:szCs w:val="20"/>
          <w:color w:val="auto"/>
        </w:rPr>
      </w:pPr>
      <w:r>
        <w:rPr>
          <w:rFonts w:ascii="Arial" w:cs="Arial" w:eastAsia="Arial" w:hAnsi="Arial"/>
          <w:sz w:val="18"/>
          <w:szCs w:val="18"/>
          <w:color w:val="auto"/>
        </w:rPr>
        <w:t>shareholders of a company or is required by the chairman of the meeting or the company’s articles of association, shareholders shall vote on all resolutions on a show of hands. Under the U.K. Companies Act 2006, a poll may be demanded by (a) not fewer than five shareholders having the right to vote on the resolution; (b) any shareholder(s) representing not less than 10% of the total voting rights of all the shareholders having the right to vote on the resolution (excluding any voting rights attaching to treasury shares); or (c) any shareholder(s) holding shares in the company conferring a right to vote on the resolution (excluding any voting rights attaching to treasury shares) being shares on which an aggregate sum has been paid up equal to not less than 10% of the</w:t>
      </w:r>
    </w:p>
    <w:p>
      <w:pPr>
        <w:spacing w:after="0" w:line="13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br w:type="column"/>
      </w:r>
    </w:p>
    <w:p>
      <w:pPr>
        <w:ind w:left="320" w:right="320" w:hanging="320"/>
        <w:spacing w:after="0" w:line="246" w:lineRule="auto"/>
        <w:tabs>
          <w:tab w:leader="none" w:pos="322" w:val="left"/>
        </w:tabs>
        <w:numPr>
          <w:ilvl w:val="0"/>
          <w:numId w:val="113"/>
        </w:numPr>
        <w:rPr>
          <w:rFonts w:ascii="MS PGothic" w:cs="MS PGothic" w:eastAsia="MS PGothic" w:hAnsi="MS PGothic"/>
          <w:sz w:val="13"/>
          <w:szCs w:val="13"/>
          <w:color w:val="auto"/>
        </w:rPr>
      </w:pPr>
      <w:r>
        <w:rPr>
          <w:rFonts w:ascii="Arial" w:cs="Arial" w:eastAsia="Arial" w:hAnsi="Arial"/>
          <w:sz w:val="18"/>
          <w:szCs w:val="18"/>
          <w:color w:val="auto"/>
        </w:rPr>
        <w:t>any breach of the director’s duty of loyalty to the corporation or its stockholders;</w:t>
      </w:r>
    </w:p>
    <w:p>
      <w:pPr>
        <w:spacing w:after="0" w:line="21" w:lineRule="exact"/>
        <w:rPr>
          <w:rFonts w:ascii="MS PGothic" w:cs="MS PGothic" w:eastAsia="MS PGothic" w:hAnsi="MS PGothic"/>
          <w:sz w:val="13"/>
          <w:szCs w:val="13"/>
          <w:color w:val="auto"/>
        </w:rPr>
      </w:pPr>
    </w:p>
    <w:p>
      <w:pPr>
        <w:ind w:left="320" w:right="20" w:hanging="320"/>
        <w:spacing w:after="0" w:line="246" w:lineRule="auto"/>
        <w:tabs>
          <w:tab w:leader="none" w:pos="322" w:val="left"/>
        </w:tabs>
        <w:numPr>
          <w:ilvl w:val="0"/>
          <w:numId w:val="113"/>
        </w:numPr>
        <w:rPr>
          <w:rFonts w:ascii="MS PGothic" w:cs="MS PGothic" w:eastAsia="MS PGothic" w:hAnsi="MS PGothic"/>
          <w:sz w:val="13"/>
          <w:szCs w:val="13"/>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1" w:lineRule="exact"/>
        <w:rPr>
          <w:rFonts w:ascii="MS PGothic" w:cs="MS PGothic" w:eastAsia="MS PGothic" w:hAnsi="MS PGothic"/>
          <w:sz w:val="13"/>
          <w:szCs w:val="13"/>
          <w:color w:val="auto"/>
        </w:rPr>
      </w:pPr>
    </w:p>
    <w:p>
      <w:pPr>
        <w:ind w:left="640" w:hanging="316"/>
        <w:spacing w:after="0" w:line="246" w:lineRule="auto"/>
        <w:tabs>
          <w:tab w:leader="none" w:pos="642" w:val="left"/>
        </w:tabs>
        <w:numPr>
          <w:ilvl w:val="1"/>
          <w:numId w:val="113"/>
        </w:numPr>
        <w:rPr>
          <w:rFonts w:ascii="MS PGothic" w:cs="MS PGothic" w:eastAsia="MS PGothic" w:hAnsi="MS PGothic"/>
          <w:sz w:val="13"/>
          <w:szCs w:val="13"/>
          <w:color w:val="auto"/>
        </w:rPr>
      </w:pPr>
      <w:r>
        <w:rPr>
          <w:rFonts w:ascii="Arial" w:cs="Arial" w:eastAsia="Arial" w:hAnsi="Arial"/>
          <w:sz w:val="18"/>
          <w:szCs w:val="18"/>
          <w:color w:val="auto"/>
        </w:rPr>
        <w:t>intentional or negligent payment of unlawful dividends or stock purchases or redemptions; or</w:t>
      </w:r>
    </w:p>
    <w:p>
      <w:pPr>
        <w:spacing w:after="0" w:line="21" w:lineRule="exact"/>
        <w:rPr>
          <w:rFonts w:ascii="MS PGothic" w:cs="MS PGothic" w:eastAsia="MS PGothic" w:hAnsi="MS PGothic"/>
          <w:sz w:val="13"/>
          <w:szCs w:val="13"/>
          <w:color w:val="auto"/>
        </w:rPr>
      </w:pPr>
    </w:p>
    <w:p>
      <w:pPr>
        <w:ind w:left="640" w:right="100" w:hanging="316"/>
        <w:spacing w:after="0" w:line="246" w:lineRule="auto"/>
        <w:tabs>
          <w:tab w:leader="none" w:pos="642" w:val="left"/>
        </w:tabs>
        <w:numPr>
          <w:ilvl w:val="1"/>
          <w:numId w:val="113"/>
        </w:numPr>
        <w:rPr>
          <w:rFonts w:ascii="MS PGothic" w:cs="MS PGothic" w:eastAsia="MS PGothic" w:hAnsi="MS PGothic"/>
          <w:sz w:val="13"/>
          <w:szCs w:val="13"/>
          <w:color w:val="auto"/>
        </w:rPr>
      </w:pPr>
      <w:r>
        <w:rPr>
          <w:rFonts w:ascii="Arial" w:cs="Arial" w:eastAsia="Arial" w:hAnsi="Arial"/>
          <w:sz w:val="18"/>
          <w:szCs w:val="18"/>
          <w:color w:val="auto"/>
        </w:rPr>
        <w:t>any transaction from which the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6580" w:space="120"/>
            <w:col w:w="4480"/>
          </w:cols>
          <w:pgMar w:left="240" w:top="459" w:right="479" w:bottom="1440" w:gutter="0" w:footer="0" w:header="0"/>
          <w:type w:val="continuous"/>
        </w:sectPr>
      </w:pPr>
    </w:p>
    <w:bookmarkStart w:id="177" w:name="page178"/>
    <w:bookmarkEnd w:id="1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80"/>
          </w:cols>
          <w:pgMar w:left="240" w:top="460" w:right="47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total sum paid up on all the shares conferring that right. A</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company’s articles of association may provide more</w:t>
            </w:r>
          </w:p>
        </w:tc>
      </w:tr>
      <w:tr>
        <w:trPr>
          <w:trHeight w:val="217"/>
        </w:trPr>
        <w:tc>
          <w:tcPr>
            <w:tcW w:w="146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extensive rights for shareholders to call a poll.</w:t>
            </w:r>
          </w:p>
        </w:tc>
      </w:tr>
      <w:tr>
        <w:trPr>
          <w:trHeight w:val="296"/>
        </w:trPr>
        <w:tc>
          <w:tcPr>
            <w:tcW w:w="1460" w:type="dxa"/>
            <w:vAlign w:val="bottom"/>
          </w:tcPr>
          <w:p>
            <w:pPr>
              <w:spacing w:after="0"/>
              <w:rPr>
                <w:sz w:val="24"/>
                <w:szCs w:val="24"/>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Under English law, an ordinary resolution is passed on a</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show of hands if it is approved by a simple majority (more</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than 50%) of the votes cast by shareholders present (in</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person or by proxy) and entitled to vote. If a poll is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demanded, an ordinary resolution is passed if it is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approved by holders representing a simple majority of the</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voting rights of shareholders present, in person or by</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proxy, who, being entitled to vote, vote on the resolution.</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Special resolutions require the affirmative vote of not less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than 75% of the votes cast by shareholders present (in</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person or by proxy) at the meeting. If a poll is demanded, a</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special resolution is passed if it is approved by holders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representing not less than 75% of the total voting rights of</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shareholders present (in person or by proxy) who (being</w:t>
            </w:r>
          </w:p>
        </w:tc>
      </w:tr>
      <w:tr>
        <w:trPr>
          <w:trHeight w:val="217"/>
        </w:trPr>
        <w:tc>
          <w:tcPr>
            <w:tcW w:w="146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entitled to vote) vote on the resolutions.</w:t>
            </w:r>
          </w:p>
        </w:tc>
      </w:tr>
      <w:tr>
        <w:trPr>
          <w:trHeight w:val="296"/>
        </w:trPr>
        <w:tc>
          <w:tcPr>
            <w:tcW w:w="1460" w:type="dxa"/>
            <w:vAlign w:val="bottom"/>
          </w:tcPr>
          <w:p>
            <w:pPr>
              <w:spacing w:after="0"/>
              <w:rPr>
                <w:sz w:val="20"/>
                <w:szCs w:val="20"/>
                <w:color w:val="auto"/>
              </w:rPr>
            </w:pPr>
            <w:r>
              <w:rPr>
                <w:rFonts w:ascii="Arial" w:cs="Arial" w:eastAsia="Arial" w:hAnsi="Arial"/>
                <w:sz w:val="18"/>
                <w:szCs w:val="18"/>
                <w:color w:val="auto"/>
              </w:rPr>
              <w:t>Shareholder</w:t>
            </w: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The U.K. Companies Act 2006 provides for schemes of</w:t>
            </w: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Vote on Certain</w:t>
            </w: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arrangement, which are arrangements or compromises</w:t>
            </w: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Transactions</w:t>
            </w: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between a company and any class of shareholders or</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creditors and used in certain types of reconstructions,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amalgamations, capital reorganizations, or takeovers.</w:t>
            </w:r>
          </w:p>
        </w:tc>
      </w:tr>
      <w:tr>
        <w:trPr>
          <w:trHeight w:val="217"/>
        </w:trPr>
        <w:tc>
          <w:tcPr>
            <w:tcW w:w="146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These arrangements require:</w:t>
            </w:r>
          </w:p>
        </w:tc>
      </w:tr>
      <w:tr>
        <w:trPr>
          <w:trHeight w:val="431"/>
        </w:trPr>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tcPr>
          <w:p>
            <w:pPr>
              <w:ind w:left="3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the approval at a shareholders’ or creditors’</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meeting convened by order of the court, of a</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majority in number of shareholders or creditors</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representing 75% in value of the capital held by, or</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debt owed to, the class of shareholders or</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creditors, or class thereof present and voting,</w:t>
            </w:r>
          </w:p>
        </w:tc>
      </w:tr>
      <w:tr>
        <w:trPr>
          <w:trHeight w:val="217"/>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tcPr>
          <w:p>
            <w:pPr>
              <w:ind w:left="640"/>
              <w:spacing w:after="0"/>
              <w:rPr>
                <w:sz w:val="20"/>
                <w:szCs w:val="20"/>
                <w:color w:val="auto"/>
              </w:rPr>
            </w:pPr>
            <w:r>
              <w:rPr>
                <w:rFonts w:ascii="Arial" w:cs="Arial" w:eastAsia="Arial" w:hAnsi="Arial"/>
                <w:sz w:val="18"/>
                <w:szCs w:val="18"/>
                <w:color w:val="auto"/>
              </w:rPr>
              <w:t>either in person or by proxy; and</w:t>
            </w:r>
          </w:p>
        </w:tc>
      </w:tr>
      <w:tr>
        <w:trPr>
          <w:trHeight w:val="243"/>
        </w:trPr>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20" w:type="dxa"/>
            <w:vAlign w:val="bottom"/>
          </w:tcPr>
          <w:p>
            <w:pPr>
              <w:ind w:left="3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the approval of the court.</w:t>
            </w:r>
          </w:p>
        </w:tc>
      </w:tr>
      <w:tr>
        <w:trPr>
          <w:trHeight w:val="365"/>
        </w:trPr>
        <w:tc>
          <w:tcPr>
            <w:tcW w:w="1460" w:type="dxa"/>
            <w:vAlign w:val="bottom"/>
          </w:tcPr>
          <w:p>
            <w:pPr>
              <w:spacing w:after="0"/>
              <w:rPr>
                <w:sz w:val="24"/>
                <w:szCs w:val="24"/>
                <w:color w:val="auto"/>
              </w:rPr>
            </w:pPr>
          </w:p>
        </w:tc>
        <w:tc>
          <w:tcPr>
            <w:tcW w:w="4940" w:type="dxa"/>
            <w:vAlign w:val="bottom"/>
            <w:gridSpan w:val="2"/>
          </w:tcPr>
          <w:p>
            <w:pPr>
              <w:ind w:left="3900"/>
              <w:spacing w:after="0"/>
              <w:rPr>
                <w:sz w:val="20"/>
                <w:szCs w:val="20"/>
                <w:color w:val="auto"/>
              </w:rPr>
            </w:pPr>
            <w:r>
              <w:rPr>
                <w:rFonts w:ascii="Arial" w:cs="Arial" w:eastAsia="Arial" w:hAnsi="Arial"/>
                <w:sz w:val="18"/>
                <w:szCs w:val="18"/>
                <w:color w:val="auto"/>
              </w:rPr>
              <w:t>174</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218" w:lineRule="exact"/>
        <w:rPr>
          <w:sz w:val="20"/>
          <w:szCs w:val="20"/>
          <w:color w:val="auto"/>
        </w:rPr>
      </w:pPr>
    </w:p>
    <w:p>
      <w:pPr>
        <w:ind w:left="640" w:hanging="316"/>
        <w:spacing w:after="0"/>
        <w:tabs>
          <w:tab w:leader="none" w:pos="640" w:val="left"/>
        </w:tabs>
        <w:numPr>
          <w:ilvl w:val="0"/>
          <w:numId w:val="114"/>
        </w:numPr>
        <w:rPr>
          <w:rFonts w:ascii="MS PGothic" w:cs="MS PGothic" w:eastAsia="MS PGothic" w:hAnsi="MS PGothic"/>
          <w:sz w:val="13"/>
          <w:szCs w:val="13"/>
          <w:color w:val="auto"/>
        </w:rPr>
      </w:pPr>
      <w:r>
        <w:rPr>
          <w:rFonts w:ascii="Arial" w:cs="Arial" w:eastAsia="Arial" w:hAnsi="Arial"/>
          <w:sz w:val="18"/>
          <w:szCs w:val="18"/>
          <w:color w:val="auto"/>
        </w:rPr>
        <w:t>the approval of the board of directors; and</w:t>
      </w:r>
    </w:p>
    <w:p>
      <w:pPr>
        <w:spacing w:after="0" w:line="36" w:lineRule="exact"/>
        <w:rPr>
          <w:rFonts w:ascii="MS PGothic" w:cs="MS PGothic" w:eastAsia="MS PGothic" w:hAnsi="MS PGothic"/>
          <w:sz w:val="13"/>
          <w:szCs w:val="13"/>
          <w:color w:val="auto"/>
        </w:rPr>
      </w:pPr>
    </w:p>
    <w:p>
      <w:pPr>
        <w:ind w:left="640" w:hanging="316"/>
        <w:spacing w:after="0" w:line="237" w:lineRule="auto"/>
        <w:tabs>
          <w:tab w:leader="none" w:pos="641" w:val="left"/>
        </w:tabs>
        <w:numPr>
          <w:ilvl w:val="0"/>
          <w:numId w:val="114"/>
        </w:numPr>
        <w:rPr>
          <w:rFonts w:ascii="MS PGothic" w:cs="MS PGothic" w:eastAsia="MS PGothic" w:hAnsi="MS PGothic"/>
          <w:sz w:val="13"/>
          <w:szCs w:val="13"/>
          <w:color w:val="auto"/>
        </w:rPr>
      </w:pPr>
      <w:r>
        <w:rPr>
          <w:rFonts w:ascii="Arial" w:cs="Arial" w:eastAsia="Arial" w:hAnsi="Arial"/>
          <w:sz w:val="18"/>
          <w:szCs w:val="18"/>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ectPr>
          <w:pgSz w:w="11900" w:h="16838" w:orient="portrait"/>
          <w:cols w:equalWidth="0" w:num="2">
            <w:col w:w="6600" w:space="100"/>
            <w:col w:w="4480"/>
          </w:cols>
          <w:pgMar w:left="240" w:top="460" w:right="479" w:bottom="1440" w:gutter="0" w:footer="0" w:header="0"/>
          <w:type w:val="continuous"/>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r>
      <w:tr>
        <w:trPr>
          <w:trHeight w:val="290"/>
        </w:trPr>
        <w:tc>
          <w:tcPr>
            <w:tcW w:w="1300" w:type="dxa"/>
            <w:vAlign w:val="bottom"/>
          </w:tcPr>
          <w:p>
            <w:pPr>
              <w:spacing w:after="0"/>
              <w:rPr>
                <w:sz w:val="20"/>
                <w:szCs w:val="20"/>
                <w:color w:val="auto"/>
              </w:rPr>
            </w:pPr>
            <w:r>
              <w:rPr>
                <w:rFonts w:ascii="Arial" w:cs="Arial" w:eastAsia="Arial" w:hAnsi="Arial"/>
                <w:sz w:val="18"/>
                <w:szCs w:val="18"/>
                <w:color w:val="auto"/>
              </w:rPr>
              <w:t>Standard of</w:t>
            </w:r>
          </w:p>
        </w:tc>
        <w:tc>
          <w:tcPr>
            <w:tcW w:w="5100" w:type="dxa"/>
            <w:vAlign w:val="bottom"/>
            <w:gridSpan w:val="2"/>
          </w:tcPr>
          <w:p>
            <w:pPr>
              <w:ind w:left="360"/>
              <w:spacing w:after="0"/>
              <w:rPr>
                <w:sz w:val="20"/>
                <w:szCs w:val="20"/>
                <w:color w:val="auto"/>
              </w:rPr>
            </w:pPr>
            <w:r>
              <w:rPr>
                <w:rFonts w:ascii="Arial" w:cs="Arial" w:eastAsia="Arial" w:hAnsi="Arial"/>
                <w:sz w:val="18"/>
                <w:szCs w:val="18"/>
                <w:color w:val="auto"/>
              </w:rPr>
              <w:t>Under English law, a director owes various statutory and</w:t>
            </w:r>
          </w:p>
        </w:tc>
      </w:tr>
      <w:tr>
        <w:trPr>
          <w:trHeight w:val="203"/>
        </w:trPr>
        <w:tc>
          <w:tcPr>
            <w:tcW w:w="1300" w:type="dxa"/>
            <w:vAlign w:val="bottom"/>
          </w:tcPr>
          <w:p>
            <w:pPr>
              <w:spacing w:after="0" w:line="202" w:lineRule="exact"/>
              <w:rPr>
                <w:sz w:val="20"/>
                <w:szCs w:val="20"/>
                <w:color w:val="auto"/>
              </w:rPr>
            </w:pPr>
            <w:r>
              <w:rPr>
                <w:rFonts w:ascii="Arial" w:cs="Arial" w:eastAsia="Arial" w:hAnsi="Arial"/>
                <w:sz w:val="18"/>
                <w:szCs w:val="18"/>
                <w:color w:val="auto"/>
              </w:rPr>
              <w:t>Conduct for</w:t>
            </w:r>
          </w:p>
        </w:tc>
        <w:tc>
          <w:tcPr>
            <w:tcW w:w="51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fiduciary duties to the company, including:</w:t>
            </w:r>
          </w:p>
        </w:tc>
      </w:tr>
      <w:tr>
        <w:trPr>
          <w:trHeight w:val="217"/>
        </w:trPr>
        <w:tc>
          <w:tcPr>
            <w:tcW w:w="1300" w:type="dxa"/>
            <w:vAlign w:val="bottom"/>
          </w:tcPr>
          <w:p>
            <w:pPr>
              <w:spacing w:after="0"/>
              <w:rPr>
                <w:sz w:val="20"/>
                <w:szCs w:val="20"/>
                <w:color w:val="auto"/>
              </w:rPr>
            </w:pPr>
            <w:r>
              <w:rPr>
                <w:rFonts w:ascii="Arial" w:cs="Arial" w:eastAsia="Arial" w:hAnsi="Arial"/>
                <w:sz w:val="18"/>
                <w:szCs w:val="18"/>
                <w:color w:val="auto"/>
              </w:rPr>
              <w:t>Directors</w:t>
            </w:r>
          </w:p>
        </w:tc>
        <w:tc>
          <w:tcPr>
            <w:tcW w:w="38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29"/>
        </w:trPr>
        <w:tc>
          <w:tcPr>
            <w:tcW w:w="1300" w:type="dxa"/>
            <w:vAlign w:val="bottom"/>
          </w:tcPr>
          <w:p>
            <w:pPr>
              <w:spacing w:after="0"/>
              <w:rPr>
                <w:sz w:val="19"/>
                <w:szCs w:val="19"/>
                <w:color w:val="auto"/>
              </w:rPr>
            </w:pPr>
          </w:p>
        </w:tc>
        <w:tc>
          <w:tcPr>
            <w:tcW w:w="5100" w:type="dxa"/>
            <w:vAlign w:val="bottom"/>
            <w:gridSpan w:val="2"/>
          </w:tcPr>
          <w:p>
            <w:pPr>
              <w:ind w:left="36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the way he considers, in good faith, would be</w:t>
            </w:r>
          </w:p>
        </w:tc>
      </w:tr>
      <w:tr>
        <w:trPr>
          <w:trHeight w:val="203"/>
        </w:trPr>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20" w:type="dxa"/>
            <w:vAlign w:val="bottom"/>
          </w:tcPr>
          <w:p>
            <w:pPr>
              <w:ind w:left="300"/>
              <w:spacing w:after="0" w:line="202" w:lineRule="exact"/>
              <w:rPr>
                <w:sz w:val="20"/>
                <w:szCs w:val="20"/>
                <w:color w:val="auto"/>
              </w:rPr>
            </w:pPr>
            <w:r>
              <w:rPr>
                <w:rFonts w:ascii="Arial" w:cs="Arial" w:eastAsia="Arial" w:hAnsi="Arial"/>
                <w:sz w:val="18"/>
                <w:szCs w:val="18"/>
                <w:color w:val="auto"/>
              </w:rPr>
              <w:t>most likely to promote the success of the company for</w:t>
            </w:r>
          </w:p>
        </w:tc>
      </w:tr>
      <w:tr>
        <w:trPr>
          <w:trHeight w:val="217"/>
        </w:trPr>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20" w:type="dxa"/>
            <w:vAlign w:val="bottom"/>
          </w:tcPr>
          <w:p>
            <w:pPr>
              <w:ind w:left="300"/>
              <w:spacing w:after="0"/>
              <w:rPr>
                <w:sz w:val="20"/>
                <w:szCs w:val="20"/>
                <w:color w:val="auto"/>
              </w:rPr>
            </w:pPr>
            <w:r>
              <w:rPr>
                <w:rFonts w:ascii="Arial" w:cs="Arial" w:eastAsia="Arial" w:hAnsi="Arial"/>
                <w:sz w:val="18"/>
                <w:szCs w:val="18"/>
                <w:color w:val="auto"/>
              </w:rPr>
              <w:t>the benefit of its members as a whole;</w:t>
            </w:r>
          </w:p>
        </w:tc>
      </w:tr>
      <w:tr>
        <w:trPr>
          <w:trHeight w:val="229"/>
        </w:trPr>
        <w:tc>
          <w:tcPr>
            <w:tcW w:w="1300" w:type="dxa"/>
            <w:vAlign w:val="bottom"/>
          </w:tcPr>
          <w:p>
            <w:pPr>
              <w:spacing w:after="0"/>
              <w:rPr>
                <w:sz w:val="19"/>
                <w:szCs w:val="19"/>
                <w:color w:val="auto"/>
              </w:rPr>
            </w:pPr>
          </w:p>
        </w:tc>
        <w:tc>
          <w:tcPr>
            <w:tcW w:w="5100" w:type="dxa"/>
            <w:vAlign w:val="bottom"/>
            <w:gridSpan w:val="2"/>
          </w:tcPr>
          <w:p>
            <w:pPr>
              <w:ind w:left="36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avoid a situation in which he has, or can have, a</w:t>
            </w:r>
          </w:p>
        </w:tc>
      </w:tr>
      <w:tr>
        <w:trPr>
          <w:trHeight w:val="203"/>
        </w:trPr>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20" w:type="dxa"/>
            <w:vAlign w:val="bottom"/>
          </w:tcPr>
          <w:p>
            <w:pPr>
              <w:ind w:left="300"/>
              <w:spacing w:after="0" w:line="202" w:lineRule="exact"/>
              <w:rPr>
                <w:sz w:val="20"/>
                <w:szCs w:val="20"/>
                <w:color w:val="auto"/>
              </w:rPr>
            </w:pPr>
            <w:r>
              <w:rPr>
                <w:rFonts w:ascii="Arial" w:cs="Arial" w:eastAsia="Arial" w:hAnsi="Arial"/>
                <w:sz w:val="18"/>
                <w:szCs w:val="18"/>
                <w:color w:val="auto"/>
              </w:rPr>
              <w:t>direct or indirect interest that conflicts, or possibly</w:t>
            </w:r>
          </w:p>
        </w:tc>
      </w:tr>
      <w:tr>
        <w:trPr>
          <w:trHeight w:val="217"/>
        </w:trPr>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20" w:type="dxa"/>
            <w:vAlign w:val="bottom"/>
          </w:tcPr>
          <w:p>
            <w:pPr>
              <w:ind w:left="300"/>
              <w:spacing w:after="0"/>
              <w:rPr>
                <w:sz w:val="20"/>
                <w:szCs w:val="20"/>
                <w:color w:val="auto"/>
              </w:rPr>
            </w:pPr>
            <w:r>
              <w:rPr>
                <w:rFonts w:ascii="Arial" w:cs="Arial" w:eastAsia="Arial" w:hAnsi="Arial"/>
                <w:sz w:val="18"/>
                <w:szCs w:val="18"/>
                <w:color w:val="auto"/>
              </w:rPr>
              <w:t>conflicts, with the interests of the company;</w:t>
            </w:r>
          </w:p>
        </w:tc>
      </w:tr>
      <w:tr>
        <w:trPr>
          <w:trHeight w:val="229"/>
        </w:trPr>
        <w:tc>
          <w:tcPr>
            <w:tcW w:w="1300" w:type="dxa"/>
            <w:vAlign w:val="bottom"/>
          </w:tcPr>
          <w:p>
            <w:pPr>
              <w:spacing w:after="0"/>
              <w:rPr>
                <w:sz w:val="19"/>
                <w:szCs w:val="19"/>
                <w:color w:val="auto"/>
              </w:rPr>
            </w:pPr>
          </w:p>
        </w:tc>
        <w:tc>
          <w:tcPr>
            <w:tcW w:w="5100" w:type="dxa"/>
            <w:vAlign w:val="bottom"/>
            <w:gridSpan w:val="2"/>
          </w:tcPr>
          <w:p>
            <w:pPr>
              <w:ind w:left="36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act in accordance with the company’s constitution</w:t>
            </w:r>
          </w:p>
        </w:tc>
      </w:tr>
      <w:tr>
        <w:trPr>
          <w:trHeight w:val="203"/>
        </w:trPr>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20" w:type="dxa"/>
            <w:vAlign w:val="bottom"/>
          </w:tcPr>
          <w:p>
            <w:pPr>
              <w:ind w:left="300"/>
              <w:spacing w:after="0" w:line="202" w:lineRule="exact"/>
              <w:rPr>
                <w:sz w:val="20"/>
                <w:szCs w:val="20"/>
                <w:color w:val="auto"/>
              </w:rPr>
            </w:pPr>
            <w:r>
              <w:rPr>
                <w:rFonts w:ascii="Arial" w:cs="Arial" w:eastAsia="Arial" w:hAnsi="Arial"/>
                <w:sz w:val="18"/>
                <w:szCs w:val="18"/>
                <w:color w:val="auto"/>
              </w:rPr>
              <w:t>and only exercise his powers for the purposes for</w:t>
            </w:r>
          </w:p>
        </w:tc>
      </w:tr>
      <w:tr>
        <w:trPr>
          <w:trHeight w:val="217"/>
        </w:trPr>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20" w:type="dxa"/>
            <w:vAlign w:val="bottom"/>
          </w:tcPr>
          <w:p>
            <w:pPr>
              <w:ind w:left="300"/>
              <w:spacing w:after="0"/>
              <w:rPr>
                <w:sz w:val="20"/>
                <w:szCs w:val="20"/>
                <w:color w:val="auto"/>
              </w:rPr>
            </w:pPr>
            <w:r>
              <w:rPr>
                <w:rFonts w:ascii="Arial" w:cs="Arial" w:eastAsia="Arial" w:hAnsi="Arial"/>
                <w:sz w:val="18"/>
                <w:szCs w:val="18"/>
                <w:color w:val="auto"/>
              </w:rPr>
              <w:t>which they are conferred;</w:t>
            </w:r>
          </w:p>
        </w:tc>
      </w:tr>
      <w:tr>
        <w:trPr>
          <w:trHeight w:val="243"/>
        </w:trPr>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20" w:type="dxa"/>
            <w:vAlign w:val="bottom"/>
          </w:tcPr>
          <w:p>
            <w:pPr>
              <w:ind w:left="3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independent judgment;</w:t>
            </w:r>
          </w:p>
        </w:tc>
      </w:tr>
      <w:tr>
        <w:trPr>
          <w:trHeight w:val="243"/>
        </w:trPr>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20" w:type="dxa"/>
            <w:vAlign w:val="bottom"/>
          </w:tcPr>
          <w:p>
            <w:pPr>
              <w:ind w:left="3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to exercise reasonable care, skill, and diligence;</w:t>
            </w:r>
          </w:p>
        </w:tc>
      </w:tr>
      <w:tr>
        <w:trPr>
          <w:trHeight w:val="229"/>
        </w:trPr>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720" w:type="dxa"/>
            <w:vAlign w:val="bottom"/>
          </w:tcPr>
          <w:p>
            <w:pPr>
              <w:ind w:left="3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not to accept benefits from a third party conferred</w:t>
            </w:r>
          </w:p>
        </w:tc>
      </w:tr>
      <w:tr>
        <w:trPr>
          <w:trHeight w:val="203"/>
        </w:trPr>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by reason of his being a director or doing, or not</w:t>
            </w:r>
          </w:p>
        </w:tc>
      </w:tr>
      <w:tr>
        <w:trPr>
          <w:trHeight w:val="217"/>
        </w:trPr>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20" w:type="dxa"/>
            <w:vAlign w:val="bottom"/>
          </w:tcPr>
          <w:p>
            <w:pPr>
              <w:ind w:left="640"/>
              <w:spacing w:after="0"/>
              <w:rPr>
                <w:sz w:val="20"/>
                <w:szCs w:val="20"/>
                <w:color w:val="auto"/>
              </w:rPr>
            </w:pPr>
            <w:r>
              <w:rPr>
                <w:rFonts w:ascii="Arial" w:cs="Arial" w:eastAsia="Arial" w:hAnsi="Arial"/>
                <w:sz w:val="18"/>
                <w:szCs w:val="18"/>
                <w:color w:val="auto"/>
              </w:rPr>
              <w:t>doing, anything as a director; and</w:t>
            </w:r>
          </w:p>
        </w:tc>
      </w:tr>
      <w:tr>
        <w:trPr>
          <w:trHeight w:val="229"/>
        </w:trPr>
        <w:tc>
          <w:tcPr>
            <w:tcW w:w="1300" w:type="dxa"/>
            <w:vAlign w:val="bottom"/>
          </w:tcPr>
          <w:p>
            <w:pPr>
              <w:spacing w:after="0"/>
              <w:rPr>
                <w:sz w:val="19"/>
                <w:szCs w:val="19"/>
                <w:color w:val="auto"/>
              </w:rPr>
            </w:pPr>
          </w:p>
        </w:tc>
        <w:tc>
          <w:tcPr>
            <w:tcW w:w="5100" w:type="dxa"/>
            <w:vAlign w:val="bottom"/>
            <w:gridSpan w:val="2"/>
          </w:tcPr>
          <w:p>
            <w:pPr>
              <w:ind w:left="36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 duty to declare any interest that he has, whether</w:t>
            </w:r>
          </w:p>
        </w:tc>
      </w:tr>
      <w:tr>
        <w:trPr>
          <w:trHeight w:val="203"/>
        </w:trPr>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720" w:type="dxa"/>
            <w:vAlign w:val="bottom"/>
          </w:tcPr>
          <w:p>
            <w:pPr>
              <w:ind w:left="300"/>
              <w:spacing w:after="0" w:line="202" w:lineRule="exact"/>
              <w:rPr>
                <w:sz w:val="20"/>
                <w:szCs w:val="20"/>
                <w:color w:val="auto"/>
              </w:rPr>
            </w:pPr>
            <w:r>
              <w:rPr>
                <w:rFonts w:ascii="Arial" w:cs="Arial" w:eastAsia="Arial" w:hAnsi="Arial"/>
                <w:sz w:val="18"/>
                <w:szCs w:val="18"/>
                <w:color w:val="auto"/>
              </w:rPr>
              <w:t>directly or indirectly, in a proposed or existing</w:t>
            </w:r>
          </w:p>
        </w:tc>
      </w:tr>
      <w:tr>
        <w:trPr>
          <w:trHeight w:val="217"/>
        </w:trPr>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20" w:type="dxa"/>
            <w:vAlign w:val="bottom"/>
          </w:tcPr>
          <w:p>
            <w:pPr>
              <w:ind w:left="300"/>
              <w:spacing w:after="0"/>
              <w:rPr>
                <w:sz w:val="20"/>
                <w:szCs w:val="20"/>
                <w:color w:val="auto"/>
              </w:rPr>
            </w:pPr>
            <w:r>
              <w:rPr>
                <w:rFonts w:ascii="Arial" w:cs="Arial" w:eastAsia="Arial" w:hAnsi="Arial"/>
                <w:sz w:val="18"/>
                <w:szCs w:val="18"/>
                <w:color w:val="auto"/>
              </w:rPr>
              <w:t>transaction or arrangement with 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2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2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6600" w:space="100"/>
            <w:col w:w="4520"/>
          </w:cols>
          <w:pgMar w:left="240" w:top="460" w:right="439" w:bottom="1440" w:gutter="0" w:footer="0" w:header="0"/>
        </w:sectPr>
      </w:pPr>
    </w:p>
    <w:bookmarkStart w:id="179" w:name="page180"/>
    <w:bookmarkEnd w:id="179"/>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Stockholder Suits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-633095</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17780</wp:posOffset>
            </wp:positionV>
            <wp:extent cx="300164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English law, generally, the company, rather than its shareholders, is the proper claimant in an action in respect of a wrong done to the company or where there is an irregularity in the company’s internal management. Notwithstanding this general position, the U.K. Companies Act 2006 provides that (i) a court may allow a shareholder to bring a derivative claim (that is, an action in respect of and on behalf of the company) in respect of a cause of action arising from a director’s negligence, default, breach of duty or breach of trust and (ii) a shareholder may bring a claim for a court order where the company’s affairs have been or are being conducted in a manner that is unfairly prejudicial to some of its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229" w:lineRule="exact"/>
        <w:rPr>
          <w:sz w:val="20"/>
          <w:szCs w:val="20"/>
          <w:color w:val="auto"/>
        </w:rPr>
      </w:pPr>
    </w:p>
    <w:p>
      <w:pPr>
        <w:ind w:left="320" w:right="100" w:hanging="320"/>
        <w:spacing w:after="0" w:line="239" w:lineRule="auto"/>
        <w:tabs>
          <w:tab w:leader="none" w:pos="287" w:val="left"/>
        </w:tabs>
        <w:numPr>
          <w:ilvl w:val="0"/>
          <w:numId w:val="115"/>
        </w:numPr>
        <w:rPr>
          <w:rFonts w:ascii="MS PGothic" w:cs="MS PGothic" w:eastAsia="MS PGothic" w:hAnsi="MS PGothic"/>
          <w:sz w:val="13"/>
          <w:szCs w:val="13"/>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26" w:lineRule="exact"/>
        <w:rPr>
          <w:rFonts w:ascii="MS PGothic" w:cs="MS PGothic" w:eastAsia="MS PGothic" w:hAnsi="MS PGothic"/>
          <w:sz w:val="13"/>
          <w:szCs w:val="13"/>
          <w:color w:val="auto"/>
        </w:rPr>
      </w:pPr>
    </w:p>
    <w:p>
      <w:pPr>
        <w:ind w:left="640" w:right="140" w:hanging="316"/>
        <w:spacing w:after="0" w:line="239" w:lineRule="auto"/>
        <w:tabs>
          <w:tab w:leader="none" w:pos="642" w:val="left"/>
        </w:tabs>
        <w:numPr>
          <w:ilvl w:val="1"/>
          <w:numId w:val="115"/>
        </w:numPr>
        <w:rPr>
          <w:rFonts w:ascii="MS PGothic" w:cs="MS PGothic" w:eastAsia="MS PGothic" w:hAnsi="MS PGothic"/>
          <w:sz w:val="13"/>
          <w:szCs w:val="13"/>
          <w:color w:val="auto"/>
        </w:rPr>
      </w:pPr>
      <w:r>
        <w:rPr>
          <w:rFonts w:ascii="Arial" w:cs="Arial" w:eastAsia="Arial" w:hAnsi="Arial"/>
          <w:sz w:val="18"/>
          <w:szCs w:val="18"/>
          <w:color w:val="auto"/>
        </w:rPr>
        <w:t>allege with particularity the efforts made by the plaintiff to obtain the action the plaintiff desires from the directors and the reasons for the plaintiff’s failure to obtain the action; or</w:t>
      </w:r>
    </w:p>
    <w:p>
      <w:pPr>
        <w:spacing w:after="0" w:line="26" w:lineRule="exact"/>
        <w:rPr>
          <w:rFonts w:ascii="MS PGothic" w:cs="MS PGothic" w:eastAsia="MS PGothic" w:hAnsi="MS PGothic"/>
          <w:sz w:val="13"/>
          <w:szCs w:val="13"/>
          <w:color w:val="auto"/>
        </w:rPr>
      </w:pPr>
    </w:p>
    <w:p>
      <w:pPr>
        <w:ind w:left="600" w:hanging="276"/>
        <w:spacing w:after="0"/>
        <w:tabs>
          <w:tab w:leader="none" w:pos="600" w:val="left"/>
        </w:tabs>
        <w:numPr>
          <w:ilvl w:val="1"/>
          <w:numId w:val="115"/>
        </w:numPr>
        <w:rPr>
          <w:rFonts w:ascii="MS PGothic" w:cs="MS PGothic" w:eastAsia="MS PGothic" w:hAnsi="MS PGothic"/>
          <w:sz w:val="13"/>
          <w:szCs w:val="13"/>
          <w:color w:val="auto"/>
        </w:rPr>
      </w:pPr>
      <w:r>
        <w:rPr>
          <w:rFonts w:ascii="Arial" w:cs="Arial" w:eastAsia="Arial" w:hAnsi="Arial"/>
          <w:sz w:val="18"/>
          <w:szCs w:val="18"/>
          <w:color w:val="auto"/>
        </w:rPr>
        <w:t>state the reasons for not making the effort.</w:t>
      </w:r>
    </w:p>
    <w:p>
      <w:pPr>
        <w:spacing w:after="0" w:line="11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3">
            <w:col w:w="1360" w:space="500"/>
            <w:col w:w="4700" w:space="140"/>
            <w:col w:w="4500"/>
          </w:cols>
          <w:pgMar w:left="240" w:top="460"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American Depositary Shares</w:t>
      </w:r>
    </w:p>
    <w:p>
      <w:pPr>
        <w:spacing w:after="0" w:line="99" w:lineRule="exact"/>
        <w:rPr>
          <w:sz w:val="20"/>
          <w:szCs w:val="20"/>
          <w:color w:val="auto"/>
        </w:rPr>
      </w:pPr>
    </w:p>
    <w:p>
      <w:pPr>
        <w:ind w:left="200" w:right="180" w:firstLine="331"/>
        <w:spacing w:after="0" w:line="238" w:lineRule="auto"/>
        <w:rPr>
          <w:sz w:val="20"/>
          <w:szCs w:val="20"/>
          <w:color w:val="auto"/>
        </w:rPr>
      </w:pPr>
      <w:r>
        <w:rPr>
          <w:rFonts w:ascii="Arial" w:cs="Arial" w:eastAsia="Arial" w:hAnsi="Arial"/>
          <w:sz w:val="18"/>
          <w:szCs w:val="18"/>
          <w:color w:val="auto"/>
        </w:rPr>
        <w:t>Citibank, N.A., or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25 Canada Square, Canary Wharf, London, E14 5LB, United Kingdom.</w:t>
      </w:r>
    </w:p>
    <w:p>
      <w:pPr>
        <w:spacing w:after="0" w:line="203" w:lineRule="exact"/>
        <w:rPr>
          <w:sz w:val="20"/>
          <w:szCs w:val="20"/>
          <w:color w:val="auto"/>
        </w:rPr>
      </w:pPr>
    </w:p>
    <w:p>
      <w:pPr>
        <w:ind w:left="200" w:right="220" w:firstLine="331"/>
        <w:spacing w:after="0" w:line="248" w:lineRule="auto"/>
        <w:rPr>
          <w:sz w:val="20"/>
          <w:szCs w:val="20"/>
          <w:color w:val="auto"/>
        </w:rPr>
      </w:pPr>
      <w:r>
        <w:rPr>
          <w:rFonts w:ascii="Arial" w:cs="Arial" w:eastAsia="Arial" w:hAnsi="Arial"/>
          <w:sz w:val="17"/>
          <w:szCs w:val="17"/>
          <w:color w:val="auto"/>
        </w:rPr>
        <w:t>We have appointed Citibank as depositary pursuant to a deposit agreement. A copy of the deposit agreement will be on file with the SEC under cover of a registration statement on Form F-6. You may obtain a copy of the deposit agreement from the SEC’s Public Reference Room at 100 F Street, N.E., Washington, D.C. 20549 and from the SEC’s website (www.sec.gov). Please refer to registration</w:t>
      </w:r>
    </w:p>
    <w:p>
      <w:pPr>
        <w:spacing w:after="0" w:line="2" w:lineRule="exact"/>
        <w:rPr>
          <w:sz w:val="20"/>
          <w:szCs w:val="20"/>
          <w:color w:val="auto"/>
        </w:rPr>
      </w:pPr>
    </w:p>
    <w:p>
      <w:pPr>
        <w:ind w:left="200"/>
        <w:spacing w:after="0"/>
        <w:tabs>
          <w:tab w:leader="none" w:pos="1860" w:val="left"/>
        </w:tabs>
        <w:rPr>
          <w:sz w:val="20"/>
          <w:szCs w:val="20"/>
          <w:color w:val="auto"/>
        </w:rPr>
      </w:pPr>
      <w:r>
        <w:rPr>
          <w:rFonts w:ascii="Arial" w:cs="Arial" w:eastAsia="Arial" w:hAnsi="Arial"/>
          <w:sz w:val="18"/>
          <w:szCs w:val="18"/>
          <w:color w:val="auto"/>
        </w:rPr>
        <w:t>number 333-</w:t>
      </w:r>
      <w:r>
        <w:rPr>
          <w:sz w:val="20"/>
          <w:szCs w:val="20"/>
          <w:color w:val="auto"/>
        </w:rPr>
        <w:tab/>
      </w:r>
      <w:r>
        <w:rPr>
          <w:rFonts w:ascii="Arial" w:cs="Arial" w:eastAsia="Arial" w:hAnsi="Arial"/>
          <w:sz w:val="17"/>
          <w:szCs w:val="17"/>
          <w:color w:val="auto"/>
        </w:rPr>
        <w:t>when retrieving such copy.</w:t>
      </w:r>
    </w:p>
    <w:p>
      <w:pPr>
        <w:spacing w:after="0" w:line="21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w:t>
      </w:r>
    </w:p>
    <w:p>
      <w:pPr>
        <w:spacing w:after="0" w:line="20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Each ADS represents the right to receive, and to exercise the beneficial ownership interests in,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203"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204"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99"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8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to be converted into U.S. dollars and for the distribution of the U.S. dollars to the holders, subject to the laws and regulations of England and Wales.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240" w:top="460"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3"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85" w:lineRule="exact"/>
        <w:rPr>
          <w:sz w:val="20"/>
          <w:szCs w:val="20"/>
          <w:color w:val="auto"/>
        </w:rPr>
      </w:pPr>
    </w:p>
    <w:p>
      <w:pPr>
        <w:ind w:left="200" w:right="280" w:firstLine="331"/>
        <w:spacing w:after="0" w:line="251"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85"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203"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221" w:lineRule="exact"/>
        <w:rPr>
          <w:sz w:val="20"/>
          <w:szCs w:val="20"/>
          <w:color w:val="auto"/>
        </w:rPr>
      </w:pPr>
    </w:p>
    <w:p>
      <w:pPr>
        <w:ind w:left="960" w:hanging="432"/>
        <w:spacing w:after="0"/>
        <w:tabs>
          <w:tab w:leader="none" w:pos="96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fail to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not reasonably practicable to distribute the rights.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240" w:top="460"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99" w:lineRule="exact"/>
        <w:rPr>
          <w:sz w:val="20"/>
          <w:szCs w:val="20"/>
          <w:color w:val="auto"/>
        </w:rPr>
      </w:pPr>
    </w:p>
    <w:p>
      <w:pPr>
        <w:jc w:val="both"/>
        <w:ind w:left="200" w:right="60" w:firstLine="331"/>
        <w:spacing w:after="0"/>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203" w:lineRule="exact"/>
        <w:rPr>
          <w:sz w:val="20"/>
          <w:szCs w:val="20"/>
          <w:color w:val="auto"/>
        </w:rPr>
      </w:pPr>
    </w:p>
    <w:p>
      <w:pPr>
        <w:ind w:left="200" w:right="320" w:firstLine="331"/>
        <w:spacing w:after="0"/>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203" w:lineRule="exact"/>
        <w:rPr>
          <w:sz w:val="20"/>
          <w:szCs w:val="20"/>
          <w:color w:val="auto"/>
        </w:rPr>
      </w:pPr>
    </w:p>
    <w:p>
      <w:pPr>
        <w:ind w:left="200" w:right="540" w:firstLine="331"/>
        <w:spacing w:after="0" w:line="246"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85" w:lineRule="exact"/>
        <w:rPr>
          <w:sz w:val="20"/>
          <w:szCs w:val="20"/>
          <w:color w:val="auto"/>
        </w:rPr>
      </w:pPr>
    </w:p>
    <w:p>
      <w:pPr>
        <w:jc w:val="both"/>
        <w:ind w:left="200" w:right="140" w:firstLine="331"/>
        <w:spacing w:after="0"/>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203"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97"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221" w:lineRule="exact"/>
        <w:rPr>
          <w:sz w:val="20"/>
          <w:szCs w:val="20"/>
          <w:color w:val="auto"/>
        </w:rPr>
      </w:pPr>
    </w:p>
    <w:p>
      <w:pPr>
        <w:ind w:left="960" w:hanging="432"/>
        <w:spacing w:after="0"/>
        <w:tabs>
          <w:tab w:leader="none" w:pos="960" w:val="left"/>
        </w:tabs>
        <w:numPr>
          <w:ilvl w:val="0"/>
          <w:numId w:val="11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request that the property be distributed to you or if we ask that the property not be distributed to you;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determines that all or a portion of the distribution to you is not reasonably practicable.</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jc w:val="both"/>
        <w:ind w:left="200" w:right="360" w:firstLine="331"/>
        <w:spacing w:after="0"/>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203"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80"/>
          </w:cols>
          <w:pgMar w:left="24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 xml:space="preserve">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the depositary may determine.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Affecting Ordinary Shares</w:t>
      </w:r>
    </w:p>
    <w:p>
      <w:pPr>
        <w:spacing w:after="0" w:line="99"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If any such change were to occur, your ADSs would, to the extent permitted by law,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85"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Upon completion of the U.S. offering, the ordinary shares being offered pursuant to this prospectus will be deposited by us with the custodian. Upon receipt of confirmation of such deposit, the depositary will issue ADSs to the underwriters named in this prospectus.</w:t>
      </w:r>
    </w:p>
    <w:p>
      <w:pPr>
        <w:spacing w:after="0" w:line="197" w:lineRule="exact"/>
        <w:rPr>
          <w:sz w:val="20"/>
          <w:szCs w:val="20"/>
          <w:color w:val="auto"/>
        </w:rPr>
      </w:pPr>
    </w:p>
    <w:p>
      <w:pPr>
        <w:ind w:left="200" w:right="360" w:firstLine="331"/>
        <w:spacing w:after="0" w:line="257" w:lineRule="auto"/>
        <w:rPr>
          <w:sz w:val="20"/>
          <w:szCs w:val="20"/>
          <w:color w:val="auto"/>
        </w:rPr>
      </w:pPr>
      <w:r>
        <w:rPr>
          <w:rFonts w:ascii="Arial" w:cs="Arial" w:eastAsia="Arial" w:hAnsi="Arial"/>
          <w:sz w:val="17"/>
          <w:szCs w:val="17"/>
          <w:color w:val="auto"/>
        </w:rPr>
        <w:t>After the closing of this offer, 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the legal considerations in the United States and England and Wales applicable at the time of deposit.</w:t>
      </w:r>
    </w:p>
    <w:p>
      <w:pPr>
        <w:spacing w:after="0" w:line="189" w:lineRule="exact"/>
        <w:rPr>
          <w:sz w:val="20"/>
          <w:szCs w:val="20"/>
          <w:color w:val="auto"/>
        </w:rPr>
      </w:pPr>
    </w:p>
    <w:p>
      <w:pPr>
        <w:ind w:left="200" w:right="380" w:firstLine="331"/>
        <w:spacing w:after="0"/>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20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188" w:lineRule="exact"/>
        <w:rPr>
          <w:sz w:val="20"/>
          <w:szCs w:val="20"/>
          <w:color w:val="auto"/>
        </w:rPr>
      </w:pPr>
    </w:p>
    <w:p>
      <w:pPr>
        <w:ind w:left="960" w:hanging="432"/>
        <w:spacing w:after="0"/>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are duly authorized, validly issued, fully paid, non-assessable, and legally obtained;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preemptive (and similar) rights, if any, with respect to such ordinary shares have been validly waived or exercised;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you are duly authorized to deposit the ordinary shares;</w:t>
      </w:r>
    </w:p>
    <w:p>
      <w:pPr>
        <w:spacing w:after="0" w:line="26" w:lineRule="exact"/>
        <w:rPr>
          <w:rFonts w:ascii="MS PGothic" w:cs="MS PGothic" w:eastAsia="MS PGothic" w:hAnsi="MS PGothic"/>
          <w:sz w:val="25"/>
          <w:szCs w:val="25"/>
          <w:color w:val="auto"/>
          <w:vertAlign w:val="superscript"/>
        </w:rPr>
      </w:pPr>
    </w:p>
    <w:p>
      <w:pPr>
        <w:ind w:left="960" w:right="20" w:hanging="432"/>
        <w:spacing w:after="0" w:line="223"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have not been stripped of any rights or entitlements.</w:t>
      </w:r>
    </w:p>
    <w:p>
      <w:pPr>
        <w:spacing w:after="0" w:line="202"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w:t>
      </w:r>
    </w:p>
    <w:p>
      <w:pPr>
        <w:ind w:left="200"/>
        <w:spacing w:after="0"/>
        <w:rPr>
          <w:sz w:val="20"/>
          <w:szCs w:val="20"/>
          <w:color w:val="auto"/>
        </w:rPr>
      </w:pPr>
      <w:r>
        <w:rPr>
          <w:rFonts w:ascii="Arial" w:cs="Arial" w:eastAsia="Arial" w:hAnsi="Arial"/>
          <w:sz w:val="18"/>
          <w:szCs w:val="18"/>
          <w:color w:val="auto"/>
        </w:rPr>
        <w:t>ADRs, you will have to surrender the ADRs to be transferred to the depositary and also must:</w:t>
      </w:r>
    </w:p>
    <w:p>
      <w:pPr>
        <w:spacing w:after="0" w:line="203" w:lineRule="exact"/>
        <w:rPr>
          <w:sz w:val="20"/>
          <w:szCs w:val="20"/>
          <w:color w:val="auto"/>
        </w:rPr>
      </w:pPr>
    </w:p>
    <w:p>
      <w:pPr>
        <w:ind w:left="960" w:hanging="432"/>
        <w:spacing w:after="0"/>
        <w:tabs>
          <w:tab w:leader="none" w:pos="960" w:val="left"/>
        </w:tabs>
        <w:numPr>
          <w:ilvl w:val="0"/>
          <w:numId w:val="119"/>
        </w:numPr>
        <w:rPr>
          <w:rFonts w:ascii="MS PGothic" w:cs="MS PGothic" w:eastAsia="MS PGothic" w:hAnsi="MS PGothic"/>
          <w:sz w:val="25"/>
          <w:szCs w:val="25"/>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9"/>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9"/>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119"/>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the legal considerations in the United States and England and Wales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205"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You will have the right to withdraw the securities represented by your ADSs at any time subject only to:</w:t>
      </w:r>
    </w:p>
    <w:p>
      <w:pPr>
        <w:spacing w:after="0" w:line="239" w:lineRule="exact"/>
        <w:rPr>
          <w:sz w:val="20"/>
          <w:szCs w:val="20"/>
          <w:color w:val="auto"/>
        </w:rPr>
      </w:pPr>
    </w:p>
    <w:p>
      <w:pPr>
        <w:ind w:left="960" w:right="20" w:hanging="432"/>
        <w:spacing w:after="0" w:line="218" w:lineRule="auto"/>
        <w:tabs>
          <w:tab w:leader="none" w:pos="96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obligations to pay fees, taxes, and similar charges; and/or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imposed because of laws or regulations applicable to ADSs or the withdrawal of securities on deposit.</w:t>
      </w:r>
    </w:p>
    <w:p>
      <w:pPr>
        <w:spacing w:after="0" w:line="203" w:lineRule="exact"/>
        <w:rPr>
          <w:sz w:val="20"/>
          <w:szCs w:val="20"/>
          <w:color w:val="auto"/>
        </w:rPr>
      </w:pPr>
    </w:p>
    <w:p>
      <w:pPr>
        <w:ind w:left="200" w:right="620" w:firstLine="331"/>
        <w:spacing w:after="0" w:line="246"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85"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Association—Articles of Association” in this prospectus.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w:t>
      </w:r>
    </w:p>
    <w:p>
      <w:pPr>
        <w:ind w:left="200"/>
        <w:spacing w:after="0"/>
        <w:rPr>
          <w:sz w:val="20"/>
          <w:szCs w:val="20"/>
          <w:color w:val="auto"/>
        </w:rPr>
      </w:pPr>
      <w:r>
        <w:rPr>
          <w:rFonts w:ascii="Arial" w:cs="Arial" w:eastAsia="Arial" w:hAnsi="Arial"/>
          <w:sz w:val="18"/>
          <w:szCs w:val="18"/>
          <w:color w:val="auto"/>
        </w:rPr>
        <w:t>represented by the holder’s ADSs as follows:</w:t>
      </w:r>
    </w:p>
    <w:p>
      <w:pPr>
        <w:spacing w:after="0" w:line="221" w:lineRule="exact"/>
        <w:rPr>
          <w:sz w:val="20"/>
          <w:szCs w:val="20"/>
          <w:color w:val="auto"/>
        </w:rPr>
      </w:pPr>
    </w:p>
    <w:p>
      <w:pPr>
        <w:ind w:left="960" w:right="260" w:hanging="432"/>
        <w:spacing w:after="0" w:line="230" w:lineRule="auto"/>
        <w:tabs>
          <w:tab w:leader="none" w:pos="96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held on deposit at</w:t>
      </w:r>
      <w:r>
        <w:rPr>
          <w:rFonts w:ascii="Arial" w:cs="Arial" w:eastAsia="Arial" w:hAnsi="Arial"/>
          <w:sz w:val="18"/>
          <w:szCs w:val="18"/>
          <w:i w:val="1"/>
          <w:iCs w:val="1"/>
          <w:color w:val="auto"/>
        </w:rPr>
        <w:t xml:space="preserve"> </w:t>
      </w:r>
      <w:r>
        <w:rPr>
          <w:rFonts w:ascii="Arial" w:cs="Arial" w:eastAsia="Arial" w:hAnsi="Arial"/>
          <w:sz w:val="18"/>
          <w:szCs w:val="18"/>
          <w:color w:val="auto"/>
        </w:rPr>
        <w:t>that time in accordance with the voting instructions received from a majority of holders of ADSs who provide timely voting instructions.</w:t>
      </w:r>
    </w:p>
    <w:p>
      <w:pPr>
        <w:spacing w:after="0" w:line="9" w:lineRule="exact"/>
        <w:rPr>
          <w:rFonts w:ascii="MS PGothic" w:cs="MS PGothic" w:eastAsia="MS PGothic" w:hAnsi="MS PGothic"/>
          <w:sz w:val="25"/>
          <w:szCs w:val="25"/>
          <w:color w:val="auto"/>
          <w:vertAlign w:val="superscript"/>
        </w:rPr>
      </w:pPr>
    </w:p>
    <w:p>
      <w:pPr>
        <w:ind w:left="960" w:right="220" w:hanging="432"/>
        <w:spacing w:after="0" w:line="232" w:lineRule="auto"/>
        <w:tabs>
          <w:tab w:leader="none" w:pos="96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ADSs. The depositary will give a discretionary proxy to a person designated by the Company to vote any ordinary shares held on deposit for which voting instructions were not received from the holders of ADSs, unless the Company informs the depositary that (a) the Company does not wish such proxy to be given, (b) substantial opposition exists, or (c) the rights of holders of ADSs may be adversely affected.</w:t>
      </w:r>
    </w:p>
    <w:p>
      <w:pPr>
        <w:spacing w:after="0" w:line="202"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herein).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Charges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7760" w:type="dxa"/>
            <w:vAlign w:val="bottom"/>
            <w:gridSpan w:val="3"/>
          </w:tcPr>
          <w:p>
            <w:pPr>
              <w:spacing w:after="0"/>
              <w:rPr>
                <w:sz w:val="20"/>
                <w:szCs w:val="20"/>
                <w:color w:val="auto"/>
              </w:rPr>
            </w:pPr>
            <w:r>
              <w:rPr>
                <w:rFonts w:ascii="Arial" w:cs="Arial" w:eastAsia="Arial" w:hAnsi="Arial"/>
                <w:sz w:val="14"/>
                <w:szCs w:val="14"/>
                <w:b w:val="1"/>
                <w:bCs w:val="1"/>
                <w:color w:val="auto"/>
              </w:rPr>
              <w:t>Service</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20" w:type="dxa"/>
            <w:vAlign w:val="bottom"/>
          </w:tcPr>
          <w:p>
            <w:pPr>
              <w:ind w:left="680"/>
              <w:spacing w:after="0"/>
              <w:rPr>
                <w:sz w:val="20"/>
                <w:szCs w:val="20"/>
                <w:color w:val="auto"/>
              </w:rPr>
            </w:pPr>
            <w:r>
              <w:rPr>
                <w:rFonts w:ascii="Arial" w:cs="Arial" w:eastAsia="Arial" w:hAnsi="Arial"/>
                <w:sz w:val="14"/>
                <w:szCs w:val="14"/>
                <w:b w:val="1"/>
                <w:bCs w:val="1"/>
                <w:color w:val="auto"/>
              </w:rPr>
              <w:t>Fee</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7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Issuance of ADSs (e.g., an issuance of ADS upon a deposit of ordinary shares or upon a change</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in the ADS(s)-to-ordinary shares ratio), excluding ADS issuances as a result of distributions of</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ordinary shares</w:t>
            </w:r>
          </w:p>
        </w:tc>
        <w:tc>
          <w:tcPr>
            <w:tcW w:w="860" w:type="dxa"/>
            <w:vAlign w:val="bottom"/>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rPr>
              <w:t>Up to $</w:t>
            </w:r>
          </w:p>
        </w:tc>
        <w:tc>
          <w:tcPr>
            <w:tcW w:w="24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per ADS issued</w:t>
            </w:r>
          </w:p>
        </w:tc>
      </w:tr>
      <w:tr>
        <w:trPr>
          <w:trHeight w:val="202"/>
        </w:trPr>
        <w:tc>
          <w:tcPr>
            <w:tcW w:w="20" w:type="dxa"/>
            <w:vAlign w:val="bottom"/>
          </w:tcPr>
          <w:p>
            <w:pPr>
              <w:spacing w:after="0"/>
              <w:rPr>
                <w:sz w:val="17"/>
                <w:szCs w:val="17"/>
                <w:color w:val="auto"/>
              </w:rPr>
            </w:pPr>
          </w:p>
        </w:tc>
        <w:tc>
          <w:tcPr>
            <w:tcW w:w="7740" w:type="dxa"/>
            <w:vAlign w:val="bottom"/>
            <w:gridSpan w:val="2"/>
          </w:tcPr>
          <w:p>
            <w:pPr>
              <w:spacing w:after="0" w:line="201" w:lineRule="exact"/>
              <w:rPr>
                <w:sz w:val="20"/>
                <w:szCs w:val="20"/>
                <w:color w:val="auto"/>
              </w:rPr>
            </w:pPr>
            <w:r>
              <w:rPr>
                <w:rFonts w:ascii="Arial" w:cs="Arial" w:eastAsia="Arial" w:hAnsi="Arial"/>
                <w:sz w:val="18"/>
                <w:szCs w:val="18"/>
                <w:color w:val="auto"/>
              </w:rPr>
              <w:t>Cancellation of ADSs (e.g., a cancellation of ADSs for delivery of deposited property or upon a</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change in the ADS(s)-to-ordinary shares ratio)</w:t>
            </w:r>
          </w:p>
        </w:tc>
        <w:tc>
          <w:tcPr>
            <w:tcW w:w="86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Up to $</w:t>
            </w:r>
          </w:p>
        </w:tc>
        <w:tc>
          <w:tcPr>
            <w:tcW w:w="2420" w:type="dxa"/>
            <w:vAlign w:val="bottom"/>
          </w:tcPr>
          <w:p>
            <w:pPr>
              <w:ind w:left="200"/>
              <w:spacing w:after="0" w:line="203" w:lineRule="exact"/>
              <w:rPr>
                <w:sz w:val="20"/>
                <w:szCs w:val="20"/>
                <w:color w:val="auto"/>
              </w:rPr>
            </w:pPr>
            <w:r>
              <w:rPr>
                <w:rFonts w:ascii="Arial" w:cs="Arial" w:eastAsia="Arial" w:hAnsi="Arial"/>
                <w:sz w:val="18"/>
                <w:szCs w:val="18"/>
                <w:color w:val="auto"/>
              </w:rPr>
              <w:t>per ADS cancelled</w:t>
            </w:r>
          </w:p>
        </w:tc>
      </w:tr>
      <w:tr>
        <w:trPr>
          <w:trHeight w:val="202"/>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Distribution of cash dividends or other cash distributions (e.g., upon a sale of rights and other</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entitlements)</w:t>
            </w:r>
          </w:p>
        </w:tc>
        <w:tc>
          <w:tcPr>
            <w:tcW w:w="860" w:type="dxa"/>
            <w:vAlign w:val="bottom"/>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rPr>
              <w:t>Up to $</w:t>
            </w:r>
          </w:p>
        </w:tc>
        <w:tc>
          <w:tcPr>
            <w:tcW w:w="24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per ADS held</w:t>
            </w:r>
          </w:p>
        </w:tc>
      </w:tr>
      <w:tr>
        <w:trPr>
          <w:trHeight w:val="202"/>
        </w:trPr>
        <w:tc>
          <w:tcPr>
            <w:tcW w:w="20" w:type="dxa"/>
            <w:vAlign w:val="bottom"/>
          </w:tcPr>
          <w:p>
            <w:pPr>
              <w:spacing w:after="0"/>
              <w:rPr>
                <w:sz w:val="17"/>
                <w:szCs w:val="17"/>
                <w:color w:val="auto"/>
              </w:rPr>
            </w:pPr>
          </w:p>
        </w:tc>
        <w:tc>
          <w:tcPr>
            <w:tcW w:w="7740" w:type="dxa"/>
            <w:vAlign w:val="bottom"/>
            <w:gridSpan w:val="2"/>
          </w:tcPr>
          <w:p>
            <w:pPr>
              <w:spacing w:after="0" w:line="201" w:lineRule="exact"/>
              <w:rPr>
                <w:sz w:val="20"/>
                <w:szCs w:val="20"/>
                <w:color w:val="auto"/>
              </w:rPr>
            </w:pPr>
            <w:r>
              <w:rPr>
                <w:rFonts w:ascii="Arial" w:cs="Arial" w:eastAsia="Arial" w:hAnsi="Arial"/>
                <w:sz w:val="18"/>
                <w:szCs w:val="18"/>
                <w:color w:val="auto"/>
              </w:rPr>
              <w:t>Distribution of ADSs pursuant to (i) stock dividends or other free stock distributions, or</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(ii) exercise of rights to purchase additional ADSs</w:t>
            </w:r>
          </w:p>
        </w:tc>
        <w:tc>
          <w:tcPr>
            <w:tcW w:w="86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Up to $</w:t>
            </w:r>
          </w:p>
        </w:tc>
        <w:tc>
          <w:tcPr>
            <w:tcW w:w="2420" w:type="dxa"/>
            <w:vAlign w:val="bottom"/>
          </w:tcPr>
          <w:p>
            <w:pPr>
              <w:ind w:left="200"/>
              <w:spacing w:after="0" w:line="203" w:lineRule="exact"/>
              <w:rPr>
                <w:sz w:val="20"/>
                <w:szCs w:val="20"/>
                <w:color w:val="auto"/>
              </w:rPr>
            </w:pPr>
            <w:r>
              <w:rPr>
                <w:rFonts w:ascii="Arial" w:cs="Arial" w:eastAsia="Arial" w:hAnsi="Arial"/>
                <w:sz w:val="18"/>
                <w:szCs w:val="18"/>
                <w:color w:val="auto"/>
              </w:rPr>
              <w:t>per ADS held</w:t>
            </w:r>
          </w:p>
        </w:tc>
      </w:tr>
      <w:tr>
        <w:trPr>
          <w:trHeight w:val="202"/>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Distribution of securities other than ADSs or rights to purchase additional ADSs (e.g., upon a</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spin-off)</w:t>
            </w:r>
          </w:p>
        </w:tc>
        <w:tc>
          <w:tcPr>
            <w:tcW w:w="860" w:type="dxa"/>
            <w:vAlign w:val="bottom"/>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rPr>
              <w:t>Up to $</w:t>
            </w:r>
          </w:p>
        </w:tc>
        <w:tc>
          <w:tcPr>
            <w:tcW w:w="24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per ADS held</w:t>
            </w:r>
          </w:p>
        </w:tc>
      </w:tr>
      <w:tr>
        <w:trPr>
          <w:trHeight w:val="202"/>
        </w:trPr>
        <w:tc>
          <w:tcPr>
            <w:tcW w:w="20" w:type="dxa"/>
            <w:vAlign w:val="bottom"/>
          </w:tcPr>
          <w:p>
            <w:pPr>
              <w:spacing w:after="0"/>
              <w:rPr>
                <w:sz w:val="17"/>
                <w:szCs w:val="17"/>
                <w:color w:val="auto"/>
              </w:rPr>
            </w:pPr>
          </w:p>
        </w:tc>
        <w:tc>
          <w:tcPr>
            <w:tcW w:w="7740" w:type="dxa"/>
            <w:vAlign w:val="bottom"/>
            <w:gridSpan w:val="2"/>
          </w:tcPr>
          <w:p>
            <w:pPr>
              <w:spacing w:after="0" w:line="201" w:lineRule="exact"/>
              <w:rPr>
                <w:sz w:val="20"/>
                <w:szCs w:val="20"/>
                <w:color w:val="auto"/>
              </w:rPr>
            </w:pPr>
            <w:r>
              <w:rPr>
                <w:rFonts w:ascii="Arial" w:cs="Arial" w:eastAsia="Arial" w:hAnsi="Arial"/>
                <w:sz w:val="18"/>
                <w:szCs w:val="18"/>
                <w:color w:val="auto"/>
              </w:rPr>
              <w:t>ADS Services</w:t>
            </w:r>
          </w:p>
        </w:tc>
        <w:tc>
          <w:tcPr>
            <w:tcW w:w="8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Up to $</w:t>
            </w:r>
          </w:p>
        </w:tc>
        <w:tc>
          <w:tcPr>
            <w:tcW w:w="2420" w:type="dxa"/>
            <w:vAlign w:val="bottom"/>
          </w:tcPr>
          <w:p>
            <w:pPr>
              <w:ind w:left="200"/>
              <w:spacing w:after="0" w:line="201" w:lineRule="exact"/>
              <w:rPr>
                <w:sz w:val="20"/>
                <w:szCs w:val="20"/>
                <w:color w:val="auto"/>
              </w:rPr>
            </w:pPr>
            <w:r>
              <w:rPr>
                <w:rFonts w:ascii="Arial" w:cs="Arial" w:eastAsia="Arial" w:hAnsi="Arial"/>
                <w:sz w:val="18"/>
                <w:szCs w:val="18"/>
                <w:color w:val="auto"/>
              </w:rPr>
              <w:t>per ADS held on the</w:t>
            </w:r>
          </w:p>
        </w:tc>
      </w:tr>
    </w:tbl>
    <w:p>
      <w:pPr>
        <w:ind w:left="8040"/>
        <w:spacing w:after="0" w:line="234" w:lineRule="auto"/>
        <w:rPr>
          <w:sz w:val="20"/>
          <w:szCs w:val="20"/>
          <w:color w:val="auto"/>
        </w:rPr>
      </w:pPr>
      <w:r>
        <w:rPr>
          <w:rFonts w:ascii="Arial" w:cs="Arial" w:eastAsia="Arial" w:hAnsi="Arial"/>
          <w:sz w:val="18"/>
          <w:szCs w:val="18"/>
          <w:color w:val="auto"/>
        </w:rPr>
        <w:t>applicable record date(s) established by</w:t>
      </w:r>
    </w:p>
    <w:p>
      <w:pPr>
        <w:spacing w:after="0" w:line="1"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the depositary</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203" w:lineRule="exact"/>
        <w:rPr>
          <w:sz w:val="20"/>
          <w:szCs w:val="20"/>
          <w:color w:val="auto"/>
        </w:rPr>
      </w:pPr>
    </w:p>
    <w:p>
      <w:pPr>
        <w:ind w:left="960" w:hanging="432"/>
        <w:spacing w:after="0"/>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cable, telex, and facsimile transmission and delivery expenses;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26"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the custodian, or any nominee in connection with the servicing or delivery of deposited property.</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Amendments and Termination</w:t>
      </w:r>
    </w:p>
    <w:p>
      <w:pPr>
        <w:spacing w:after="0" w:line="99"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205" w:lineRule="exact"/>
        <w:rPr>
          <w:sz w:val="20"/>
          <w:szCs w:val="20"/>
          <w:color w:val="auto"/>
        </w:rPr>
      </w:pPr>
    </w:p>
    <w:p>
      <w:pPr>
        <w:ind w:left="200" w:right="320" w:firstLine="331"/>
        <w:spacing w:after="0"/>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Books of Depositary</w:t>
      </w:r>
    </w:p>
    <w:p>
      <w:pPr>
        <w:spacing w:after="0" w:line="8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20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8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239" w:lineRule="exact"/>
        <w:rPr>
          <w:sz w:val="20"/>
          <w:szCs w:val="20"/>
          <w:color w:val="auto"/>
        </w:rPr>
      </w:pPr>
    </w:p>
    <w:p>
      <w:pPr>
        <w:ind w:left="960" w:right="220" w:hanging="432"/>
        <w:spacing w:after="0" w:line="218" w:lineRule="auto"/>
        <w:tabs>
          <w:tab w:leader="none" w:pos="960" w:val="left"/>
        </w:tabs>
        <w:numPr>
          <w:ilvl w:val="0"/>
          <w:numId w:val="12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1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00"/>
          </w:cols>
          <w:pgMar w:left="240" w:top="460"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60"/>
        <w:spacing w:after="0" w:line="239" w:lineRule="auto"/>
        <w:rPr>
          <w:sz w:val="20"/>
          <w:szCs w:val="20"/>
          <w:color w:val="auto"/>
        </w:rPr>
      </w:pPr>
      <w:r>
        <w:rPr>
          <w:rFonts w:ascii="Arial" w:cs="Arial" w:eastAsia="Arial" w:hAnsi="Arial"/>
          <w:sz w:val="18"/>
          <w:szCs w:val="18"/>
          <w:color w:val="auto"/>
        </w:rPr>
        <w:t>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ind w:left="960" w:hanging="432"/>
        <w:spacing w:after="0" w:line="230"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26" w:lineRule="exact"/>
        <w:rPr>
          <w:rFonts w:ascii="MS PGothic" w:cs="MS PGothic" w:eastAsia="MS PGothic" w:hAnsi="MS PGothic"/>
          <w:sz w:val="25"/>
          <w:szCs w:val="25"/>
          <w:color w:val="auto"/>
          <w:vertAlign w:val="superscript"/>
        </w:rPr>
      </w:pPr>
    </w:p>
    <w:p>
      <w:pPr>
        <w:ind w:left="960" w:hanging="432"/>
        <w:spacing w:after="0" w:line="228"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26"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27" w:lineRule="exact"/>
        <w:rPr>
          <w:rFonts w:ascii="MS PGothic" w:cs="MS PGothic" w:eastAsia="MS PGothic" w:hAnsi="MS PGothic"/>
          <w:sz w:val="25"/>
          <w:szCs w:val="25"/>
          <w:color w:val="auto"/>
          <w:vertAlign w:val="superscript"/>
        </w:rPr>
      </w:pPr>
    </w:p>
    <w:p>
      <w:pPr>
        <w:jc w:val="both"/>
        <w:ind w:left="960" w:right="300" w:hanging="432"/>
        <w:spacing w:after="0" w:line="235" w:lineRule="auto"/>
        <w:tabs>
          <w:tab w:leader="none" w:pos="960" w:val="left"/>
        </w:tabs>
        <w:numPr>
          <w:ilvl w:val="0"/>
          <w:numId w:val="125"/>
        </w:numPr>
        <w:rPr>
          <w:rFonts w:ascii="MS PGothic" w:cs="MS PGothic" w:eastAsia="MS PGothic" w:hAnsi="MS PGothic"/>
          <w:sz w:val="24"/>
          <w:szCs w:val="24"/>
          <w:color w:val="auto"/>
          <w:vertAlign w:val="superscript"/>
        </w:rPr>
      </w:pPr>
      <w:r>
        <w:rPr>
          <w:rFonts w:ascii="Arial" w:cs="Arial" w:eastAsia="Arial" w:hAnsi="Arial"/>
          <w:sz w:val="17"/>
          <w:szCs w:val="17"/>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28" w:lineRule="exact"/>
        <w:rPr>
          <w:rFonts w:ascii="MS PGothic" w:cs="MS PGothic" w:eastAsia="MS PGothic" w:hAnsi="MS PGothic"/>
          <w:sz w:val="24"/>
          <w:szCs w:val="24"/>
          <w:color w:val="auto"/>
          <w:vertAlign w:val="superscript"/>
        </w:rPr>
      </w:pPr>
    </w:p>
    <w:p>
      <w:pPr>
        <w:ind w:left="960" w:right="80" w:hanging="432"/>
        <w:spacing w:after="0" w:line="223"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28"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Pre-Release Transactions</w:t>
      </w:r>
    </w:p>
    <w:p>
      <w:pPr>
        <w:spacing w:after="0" w:line="99"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Subject to the terms and conditions of the deposit agreement, the depositary may issue to broker/dealers ADSs before receiving a deposit of ordinary shares or release ordinary shares to broker/dealers before receiving ADSs for cancellation. These transactions are commonly referred to as “pre-release transactions,” and are entered into between the depositary and the applicable broker/dealer. The deposit agreement limits the aggregate size of pre-release transactions (not to exceed 30% of the ordinary shares on deposit in the aggregate, but such limit may be changed or disregarded from time to time as the depositary deems appropriate) and imposes a number of conditions on such transactions (e.g., the need to receive collateral, the type of collateral required, the representations required from brokers, etc.). The depositary may retain the compensation received from the pre-release transactions.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Taxes</w:t>
      </w:r>
    </w:p>
    <w:p>
      <w:pPr>
        <w:spacing w:after="0" w:line="85"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202"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00"/>
          </w:cols>
          <w:pgMar w:left="240" w:top="460"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 Conversion</w:t>
      </w:r>
    </w:p>
    <w:p>
      <w:pPr>
        <w:spacing w:after="0" w:line="99"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202"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224" w:lineRule="exact"/>
        <w:rPr>
          <w:sz w:val="20"/>
          <w:szCs w:val="20"/>
          <w:color w:val="auto"/>
        </w:rPr>
      </w:pPr>
    </w:p>
    <w:p>
      <w:pPr>
        <w:ind w:left="960" w:right="700" w:hanging="432"/>
        <w:spacing w:after="0" w:line="218"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Law/Waiver of Jury Trial</w:t>
      </w:r>
    </w:p>
    <w:p>
      <w:pPr>
        <w:spacing w:after="0" w:line="8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97"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AS A PARTY TO THE DEPOSIT AGREEMENT, YOU WAIVE YOUR RIGHT TO TRIAL BY JURY IN ANY LEGAL PROCEEDING AGAINST US AND/OR THE DEPOSITARY ARISING OUT OF THE DEPOSIT AGREEMENT OR THE ADRs.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ORDINARY SHARES AND ADSs ELIGIBLE FOR FUTURE SALE</w:t>
      </w:r>
    </w:p>
    <w:p>
      <w:pPr>
        <w:spacing w:after="0" w:line="342"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Prior to the U.S. offering, there has been no market for our ADSs. Future sales of substantial amounts of our ADSs or ordinary shares in the public market, or the perception that such sales may occur, could adversely affect prevailing market prices of our ADSs or ordinary shares.</w:t>
      </w:r>
    </w:p>
    <w:p>
      <w:pPr>
        <w:spacing w:after="0" w:line="203" w:lineRule="exact"/>
        <w:rPr>
          <w:sz w:val="20"/>
          <w:szCs w:val="20"/>
          <w:color w:val="auto"/>
        </w:rPr>
      </w:pPr>
    </w:p>
    <w:p>
      <w:pPr>
        <w:ind w:left="200" w:right="100" w:firstLine="331"/>
        <w:spacing w:after="0" w:line="234" w:lineRule="auto"/>
        <w:rPr>
          <w:sz w:val="20"/>
          <w:szCs w:val="20"/>
          <w:color w:val="auto"/>
        </w:rPr>
      </w:pPr>
      <w:r>
        <w:rPr>
          <w:rFonts w:ascii="Arial" w:cs="Arial" w:eastAsia="Arial" w:hAnsi="Arial"/>
          <w:sz w:val="18"/>
          <w:szCs w:val="18"/>
          <w:color w:val="auto"/>
        </w:rPr>
        <w:t>Based on the number of our ordinary shares outstanding as of , 2018, upon the closing of the global offering, we will have ADSs outstanding, representing ordinary shares, and ordinary shares outstanding (including ordinary shares in the form of ADSs), or, if the underwriters exercise in full their option to purchase an additional ADSs in the U.S. offering,</w:t>
      </w:r>
    </w:p>
    <w:p>
      <w:pPr>
        <w:spacing w:after="0" w:line="2" w:lineRule="exact"/>
        <w:rPr>
          <w:sz w:val="20"/>
          <w:szCs w:val="20"/>
          <w:color w:val="auto"/>
        </w:rPr>
      </w:pPr>
    </w:p>
    <w:p>
      <w:pPr>
        <w:ind w:left="200" w:right="200"/>
        <w:spacing w:after="0" w:line="234" w:lineRule="auto"/>
        <w:rPr>
          <w:sz w:val="20"/>
          <w:szCs w:val="20"/>
          <w:color w:val="auto"/>
        </w:rPr>
      </w:pPr>
      <w:r>
        <w:rPr>
          <w:rFonts w:ascii="Arial" w:cs="Arial" w:eastAsia="Arial" w:hAnsi="Arial"/>
          <w:sz w:val="18"/>
          <w:szCs w:val="18"/>
          <w:color w:val="auto"/>
        </w:rPr>
        <w:t>ordinary shares (including ordinary shares in the form of ADSs). The ordinary shares and ADSs sold in the global offering will be freely tradable without restriction or further registration under the Securities Act of 1933, as amended, or the Securities Act, except for any ordinary shares or ADSs purchased by our “affiliates,” as that term is defined in Rule 144 under the Securities Act, whose sale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subject to the Rule 144 resale restrictions described below other than the holding period requirement. We expect of our ordinary shares outstanding after the global offering will be subject to the contractual 180-day lock-up period described below.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99"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In general, a person who has beneficially owned our unregistered ordinary shares for at least six months would be entitled to sell such shares pursuant to Rule 144 of the Securities Act, provided that (i) such person is not deemed to have been one of our affiliates at the time of, or at any time during the 90 days preceding, a sale and (ii) we are subject to Exchange Act periodic reporting requirements for at least 90 days before the sale.</w:t>
      </w:r>
    </w:p>
    <w:p>
      <w:pPr>
        <w:spacing w:after="0" w:line="202" w:lineRule="exact"/>
        <w:rPr>
          <w:sz w:val="20"/>
          <w:szCs w:val="20"/>
          <w:color w:val="auto"/>
        </w:rPr>
      </w:pPr>
    </w:p>
    <w:p>
      <w:pPr>
        <w:ind w:left="200" w:right="380" w:firstLine="331"/>
        <w:spacing w:after="0" w:line="246" w:lineRule="auto"/>
        <w:rPr>
          <w:sz w:val="20"/>
          <w:szCs w:val="20"/>
          <w:color w:val="auto"/>
        </w:rPr>
      </w:pPr>
      <w:r>
        <w:rPr>
          <w:rFonts w:ascii="Arial" w:cs="Arial" w:eastAsia="Arial" w:hAnsi="Arial"/>
          <w:sz w:val="18"/>
          <w:szCs w:val="18"/>
          <w:color w:val="auto"/>
        </w:rPr>
        <w:t>Persons who are our affiliates at the time of, or any time during the 90 days preceding, a sale of our ordinary shares or ADSs, are subject to additional restrictions, as follows:</w:t>
      </w:r>
    </w:p>
    <w:p>
      <w:pPr>
        <w:spacing w:after="0" w:line="224" w:lineRule="exact"/>
        <w:rPr>
          <w:sz w:val="20"/>
          <w:szCs w:val="20"/>
          <w:color w:val="auto"/>
        </w:rPr>
      </w:pPr>
    </w:p>
    <w:p>
      <w:pPr>
        <w:ind w:left="960" w:right="40" w:hanging="432"/>
        <w:spacing w:after="0" w:line="218" w:lineRule="auto"/>
        <w:tabs>
          <w:tab w:leader="none" w:pos="96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case of a sale of our unregistered ordinary shares, such persons must have beneficially owned such shares for at least six months; and</w:t>
      </w:r>
    </w:p>
    <w:p>
      <w:pPr>
        <w:spacing w:after="0" w:line="27"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such person may sell within any three month period only a number of our securities that does not exceed the greater of either of the following:</w:t>
      </w:r>
    </w:p>
    <w:p>
      <w:pPr>
        <w:spacing w:after="0" w:line="3" w:lineRule="exact"/>
        <w:rPr>
          <w:sz w:val="20"/>
          <w:szCs w:val="20"/>
          <w:color w:val="auto"/>
        </w:rPr>
      </w:pPr>
    </w:p>
    <w:p>
      <w:pPr>
        <w:ind w:left="1400" w:right="320" w:hanging="419"/>
        <w:spacing w:after="0" w:line="218" w:lineRule="auto"/>
        <w:tabs>
          <w:tab w:leader="none" w:pos="1380" w:val="left"/>
        </w:tabs>
        <w:rPr>
          <w:sz w:val="20"/>
          <w:szCs w:val="20"/>
          <w:color w:val="auto"/>
        </w:rPr>
      </w:pPr>
      <w:r>
        <w:rPr>
          <w:rFonts w:ascii="MS PGothic" w:cs="MS PGothic" w:eastAsia="MS PGothic" w:hAnsi="MS PGothic"/>
          <w:sz w:val="25"/>
          <w:szCs w:val="25"/>
          <w:color w:val="auto"/>
          <w:vertAlign w:val="superscript"/>
        </w:rPr>
        <w:t>∎</w:t>
      </w:r>
      <w:r>
        <w:rPr>
          <w:sz w:val="20"/>
          <w:szCs w:val="20"/>
          <w:color w:val="auto"/>
        </w:rPr>
        <w:tab/>
      </w:r>
      <w:r>
        <w:rPr>
          <w:rFonts w:ascii="Arial" w:cs="Arial" w:eastAsia="Arial" w:hAnsi="Arial"/>
          <w:sz w:val="18"/>
          <w:szCs w:val="18"/>
          <w:color w:val="auto"/>
        </w:rPr>
        <w:t>1% of the number of our ordinary shares then outstanding, which will equal approximately ordinary shares immediately after the global offering, assuming no exercise of the underwriters’ options to purchase additional ADSs; or</w:t>
      </w:r>
    </w:p>
    <w:p>
      <w:pPr>
        <w:spacing w:after="0" w:line="52" w:lineRule="exact"/>
        <w:rPr>
          <w:sz w:val="20"/>
          <w:szCs w:val="20"/>
          <w:color w:val="auto"/>
        </w:rPr>
      </w:pPr>
    </w:p>
    <w:p>
      <w:pPr>
        <w:ind w:left="1400" w:hanging="426"/>
        <w:spacing w:after="0" w:line="218" w:lineRule="auto"/>
        <w:tabs>
          <w:tab w:leader="none" w:pos="1400" w:val="left"/>
        </w:tabs>
        <w:numPr>
          <w:ilvl w:val="0"/>
          <w:numId w:val="1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average weekly trading volume of our ordinary shares in the form of ADSs on the Nasdaq Global Market during the four calendar weeks preceding the filing of a notice on Form 144 with respect to the sale;</w:t>
      </w:r>
    </w:p>
    <w:p>
      <w:pPr>
        <w:spacing w:after="0" w:line="20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by non-affiliates and affiliates must also comply with the manner of sale, current public information and notice provisions of Rule 144 to the extent applicable.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85"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In general, under Rule 701 under the Securities Act, any of our employees, board members, senior management, consultants or advisors who purchases ordinary shares from us in connection with a compensatory share or option plan or other written agreement before the effective date of the registration statement of which this prospectus forms a part, or the effective date, is entitled to resell such shares 90 days after the effective date in reliance on Rule 144, without having to comply with the holding period requirements or other restrictions contained in Rule 701.</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00"/>
          </w:cols>
          <w:pgMar w:left="24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lock-up restrictions described below, beginning 90 days after the date of this prospectus, may be sold by persons other than “affiliates,” as defined in Rule 144, subject only to the manner of sale provisions of Rule 144 and by affiliates under Rule 144 without compliance with the holding period requirement.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 S</w:t>
      </w:r>
    </w:p>
    <w:p>
      <w:pPr>
        <w:spacing w:after="0" w:line="99"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85"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All of our board members and executive officers and certain other holders of our ordinary shares and other securities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our ADSs or ordinary shares or securities convertible into or exchangeable or exercisable for our ADSs or ordinary shares for a period of 180 days after the date of this prospectus, without the prior written consent of Cowen and Company, LLC and BMO Capital Markets Corp. See “Underwriting.”</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MATERIAL TAX CONSIDERATIONS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Federal Income Taxation</w:t>
      </w:r>
    </w:p>
    <w:p>
      <w:pPr>
        <w:spacing w:after="0" w:line="99"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following is a description of the material U.S. federal income tax consequences to the U.S. Holders (as defined below) of owning and disposing of our ordinary shares or ADSs. It is not a comprehensive description of all tax considerations that may be relevant to a particular person’s decision to acquire our ordinary shares or ADSs. This discussion applies only to a U.S. Holder that holds our ordinary shares or ADSs as a capital asset for tax purposes (generally, property held for investment). In addition, it does not describe all of the tax consequences that may be relevant in light of a U.S. Holder’s particular circumstances, including non-U.S. tax consequences, state and local tax consequences, estate tax consequences, alternative minimum tax consequences, the potential application of the Medicare contribution tax, and tax consequences applicable to U.S. Holders subject to special rules, such as:</w:t>
      </w:r>
    </w:p>
    <w:p>
      <w:pPr>
        <w:spacing w:after="0" w:line="194" w:lineRule="exact"/>
        <w:rPr>
          <w:sz w:val="20"/>
          <w:szCs w:val="20"/>
          <w:color w:val="auto"/>
        </w:rPr>
      </w:pPr>
    </w:p>
    <w:p>
      <w:pPr>
        <w:ind w:left="960" w:hanging="432"/>
        <w:spacing w:after="0"/>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certain other financial institutions;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U.S. expatriates and certain former citizens or long term residents of the United States;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dealers or traders in securities who use a mark to market method of tax accounting;</w:t>
      </w:r>
    </w:p>
    <w:p>
      <w:pPr>
        <w:spacing w:after="0" w:line="26" w:lineRule="exact"/>
        <w:rPr>
          <w:rFonts w:ascii="MS PGothic" w:cs="MS PGothic" w:eastAsia="MS PGothic" w:hAnsi="MS PGothic"/>
          <w:sz w:val="25"/>
          <w:szCs w:val="25"/>
          <w:color w:val="auto"/>
          <w:vertAlign w:val="superscript"/>
        </w:rPr>
      </w:pPr>
    </w:p>
    <w:p>
      <w:pPr>
        <w:ind w:left="960" w:right="480" w:hanging="432"/>
        <w:spacing w:after="0" w:line="218"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ordinary shares or ADSs as part of a hedging transaction, “straddle,” wash sale, conversion transaction or integrated transaction or persons entering into a constructive sale with respect to ordinary shares or ADSs;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brokers, dealers or traders in securities, commodities or currencies;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 exempt entities or government organizations;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 partnerships, or other entities or arrangements classified as partnerships for U.S. federal income tax purposes;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regulated investment companies or real estate investment trusts;</w:t>
      </w:r>
    </w:p>
    <w:p>
      <w:pPr>
        <w:spacing w:after="0" w:line="26" w:lineRule="exact"/>
        <w:rPr>
          <w:rFonts w:ascii="MS PGothic" w:cs="MS PGothic" w:eastAsia="MS PGothic" w:hAnsi="MS PGothic"/>
          <w:sz w:val="25"/>
          <w:szCs w:val="25"/>
          <w:color w:val="auto"/>
          <w:vertAlign w:val="superscript"/>
        </w:rPr>
      </w:pPr>
    </w:p>
    <w:p>
      <w:pPr>
        <w:ind w:left="960" w:right="500" w:hanging="432"/>
        <w:spacing w:after="0" w:line="218"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acquired our ordinary shares or ADSs pursuant to the exercise of any employee stock option or otherwise as compensation;</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subject to special tax accounting rules as a result of any item of gross income with respect to the ADSs being taken into account in an applicable financial statement;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ten percent or more of our voting shares; and</w:t>
      </w:r>
    </w:p>
    <w:p>
      <w:pPr>
        <w:spacing w:after="0" w:line="26"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ordinary shares or ADSs in connection with a trade or business, permanent establishment, or fixed base outside the United States.</w:t>
      </w:r>
    </w:p>
    <w:p>
      <w:pPr>
        <w:spacing w:after="0" w:line="203"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or ADSs, the U.S. federal income tax treatment of a partner will generally depend on the status of the partner and the activities of the partnership. Partnerships owning ordinary shares or ADSs and partners in such partnerships are encouraged to consult their tax advisers as to the particular U.S. federal income tax consequences of owning and disposing of our ordinary shares or ADSs.</w:t>
      </w:r>
    </w:p>
    <w:p>
      <w:pPr>
        <w:spacing w:after="0" w:line="202"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discussion is based on the Internal Revenue Code of 1986, as amended, or the Code, administrative pronouncements, judicial decisions, final, temporary and proposed Treasury Regulations, and the income tax treaty between the United Kingdom and the United States, or the Treaty, all as of the date hereof, changes to any of which may affect the tax consequences described herein—possibly with retroactive effect.</w:t>
      </w:r>
    </w:p>
    <w:p>
      <w:pPr>
        <w:spacing w:after="0" w:line="202"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A “U.S. Holder” is a holder who, for U.S. federal income tax purposes, is a beneficial owner of ordinary shares or ADSs who is eligible for the benefits of the Treaty and is:</w:t>
      </w:r>
    </w:p>
    <w:p>
      <w:pPr>
        <w:spacing w:after="0" w:line="224" w:lineRule="exact"/>
        <w:rPr>
          <w:sz w:val="20"/>
          <w:szCs w:val="20"/>
          <w:color w:val="auto"/>
        </w:rPr>
      </w:pPr>
    </w:p>
    <w:p>
      <w:pPr>
        <w:ind w:left="960" w:hanging="432"/>
        <w:spacing w:after="0"/>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60"/>
          </w:cols>
          <w:pgMar w:left="240" w:top="460" w:right="4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00" w:hanging="432"/>
        <w:spacing w:after="0" w:line="246" w:lineRule="auto"/>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21" w:lineRule="exact"/>
        <w:rPr>
          <w:rFonts w:ascii="Arial" w:cs="Arial" w:eastAsia="Arial" w:hAnsi="Arial"/>
          <w:sz w:val="18"/>
          <w:szCs w:val="18"/>
          <w:color w:val="auto"/>
        </w:rPr>
      </w:pPr>
    </w:p>
    <w:p>
      <w:pPr>
        <w:ind w:left="960" w:hanging="432"/>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36" w:lineRule="exact"/>
        <w:rPr>
          <w:rFonts w:ascii="Arial" w:cs="Arial" w:eastAsia="Arial" w:hAnsi="Arial"/>
          <w:sz w:val="18"/>
          <w:szCs w:val="18"/>
          <w:color w:val="auto"/>
        </w:rPr>
      </w:pPr>
    </w:p>
    <w:p>
      <w:pPr>
        <w:ind w:left="960" w:right="40" w:hanging="432"/>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trust (A) that is subject to the primary supervision of a court within the United States and one or more United States persons as described in Code Section 7701(a)(30) have the authority to control all substantial decisions of the trust or (B) any trust that has a valid election in effect under applicable United States Treasury Regulations to be treated the as a U.S. person.</w:t>
      </w:r>
    </w:p>
    <w:p>
      <w:pPr>
        <w:spacing w:after="0" w:line="20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U.S. Holders are encouraged to consult their tax advisers concerning the U.S. federal, state, local and foreign tax consequences of owning and disposing of ordinary shares or ADSs in their particular circumstances.</w:t>
      </w:r>
    </w:p>
    <w:p>
      <w:pPr>
        <w:spacing w:after="0" w:line="19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U.S. federal income tax purposes as owning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consequences described below may not apply if, as a result of actions taken by intermediaries in the chain of ownership between the holders of ADSs and our Company, the holders of our ADSs are not properly treated as beneficial owners of the underlying ordinary shares.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99"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Because we do not expect to earn revenue from our business operations during the current taxable year, and because our sole source of income currently is interest on bank accounts held by us, we believe we will likely be a PFIC for the current taxable year. A non U.S. corporation will be classified as a PFIC for any taxable year in which, after applying certain look through rules, either:</w:t>
      </w:r>
    </w:p>
    <w:p>
      <w:pPr>
        <w:spacing w:after="0" w:line="194" w:lineRule="exact"/>
        <w:rPr>
          <w:sz w:val="20"/>
          <w:szCs w:val="20"/>
          <w:color w:val="auto"/>
        </w:rPr>
      </w:pPr>
    </w:p>
    <w:p>
      <w:pPr>
        <w:ind w:left="960" w:hanging="432"/>
        <w:spacing w:after="0"/>
        <w:tabs>
          <w:tab w:leader="none" w:pos="960" w:val="left"/>
        </w:tabs>
        <w:numPr>
          <w:ilvl w:val="0"/>
          <w:numId w:val="132"/>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least 75% of its gross income is passive income (such as interest income); or</w:t>
      </w:r>
    </w:p>
    <w:p>
      <w:pPr>
        <w:spacing w:after="0" w:line="26"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132"/>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least 50% of its gross assets (determined on the basis of a quarterly average) is attributable to assets that produce passive income or are held for the production of passive income.</w:t>
      </w:r>
    </w:p>
    <w:p>
      <w:pPr>
        <w:spacing w:after="0" w:line="203"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 the equity of which we own, directly or indirectly, 25% or more (by value).</w:t>
      </w:r>
    </w:p>
    <w:p>
      <w:pPr>
        <w:spacing w:after="0" w:line="19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 separate determination must be made after the close of each taxable year as to whether we are a PFIC for that year. As a result, our PFIC status may change. While it is possible we may not meet the PFIC test described above once we start generating substantial revenue from our business operations, the analysis is factual and it is possible we may continue to be a PFIC for future years. In particular, the total value of our assets for purposes of the asset test generally will be calculated using the market price of the ordinary shares or ADSs, which may fluctuate considerably. Fluctuations in the market price of the ordinary shares or ADSs may result in our being a PFIC for any taxable year.</w:t>
      </w:r>
    </w:p>
    <w:p>
      <w:pPr>
        <w:spacing w:after="0" w:line="205"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If we are classified as a PFIC in any year with respect to which a U.S. Holder owns the ordinary shares or ADSs, we will continue to be subject to the PFIC rules discussed below with respect to such U.S. Holder in all succeeding years during which the U.S. Holder owns the ordinary shares or ADSs, regardless of whether we continue to meet the tests described above unless (1) we cease to be a PFIC</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and the U.S. Holder has made a “deemed sale” election under the PFIC rules, or (2) the U.S. Holder makes a QEF Election (defined and discussed further below) with respect to all taxable years in which we are a PFIC. If you make a deemed sale election, you will be deemed to have sold the ordinary shares or ADSs you hold at their fair market value and any gain from such deemed sale would be subject to the “excess distribution” rules described further below. After the deemed sale election, so long as we do not become a PFIC in a subsequent taxable year, your ordinary shares or ADSs with respect to which you made such election will not be treated as shares in a PFIC and you will not be subject to the rules described below with respect to any “excess distribution” you receive from us or any gain from an actual sale or other disposition of the ordinary shares or ADSs. U.S. Holders should consult their tax advisors as to the possibility and consequences of making a deemed sale election if we cease to be a PFIC and such election becomes available.</w:t>
      </w:r>
    </w:p>
    <w:p>
      <w:pPr>
        <w:spacing w:after="0" w:line="208"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If the U.S. Holder makes a QEF Election in the first year in the U.S. Holder’s holding period in which we are a PFIC, or a Pedigreed Election, then the U.S. Holder may make the QEF Election by simply filing the appropriate documents at the time the U.S. Holder files its tax return for such first year (as discussed further below). If a Pedigreed Election is made, and we no longer qualify as a PFIC in a subsequent year, normal Code rules and not the PFIC rules will apply. If a U.S. shareholder makes a QEF Election that is not a Pedigreed Election (i.e., it is made after the first year during which the company is a PFIC and the U.S. shareholder holds shares of the company), the QEF rules apply prospectively but do not apply to years prior to the year in which the QEF first becomes effective.</w:t>
      </w:r>
    </w:p>
    <w:p>
      <w:pPr>
        <w:spacing w:after="0" w:line="20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For each taxable year we are treated as a PFIC with respect to you, you will be subject to special tax rules with respect to any “excess distribution” you receive and any gain you recognize from a sale or other disposition (including a pledge) of ordinary shares or ADSs, unless you make a QEF Election or a mark to market election as discussed further below. Distributions you receive in a taxable year that are greater than 125% of the average annual distributions you received during the shorter of the three preceding taxable years or your holding period for the ordinary shares or ADSs will be treated as an excess distribution. Under these special tax rules:</w:t>
      </w:r>
    </w:p>
    <w:p>
      <w:pPr>
        <w:spacing w:after="0" w:line="194" w:lineRule="exact"/>
        <w:rPr>
          <w:sz w:val="20"/>
          <w:szCs w:val="20"/>
          <w:color w:val="auto"/>
        </w:rPr>
      </w:pPr>
    </w:p>
    <w:p>
      <w:pPr>
        <w:ind w:left="960" w:hanging="432"/>
        <w:spacing w:after="0"/>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excess distribution or gain will be allocated ratably over your holding period for the ordinary shares or ADSs;</w:t>
      </w:r>
    </w:p>
    <w:p>
      <w:pPr>
        <w:spacing w:after="0" w:line="10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amount allocated to the current taxable year, and any taxable year prior to the first taxable year in which we became a PFIC, will be treated as ordinary income; and</w:t>
      </w:r>
    </w:p>
    <w:p>
      <w:pPr>
        <w:spacing w:after="0" w:line="27" w:lineRule="exact"/>
        <w:rPr>
          <w:rFonts w:ascii="MS PGothic" w:cs="MS PGothic" w:eastAsia="MS PGothic" w:hAnsi="MS PGothic"/>
          <w:sz w:val="25"/>
          <w:szCs w:val="25"/>
          <w:color w:val="auto"/>
          <w:vertAlign w:val="superscript"/>
        </w:rPr>
      </w:pPr>
    </w:p>
    <w:p>
      <w:pPr>
        <w:ind w:left="960" w:right="540" w:hanging="432"/>
        <w:spacing w:after="0" w:line="218" w:lineRule="auto"/>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203" w:lineRule="exact"/>
        <w:rPr>
          <w:sz w:val="20"/>
          <w:szCs w:val="20"/>
          <w:color w:val="auto"/>
        </w:rPr>
      </w:pPr>
    </w:p>
    <w:p>
      <w:pPr>
        <w:jc w:val="both"/>
        <w:ind w:left="200" w:right="540" w:firstLine="331"/>
        <w:spacing w:after="0"/>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the ordinary shares or ADSs cannot be treated as capital, even if you hold the ordinary shares or ADSs as capital assets.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If we are a PFIC, to the extent any of our subsidiaries are also PFICs or we make direct or indirect equity investments in other entities that are PFICs, you may be deemed to own shares in such lower-tier PFICs that are directly or indirectly owned by us in that proportion which the value of the ADSs you own bears to the value of all of our ADSs. A U.S. Holder will generally be subject to similar rules to those described above with respect to distributions we receive from, and our dispositions of the stock of, any of our direct or indirect subsidiaries that also are PFICs, as if such distributions were indirectly received by, and/or dispositions were indirectly carried out by, such U.S. Holder. It is possible that one or more of our subsidiaries may be treated as a lower-tier PFIC. U.S. Holders should consult their tax advisors regarding the application of the PFIC rules to our subsidiaries and the adverse tax</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consequences that may result from such U.S. Holder’s deemed ownership interests in any lower-tier PFICs.</w:t>
      </w:r>
    </w:p>
    <w:p>
      <w:pPr>
        <w:spacing w:after="0" w:line="21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U.S. Holders can avoid the interest charge on excess distributions or gain relating to the ordinary shares or ADSs by making a mark to market election with respect to the ordinary shares or ADSs, provided that the ordinary shares or ADSs are “marketable.” Ordinary shares or ADSs will be marketable if they are “regularly traded” on certain U.S. stock exchanges or on a foreign stock exchange that meets certain conditions. For these purposes, the ordinary shares or ADSs will be considered regularly traded during any calendar year during which they are traded, other than in de minimis quantities, on at least 15 days during each calendar quarter. In addition, if we initiate a public offering of ADSs in the fourth quarter of a calendar year, the ADSs will be considered regularly traded if the ADSs are traded other than in de minimis quantities, on the greater of 1/6 of the days remaining in the quarter in which the offering occurs, or 5 days. Any trades that have as their principal purpose meeting this requirement will be disregarded. Our ADSs will be listed on the Nasdaq, which is a qualified exchange for these purposes. Consequently, if our ADSs remain listed on the Nasdaq and are regularly traded, and you are a holder of ADSs, we expect the mark to market election would be available to you if we are a PFIC (which we believe likely for the current year). It is unclear whether our ordinary shares would be considered “marketable” for purposes of these rules and, therefore, whether you would be able to make a mark-to-market election with respect to our ordinary shares. Each U.S. Holder should consult its tax advisor as to the whether a mark to market election is available or advisable with respect to the ordinary shares or ADSs.</w:t>
      </w:r>
    </w:p>
    <w:p>
      <w:pPr>
        <w:spacing w:after="0" w:line="204"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 U.S. Holder that makes a valid mark to market election with respect to ordinary shares or ADSs must include in ordinary income for each year an amount equal to the excess, if any, of the fair market value of the ordinary shares or ADSs (as applicable) at the close of the taxable year over the U.S. Holder’s adjusted tax basis in such ordinary shares or ADSs (as applicable). An electing holder may also claim an ordinary loss deduction for the excess, if any, of the U.S. Holder’s adjusted basis in the ordinary shares or ADSs (as applicable) over the fair market value of the ordinary shares or ADSs (as applicable) at the close of the taxable year, but this deduction is allowable only to the extent of any net mark to market gains for prior years. If a mark-to-market election applies, gains from an actual sale or other disposition of the ordinary shares or ADSs (as applicable) will be treated as ordinary income, and any losses incurred on a sale or other disposition will be treated as an ordinary loss to the extent of any net mark to market gains for prior years. Once made, the mark-to-market election cannot be revoked without the consent of the IRS unless the ordinary shares or ADSs with respect to which the election was made cease to be marketable.</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However, a mark to market election generally cannot be made for equity interests in any lower tier PFICs that we own, unless shares of such lower tier PFIC are themselves “marketable.” It is possible that one or more of our subsidiaries will be treated as a lower-tier PFIC and shares in any such subsidiary would not be considered marketable for this purpose. As a result, even if a U.S. Holder validly makes a mark to market election with respect to our ordinary shares or ADSs, the U.S. Holder may continue to be subject to the general “excess distribution” PFIC rules (described above) with respect to its indirect interest in any of our investments that are treated as an equity interest in a PFIC for U.S. federal income tax purposes. U.S. Holders should consult their tax advisors as to the availability and desirability of a mark to market election, as well as the impact of such election on indirect interests in any lower tier PFICs.</w:t>
      </w:r>
    </w:p>
    <w:p>
      <w:pPr>
        <w:spacing w:after="0" w:line="203"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Alternatively, a U.S. Holder can make an election, if we provide the necessary information, to treat us and each lower tier PFIC as a qualified electing fund, or a QEF Election, in the first taxable year we (and our relevant subsidiaries) are treated as a PFIC with respect to the holder. If such election remains in place while we and any lower tier PFIC subsidiaries are PFICs, we and our subsidiaries will not be treated as PFICs with respect to such U.S. Holder when we cease to be a PFIC. To make the</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QEF Election for each PFIC, a U.S. Holder must attach a separate properly completed IRS Form 8621 for each PFIC to the holder’s timely filed U.S. federal income tax return. We will provide the information necessary for a U.S. Holder to make a QEF Election with respect to us and will cause each lower tier PFIC which we control to provide such information with respect to such lower tier PFIC.</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a U.S. Holder makes a QEF Election with respect to a PFIC, the holder will be currently taxable on its pro rata share of the PFIC’s ordinary earnings and net capital gain (at ordinary income and capital gain rates, respectively) for each taxable year that the entity is classified as a PFIC. If a U.S. Holder makes a QEF Election with respect to us, any distributions paid by us out of our earnings and profits that were previously included in the holder’s income under the QEF Election would not be taxable to the holder. A U.S. Holder will increase its tax basis in its ordinary shares or ADSs by an amount equal to any income included under the QEF Election and will decrease its tax basis by any amount distributed on the ordinary shares or ADSs that is not included in the holder’s income. In addition, a U.S. Holder will recognize capital gain or loss on the disposition of ordinary shares or ADSs in an amount equal to the difference between the amount realized and the holder’s adjusted tax basis in the ordinary shares or ADSs. U.S. Holders should note that if they make QEF Elections with respect to us and our subsidiaries that are treated as lower tier PFICs, they may be required to pay U.S. federal income tax with respect to their ordinary shares or ADSs for any taxable year significantly in excess of any cash distributions received on the ordinary shares or ADSs for such taxable year. U.S. Holders should consult their tax advisors regarding making QEF Elections in their particular circumstances.</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Calculation of Basis in the Ordinary Shares or ADSs</w:t>
      </w:r>
    </w:p>
    <w:p>
      <w:pPr>
        <w:spacing w:after="0" w:line="99"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A U.S. Holder’s initial tax basis in the ordinary shares or ADSs will generally equal the cost of such ordinary shares. If a U.S. Holder used foreign currency to purchase the ordinary shares or ADSs, the cost of the ordinary shares or ADSs will be the U.S. dollar value of the foreign currency purchase price on the date of purchase, translated at the spot rate of exchange on that date.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8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Subject to the discussion above under “—Passive Foreign Investment Company Rules,” distributions paid on ordinary shares or ADSs, other than certain pro rata distributions of ordinary shares or ADSs, will generally be treated as dividends to the extent paid out of our current or accumulated earnings and profits (as determined under U.S. federal income tax principles). Because we do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will not apply if we are treated as a PFIC in the year the dividend is paid or in the preceding year. The amount of a dividend will include any amounts withheld by us in respect of United Kingdom income taxes. The amount of the dividend will be treated as foreign source dividend income to U.S. Holders and will not be eligible for the dividends received deduction generally available to U.S. corporations under the Code. Dividends will generally be included in a U.S. Holder’s income on the date of the U.S. Holder’s actual or</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constructive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 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 Amounts, if any, not treated as dividend income will constitute a return of capital and will first be applied to reduce a U.S. Holder’s tax basis in its ordinary shares or ADSs, but not below zero, and then any excess will be treated as a gain realized on a sale or other disposition of ordinary shares or ADSs.</w:t>
      </w:r>
    </w:p>
    <w:p>
      <w:pPr>
        <w:spacing w:after="0" w:line="207"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For foreign tax credit purposes, our dividends will generally be treated as passive category income. Subject to applicable limitations, some of which vary depending upon the U.S. Holder’s particular circumstances, any United Kingdom income taxes withheld from dividends on ordinary shares or ADSs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United Kingdom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or Other Taxable Disposition of Ordinary Shares and ADSs</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Subject to the discussion above under “—Passive Foreign Investment Company Rules,” gain or loss realized on the sale or other taxable disposition of ordinary shares or ADSs will be capital gain or loss, and will be long 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 dollars. This gain or loss will generally be U.S. source gain or loss for foreign tax credit purposes. The deductibility of capital losses is subject to limitations.</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ordinary shares or ADSs are treated as traded on an “established securities market” and you are either a cash basis taxpayer or an accrual basis taxpayer that has made a special election (which must be applied consistently from year to year and cannot be changed without the consent of the IRS), you will determine the U.S. dollar value of the amount realized in a non U.S. dollar currency by translating the amount received at the spot rate of exchange on the settlement date of the sale. If you are an accrual basis taxpayer that is not eligible to or does not elect to determine the amount realized using the spot rate on the settlement date, you will recognize foreign currency gain or loss to the extent of any difference between the U.S. dollar amount realized on the date of sale or disposition and the U.S. dollar value of the currency received at the spot rate on the settlement date.</w:t>
      </w:r>
    </w:p>
    <w:p>
      <w:pPr>
        <w:spacing w:after="0" w:line="185" w:lineRule="exact"/>
        <w:rPr>
          <w:sz w:val="20"/>
          <w:szCs w:val="20"/>
          <w:color w:val="auto"/>
        </w:rPr>
      </w:pPr>
    </w:p>
    <w:p>
      <w:pPr>
        <w:ind w:left="200" w:right="520"/>
        <w:spacing w:after="0" w:line="253" w:lineRule="auto"/>
        <w:rPr>
          <w:sz w:val="20"/>
          <w:szCs w:val="20"/>
          <w:color w:val="auto"/>
        </w:rPr>
      </w:pPr>
      <w:r>
        <w:rPr>
          <w:rFonts w:ascii="Arial" w:cs="Arial" w:eastAsia="Arial" w:hAnsi="Arial"/>
          <w:sz w:val="18"/>
          <w:szCs w:val="18"/>
          <w:b w:val="1"/>
          <w:bCs w:val="1"/>
          <w:color w:val="auto"/>
        </w:rPr>
        <w:t>WE STRONGLY URGE YOU TO CONSULT YOUR TAX ADVISOR REGARDING THE IMPACT OF OUR PFIC STATUS ON YOUR INVESTMENT IN THE ORDINARY SHARES OR ADSs AS WELL AS THE APPLICATION OF THE PFIC RULES TO YOUR INVESTMENT IN THE ORDINARY SHARES OR ADSs.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9" w:lineRule="exact"/>
        <w:rPr>
          <w:sz w:val="20"/>
          <w:szCs w:val="20"/>
          <w:color w:val="auto"/>
        </w:rPr>
      </w:pPr>
    </w:p>
    <w:p>
      <w:pPr>
        <w:ind w:left="200" w:right="320" w:firstLine="331"/>
        <w:spacing w:after="0" w:line="239"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 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202"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 Reporting Requirements</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 U.S. Holder (including a U.S. tax-exempt entity) that acquires equity of a non-U.S. corporation may be required to file a Form 926, or a similar form, with the IRS reporting the payment of the offering price if (i) such person owned, directly or by attribution, immediately after the transfer at least 10.0% by vote or value of the corporation or (ii) if the transfer, when aggregated with all transfers made by such person (or any related person) within the preceding 12 month period, exceeds USD 100,000. Substantial penalties may be imposed upon a U.S. Holder that fails to comply. Also, in the event a U.S. Holder does not file IRS Form 926, the statute of limitations on the assessment and collection of U.S. federal income taxes of such U.S. Holder for the related tax year may not close until three years after the date the required information is filed. Each U.S. Holder should consult its own tax advisor as to the possible obligation to file Form 926. U.S. Holders should consult their tax advisers regarding the applicability of this requirement to their acquisition of our ordinary shares.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85"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the ordinary shares or ADSs, subject to certain exceptions (including an exception for ordinary shares or ADSs held in accounts maintained by certain U.S. financial institutions). U.S. Holders should consult their tax advisers regarding their reporting obligations with respect to their ownership and disposition of the ordinary shares or ADSs.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FATCA</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Provisions under Sections 1471 through 1474 of the Code and applicable U.S. Treasury Regulations commonly referred to as “FATCA” generally impose 30% withholding on certain “withholdable payments” and, in the future, may impose such withholding on “foreign passthru payments” made by a “foreign financial institution” (each as defined in the Code) that has entered into an agreement with the IRS to perform certain diligence and reporting obligations with respect to the foreign financial institution’s U.S.-owned accounts. The United States has entered into intergovernmental agreements with the United Kingdom and other jurisdictions that modify the FATCA withholding regime. It is not yet clear how these intergovernmental agreements will address foreign passthru payments and whether such intergovernmental agreements may relieve foreign financial institutions of any obligation to withhold on foreign passthru payments. Prospective investors should consult their tax advisors regarding the potential impact of FATCA, or any intergovernmental agreement or non-U.S. legislation implementing FATCA, on their investment in the ordinary shares.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United Kingdom Taxation</w:t>
      </w:r>
    </w:p>
    <w:p>
      <w:pPr>
        <w:spacing w:after="0" w:line="85" w:lineRule="exact"/>
        <w:rPr>
          <w:sz w:val="20"/>
          <w:szCs w:val="20"/>
          <w:color w:val="auto"/>
        </w:rPr>
      </w:pPr>
    </w:p>
    <w:p>
      <w:pPr>
        <w:jc w:val="both"/>
        <w:ind w:left="200" w:right="280" w:firstLine="331"/>
        <w:spacing w:after="0"/>
        <w:rPr>
          <w:sz w:val="20"/>
          <w:szCs w:val="20"/>
          <w:color w:val="auto"/>
        </w:rPr>
      </w:pPr>
      <w:r>
        <w:rPr>
          <w:rFonts w:ascii="Arial" w:cs="Arial" w:eastAsia="Arial" w:hAnsi="Arial"/>
          <w:sz w:val="18"/>
          <w:szCs w:val="18"/>
          <w:color w:val="auto"/>
        </w:rPr>
        <w:t>The following paragraphs are intended as a general guide to current U.K. tax law and HM Revenue &amp; Customs published practice applying as at the date of this prospectus (both of which are subject to change at any time, possibly with retrospective effect) relating to the holding of ordinary shares or ADSs. They do not constitute legal or tax advice and do not purport to be a complete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analysis of all U.K. tax considerations relating to the holding of ordinary shares or ADSs. They are written on the basis that the Company is and remains solely resident in the U.K. for tax purposes and will therefore be subject to the U.K. tax regime and not the U.S. tax regime save as set out above under “—U.S. Federal Income Taxation.” They relate only to persons who are absolute beneficial owners of ordinary shares or ADSs (and where the ordinary shares or ADSs are not held through an Individual Savings Account or a Self-Invested Personal Pension) and who are resident for tax purposes in (and only in) the U.K., or U.K. Holders (except to the extent that the position of non-U.K. resident persons is expressly referred to). These paragraphs assume that a holder of ADSs is the beneficial owner of the underlying ordinary shares and any dividends paid in respect of the underlying ordinary shares (where the dividends are regarded for U.K. purposes as that person’s own income) for U.K. direct tax purposes.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These paragraphs may not relate to certain classes of U.K. Holders, such as (but not limited to):</w:t>
      </w:r>
    </w:p>
    <w:p>
      <w:pPr>
        <w:spacing w:after="0" w:line="203" w:lineRule="exact"/>
        <w:rPr>
          <w:sz w:val="20"/>
          <w:szCs w:val="20"/>
          <w:color w:val="auto"/>
        </w:rPr>
      </w:pPr>
    </w:p>
    <w:p>
      <w:pPr>
        <w:ind w:left="960" w:hanging="432"/>
        <w:spacing w:after="0"/>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are connected with the Company;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financial institutions;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insurance companies;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charities or tax-exempt organizations;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collective investment schemes;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pension schemes;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brokers or dealers in securities or persons who hold ordinary shares or ADSs otherwise than as an investment;</w:t>
      </w:r>
    </w:p>
    <w:p>
      <w:pPr>
        <w:spacing w:after="0" w:line="26"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have (or are deemed to have) acquired their ordinary shares or ADSs by virtue of an office or employment or who are or have been officers or employees of the Company or any of its affiliates;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individuals who are subject to U.K. taxation on a remittance basis.</w:t>
      </w:r>
    </w:p>
    <w:p>
      <w:pPr>
        <w:spacing w:after="0" w:line="202"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THESE PARAGRAPHS DO NOT DESCRIBE ALL OF THE CIRCUMSTANCES IN WHICH HOLDERS OF ORDINARY SHARES OR ADSs MAY BENEFIT FROM AN EXEMPTION OR RELIEF FROM U.K. TAXATION. IT IS RECOMMENDED THAT ALL HOLDERS OF ORDINARY SHARES OR ADSs OBTAIN THEIR OWN TAX ADVICE AS TO THE CONSEQUENCES OF THE ACQUISITION, OWNERSHIP, AND DISPOSAL OF THE ORDINARY SHARES OR ADSs IN THEIR OWN PARTICULAR CIRCUMSTANCES. IN PARTICULAR, NON-U.K. RESIDENT OR DOMICILED PERSONS ARE ADVISED TO CONSIDER THE POTENTIAL IMPACT OF ANY RELEVANT DOUBLE TAX AGREEMENTS.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Withholding Tax</w:t>
      </w:r>
    </w:p>
    <w:p>
      <w:pPr>
        <w:spacing w:after="0" w:line="41"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Dividends paid by the Company will not be subject to any withholding or deduction for or on account of U.K. tax, irrespective of the residence or particular circumstances of the holders of ordinary shares or ADSs.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Income Tax</w:t>
      </w:r>
    </w:p>
    <w:p>
      <w:pPr>
        <w:spacing w:after="0" w:line="54"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An individual U.K. Holder may, depending on his or her particular circumstances, be subject to U.K. tax on dividends received from the Company. An individual holder of ordinary shares or ADSs who is not resident for tax purposes in the U.K. should not be chargeable to U.K. income tax on dividends received from the Company unless he or she carries on (whether solely or in partnership) any trade, profession, or vocation in the U.K. through a branch or agency to which the ordinary shares or ADSs are attributable (subject to certain exceptions for trading through independent agents, such as some brokers and investment managers).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20"/>
          </w:cols>
          <w:pgMar w:left="240" w:top="460"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All individual U.K. Holders will receive a tax-free allowance of £5,000 per annum (reducing to £2,000 for dividends received on or after 6 April 2018). Dividend income in excess of this tax-free allowance will be charged at 7.5% for basic rate taxpayers, 32.5% for higher rate taxpayers, and 38.1% for additional rate taxpayers. Dividend income is treated as the top slice of the total income chargeable to U.K. income tax.</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Corporation Tax</w:t>
      </w:r>
    </w:p>
    <w:p>
      <w:pPr>
        <w:spacing w:after="0" w:line="41"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Corporate U.K. Holders should not be subject to U.K. corporation tax on any dividend received from the Company so long as the dividends qualify for exemption, which is likely to be the case, provided the dividends fall within an exempt class and certain conditions are met (including anti-avoidance conditions).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Chargeable Gains</w:t>
      </w:r>
    </w:p>
    <w:p>
      <w:pPr>
        <w:spacing w:after="0" w:line="99"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A disposal or deemed disposal of ordinary shares or ADSs by a U.K. Holder may, depending on the U.K. Holder’s circumstances and subject to any available exemptions or reliefs, give rise to a chargeable gain or an allowable loss for the purposes of U.K. capital gains tax and corporation tax on chargeable gains.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If an individual U.K. Holder who is subject to U.K. income tax at either the higher or the additional rate becomes liable to U.K. capital gains tax on the disposal of ordinary shares or ADSs, the current applicable rate would be 20%. For an individual U.K. Holder who is subject to U.K. income tax at the basic rate and liable to U.K. capital gains tax on such disposal, the current applicable rate would be 10%, save to the extent that any capital gains exceed the unused basic rate tax band. In that case, the current rate applicable to the excess would be 20%.</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If a corporate U.K. Holder becomes liable to U.K. corporation tax on the disposal of ordinary shares or ADSs, the main rate of U.K. corporation tax (currently 19%) would apply. An indexation allowance may be available to such a holder to give an additional deduction based on the indexation of its base cost in the shares by reference to U.K. retail price inflation over its holding period (but note that, in respect of disposals on or after 1 January 2018, the U.K. Government announced plans in the Autumn Budget 2017 to freeze indexation allowance at the amount that would be due based on the retail price index for December 2017). An indexation allowance can only reduce a gain on a future disposal, and cannot create a loss.</w:t>
      </w:r>
    </w:p>
    <w:p>
      <w:pPr>
        <w:spacing w:after="0" w:line="20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 holder of ordinary shares or ADSs which is not resident for tax purposes in the U.K. should not normally be liable to U.K. capital gains tax or corporation tax on chargeable gains on a disposal of ordinary shares or ADSs. However, an individual holder of ordinary shares or ADSs who has ceased to be resident for tax purposes in the U.K. for a period of less than five years and who disposes of ordinary shares or ADSs during that period may be liable on his or her return to the U.K. to U.K. tax on any capital gain realized (subject to any available exemption or relief).</w:t>
      </w:r>
    </w:p>
    <w:p>
      <w:pPr>
        <w:spacing w:after="0" w:line="203"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Any gains or losses in respect of currency fluctuations relating to the ordinary shares or ADSs would be brought into account on the disposal.</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The discussion below relates to holders of ordinary shares or ADSs wherever resident.</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Transfer of Ordinary Shares</w:t>
      </w:r>
    </w:p>
    <w:p>
      <w:pPr>
        <w:spacing w:after="0" w:line="54"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Neither U.K. stamp duty nor stamp duty and reserve tax, or SDRT, should arise on transfers of ordinary shares on AIM (including instruments transferring ordinary shares or agreement to transfer ordinary shares) based on the following assumptions:</w:t>
      </w:r>
    </w:p>
    <w:p>
      <w:pPr>
        <w:spacing w:after="0" w:line="224" w:lineRule="exact"/>
        <w:rPr>
          <w:sz w:val="20"/>
          <w:szCs w:val="20"/>
          <w:color w:val="auto"/>
        </w:rPr>
      </w:pPr>
    </w:p>
    <w:p>
      <w:pPr>
        <w:ind w:left="960" w:right="60" w:hanging="432"/>
        <w:spacing w:after="0" w:line="218" w:lineRule="auto"/>
        <w:tabs>
          <w:tab w:leader="none" w:pos="960" w:val="left"/>
        </w:tabs>
        <w:numPr>
          <w:ilvl w:val="0"/>
          <w:numId w:val="1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the ordinary shares are admitted to trading on AIM but are not listed on any market (with the term “listed” being construed in accordance with section 99A of the U.K. Finance Act 1986); and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00"/>
          </w:cols>
          <w:pgMar w:left="24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320" w:hanging="432"/>
        <w:spacing w:after="0" w:line="218" w:lineRule="auto"/>
        <w:tabs>
          <w:tab w:leader="none" w:pos="960" w:val="left"/>
        </w:tabs>
        <w:numPr>
          <w:ilvl w:val="0"/>
          <w:numId w:val="13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AIM continues to be accepted as a “recognised growth market” (as construed in accordance with section 99A of the U.K. Finance Act 1986).</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In the event that either of the above assumptions does not apply, transfers of, or agreements to transfer, ordinary shares may give rise to U.K. stamp duty or SDRT in certain circumstances.</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Transfers of ADSs</w:t>
      </w:r>
    </w:p>
    <w:p>
      <w:pPr>
        <w:spacing w:after="0" w:line="41"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No U.K. stamp duty will in practice be payable on a written instrument transferring an ADS or on a written agreement to transfer an ADS, provided that the instrument of transfer or the agreement to transfer is executed and remains at all times outside the U.K. Where these conditions are not met, the transfer of, or agreement to transfer, an ADS could, depending on the circumstances, attract a charge to U.K. stamp duty at the rate of 0.5% (rounded up to the nearest £5) of the value of the consideration.</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SDRT will be payable in respect of agreement to transfer an ADS.</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00"/>
          </w:cols>
          <w:pgMar w:left="240" w:top="460"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UNDERWRITING</w:t>
      </w:r>
    </w:p>
    <w:p>
      <w:pPr>
        <w:spacing w:after="0" w:line="342"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We and the underwriters for the global offering named below have entered into an underwriting agreement with respect to the ADSs and ordinary shares being offered. Subject to the terms and conditions of the underwriting agreement, each underwriter has severally agreed to purchase from us the number of ADSs and ordinary shares set forth opposite its name below. Cowen and Company, LLC, 599 Lexington Avenue, New York, New York 10022; BMO Capital Markets Corp., 3 Times Square, New York, New York 10036; and RBC Capital Markets, LLC, 3 World Financial Center, 200 Vesey Street, New York, New York 10281, are the representatives of the underwriters.</w:t>
      </w:r>
    </w:p>
    <w:p>
      <w:pPr>
        <w:sectPr>
          <w:pgSz w:w="11900" w:h="16838" w:orient="portrait"/>
          <w:cols w:equalWidth="0" w:num="1">
            <w:col w:w="11200"/>
          </w:cols>
          <w:pgMar w:left="240" w:top="460" w:right="459" w:bottom="1440" w:gutter="0" w:footer="0" w:header="0"/>
        </w:sectPr>
      </w:pPr>
    </w:p>
    <w:p>
      <w:pPr>
        <w:spacing w:after="0" w:line="382" w:lineRule="exact"/>
        <w:rPr>
          <w:sz w:val="20"/>
          <w:szCs w:val="20"/>
          <w:color w:val="auto"/>
        </w:rPr>
      </w:pPr>
    </w:p>
    <w:p>
      <w:pPr>
        <w:ind w:left="540"/>
        <w:spacing w:after="0"/>
        <w:rPr>
          <w:sz w:val="20"/>
          <w:szCs w:val="20"/>
          <w:color w:val="auto"/>
        </w:rPr>
      </w:pPr>
      <w:r>
        <w:rPr>
          <w:rFonts w:ascii="Arial" w:cs="Arial" w:eastAsia="Arial" w:hAnsi="Arial"/>
          <w:sz w:val="14"/>
          <w:szCs w:val="14"/>
          <w:b w:val="1"/>
          <w:bCs w:val="1"/>
          <w:u w:val="single" w:color="auto"/>
          <w:color w:val="auto"/>
        </w:rPr>
        <w:t>Underwriters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Number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-5031740</wp:posOffset>
            </wp:positionH>
            <wp:positionV relativeFrom="paragraph">
              <wp:posOffset>-1905</wp:posOffset>
            </wp:positionV>
            <wp:extent cx="6577965"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Number of</w:t>
      </w:r>
    </w:p>
    <w:p>
      <w:pPr>
        <w:spacing w:after="0" w:line="19"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u w:val="single" w:color="auto"/>
          <w:color w:val="auto"/>
        </w:rPr>
        <w:t>Ordinary Shares</w:t>
      </w:r>
    </w:p>
    <w:p>
      <w:pPr>
        <w:spacing w:after="0" w:line="1" w:lineRule="exact"/>
        <w:rPr>
          <w:sz w:val="20"/>
          <w:szCs w:val="20"/>
          <w:color w:val="auto"/>
        </w:rPr>
      </w:pPr>
    </w:p>
    <w:p>
      <w:pPr>
        <w:sectPr>
          <w:pgSz w:w="11900" w:h="16838" w:orient="portrait"/>
          <w:cols w:equalWidth="0" w:num="3">
            <w:col w:w="7740" w:space="720"/>
            <w:col w:w="720" w:space="560"/>
            <w:col w:w="1460"/>
          </w:cols>
          <w:pgMar w:left="240" w:top="460" w:right="459" w:bottom="1440" w:gutter="0" w:footer="0" w:header="0"/>
          <w:type w:val="continuous"/>
        </w:sectPr>
      </w:pPr>
    </w:p>
    <w:p>
      <w:pPr>
        <w:ind w:left="540"/>
        <w:spacing w:after="0" w:line="229" w:lineRule="auto"/>
        <w:rPr>
          <w:sz w:val="20"/>
          <w:szCs w:val="20"/>
          <w:color w:val="auto"/>
        </w:rPr>
      </w:pPr>
      <w:r>
        <w:rPr>
          <w:rFonts w:ascii="Arial" w:cs="Arial" w:eastAsia="Arial" w:hAnsi="Arial"/>
          <w:sz w:val="18"/>
          <w:szCs w:val="18"/>
          <w:color w:val="auto"/>
        </w:rPr>
        <w:t>Cowen and Company, LLC</w:t>
      </w:r>
    </w:p>
    <w:p>
      <w:pPr>
        <w:ind w:left="540"/>
        <w:spacing w:after="0" w:line="235" w:lineRule="auto"/>
        <w:rPr>
          <w:sz w:val="20"/>
          <w:szCs w:val="20"/>
          <w:color w:val="auto"/>
        </w:rPr>
      </w:pPr>
      <w:r>
        <w:rPr>
          <w:rFonts w:ascii="Arial" w:cs="Arial" w:eastAsia="Arial" w:hAnsi="Arial"/>
          <w:sz w:val="18"/>
          <w:szCs w:val="18"/>
          <w:color w:val="auto"/>
        </w:rPr>
        <w:t>BMO Capital Markets Corp.</w:t>
      </w:r>
    </w:p>
    <w:p>
      <w:pPr>
        <w:ind w:left="540"/>
        <w:spacing w:after="0" w:line="235" w:lineRule="auto"/>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JMP Securities LLC</w:t>
      </w:r>
    </w:p>
    <w:p>
      <w:pPr>
        <w:ind w:left="540"/>
        <w:spacing w:after="0"/>
        <w:rPr>
          <w:sz w:val="20"/>
          <w:szCs w:val="20"/>
          <w:color w:val="auto"/>
        </w:rPr>
      </w:pPr>
      <w:r>
        <w:rPr>
          <w:rFonts w:ascii="Arial" w:cs="Arial" w:eastAsia="Arial" w:hAnsi="Arial"/>
          <w:sz w:val="18"/>
          <w:szCs w:val="18"/>
          <w:color w:val="auto"/>
        </w:rPr>
        <w:t>Cantor Fitzgerald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577965" cy="137160"/>
                    </a:xfrm>
                    <a:prstGeom prst="rect">
                      <a:avLst/>
                    </a:prstGeom>
                    <a:noFill/>
                  </pic:spPr>
                </pic:pic>
              </a:graphicData>
            </a:graphic>
          </wp:anchor>
        </w:drawing>
      </w:r>
    </w:p>
    <w:p>
      <w:pPr>
        <w:spacing w:after="0" w:line="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-1905</wp:posOffset>
            </wp:positionV>
            <wp:extent cx="152654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26540" cy="26035"/>
                    </a:xfrm>
                    <a:prstGeom prst="rect">
                      <a:avLst/>
                    </a:prstGeom>
                    <a:noFill/>
                  </pic:spPr>
                </pic:pic>
              </a:graphicData>
            </a:graphic>
          </wp:anchor>
        </w:drawing>
      </w:r>
    </w:p>
    <w:p>
      <w:pPr>
        <w:spacing w:after="0" w:line="246"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The underwriting agreement provides that the obligations of the underwriters are subject to certain conditions precedent and that the underwriters have agreed, severally and not jointly, to purchase all of the ADSs and ordinary shares sold under the underwriting agreement if any of these ADSs or ordinary shares are purchased, other than those ADSs covered by the overallotment option described below. If an underwriter defaults, the underwriting agreement provides that the purchase commitments of the non-defaulting underwriters may be increased or the underwriting agreement may be terminated.</w:t>
      </w:r>
    </w:p>
    <w:p>
      <w:pPr>
        <w:spacing w:after="0" w:line="203" w:lineRule="exact"/>
        <w:rPr>
          <w:sz w:val="20"/>
          <w:szCs w:val="20"/>
          <w:color w:val="auto"/>
        </w:rPr>
      </w:pPr>
    </w:p>
    <w:p>
      <w:pPr>
        <w:ind w:left="200" w:right="820" w:firstLine="331"/>
        <w:spacing w:after="0" w:line="246"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ind w:left="200" w:right="300" w:firstLine="331"/>
        <w:spacing w:after="0"/>
        <w:rPr>
          <w:sz w:val="20"/>
          <w:szCs w:val="20"/>
          <w:color w:val="auto"/>
        </w:rPr>
      </w:pPr>
      <w:r>
        <w:rPr>
          <w:rFonts w:ascii="Arial" w:cs="Arial" w:eastAsia="Arial" w:hAnsi="Arial"/>
          <w:sz w:val="18"/>
          <w:szCs w:val="18"/>
          <w:color w:val="auto"/>
        </w:rPr>
        <w:t>The underwriters are offering the ADSs and ordinary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85" w:lineRule="exact"/>
        <w:rPr>
          <w:sz w:val="20"/>
          <w:szCs w:val="20"/>
          <w:color w:val="auto"/>
        </w:rPr>
      </w:pPr>
    </w:p>
    <w:p>
      <w:pPr>
        <w:ind w:left="200" w:firstLine="331"/>
        <w:spacing w:after="0" w:line="242" w:lineRule="auto"/>
        <w:rPr>
          <w:sz w:val="20"/>
          <w:szCs w:val="20"/>
          <w:color w:val="auto"/>
        </w:rPr>
      </w:pPr>
      <w:r>
        <w:rPr>
          <w:rFonts w:ascii="Arial" w:cs="Arial" w:eastAsia="Arial" w:hAnsi="Arial"/>
          <w:sz w:val="18"/>
          <w:szCs w:val="18"/>
          <w:i w:val="1"/>
          <w:iCs w:val="1"/>
          <w:color w:val="auto"/>
        </w:rPr>
        <w:t xml:space="preserve">Option to Purchase Additional ADSs. </w:t>
      </w:r>
      <w:r>
        <w:rPr>
          <w:rFonts w:ascii="Arial" w:cs="Arial" w:eastAsia="Arial" w:hAnsi="Arial"/>
          <w:sz w:val="18"/>
          <w:szCs w:val="18"/>
          <w:color w:val="auto"/>
        </w:rPr>
        <w:t>We have granted to the underwriters an option to purchase up to additional ADSs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public offering price per ADS, less the underwriting discounts and commissions. This option is exercisable for a period of 30 days after the date of the pricing of the global offering. The underwriters may exercise this option solely for the purpose of covering overallotments, if any, made in connection with the sale of ADSs offered hereby. To the extent that the underwriters exercise this option, the underwriters will purchase additional ADSs from us in approximately the same proportion as shown in the table above.</w:t>
      </w:r>
    </w:p>
    <w:p>
      <w:pPr>
        <w:spacing w:after="0" w:line="185" w:lineRule="exact"/>
        <w:rPr>
          <w:sz w:val="20"/>
          <w:szCs w:val="20"/>
          <w:color w:val="auto"/>
        </w:rPr>
      </w:pPr>
    </w:p>
    <w:p>
      <w:pPr>
        <w:ind w:left="200" w:right="300" w:firstLine="331"/>
        <w:spacing w:after="0" w:line="251" w:lineRule="auto"/>
        <w:rPr>
          <w:sz w:val="20"/>
          <w:szCs w:val="20"/>
          <w:color w:val="auto"/>
        </w:rPr>
      </w:pPr>
      <w:r>
        <w:rPr>
          <w:rFonts w:ascii="Arial" w:cs="Arial" w:eastAsia="Arial" w:hAnsi="Arial"/>
          <w:sz w:val="18"/>
          <w:szCs w:val="18"/>
          <w:i w:val="1"/>
          <w:iCs w:val="1"/>
          <w:color w:val="auto"/>
        </w:rPr>
        <w:t xml:space="preserve">Discounts and Commissions. </w:t>
      </w:r>
      <w:r>
        <w:rPr>
          <w:rFonts w:ascii="Arial" w:cs="Arial" w:eastAsia="Arial" w:hAnsi="Arial"/>
          <w:sz w:val="18"/>
          <w:szCs w:val="18"/>
          <w:color w:val="auto"/>
        </w:rPr>
        <w:t>The following table shows the public offering price, underwriting discounts and commissions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before expenses to us. These amounts are shown assuming both no exercise and full exercise of the underwriters’ option to purchase additional ADSs.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estimate that the total expenses of the global offering payable by us, excluding underwriting discounts and commissions, will be</w:t>
      </w:r>
    </w:p>
    <w:p>
      <w:pPr>
        <w:ind w:left="200"/>
        <w:spacing w:after="0"/>
        <w:tabs>
          <w:tab w:leader="none" w:pos="18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 We have also agreed to reimburse the underwriters for certain expenses, including up to an aggregate of</w:t>
      </w:r>
    </w:p>
    <w:p>
      <w:pPr>
        <w:spacing w:after="0" w:line="1" w:lineRule="exact"/>
        <w:rPr>
          <w:sz w:val="20"/>
          <w:szCs w:val="20"/>
          <w:color w:val="auto"/>
        </w:rPr>
      </w:pPr>
    </w:p>
    <w:p>
      <w:pPr>
        <w:ind w:left="1160" w:hanging="956"/>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connection with the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00"/>
          </w:cols>
          <w:pgMar w:left="240" w:top="460" w:right="459" w:bottom="1440" w:gutter="0" w:footer="0" w:header="0"/>
          <w:type w:val="continuous"/>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clearance of the global offering with the Financial Industry Regulatory Authority, or FINRA, as set forth in the underwriting agreement.</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Per</w:t>
            </w:r>
          </w:p>
        </w:tc>
        <w:tc>
          <w:tcPr>
            <w:tcW w:w="440" w:type="dxa"/>
            <w:vAlign w:val="bottom"/>
          </w:tcPr>
          <w:p>
            <w:pPr>
              <w:spacing w:after="0"/>
              <w:rPr>
                <w:sz w:val="15"/>
                <w:szCs w:val="15"/>
                <w:color w:val="auto"/>
              </w:rPr>
            </w:pPr>
          </w:p>
        </w:tc>
        <w:tc>
          <w:tcPr>
            <w:tcW w:w="7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Per</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Borders>
              <w:top w:val="single" w:sz="8" w:color="auto"/>
            </w:tcBorders>
          </w:tcPr>
          <w:p>
            <w:pPr>
              <w:ind w:left="220"/>
              <w:spacing w:after="0" w:line="143" w:lineRule="exact"/>
              <w:rPr>
                <w:sz w:val="20"/>
                <w:szCs w:val="20"/>
                <w:color w:val="auto"/>
              </w:rPr>
            </w:pPr>
            <w:r>
              <w:rPr>
                <w:rFonts w:ascii="Arial" w:cs="Arial" w:eastAsia="Arial" w:hAnsi="Arial"/>
                <w:sz w:val="14"/>
                <w:szCs w:val="14"/>
                <w:b w:val="1"/>
                <w:bCs w:val="1"/>
                <w:color w:val="auto"/>
              </w:rPr>
              <w:t>Without</w:t>
            </w:r>
          </w:p>
        </w:tc>
        <w:tc>
          <w:tcPr>
            <w:tcW w:w="4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320"/>
              <w:spacing w:after="0" w:line="143"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tcPr>
          <w:p>
            <w:pPr>
              <w:jc w:val="right"/>
              <w:ind w:right="142"/>
              <w:spacing w:after="0"/>
              <w:rPr>
                <w:sz w:val="20"/>
                <w:szCs w:val="20"/>
                <w:color w:val="auto"/>
              </w:rPr>
            </w:pPr>
            <w:r>
              <w:rPr>
                <w:rFonts w:ascii="Arial" w:cs="Arial" w:eastAsia="Arial" w:hAnsi="Arial"/>
                <w:sz w:val="14"/>
                <w:szCs w:val="14"/>
                <w:b w:val="1"/>
                <w:bCs w:val="1"/>
                <w:color w:val="auto"/>
              </w:rPr>
              <w:t>ADS</w:t>
            </w:r>
          </w:p>
        </w:tc>
        <w:tc>
          <w:tcPr>
            <w:tcW w:w="440" w:type="dxa"/>
            <w:vAlign w:val="bottom"/>
          </w:tcPr>
          <w:p>
            <w:pPr>
              <w:spacing w:after="0"/>
              <w:rPr>
                <w:sz w:val="15"/>
                <w:szCs w:val="15"/>
                <w:color w:val="auto"/>
              </w:rPr>
            </w:pPr>
          </w:p>
        </w:tc>
        <w:tc>
          <w:tcPr>
            <w:tcW w:w="720" w:type="dxa"/>
            <w:vAlign w:val="bottom"/>
          </w:tcPr>
          <w:p>
            <w:pPr>
              <w:jc w:val="right"/>
              <w:ind w:right="82"/>
              <w:spacing w:after="0"/>
              <w:rPr>
                <w:sz w:val="20"/>
                <w:szCs w:val="20"/>
                <w:color w:val="auto"/>
              </w:rPr>
            </w:pPr>
            <w:r>
              <w:rPr>
                <w:rFonts w:ascii="Arial" w:cs="Arial" w:eastAsia="Arial" w:hAnsi="Arial"/>
                <w:sz w:val="14"/>
                <w:szCs w:val="14"/>
                <w:b w:val="1"/>
                <w:bCs w:val="1"/>
                <w:color w:val="auto"/>
              </w:rPr>
              <w:t>Share</w:t>
            </w:r>
          </w:p>
        </w:tc>
        <w:tc>
          <w:tcPr>
            <w:tcW w:w="1420" w:type="dxa"/>
            <w:vAlign w:val="bottom"/>
            <w:gridSpan w:val="2"/>
          </w:tcPr>
          <w:p>
            <w:pPr>
              <w:ind w:left="440"/>
              <w:spacing w:after="0"/>
              <w:rPr>
                <w:sz w:val="20"/>
                <w:szCs w:val="20"/>
                <w:color w:val="auto"/>
              </w:rPr>
            </w:pPr>
            <w:r>
              <w:rPr>
                <w:rFonts w:ascii="Arial" w:cs="Arial" w:eastAsia="Arial" w:hAnsi="Arial"/>
                <w:sz w:val="14"/>
                <w:szCs w:val="14"/>
                <w:b w:val="1"/>
                <w:bCs w:val="1"/>
                <w:color w:val="auto"/>
              </w:rPr>
              <w:t>Overallotment</w:t>
            </w:r>
          </w:p>
        </w:tc>
        <w:tc>
          <w:tcPr>
            <w:tcW w:w="1480" w:type="dxa"/>
            <w:vAlign w:val="bottom"/>
            <w:gridSpan w:val="3"/>
          </w:tcPr>
          <w:p>
            <w:pPr>
              <w:ind w:left="44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Offering price</w:t>
            </w:r>
          </w:p>
        </w:tc>
        <w:tc>
          <w:tcPr>
            <w:tcW w:w="15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2"/>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2"/>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2220" w:type="dxa"/>
            <w:vAlign w:val="bottom"/>
            <w:gridSpan w:val="2"/>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Mereo</w:t>
            </w:r>
          </w:p>
        </w:tc>
        <w:tc>
          <w:tcPr>
            <w:tcW w:w="2220" w:type="dxa"/>
            <w:vAlign w:val="bottom"/>
            <w:gridSpan w:val="2"/>
            <w:shd w:val="clear" w:color="auto" w:fill="CCEEFF"/>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180" w:firstLine="331"/>
        <w:spacing w:after="0" w:line="248" w:lineRule="auto"/>
        <w:rPr>
          <w:sz w:val="20"/>
          <w:szCs w:val="20"/>
          <w:color w:val="auto"/>
        </w:rPr>
      </w:pPr>
      <w:r>
        <w:rPr>
          <w:rFonts w:ascii="Arial" w:cs="Arial" w:eastAsia="Arial" w:hAnsi="Arial"/>
          <w:sz w:val="17"/>
          <w:szCs w:val="17"/>
          <w:color w:val="auto"/>
        </w:rPr>
        <w:t>The underwriters propose to offer the ADSs and ordinary shares at the offering prices set forth on the cover of this prospectus. The underwriters may offer the ADSs and ordinary shares to securities dealers at the public offering prices less a concession not in excess of</w:t>
      </w:r>
    </w:p>
    <w:p>
      <w:pPr>
        <w:spacing w:after="0" w:line="1" w:lineRule="exact"/>
        <w:rPr>
          <w:sz w:val="20"/>
          <w:szCs w:val="20"/>
          <w:color w:val="auto"/>
        </w:rPr>
      </w:pPr>
    </w:p>
    <w:p>
      <w:pPr>
        <w:ind w:left="200" w:right="40" w:firstLine="4"/>
        <w:spacing w:after="0" w:line="239" w:lineRule="auto"/>
        <w:tabs>
          <w:tab w:leader="none" w:pos="7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per ADS and £ per ordinary share. If all of the ADSs and ordinary shares are not sold at the relevant offering price, the underwriters may change the initial public offering price per ADS and the offering price per ordinary share and other selling terms. Sales of ADSs made outside of the United States may be made by affiliates of certain of the underwriters. Certain of the underwriters may sell ADSs or ordinary shares through one or more of their affiliates as selling agents.</w:t>
      </w:r>
    </w:p>
    <w:p>
      <w:pPr>
        <w:spacing w:after="0" w:line="184" w:lineRule="exact"/>
        <w:rPr>
          <w:sz w:val="20"/>
          <w:szCs w:val="20"/>
          <w:color w:val="auto"/>
        </w:rPr>
      </w:pPr>
    </w:p>
    <w:p>
      <w:pPr>
        <w:ind w:left="200" w:right="140" w:firstLine="331"/>
        <w:spacing w:after="0" w:line="267" w:lineRule="auto"/>
        <w:rPr>
          <w:sz w:val="20"/>
          <w:szCs w:val="20"/>
          <w:color w:val="auto"/>
        </w:rPr>
      </w:pPr>
      <w:r>
        <w:rPr>
          <w:rFonts w:ascii="Arial" w:cs="Arial" w:eastAsia="Arial" w:hAnsi="Arial"/>
          <w:sz w:val="18"/>
          <w:szCs w:val="18"/>
          <w:i w:val="1"/>
          <w:iCs w:val="1"/>
          <w:color w:val="auto"/>
        </w:rPr>
        <w:t xml:space="preserve">Discretionary Accounts. </w:t>
      </w:r>
      <w:r>
        <w:rPr>
          <w:rFonts w:ascii="Arial" w:cs="Arial" w:eastAsia="Arial" w:hAnsi="Arial"/>
          <w:sz w:val="18"/>
          <w:szCs w:val="18"/>
          <w:color w:val="auto"/>
        </w:rPr>
        <w:t>The underwriters do not intend to confirm sales of the ADSs or ordinary shares to any accounts over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they have discretionary authority.</w:t>
      </w:r>
    </w:p>
    <w:p>
      <w:pPr>
        <w:spacing w:after="0" w:line="161" w:lineRule="exact"/>
        <w:rPr>
          <w:sz w:val="20"/>
          <w:szCs w:val="20"/>
          <w:color w:val="auto"/>
        </w:rPr>
      </w:pPr>
    </w:p>
    <w:p>
      <w:pPr>
        <w:ind w:left="200" w:right="60" w:firstLine="331"/>
        <w:spacing w:after="0" w:line="242"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Prior to the global offering, there has been no public market for the ADSs. Our ordinary shares have been listed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AIM under the symbol “MPH” since June 9, 2016. The initial public offering price for the ADSs and the ordinary shares offered in this offering will be determined by negotiations between us and the representatives of the underwriters taking into account the most recent closing price of our ordinary shares on the AIM prior to the pricing date and prevailing market conditions. In addition, factors to be considered in these negotiations will include:</w:t>
      </w:r>
    </w:p>
    <w:p>
      <w:pPr>
        <w:spacing w:after="0" w:line="194" w:lineRule="exact"/>
        <w:rPr>
          <w:sz w:val="20"/>
          <w:szCs w:val="20"/>
          <w:color w:val="auto"/>
        </w:rPr>
      </w:pPr>
    </w:p>
    <w:p>
      <w:pPr>
        <w:ind w:left="960" w:hanging="432"/>
        <w:spacing w:after="0"/>
        <w:tabs>
          <w:tab w:leader="none" w:pos="960" w:val="left"/>
        </w:tabs>
        <w:numPr>
          <w:ilvl w:val="0"/>
          <w:numId w:val="1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history of, and prospects for, our company and the industry in which we compete;</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13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past and present financial information, assessment of our management, its past and present operations, and the prospects for, and timing of, our future revenues;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present state of our development; and</w:t>
      </w:r>
    </w:p>
    <w:p>
      <w:pPr>
        <w:spacing w:after="0" w:line="26" w:lineRule="exact"/>
        <w:rPr>
          <w:rFonts w:ascii="MS PGothic" w:cs="MS PGothic" w:eastAsia="MS PGothic" w:hAnsi="MS PGothic"/>
          <w:sz w:val="25"/>
          <w:szCs w:val="25"/>
          <w:color w:val="auto"/>
          <w:vertAlign w:val="superscript"/>
        </w:rPr>
      </w:pPr>
    </w:p>
    <w:p>
      <w:pPr>
        <w:ind w:left="960" w:right="580" w:hanging="432"/>
        <w:spacing w:after="0" w:line="218" w:lineRule="auto"/>
        <w:tabs>
          <w:tab w:leader="none" w:pos="960" w:val="left"/>
        </w:tabs>
        <w:numPr>
          <w:ilvl w:val="0"/>
          <w:numId w:val="13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foregoing factors in relation to market values and various valuation measures of other companies engaged in activities similar to ours.</w:t>
      </w:r>
    </w:p>
    <w:p>
      <w:pPr>
        <w:spacing w:after="0" w:line="203"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An active trading market for the ADSs may not develop. It is also possible that after the global offering, the ADSs will not trade in the public market at or above the initial public offering price.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applied to list the ADSs on the Nasdaq Global Market under the trading symbol “MREO.”</w:t>
      </w:r>
    </w:p>
    <w:p>
      <w:pPr>
        <w:spacing w:after="0" w:line="194" w:lineRule="exact"/>
        <w:rPr>
          <w:sz w:val="20"/>
          <w:szCs w:val="20"/>
          <w:color w:val="auto"/>
        </w:rPr>
      </w:pPr>
    </w:p>
    <w:p>
      <w:pPr>
        <w:ind w:left="200" w:right="900" w:firstLine="331"/>
        <w:spacing w:after="0" w:line="267" w:lineRule="auto"/>
        <w:rPr>
          <w:sz w:val="20"/>
          <w:szCs w:val="20"/>
          <w:color w:val="auto"/>
        </w:rPr>
      </w:pPr>
      <w:r>
        <w:rPr>
          <w:rFonts w:ascii="Arial" w:cs="Arial" w:eastAsia="Arial" w:hAnsi="Arial"/>
          <w:sz w:val="18"/>
          <w:szCs w:val="18"/>
          <w:i w:val="1"/>
          <w:iCs w:val="1"/>
          <w:color w:val="auto"/>
        </w:rPr>
        <w:t xml:space="preserve">Stabilization. </w:t>
      </w:r>
      <w:r>
        <w:rPr>
          <w:rFonts w:ascii="Arial" w:cs="Arial" w:eastAsia="Arial" w:hAnsi="Arial"/>
          <w:sz w:val="18"/>
          <w:szCs w:val="18"/>
          <w:color w:val="auto"/>
        </w:rPr>
        <w:t>In connection with the global offering, the underwriters may engage in stabilizing transactions, overallotment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syndicate covering transactions, penalty bids and purchases to cover positions created by short sales.</w:t>
      </w:r>
    </w:p>
    <w:p>
      <w:pPr>
        <w:spacing w:after="0" w:line="206" w:lineRule="exact"/>
        <w:rPr>
          <w:sz w:val="20"/>
          <w:szCs w:val="20"/>
          <w:color w:val="auto"/>
        </w:rPr>
      </w:pPr>
    </w:p>
    <w:p>
      <w:pPr>
        <w:ind w:left="960" w:right="20" w:hanging="432"/>
        <w:spacing w:after="0" w:line="223" w:lineRule="auto"/>
        <w:tabs>
          <w:tab w:leader="none" w:pos="96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Stabilizing transactions permit bids to purchase ADSs or ordinary shares so long as the stabilizing bids do not exceed a specified maximum, and are engaged in for the purpose of preventing or retarding a decline in the market price of the ADSs or ordinary shares while the global offering is in progress.</w:t>
      </w:r>
    </w:p>
    <w:p>
      <w:pPr>
        <w:spacing w:after="0" w:line="28"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Overallotment transactions involve sales by the underwriters of ADSs in excess of the number of ADSs the underwriters are obligated to purchase. This creates a syndicate short position</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spacing w:after="0" w:line="238" w:lineRule="auto"/>
        <w:rPr>
          <w:sz w:val="20"/>
          <w:szCs w:val="20"/>
          <w:color w:val="auto"/>
        </w:rPr>
      </w:pPr>
      <w:r>
        <w:rPr>
          <w:rFonts w:ascii="Arial" w:cs="Arial" w:eastAsia="Arial" w:hAnsi="Arial"/>
          <w:sz w:val="18"/>
          <w:szCs w:val="18"/>
          <w:color w:val="auto"/>
        </w:rPr>
        <w:t>which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short position by exercising their overallotment option and/or purchasing ADSs in the open market.</w:t>
      </w:r>
    </w:p>
    <w:p>
      <w:pPr>
        <w:spacing w:after="0" w:line="27" w:lineRule="exact"/>
        <w:rPr>
          <w:sz w:val="20"/>
          <w:szCs w:val="20"/>
          <w:color w:val="auto"/>
        </w:rPr>
      </w:pPr>
    </w:p>
    <w:p>
      <w:pPr>
        <w:ind w:left="960" w:right="20" w:hanging="432"/>
        <w:spacing w:after="0" w:line="230" w:lineRule="auto"/>
        <w:tabs>
          <w:tab w:leader="none" w:pos="96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with the price at which they may purchase ADSs through exercise of the overallotment option. If the underwriters sell more ADSs than could be covered by exercise of the overallotment option and, therefore, have a naked short position, the position can be closed out only by buying ADSs in the open market. A naked short position is more likely to be created if the underwriters are concerned that after pricing there could be downward pressure on the price of the ADSs in the open market that could adversely affect investors who purchase in the global offering.</w:t>
      </w:r>
    </w:p>
    <w:p>
      <w:pPr>
        <w:spacing w:after="0" w:line="30" w:lineRule="exact"/>
        <w:rPr>
          <w:rFonts w:ascii="MS PGothic" w:cs="MS PGothic" w:eastAsia="MS PGothic" w:hAnsi="MS PGothic"/>
          <w:sz w:val="25"/>
          <w:szCs w:val="25"/>
          <w:color w:val="auto"/>
          <w:vertAlign w:val="superscript"/>
        </w:rPr>
      </w:pPr>
    </w:p>
    <w:p>
      <w:pPr>
        <w:ind w:left="960" w:right="380" w:hanging="432"/>
        <w:spacing w:after="0" w:line="223" w:lineRule="auto"/>
        <w:tabs>
          <w:tab w:leader="none" w:pos="96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Penalty bids permit the representatives to reclaim a selling concession from a syndicate member when the ADSs or ordinary shares originally sold by that syndicate member are purchased in stabilizing or syndicate covering transactions to cover syndicate short positions.</w:t>
      </w:r>
    </w:p>
    <w:p>
      <w:pPr>
        <w:spacing w:after="0" w:line="204"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the ADSs or ordinary shares or preventing or retarding a decline in the market price of the ADSs or ordinary shares. As a result, the price of the ADSs and ordinary shares in the open market may be higher than it would otherwise be in the absence of these transactions. Neither we nor the underwriters make any representation or prediction as to the effect that the transactions described above may have on the price of the ADSs or ordinary shares. These transactions may be effected on the Nasdaq Global Market, in the over-the-counter market or otherwise and, if commenced, may be discontinued at any time.</w:t>
      </w:r>
    </w:p>
    <w:p>
      <w:pPr>
        <w:spacing w:after="0" w:line="187" w:lineRule="exact"/>
        <w:rPr>
          <w:sz w:val="20"/>
          <w:szCs w:val="20"/>
          <w:color w:val="auto"/>
        </w:rPr>
      </w:pPr>
    </w:p>
    <w:p>
      <w:pPr>
        <w:ind w:left="200" w:right="80" w:firstLine="331"/>
        <w:spacing w:after="0" w:line="242" w:lineRule="auto"/>
        <w:rPr>
          <w:sz w:val="20"/>
          <w:szCs w:val="20"/>
          <w:color w:val="auto"/>
        </w:rPr>
      </w:pPr>
      <w:r>
        <w:rPr>
          <w:rFonts w:ascii="Arial" w:cs="Arial" w:eastAsia="Arial" w:hAnsi="Arial"/>
          <w:sz w:val="18"/>
          <w:szCs w:val="18"/>
          <w:i w:val="1"/>
          <w:iCs w:val="1"/>
          <w:color w:val="auto"/>
        </w:rPr>
        <w:t xml:space="preserve">Passive Market Making. </w:t>
      </w:r>
      <w:r>
        <w:rPr>
          <w:rFonts w:ascii="Arial" w:cs="Arial" w:eastAsia="Arial" w:hAnsi="Arial"/>
          <w:sz w:val="18"/>
          <w:szCs w:val="18"/>
          <w:color w:val="auto"/>
        </w:rPr>
        <w:t>In connection with this offering, underwriters may engage in passive market making transactions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ADSs on the Nasdaq Global Market in accordance with Rule 103 of Regulation M under the Exchange Act during a period before the commencement of offers or sales of ADSs and extending through the completion of the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i w:val="1"/>
          <w:iCs w:val="1"/>
          <w:color w:val="auto"/>
        </w:rPr>
        <w:t xml:space="preserve">Lock-Up Agreements. </w:t>
      </w:r>
      <w:r>
        <w:rPr>
          <w:rFonts w:ascii="Arial" w:cs="Arial" w:eastAsia="Arial" w:hAnsi="Arial"/>
          <w:sz w:val="18"/>
          <w:szCs w:val="18"/>
          <w:color w:val="auto"/>
        </w:rPr>
        <w:t>Pursuant to certain “lock-up” agreements, we and our executive officers, directors and certain of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or engage in any short selling of, or make any demand or request for or exercise any right with respect to the registration of, or file with the SEC a registration statement under the Securities Act relating to, our ADSs or ordinary shares or securities convertible into or exchangeable or exercisable for our ADSs or ordinary shares without the prior written consent of Cowen and Company, LLC and BMO Capital Markets Corp. for a period of 180 days after the date of the pricing of the global offering.</w:t>
      </w:r>
    </w:p>
    <w:p>
      <w:pPr>
        <w:spacing w:after="0" w:line="206" w:lineRule="exact"/>
        <w:rPr>
          <w:sz w:val="20"/>
          <w:szCs w:val="20"/>
          <w:color w:val="auto"/>
        </w:rPr>
      </w:pPr>
    </w:p>
    <w:p>
      <w:pPr>
        <w:jc w:val="both"/>
        <w:ind w:left="200" w:right="320" w:firstLine="331"/>
        <w:spacing w:after="0"/>
        <w:rPr>
          <w:sz w:val="20"/>
          <w:szCs w:val="20"/>
          <w:color w:val="auto"/>
        </w:rPr>
      </w:pPr>
      <w:r>
        <w:rPr>
          <w:rFonts w:ascii="Arial" w:cs="Arial" w:eastAsia="Arial" w:hAnsi="Arial"/>
          <w:sz w:val="18"/>
          <w:szCs w:val="18"/>
          <w:color w:val="auto"/>
        </w:rPr>
        <w:t>This lock-up provision applies to ADSs, ordinary shares and securities convertible into or exchangeable or exercisable for ADSs or ordinary shares. It also applies to ADSs or ordinary shares owned now or acquired later by the person executing the agreement or for which the person executing the agreement later acquires the power of disposition. The exceptions permit us, among other things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8" w:lineRule="auto"/>
        <w:rPr>
          <w:sz w:val="20"/>
          <w:szCs w:val="20"/>
          <w:color w:val="auto"/>
        </w:rPr>
      </w:pPr>
      <w:r>
        <w:rPr>
          <w:rFonts w:ascii="Arial" w:cs="Arial" w:eastAsia="Arial" w:hAnsi="Arial"/>
          <w:sz w:val="17"/>
          <w:szCs w:val="17"/>
          <w:color w:val="auto"/>
        </w:rPr>
        <w:t>and subject to restrictions, to: (a) issue ADSs, ordinary shares or options pursuant to employee benefit incentive or share option plans, and file a registration statement to register the offer and sale of such securities or (b) issue ADSs or ordinary shares upon the conversion of outstanding securities or the exercise of outstanding options, or warrants or convertible debt securities. The exceptions permit parties to the “lock-up” agreements, among other things and subject to restrictions, to: (a) make certain gifts; (b) if the party is a corporation, partnership, limited liability company or other business entity, make transfers to any shareholders, partners, members of, or owners of similar equity interests in, the party, or to an affiliate of the party, if such transfer is not for value; (c) make transfers of our ADSs or ordinary shares acquired in the open market after the global offering; (d) if the party is a corporation, partnership, limited liability company or other business entity, make transfers in connection with the sale or transfer of all of the party’s capital stock, partnership interests, membership interests or other similar equity interests, as the case may be, or all or substantially all of the party’s assets, in any such case not undertaken for the purpose of avoiding the restrictions imposed by the “lock-up” agreement; (d) make certain transfers by operation of law;</w:t>
      </w:r>
    </w:p>
    <w:p>
      <w:pPr>
        <w:spacing w:after="0" w:line="6" w:lineRule="exact"/>
        <w:rPr>
          <w:sz w:val="20"/>
          <w:szCs w:val="20"/>
          <w:color w:val="auto"/>
        </w:rPr>
      </w:pPr>
    </w:p>
    <w:p>
      <w:pPr>
        <w:ind w:left="200" w:right="400" w:firstLine="4"/>
        <w:spacing w:after="0"/>
        <w:tabs>
          <w:tab w:leader="none" w:pos="47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make transfers of ADSs or ordinary shares acquired in the open market following the global offering; and (f) participate in tenders involving the acquisition of all of our outstanding ordinary shares. In addition, the lock-up provision will not restrict broker-dealers from engaging in market making and similar activities conducted in the ordinary course of their business.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Cowen and Company, LLC and BMO Capital Markets Corp., in their sole discretion, may release our ADS or ordinary shares and other securities subject to the lock-up agreements described above in whole or in part at any time. When determining whether or not to release our ADSs or ordinary shares and other securities from lock-up agreements, Cowen and Company, LLC and BMO Capital Markets Corp. will consider, among other factors, the holder’s reasons for requesting the release, the number of ADSs or ordinary shares for which the release is being requested, and market conditions at the time of the request. In the event of such a release or waiver for one of our directors or officers, Cowen and Company, LLC and BMO Capital Markets Corp. shall provide us with notice of the impending release or waiver at least three business days before the effective date of such release or waiver and we will announce the impending release or waiver by issuing a press release at least two business days before the effective date of the release or waiver.</w:t>
      </w:r>
    </w:p>
    <w:p>
      <w:pPr>
        <w:spacing w:after="0" w:line="190"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i w:val="1"/>
          <w:iCs w:val="1"/>
          <w:color w:val="auto"/>
        </w:rPr>
        <w:t xml:space="preserve">Electronic Offer, Sale and Distribution of ADSs and Ordinary Shares. </w:t>
      </w:r>
      <w:r>
        <w:rPr>
          <w:rFonts w:ascii="Arial" w:cs="Arial" w:eastAsia="Arial" w:hAnsi="Arial"/>
          <w:sz w:val="18"/>
          <w:szCs w:val="18"/>
          <w:color w:val="auto"/>
        </w:rPr>
        <w:t>A prospectus in electronic format may be made available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websites maintained by one or more of the underwriters or selling group members, if any, participating in the global offering and one or more of the underwriters participating in the global offering may distribute prospectuses electronically. The representatives may agree to allocate a number of ADSs or ordinary shares to underwriters for sale to their online brokerage account holders. Internet distributions will be allocated by the underwriters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88" w:lineRule="exact"/>
        <w:rPr>
          <w:sz w:val="20"/>
          <w:szCs w:val="20"/>
          <w:color w:val="auto"/>
        </w:rPr>
      </w:pPr>
    </w:p>
    <w:p>
      <w:pPr>
        <w:ind w:left="200" w:right="40" w:firstLine="331"/>
        <w:spacing w:after="0" w:line="251" w:lineRule="auto"/>
        <w:rPr>
          <w:sz w:val="20"/>
          <w:szCs w:val="20"/>
          <w:color w:val="auto"/>
        </w:rPr>
      </w:pP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Certain of the underwriters and their affiliates have provided, and may in the future provide, various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banking, commercial banking, and other financial services for us and our affiliates for which they have received, and may in the future receive, customary fees.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99"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No action has been taken in any jurisdiction except the United States that would permit a public offering of the ADSs or ordinary shares, or the possession, circulation, or distribution of this prospectus or any other material relating to us or the ADSs or ordinary shares in any jurisdiction where action for that purpose is required. Accordingly, neither the ADSs nor ordinary shares may not be offered or sold, directly or indirectly, and neither this prospectus nor any other offering material or advertisements in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00"/>
          </w:cols>
          <w:pgMar w:left="24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connection with the ADSs and ordinary shares may be distributed or published, in or from any country or jurisdiction except in compliance with any applicable rules and regulations of any such country or jurisdiction.</w:t>
      </w:r>
    </w:p>
    <w:p>
      <w:pPr>
        <w:spacing w:after="0" w:line="179" w:lineRule="exact"/>
        <w:rPr>
          <w:sz w:val="20"/>
          <w:szCs w:val="20"/>
          <w:color w:val="auto"/>
        </w:rPr>
      </w:pPr>
    </w:p>
    <w:p>
      <w:pPr>
        <w:ind w:left="200" w:right="180" w:firstLine="331"/>
        <w:spacing w:after="0" w:line="242" w:lineRule="auto"/>
        <w:rPr>
          <w:sz w:val="20"/>
          <w:szCs w:val="20"/>
          <w:color w:val="auto"/>
        </w:rPr>
      </w:pPr>
      <w:r>
        <w:rPr>
          <w:rFonts w:ascii="Arial" w:cs="Arial" w:eastAsia="Arial" w:hAnsi="Arial"/>
          <w:sz w:val="18"/>
          <w:szCs w:val="18"/>
          <w:i w:val="1"/>
          <w:iCs w:val="1"/>
          <w:color w:val="auto"/>
        </w:rPr>
        <w:t>Canada</w:t>
      </w:r>
      <w:r>
        <w:rPr>
          <w:rFonts w:ascii="Arial" w:cs="Arial" w:eastAsia="Arial" w:hAnsi="Arial"/>
          <w:sz w:val="18"/>
          <w:szCs w:val="18"/>
          <w:color w:val="auto"/>
        </w:rPr>
        <w:t>. The ADSs and ordinary shares may be sold only to purchasers purchasing, or deemed to be purchasing, as principal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 Any resale of the ADSs or ordinary shares must be made in accordance with an exemption from, or in a</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not subject to, the prospectus requirements of applicable securities laws.</w:t>
      </w:r>
    </w:p>
    <w:p>
      <w:pPr>
        <w:spacing w:after="0" w:line="203"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 xml:space="preserve">Securities legislation in certain provinces or territories of Canada may provide a purchaser with remedies for rescission or damages if this prospectus (including any amendment thereto) contains a misrepresentation,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5" w:lineRule="exact"/>
        <w:rPr>
          <w:sz w:val="20"/>
          <w:szCs w:val="20"/>
          <w:color w:val="auto"/>
        </w:rPr>
      </w:pPr>
    </w:p>
    <w:p>
      <w:pPr>
        <w:ind w:left="200" w:right="20" w:firstLine="331"/>
        <w:spacing w:after="0" w:line="26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the global offering.</w:t>
      </w:r>
    </w:p>
    <w:p>
      <w:pPr>
        <w:spacing w:after="0" w:line="161" w:lineRule="exact"/>
        <w:rPr>
          <w:sz w:val="20"/>
          <w:szCs w:val="20"/>
          <w:color w:val="auto"/>
        </w:rPr>
      </w:pPr>
    </w:p>
    <w:p>
      <w:pPr>
        <w:ind w:left="540"/>
        <w:spacing w:after="0"/>
        <w:tabs>
          <w:tab w:leader="none" w:pos="2040" w:val="left"/>
        </w:tabs>
        <w:rPr>
          <w:sz w:val="20"/>
          <w:szCs w:val="20"/>
          <w:color w:val="auto"/>
        </w:rPr>
      </w:pPr>
      <w:r>
        <w:rPr>
          <w:rFonts w:ascii="Arial" w:cs="Arial" w:eastAsia="Arial" w:hAnsi="Arial"/>
          <w:sz w:val="18"/>
          <w:szCs w:val="18"/>
          <w:i w:val="1"/>
          <w:iCs w:val="1"/>
          <w:color w:val="auto"/>
        </w:rPr>
        <w:t>United Kingdom.</w:t>
      </w:r>
      <w:r>
        <w:rPr>
          <w:sz w:val="20"/>
          <w:szCs w:val="20"/>
          <w:color w:val="auto"/>
        </w:rPr>
        <w:tab/>
      </w:r>
      <w:r>
        <w:rPr>
          <w:rFonts w:ascii="Arial" w:cs="Arial" w:eastAsia="Arial" w:hAnsi="Arial"/>
          <w:sz w:val="17"/>
          <w:szCs w:val="17"/>
          <w:color w:val="auto"/>
        </w:rPr>
        <w:t>Each of the underwriters has represented and agreed that:</w:t>
      </w:r>
    </w:p>
    <w:p>
      <w:pPr>
        <w:spacing w:after="0" w:line="257" w:lineRule="exact"/>
        <w:rPr>
          <w:sz w:val="20"/>
          <w:szCs w:val="20"/>
          <w:color w:val="auto"/>
        </w:rPr>
      </w:pPr>
    </w:p>
    <w:p>
      <w:pPr>
        <w:ind w:left="960" w:right="80" w:hanging="432"/>
        <w:spacing w:after="0" w:line="228"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has not made or will not make an offer of the securities to the public in the United Kingdom within the meaning of section 102B of the Financial Services and Markets Act 2000 (as amended), or FSMA, except to legal entities which are authorized or regulated to operate in the financial markets or, if not so authorized or regulated, whose corporate purpose is solely to invest in securities or otherwise in circumstances which do not require the publication by us of a prospectus pursuant to the Prospectus Rules of the U.K. Financial Conduct Authority;</w:t>
      </w:r>
    </w:p>
    <w:p>
      <w:pPr>
        <w:spacing w:after="0" w:line="26" w:lineRule="exact"/>
        <w:rPr>
          <w:rFonts w:ascii="MS PGothic" w:cs="MS PGothic" w:eastAsia="MS PGothic" w:hAnsi="MS PGothic"/>
          <w:sz w:val="25"/>
          <w:szCs w:val="25"/>
          <w:color w:val="auto"/>
          <w:vertAlign w:val="superscript"/>
        </w:rPr>
      </w:pPr>
    </w:p>
    <w:p>
      <w:pPr>
        <w:ind w:left="960" w:hanging="432"/>
        <w:spacing w:after="0" w:line="229"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FSMA) to persons in the United Kingdom that are qualified investors within the meaning of Article 2(1)(e) of the Prospectus Directive that also are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 and</w:t>
      </w:r>
    </w:p>
    <w:p>
      <w:pPr>
        <w:spacing w:after="0" w:line="27" w:lineRule="exact"/>
        <w:rPr>
          <w:rFonts w:ascii="MS PGothic" w:cs="MS PGothic" w:eastAsia="MS PGothic" w:hAnsi="MS PGothic"/>
          <w:sz w:val="25"/>
          <w:szCs w:val="25"/>
          <w:color w:val="auto"/>
          <w:vertAlign w:val="superscript"/>
        </w:rPr>
      </w:pPr>
    </w:p>
    <w:p>
      <w:pPr>
        <w:ind w:left="960" w:right="240" w:hanging="432"/>
        <w:spacing w:after="0" w:line="218"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has complied with and will comply with all applicable provisions of FSMA with respect to anything done by it in relation to the securities in, from or otherwise involving the United Kingdom.</w:t>
      </w:r>
    </w:p>
    <w:p>
      <w:pPr>
        <w:spacing w:after="0" w:line="203"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In the United Kingdom, this document is being distributed only to, and is directed only at, and any offer subsequently made may only be directed at,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 Any investment or investment activity to which this prospectus relates is available only to relevant persons and will be engaged in only with relevant persons.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20"/>
          </w:cols>
          <w:pgMar w:left="240" w:top="460"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700" w:firstLine="331"/>
        <w:spacing w:after="0" w:line="251"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securities will not be offered, directly or indirectly, to the public in Switzerland and this prospectus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a public offering prospectus as that term is understood pursuant to article 652a or 1156 of the Swiss Federal Code of Obligations.</w:t>
      </w:r>
    </w:p>
    <w:p>
      <w:pPr>
        <w:spacing w:after="0" w:line="174" w:lineRule="exact"/>
        <w:rPr>
          <w:sz w:val="20"/>
          <w:szCs w:val="20"/>
          <w:color w:val="auto"/>
        </w:rPr>
      </w:pPr>
    </w:p>
    <w:p>
      <w:pPr>
        <w:ind w:left="200" w:right="100" w:firstLine="331"/>
        <w:spacing w:after="0" w:line="242" w:lineRule="auto"/>
        <w:rPr>
          <w:sz w:val="20"/>
          <w:szCs w:val="20"/>
          <w:color w:val="auto"/>
        </w:rPr>
      </w:pPr>
      <w:r>
        <w:rPr>
          <w:rFonts w:ascii="Arial" w:cs="Arial" w:eastAsia="Arial" w:hAnsi="Arial"/>
          <w:sz w:val="18"/>
          <w:szCs w:val="18"/>
          <w:i w:val="1"/>
          <w:iCs w:val="1"/>
          <w:color w:val="auto"/>
        </w:rPr>
        <w:t>European Economic Area</w:t>
      </w:r>
      <w:r>
        <w:rPr>
          <w:rFonts w:ascii="Arial" w:cs="Arial" w:eastAsia="Arial" w:hAnsi="Arial"/>
          <w:sz w:val="18"/>
          <w:szCs w:val="18"/>
          <w:color w:val="auto"/>
        </w:rPr>
        <w:t>. In relation to each member state of the European Economic Area which has implemented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Directive, or each referred as a Relevant Member State, an offer to the public of any ADSs or ordinary shares which are the subject of the global offering contemplated by this prospectus may not be made in that Relevant Member State except that an offer to the public in that Relevant Member State of any ADSs or ordinary shares may be made at any time under the following exemptions under the Prospectus Directive, if they have been implemented in that Relevant Member State:</w:t>
      </w:r>
    </w:p>
    <w:p>
      <w:pPr>
        <w:spacing w:after="0" w:line="194" w:lineRule="exact"/>
        <w:rPr>
          <w:sz w:val="20"/>
          <w:szCs w:val="20"/>
          <w:color w:val="auto"/>
        </w:rPr>
      </w:pPr>
    </w:p>
    <w:p>
      <w:pPr>
        <w:ind w:left="960" w:hanging="432"/>
        <w:spacing w:after="0"/>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any legal entity which is a “qualified investor” as defined in the Prospectus Directive;</w:t>
      </w:r>
    </w:p>
    <w:p>
      <w:pPr>
        <w:spacing w:after="0" w:line="26"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any other circumstances falling within Article 3(2) of the Prospectus Directive,</w:t>
      </w:r>
    </w:p>
    <w:p>
      <w:pPr>
        <w:spacing w:after="0" w:line="94" w:lineRule="exact"/>
        <w:rPr>
          <w:sz w:val="20"/>
          <w:szCs w:val="20"/>
          <w:color w:val="auto"/>
        </w:rPr>
      </w:pPr>
    </w:p>
    <w:p>
      <w:pPr>
        <w:ind w:left="200" w:right="460"/>
        <w:spacing w:after="0" w:line="246" w:lineRule="auto"/>
        <w:rPr>
          <w:sz w:val="20"/>
          <w:szCs w:val="20"/>
          <w:color w:val="auto"/>
        </w:rPr>
      </w:pPr>
      <w:r>
        <w:rPr>
          <w:rFonts w:ascii="Arial" w:cs="Arial" w:eastAsia="Arial" w:hAnsi="Arial"/>
          <w:sz w:val="18"/>
          <w:szCs w:val="18"/>
          <w:color w:val="auto"/>
        </w:rPr>
        <w:t>provided that no such offer of ADSs or ordinary shares shall require us or any of the underwriters to publish a prospectus pursuant to Article 3 of the Prospectus Directive or supplement a prospectus pursuant to Article 16 of the Prospectus Directive.</w:t>
      </w:r>
    </w:p>
    <w:p>
      <w:pPr>
        <w:spacing w:after="0" w:line="197"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Each person located in a Relevant Member State to whom any offer of ADSs or ordinary shares is made or who receives any communication in respect of an offer of ADSs or ordinary shares, or who initially acquires any ADSs or ordinary shares will be deemed to have represented, warranted, acknowledged and agreed to and with each of the underwriters and the Company that (1) it is a “qualified investor” within the meaning of the law in that Relevant Member State implementing Article 2(1)(e) of the Prospectus Directive; and (2) in the case of any ADSs or ordinary shares acquired by it as a financial intermediary as that term is used in Article 3(2) of the Prospectus Directive, the ADSs or ordinary shares acquired by it in the offer have not been acquired on behalf of, nor have they been acquired with a view to their offer or resale to, persons in any Relevant Member State other than qualified investors, as that term is defined in the Prospectus Directive, or in circumstances in which the prior consent of the underwriters or the underwriters nominated by the Company has been given to the offer or resale; or where ADSs or ordinary shares have been acquired by it on behalf of persons in any Relevant Member State other than qualified investors, the offer of those ADSs or ordinary shares to it is not treated under the Prospectus Directive as having been made to such persons.</w:t>
      </w:r>
    </w:p>
    <w:p>
      <w:pPr>
        <w:spacing w:after="0" w:line="206"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The Company, the underwriters and their respective affiliates will rely upon the truth and accuracy of the foregoing representations, warranties, acknowledgments and agreements.</w:t>
      </w:r>
    </w:p>
    <w:p>
      <w:pPr>
        <w:spacing w:after="0" w:line="19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This prospectus has been prepared on the basis that any offer of ADSs or ordinary shares in any Relevant Member State will be made pursuant to an exemption under the Prospectus Directive from the requirement to publish a prospectus for offers of securities. Accordingly any person making or intending to make an offer in that Relevant Member State of ADSs or ordinary shares which are the subject of the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ADSs or ordinary shares in circumstances in which an obligation arises for the Company or the underwriters to publish a prospectus for such offer.</w:t>
      </w:r>
    </w:p>
    <w:p>
      <w:pPr>
        <w:spacing w:after="0" w:line="203"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For the purposes of this provision, the expressions “offer ADSs to the public” in relation to our ADSs and “offer ordinary shares to the public” in relation to our ordinary shares in any Relevant</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20"/>
          </w:cols>
          <w:pgMar w:left="240" w:top="460"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Member State means the communication in any form and by any means of sufficient information on the terms of the offer and our ADSs or ordinary shares to be offered so as to enable an investor to decide to purchase or subscribe to our ADSs or ordinary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7"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i w:val="1"/>
          <w:iCs w:val="1"/>
          <w:color w:val="auto"/>
        </w:rPr>
        <w:t xml:space="preserve">Israel. </w:t>
      </w:r>
      <w:r>
        <w:rPr>
          <w:rFonts w:ascii="Arial" w:cs="Arial" w:eastAsia="Arial" w:hAnsi="Arial"/>
          <w:sz w:val="18"/>
          <w:szCs w:val="18"/>
          <w:color w:val="auto"/>
        </w:rPr>
        <w:t>In the State of Israel this prospectus shall not be regarded as an offer to the public to purchase securities under the Israeli</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securities to any person within the State of Israel, other than to Qualified Investors and up to 35 Addressed Investors.</w:t>
      </w:r>
    </w:p>
    <w:p>
      <w:pPr>
        <w:spacing w:after="0" w:line="207" w:lineRule="exact"/>
        <w:rPr>
          <w:sz w:val="20"/>
          <w:szCs w:val="20"/>
          <w:color w:val="auto"/>
        </w:rPr>
      </w:pPr>
    </w:p>
    <w:p>
      <w:pPr>
        <w:ind w:left="200" w:right="80" w:firstLine="331"/>
        <w:spacing w:after="0" w:line="234" w:lineRule="auto"/>
        <w:rPr>
          <w:sz w:val="20"/>
          <w:szCs w:val="20"/>
          <w:color w:val="auto"/>
        </w:rPr>
      </w:pPr>
      <w:r>
        <w:rPr>
          <w:rFonts w:ascii="Arial" w:cs="Arial" w:eastAsia="Arial" w:hAnsi="Arial"/>
          <w:sz w:val="18"/>
          <w:szCs w:val="18"/>
          <w:color w:val="auto"/>
        </w:rPr>
        <w:t>Qualified Investors may have to submit written evidence that they meet the definitions set out in of the First Addendum to the Israeli Securities Law, 5728 – 1968. In particular, we may request, as a condition to be offered our securities,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securities; (iv) that the securities that it will be issued are, subject to exemptions available under the Israeli Securities Law, 5728 – 1968: (a) for its own account;</w:t>
      </w:r>
    </w:p>
    <w:p>
      <w:pPr>
        <w:spacing w:after="0" w:line="5" w:lineRule="exact"/>
        <w:rPr>
          <w:sz w:val="20"/>
          <w:szCs w:val="20"/>
          <w:color w:val="auto"/>
        </w:rPr>
      </w:pPr>
    </w:p>
    <w:p>
      <w:pPr>
        <w:ind w:left="200" w:right="340" w:firstLine="4"/>
        <w:spacing w:after="0" w:line="239" w:lineRule="auto"/>
        <w:tabs>
          <w:tab w:leader="none" w:pos="47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84"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i w:val="1"/>
          <w:iCs w:val="1"/>
          <w:color w:val="auto"/>
        </w:rPr>
        <w:t>Hong Kong</w:t>
      </w:r>
      <w:r>
        <w:rPr>
          <w:rFonts w:ascii="Arial" w:cs="Arial" w:eastAsia="Arial" w:hAnsi="Arial"/>
          <w:sz w:val="18"/>
          <w:szCs w:val="18"/>
          <w:color w:val="auto"/>
        </w:rPr>
        <w:t>. The contents of this document have not been reviewed or approved by any regulatory authority in Hong Kong. This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does not constitute an offer or invitation to the public in Hong Kong to acquire securities. Accordingly, unless permitted by the securities laws of Hong Kong, no person may issue or have in its possession for the purposes of issue, this document or any advertisement, invitation or document relating to the securities, whether in Hong Kong or elsewhere, which is directed at, or the contents of which are likely to be accessed or read by, the public in Hong Kong other than in relation to shares which are intended to be disposed of only to persons outside Hong Kong or only to “professional investors” (as such term is defined in the Securities and Futures Ordinance (Cap. 571, Laws of Hong Kong, or SFO) and the subsidiary legislation made thereunder); or in circumstances which do not result in this document being a “prospectus” as defined in the Companies (Winding Up and Miscellaneous Provisions) Ordinance (Cap. 32, Laws of Hong Kong, or CO); or which do not constitute an offer or an invitation to the public for the purposes of the SFO or the CO. The offer of the shares is personal to the person to whom this document has been delivered, and</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00"/>
          </w:cols>
          <w:pgMar w:left="240" w:top="460"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a subscription for shares will only be accepted from such person. No person to whom a copy of this document is issued may issue, circulate, or distribute this document in Hong Kong, or make or give a copy of this document to any other person. You are advised to exercise caution in relation to the offer. If you are in any doubt about any of the contents of this document, you should obtain independent professional advice.</w:t>
      </w:r>
    </w:p>
    <w:p>
      <w:pPr>
        <w:spacing w:after="0" w:line="184" w:lineRule="exact"/>
        <w:rPr>
          <w:sz w:val="20"/>
          <w:szCs w:val="20"/>
          <w:color w:val="auto"/>
        </w:rPr>
      </w:pPr>
    </w:p>
    <w:p>
      <w:pPr>
        <w:ind w:left="200" w:firstLine="331"/>
        <w:spacing w:after="0"/>
        <w:rPr>
          <w:sz w:val="20"/>
          <w:szCs w:val="20"/>
          <w:color w:val="auto"/>
        </w:rPr>
      </w:pPr>
      <w:r>
        <w:rPr>
          <w:rFonts w:ascii="Arial" w:cs="Arial" w:eastAsia="Arial" w:hAnsi="Arial"/>
          <w:sz w:val="18"/>
          <w:szCs w:val="18"/>
          <w:i w:val="1"/>
          <w:iCs w:val="1"/>
          <w:color w:val="auto"/>
        </w:rPr>
        <w:t>Singapore</w:t>
      </w:r>
      <w:r>
        <w:rPr>
          <w:rFonts w:ascii="Arial" w:cs="Arial" w:eastAsia="Arial" w:hAnsi="Arial"/>
          <w:sz w:val="18"/>
          <w:szCs w:val="18"/>
          <w:color w:val="auto"/>
        </w:rPr>
        <w:t>. This prospectus has not been registered as a prospectus with the Monetary Authority of Singapore. Accordingly,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and any other document or material in connection with the offer or sale, or invitation for subscription or purchase, of the ADSs or ordinary shares may not be circulated or distributed, nor may the securities be offered or sold, or be made the subject of an invitation for subscription or purchase, whether directly or indirectly, to persons in Singapore other than (i) to an institutional investor pursuant to Section 274 of the Securities and Futures Act, Chapter 289 of Singapore, or SFA, (ii) to a relevant person (as defined in Section 275(2) of the SFA), or any person pursuant to Section 275(1A), and in accordance with the conditions, specified in Section 275 of the SFA, or (iii) otherwise pursuant to, and in accordance with the conditions of, any other applicable provision of the SFA.</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Where the ADSs or ordinary shares are subscribed or purchased pursuant to an offer made in reliance on Section 275 of the SFA by a relevant person which is:</w:t>
      </w:r>
    </w:p>
    <w:p>
      <w:pPr>
        <w:spacing w:after="0" w:line="224" w:lineRule="exact"/>
        <w:rPr>
          <w:sz w:val="20"/>
          <w:szCs w:val="20"/>
          <w:color w:val="auto"/>
        </w:rPr>
      </w:pPr>
    </w:p>
    <w:p>
      <w:pPr>
        <w:ind w:left="960" w:right="140" w:hanging="432"/>
        <w:spacing w:after="0" w:line="246" w:lineRule="auto"/>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21" w:lineRule="exact"/>
        <w:rPr>
          <w:rFonts w:ascii="Arial" w:cs="Arial" w:eastAsia="Arial" w:hAnsi="Arial"/>
          <w:sz w:val="18"/>
          <w:szCs w:val="18"/>
          <w:color w:val="auto"/>
        </w:rPr>
      </w:pPr>
    </w:p>
    <w:p>
      <w:pPr>
        <w:ind w:left="960" w:right="340" w:hanging="432"/>
        <w:spacing w:after="0" w:line="246" w:lineRule="auto"/>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w:t>
      </w:r>
    </w:p>
    <w:p>
      <w:pPr>
        <w:ind w:left="200"/>
        <w:spacing w:after="0"/>
        <w:rPr>
          <w:sz w:val="20"/>
          <w:szCs w:val="20"/>
          <w:color w:val="auto"/>
        </w:rPr>
      </w:pPr>
      <w:r>
        <w:rPr>
          <w:rFonts w:ascii="Arial" w:cs="Arial" w:eastAsia="Arial" w:hAnsi="Arial"/>
          <w:sz w:val="18"/>
          <w:szCs w:val="18"/>
          <w:color w:val="auto"/>
        </w:rPr>
        <w:t>in that trust shall not be transferable for six months after that corporation or that trust has acquired the shares under Section 275 except:</w:t>
      </w:r>
    </w:p>
    <w:p>
      <w:pPr>
        <w:spacing w:after="0" w:line="212" w:lineRule="exact"/>
        <w:rPr>
          <w:sz w:val="20"/>
          <w:szCs w:val="20"/>
          <w:color w:val="auto"/>
        </w:rPr>
      </w:pPr>
    </w:p>
    <w:p>
      <w:pPr>
        <w:ind w:left="200" w:right="1080" w:firstLine="334"/>
        <w:spacing w:after="0" w:line="246" w:lineRule="auto"/>
        <w:tabs>
          <w:tab w:leader="none" w:pos="8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(as defined in Section 275(2) of the SFA), or any person pursuant to Section 275(1A) of the SFA (in the case of that corporation) or Section 276(4)(i)(B) of the SFA (in the case of that trust);</w:t>
      </w:r>
    </w:p>
    <w:p>
      <w:pPr>
        <w:spacing w:after="0" w:line="196" w:lineRule="exact"/>
        <w:rPr>
          <w:rFonts w:ascii="Arial" w:cs="Arial" w:eastAsia="Arial" w:hAnsi="Arial"/>
          <w:sz w:val="18"/>
          <w:szCs w:val="18"/>
          <w:color w:val="auto"/>
        </w:rPr>
      </w:pPr>
    </w:p>
    <w:p>
      <w:pPr>
        <w:ind w:left="800" w:hanging="266"/>
        <w:spacing w:after="0"/>
        <w:tabs>
          <w:tab w:leader="none" w:pos="8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11" w:lineRule="exact"/>
        <w:rPr>
          <w:rFonts w:ascii="Arial" w:cs="Arial" w:eastAsia="Arial" w:hAnsi="Arial"/>
          <w:sz w:val="18"/>
          <w:szCs w:val="18"/>
          <w:color w:val="auto"/>
        </w:rPr>
      </w:pPr>
    </w:p>
    <w:p>
      <w:pPr>
        <w:ind w:left="800" w:hanging="266"/>
        <w:spacing w:after="0"/>
        <w:tabs>
          <w:tab w:leader="none" w:pos="8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20"/>
          </w:cols>
          <w:pgMar w:left="24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EXPENSES OF THE OFFERING</w:t>
      </w:r>
    </w:p>
    <w:p>
      <w:pPr>
        <w:spacing w:after="0" w:line="342"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We estimate that our expenses in connection with the global offering, other than underwriting discounts and commissions, will be as follows: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520" w:type="dxa"/>
            <w:vAlign w:val="bottom"/>
            <w:gridSpan w:val="3"/>
          </w:tcPr>
          <w:p>
            <w:pPr>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3"/>
              </w:rPr>
              <w:t>Securities</w:t>
            </w:r>
          </w:p>
        </w:tc>
        <w:tc>
          <w:tcPr>
            <w:tcW w:w="8840" w:type="dxa"/>
            <w:vAlign w:val="bottom"/>
            <w:tcBorders>
              <w:top w:val="single" w:sz="8" w:color="CCEEFF"/>
            </w:tcBorders>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and Exchange Commission registration fee</w:t>
            </w:r>
          </w:p>
        </w:tc>
        <w:tc>
          <w:tcPr>
            <w:tcW w:w="1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tcPr>
          <w:p>
            <w:pPr>
              <w:spacing w:after="0" w:line="202" w:lineRule="exact"/>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The Nasdaq listing fee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125,000</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tcPr>
          <w:p>
            <w:pPr>
              <w:spacing w:after="0" w:line="202" w:lineRule="exact"/>
              <w:rPr>
                <w:sz w:val="20"/>
                <w:szCs w:val="20"/>
                <w:color w:val="auto"/>
              </w:rPr>
            </w:pPr>
            <w:r>
              <w:rPr>
                <w:rFonts w:ascii="Arial" w:cs="Arial" w:eastAsia="Arial" w:hAnsi="Arial"/>
                <w:sz w:val="18"/>
                <w:szCs w:val="18"/>
                <w:color w:val="auto"/>
              </w:rPr>
              <w:t>AIM admission fee</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tcPr>
          <w:p>
            <w:pPr>
              <w:spacing w:after="0" w:line="202" w:lineRule="exact"/>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20" w:type="dxa"/>
            <w:vAlign w:val="bottom"/>
            <w:gridSpan w:val="3"/>
          </w:tcPr>
          <w:p>
            <w:pPr>
              <w:spacing w:after="0" w:line="202" w:lineRule="exact"/>
              <w:rPr>
                <w:sz w:val="20"/>
                <w:szCs w:val="20"/>
                <w:color w:val="auto"/>
              </w:rPr>
            </w:pPr>
            <w:r>
              <w:rPr>
                <w:rFonts w:ascii="Arial" w:cs="Arial" w:eastAsia="Arial" w:hAnsi="Arial"/>
                <w:sz w:val="18"/>
                <w:szCs w:val="18"/>
                <w:color w:val="auto"/>
              </w:rPr>
              <w:t>Miscellaneous costs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Borders>
              <w:bottom w:val="single" w:sz="8" w:color="auto"/>
            </w:tcBorders>
            <w:gridSpan w:val="2"/>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6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9860" w:type="dxa"/>
            <w:vAlign w:val="bottom"/>
            <w:gridSpan w:val="5"/>
          </w:tcPr>
          <w:p>
            <w:pPr>
              <w:spacing w:after="0"/>
              <w:rPr>
                <w:sz w:val="20"/>
                <w:szCs w:val="20"/>
                <w:color w:val="auto"/>
              </w:rPr>
            </w:pPr>
            <w:r>
              <w:rPr>
                <w:rFonts w:ascii="Arial" w:cs="Arial" w:eastAsia="Arial" w:hAnsi="Arial"/>
                <w:sz w:val="18"/>
                <w:szCs w:val="18"/>
                <w:color w:val="auto"/>
              </w:rPr>
              <w:t>*   To be filed by amendment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All amounts in the table are estimates except the SEC registration fee, the Nasdaq listing fee, and the FINRA filing fee. We will pay all of the expenses of the global offering.</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60"/>
          </w:cols>
          <w:pgMar w:left="240" w:top="459" w:right="49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The validity of our ADSs and ordinary shares and certain other matters of English law and U.S. federal law will be passed upon for us by Latham &amp; Watkins LLP. Cooley LLP is serving as legal counsel for the underwriters in connection with the global offering with respect to matters of English law and U.S. federal law.</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The consolidated financial statements of Mereo BioPharma Group plc at December 31, 2016 and 2017, and for each of the two years in the period ended December 31, 2017, appearing in this Prospectus and Registration Statement have been audited by Ernst &amp; Young LLP, an independent registered public accounting firm, as set forth in their report thereon appearing elsewhere herein, and are included in reliance upon such report given on the authority of such firm as experts in accounting and auditing.</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registered business address of Ernst &amp; Young LLP is Apex Plaza, Reading RG1 1YE, United Kingdom.</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00"/>
          </w:cols>
          <w:pgMar w:left="240" w:top="460"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342"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We are incorporated and currently existing under the laws of England and Wales. In addition, most of our directors and officers reside outside of the United States and most of the assets of our subsidiaries are located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39" w:lineRule="exact"/>
        <w:rPr>
          <w:sz w:val="20"/>
          <w:szCs w:val="20"/>
          <w:color w:val="auto"/>
        </w:rPr>
      </w:pPr>
    </w:p>
    <w:p>
      <w:pPr>
        <w:ind w:left="960" w:right="140" w:hanging="432"/>
        <w:spacing w:after="0" w:line="218"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We have been advised by Latham &amp; Watkins LLP that 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and that a final judgment for the payment of money rendered by any general or state court in the United States based on civil liability, whether or not predicated solely upon the United States securities laws, would not be automatically enforceable in England and Wales. We have also been advised by Latham &amp; Watkins LLP that any final and conclusive monetary judgment for a definite sum obtained against us in United States courts would be treated by the courts of England and Wales as a cause of action in itself and sued upon as a debt at common law so that no retrial of the issues would be necessary, provided that:</w:t>
      </w:r>
    </w:p>
    <w:p>
      <w:pPr>
        <w:spacing w:after="0" w:line="235" w:lineRule="exact"/>
        <w:rPr>
          <w:sz w:val="20"/>
          <w:szCs w:val="20"/>
          <w:color w:val="auto"/>
        </w:rPr>
      </w:pPr>
    </w:p>
    <w:p>
      <w:pPr>
        <w:ind w:left="960" w:right="160" w:hanging="432"/>
        <w:spacing w:after="0" w:line="218"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England and Wales courts had jurisdiction over the matter on enforcement and we either submitted to such jurisdiction or were resident or carrying on business within such jurisdiction and were duly served with process;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on the merits in the sense of being final and unalterable in the court that pronounced it and being for a definite sum of money;</w:t>
      </w:r>
    </w:p>
    <w:p>
      <w:pPr>
        <w:spacing w:after="0" w:line="27" w:lineRule="exact"/>
        <w:rPr>
          <w:rFonts w:ascii="MS PGothic" w:cs="MS PGothic" w:eastAsia="MS PGothic" w:hAnsi="MS PGothic"/>
          <w:sz w:val="25"/>
          <w:szCs w:val="25"/>
          <w:color w:val="auto"/>
          <w:vertAlign w:val="superscript"/>
        </w:rPr>
      </w:pPr>
    </w:p>
    <w:p>
      <w:pPr>
        <w:ind w:left="960" w:right="780" w:hanging="432"/>
        <w:spacing w:after="0" w:line="218"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6" w:lineRule="exact"/>
        <w:rPr>
          <w:rFonts w:ascii="MS PGothic" w:cs="MS PGothic" w:eastAsia="MS PGothic" w:hAnsi="MS PGothic"/>
          <w:sz w:val="25"/>
          <w:szCs w:val="25"/>
          <w:color w:val="auto"/>
          <w:vertAlign w:val="superscript"/>
        </w:rPr>
      </w:pPr>
    </w:p>
    <w:p>
      <w:pPr>
        <w:ind w:left="960" w:right="560" w:hanging="432"/>
        <w:spacing w:after="0" w:line="218"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26"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00"/>
          </w:cols>
          <w:pgMar w:left="240" w:top="460"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40" w:hanging="432"/>
        <w:spacing w:after="0" w:line="218" w:lineRule="auto"/>
        <w:tabs>
          <w:tab w:leader="none" w:pos="96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decision of an English court or the court of another jurisdiction on the issues in question between the same parties;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English enforcement proceedings were commenced within the limitation period.</w:t>
      </w:r>
    </w:p>
    <w:p>
      <w:pPr>
        <w:spacing w:after="0" w:line="202"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0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80"/>
          </w:cols>
          <w:pgMar w:left="240" w:top="460"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0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Upon completion of the U.S. offering, we will become subject to the informational requirements of the Exchange Act. Accordingly, we will be required to file reports and other information with the SEC, including annual reports on Form 20-F and reports on Form 6-K. 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w:t>
      </w:r>
    </w:p>
    <w:p>
      <w:pPr>
        <w:spacing w:after="0" w:line="20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We will send our transfer agent a copy of all notices of our general meetings of shareholders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40"/>
          </w:cols>
          <w:pgMar w:left="240" w:top="459" w:right="51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07"/>
        </w:trPr>
        <w:tc>
          <w:tcPr>
            <w:tcW w:w="9560" w:type="dxa"/>
            <w:vAlign w:val="bottom"/>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40" w:type="dxa"/>
            <w:vAlign w:val="bottom"/>
            <w:gridSpan w:val="5"/>
          </w:tcPr>
          <w:p>
            <w:pPr>
              <w:jc w:val="center"/>
              <w:ind w:right="117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800" w:type="dxa"/>
            <w:vAlign w:val="bottom"/>
          </w:tcPr>
          <w:p>
            <w:pPr>
              <w:spacing w:after="0"/>
              <w:rPr>
                <w:sz w:val="24"/>
                <w:szCs w:val="24"/>
                <w:color w:val="auto"/>
              </w:rPr>
            </w:pPr>
          </w:p>
        </w:tc>
      </w:tr>
      <w:tr>
        <w:trPr>
          <w:trHeight w:val="405"/>
        </w:trPr>
        <w:tc>
          <w:tcPr>
            <w:tcW w:w="462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218">
              <w:r>
                <w:rPr>
                  <w:rFonts w:ascii="Arial" w:cs="Arial" w:eastAsia="Arial" w:hAnsi="Arial"/>
                  <w:sz w:val="18"/>
                  <w:szCs w:val="18"/>
                  <w:color w:val="0000EE"/>
                  <w:w w:val="99"/>
                </w:rPr>
                <w:t>Report of Independent Registered Public Accounting Firm</w:t>
              </w:r>
            </w:hyperlink>
          </w:p>
        </w:tc>
        <w:tc>
          <w:tcPr>
            <w:tcW w:w="4940" w:type="dxa"/>
            <w:vAlign w:val="bottom"/>
          </w:tcPr>
          <w:p>
            <w:pPr>
              <w:spacing w:after="0"/>
              <w:rPr>
                <w:sz w:val="24"/>
                <w:szCs w:val="24"/>
                <w:color w:val="auto"/>
              </w:rPr>
            </w:pPr>
          </w:p>
        </w:tc>
        <w:tc>
          <w:tcPr>
            <w:tcW w:w="1800" w:type="dxa"/>
            <w:vAlign w:val="bottom"/>
          </w:tcPr>
          <w:p>
            <w:pPr>
              <w:ind w:left="1540"/>
              <w:spacing w:after="0"/>
              <w:rPr>
                <w:sz w:val="20"/>
                <w:szCs w:val="20"/>
                <w:color w:val="auto"/>
              </w:rPr>
            </w:pPr>
            <w:r>
              <w:rPr>
                <w:rFonts w:ascii="Arial" w:cs="Arial" w:eastAsia="Arial" w:hAnsi="Arial"/>
                <w:sz w:val="18"/>
                <w:szCs w:val="18"/>
                <w:color w:val="auto"/>
                <w:w w:val="88"/>
              </w:rPr>
              <w:t>F-2</w:t>
            </w:r>
          </w:p>
        </w:tc>
      </w:tr>
      <w:tr>
        <w:trPr>
          <w:trHeight w:val="183"/>
        </w:trPr>
        <w:tc>
          <w:tcPr>
            <w:tcW w:w="388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219">
              <w:r>
                <w:rPr>
                  <w:rFonts w:ascii="Arial" w:cs="Arial" w:eastAsia="Arial" w:hAnsi="Arial"/>
                  <w:sz w:val="18"/>
                  <w:szCs w:val="18"/>
                  <w:color w:val="0000EE"/>
                  <w:w w:val="99"/>
                </w:rPr>
                <w:t>Consolidated Statement of Comprehensive Loss</w:t>
              </w:r>
            </w:hyperlink>
          </w:p>
        </w:tc>
        <w:tc>
          <w:tcPr>
            <w:tcW w:w="5680" w:type="dxa"/>
            <w:vAlign w:val="bottom"/>
            <w:gridSpan w:val="2"/>
          </w:tcPr>
          <w:p>
            <w:pPr>
              <w:spacing w:after="0"/>
              <w:rPr>
                <w:sz w:val="15"/>
                <w:szCs w:val="15"/>
                <w:color w:val="auto"/>
              </w:rPr>
            </w:pPr>
          </w:p>
        </w:tc>
        <w:tc>
          <w:tcPr>
            <w:tcW w:w="1800" w:type="dxa"/>
            <w:vAlign w:val="bottom"/>
          </w:tcPr>
          <w:p>
            <w:pPr>
              <w:ind w:left="1540"/>
              <w:spacing w:after="0" w:line="182" w:lineRule="exact"/>
              <w:rPr>
                <w:sz w:val="20"/>
                <w:szCs w:val="20"/>
                <w:color w:val="auto"/>
              </w:rPr>
            </w:pPr>
            <w:r>
              <w:rPr>
                <w:rFonts w:ascii="Arial" w:cs="Arial" w:eastAsia="Arial" w:hAnsi="Arial"/>
                <w:sz w:val="18"/>
                <w:szCs w:val="18"/>
                <w:color w:val="auto"/>
                <w:w w:val="88"/>
              </w:rPr>
              <w:t>F-3</w:t>
            </w:r>
          </w:p>
        </w:tc>
      </w:tr>
      <w:tr>
        <w:trPr>
          <w:trHeight w:val="183"/>
        </w:trPr>
        <w:tc>
          <w:tcPr>
            <w:tcW w:w="9560" w:type="dxa"/>
            <w:vAlign w:val="bottom"/>
            <w:gridSpan w:val="8"/>
          </w:tcPr>
          <w:p>
            <w:pPr>
              <w:spacing w:after="0" w:line="182" w:lineRule="exact"/>
              <w:rPr>
                <w:rFonts w:ascii="Arial" w:cs="Arial" w:eastAsia="Arial" w:hAnsi="Arial"/>
                <w:sz w:val="18"/>
                <w:szCs w:val="18"/>
                <w:color w:val="0000EE"/>
              </w:rPr>
            </w:pPr>
            <w:hyperlink w:anchor="page220">
              <w:r>
                <w:rPr>
                  <w:rFonts w:ascii="Arial" w:cs="Arial" w:eastAsia="Arial" w:hAnsi="Arial"/>
                  <w:sz w:val="18"/>
                  <w:szCs w:val="18"/>
                  <w:color w:val="0000EE"/>
                </w:rPr>
                <w:t>Consolidated Balance Sheets</w:t>
              </w:r>
            </w:hyperlink>
          </w:p>
        </w:tc>
        <w:tc>
          <w:tcPr>
            <w:tcW w:w="1800" w:type="dxa"/>
            <w:vAlign w:val="bottom"/>
          </w:tcPr>
          <w:p>
            <w:pPr>
              <w:ind w:left="1540"/>
              <w:spacing w:after="0" w:line="182" w:lineRule="exact"/>
              <w:rPr>
                <w:sz w:val="20"/>
                <w:szCs w:val="20"/>
                <w:color w:val="auto"/>
              </w:rPr>
            </w:pPr>
            <w:r>
              <w:rPr>
                <w:rFonts w:ascii="Arial" w:cs="Arial" w:eastAsia="Arial" w:hAnsi="Arial"/>
                <w:sz w:val="18"/>
                <w:szCs w:val="18"/>
                <w:color w:val="auto"/>
                <w:w w:val="88"/>
              </w:rPr>
              <w:t>F-4</w:t>
            </w:r>
          </w:p>
        </w:tc>
      </w:tr>
      <w:tr>
        <w:trPr>
          <w:trHeight w:val="20"/>
        </w:trPr>
        <w:tc>
          <w:tcPr>
            <w:tcW w:w="236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3"/>
        </w:trPr>
        <w:tc>
          <w:tcPr>
            <w:tcW w:w="312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221">
              <w:r>
                <w:rPr>
                  <w:rFonts w:ascii="Arial" w:cs="Arial" w:eastAsia="Arial" w:hAnsi="Arial"/>
                  <w:sz w:val="18"/>
                  <w:szCs w:val="18"/>
                  <w:color w:val="0000EE"/>
                  <w:w w:val="99"/>
                </w:rPr>
                <w:t>Consolidated Statement of Cash Flows</w:t>
              </w:r>
            </w:hyperlink>
          </w:p>
        </w:tc>
        <w:tc>
          <w:tcPr>
            <w:tcW w:w="6440" w:type="dxa"/>
            <w:vAlign w:val="bottom"/>
            <w:gridSpan w:val="5"/>
          </w:tcPr>
          <w:p>
            <w:pPr>
              <w:spacing w:after="0"/>
              <w:rPr>
                <w:sz w:val="15"/>
                <w:szCs w:val="15"/>
                <w:color w:val="auto"/>
              </w:rPr>
            </w:pPr>
          </w:p>
        </w:tc>
        <w:tc>
          <w:tcPr>
            <w:tcW w:w="1800" w:type="dxa"/>
            <w:vAlign w:val="bottom"/>
          </w:tcPr>
          <w:p>
            <w:pPr>
              <w:ind w:left="1540"/>
              <w:spacing w:after="0" w:line="182" w:lineRule="exact"/>
              <w:rPr>
                <w:sz w:val="20"/>
                <w:szCs w:val="20"/>
                <w:color w:val="auto"/>
              </w:rPr>
            </w:pPr>
            <w:r>
              <w:rPr>
                <w:rFonts w:ascii="Arial" w:cs="Arial" w:eastAsia="Arial" w:hAnsi="Arial"/>
                <w:sz w:val="18"/>
                <w:szCs w:val="18"/>
                <w:color w:val="auto"/>
                <w:w w:val="88"/>
              </w:rPr>
              <w:t>F-5</w:t>
            </w:r>
          </w:p>
        </w:tc>
      </w:tr>
      <w:tr>
        <w:trPr>
          <w:trHeight w:val="183"/>
        </w:trPr>
        <w:tc>
          <w:tcPr>
            <w:tcW w:w="9560" w:type="dxa"/>
            <w:vAlign w:val="bottom"/>
            <w:gridSpan w:val="8"/>
          </w:tcPr>
          <w:p>
            <w:pPr>
              <w:spacing w:after="0" w:line="182" w:lineRule="exact"/>
              <w:rPr>
                <w:rFonts w:ascii="Arial" w:cs="Arial" w:eastAsia="Arial" w:hAnsi="Arial"/>
                <w:sz w:val="18"/>
                <w:szCs w:val="18"/>
                <w:color w:val="0000EE"/>
              </w:rPr>
            </w:pPr>
            <w:hyperlink w:anchor="page222">
              <w:r>
                <w:rPr>
                  <w:rFonts w:ascii="Arial" w:cs="Arial" w:eastAsia="Arial" w:hAnsi="Arial"/>
                  <w:sz w:val="18"/>
                  <w:szCs w:val="18"/>
                  <w:color w:val="0000EE"/>
                </w:rPr>
                <w:t>Consolidated Statement of Changes in Equity</w:t>
              </w:r>
            </w:hyperlink>
          </w:p>
        </w:tc>
        <w:tc>
          <w:tcPr>
            <w:tcW w:w="1800" w:type="dxa"/>
            <w:vAlign w:val="bottom"/>
          </w:tcPr>
          <w:p>
            <w:pPr>
              <w:ind w:left="1540"/>
              <w:spacing w:after="0" w:line="182" w:lineRule="exact"/>
              <w:rPr>
                <w:sz w:val="20"/>
                <w:szCs w:val="20"/>
                <w:color w:val="auto"/>
              </w:rPr>
            </w:pPr>
            <w:r>
              <w:rPr>
                <w:rFonts w:ascii="Arial" w:cs="Arial" w:eastAsia="Arial" w:hAnsi="Arial"/>
                <w:sz w:val="18"/>
                <w:szCs w:val="18"/>
                <w:color w:val="auto"/>
                <w:w w:val="88"/>
              </w:rPr>
              <w:t>F-6</w:t>
            </w:r>
          </w:p>
        </w:tc>
      </w:tr>
      <w:tr>
        <w:trPr>
          <w:trHeight w:val="20"/>
        </w:trPr>
        <w:tc>
          <w:tcPr>
            <w:tcW w:w="364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3"/>
        </w:trPr>
        <w:tc>
          <w:tcPr>
            <w:tcW w:w="9560" w:type="dxa"/>
            <w:vAlign w:val="bottom"/>
            <w:gridSpan w:val="8"/>
          </w:tcPr>
          <w:p>
            <w:pPr>
              <w:spacing w:after="0" w:line="182" w:lineRule="exact"/>
              <w:rPr>
                <w:rFonts w:ascii="Arial" w:cs="Arial" w:eastAsia="Arial" w:hAnsi="Arial"/>
                <w:sz w:val="18"/>
                <w:szCs w:val="18"/>
                <w:color w:val="0000EE"/>
              </w:rPr>
            </w:pPr>
            <w:hyperlink w:anchor="page223">
              <w:r>
                <w:rPr>
                  <w:rFonts w:ascii="Arial" w:cs="Arial" w:eastAsia="Arial" w:hAnsi="Arial"/>
                  <w:sz w:val="18"/>
                  <w:szCs w:val="18"/>
                  <w:color w:val="0000EE"/>
                </w:rPr>
                <w:t>Notes to the Consolidated Financial Statements</w:t>
              </w:r>
            </w:hyperlink>
          </w:p>
        </w:tc>
        <w:tc>
          <w:tcPr>
            <w:tcW w:w="1800" w:type="dxa"/>
            <w:vAlign w:val="bottom"/>
          </w:tcPr>
          <w:p>
            <w:pPr>
              <w:ind w:left="1540"/>
              <w:spacing w:after="0" w:line="182" w:lineRule="exact"/>
              <w:rPr>
                <w:sz w:val="20"/>
                <w:szCs w:val="20"/>
                <w:color w:val="auto"/>
              </w:rPr>
            </w:pPr>
            <w:r>
              <w:rPr>
                <w:rFonts w:ascii="Arial" w:cs="Arial" w:eastAsia="Arial" w:hAnsi="Arial"/>
                <w:sz w:val="18"/>
                <w:szCs w:val="18"/>
                <w:color w:val="auto"/>
                <w:w w:val="88"/>
              </w:rPr>
              <w:t>F-7</w:t>
            </w:r>
          </w:p>
        </w:tc>
      </w:tr>
      <w:tr>
        <w:trPr>
          <w:trHeight w:val="372"/>
        </w:trPr>
        <w:tc>
          <w:tcPr>
            <w:tcW w:w="1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940" w:type="dxa"/>
            <w:vAlign w:val="bottom"/>
          </w:tcPr>
          <w:p>
            <w:pPr>
              <w:jc w:val="center"/>
              <w:ind w:right="2670"/>
              <w:spacing w:after="0"/>
              <w:rPr>
                <w:sz w:val="20"/>
                <w:szCs w:val="20"/>
                <w:color w:val="auto"/>
              </w:rPr>
            </w:pPr>
            <w:r>
              <w:rPr>
                <w:rFonts w:ascii="Arial" w:cs="Arial" w:eastAsia="Arial" w:hAnsi="Arial"/>
                <w:sz w:val="18"/>
                <w:szCs w:val="18"/>
                <w:color w:val="auto"/>
                <w:w w:val="96"/>
              </w:rPr>
              <w:t>F-1</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and Board of Directors of Mereo BioPharma Group plc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6"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We have audited the accompanying consolidated balance sheets of Mereo BioPharma Group plc (the “Company”) as of December 31, 2017 and 2016, and the related consolidated statements of comprehensive loss, changes in equity, and cash flows for each of the two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two years in the period ended December 31, 2017, in conformity with International Financial Reporting Standards as issued by the International Accounting Standards Board.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the Company’s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3"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34" w:lineRule="auto"/>
        <w:rPr>
          <w:sz w:val="20"/>
          <w:szCs w:val="20"/>
          <w:color w:val="auto"/>
        </w:rPr>
      </w:pPr>
      <w:r>
        <w:rPr>
          <w:rFonts w:ascii="Arial" w:cs="Arial" w:eastAsia="Arial" w:hAnsi="Arial"/>
          <w:sz w:val="18"/>
          <w:szCs w:val="18"/>
          <w:color w:val="auto"/>
        </w:rPr>
        <w:t>Reading, United Kingdom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for the years ended December 31, 2016 and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Year ended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December 31, 2016</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4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(24,562,502)</w:t>
            </w:r>
          </w:p>
        </w:tc>
        <w:tc>
          <w:tcPr>
            <w:tcW w:w="6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(34,606,649)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60" w:type="dxa"/>
            <w:vAlign w:val="bottom"/>
            <w:gridSpan w:val="2"/>
          </w:tcPr>
          <w:p>
            <w:pPr>
              <w:jc w:val="right"/>
              <w:ind w:right="600"/>
              <w:spacing w:after="0" w:line="202" w:lineRule="exact"/>
              <w:rPr>
                <w:sz w:val="20"/>
                <w:szCs w:val="20"/>
                <w:color w:val="auto"/>
              </w:rPr>
            </w:pPr>
            <w:r>
              <w:rPr>
                <w:rFonts w:ascii="Arial" w:cs="Arial" w:eastAsia="Arial" w:hAnsi="Arial"/>
                <w:sz w:val="18"/>
                <w:szCs w:val="18"/>
                <w:b w:val="1"/>
                <w:bCs w:val="1"/>
                <w:color w:val="auto"/>
              </w:rPr>
              <w:t>(11,616,816)</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(10,697,194)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loss</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(36,179,318)</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(45,303,843)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c>
          <w:tcPr>
            <w:tcW w:w="540" w:type="dxa"/>
            <w:vAlign w:val="bottom"/>
          </w:tcPr>
          <w:p>
            <w:pPr>
              <w:spacing w:after="0"/>
              <w:rPr>
                <w:sz w:val="17"/>
                <w:szCs w:val="17"/>
                <w:color w:val="auto"/>
              </w:rPr>
            </w:pPr>
          </w:p>
        </w:tc>
        <w:tc>
          <w:tcPr>
            <w:tcW w:w="196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374,906</w:t>
            </w:r>
          </w:p>
        </w:tc>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826,855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5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(179,765)</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(1,089,925)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6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2,262,626</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(1,384,225)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 before tax</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(33,721,551)</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(46,951,138)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Taxation</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9</w:t>
            </w:r>
          </w:p>
        </w:tc>
        <w:tc>
          <w:tcPr>
            <w:tcW w:w="540" w:type="dxa"/>
            <w:vAlign w:val="bottom"/>
          </w:tcPr>
          <w:p>
            <w:pPr>
              <w:spacing w:after="0"/>
              <w:rPr>
                <w:sz w:val="17"/>
                <w:szCs w:val="17"/>
                <w:color w:val="auto"/>
              </w:rPr>
            </w:pPr>
          </w:p>
        </w:tc>
        <w:tc>
          <w:tcPr>
            <w:tcW w:w="196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5,331,271</w:t>
            </w:r>
          </w:p>
        </w:tc>
        <w:tc>
          <w:tcPr>
            <w:tcW w:w="142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8,152,084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attributable to equity holders of the Company</w:t>
            </w: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(28,390,280)</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(38,799,054)</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loss for the year, attributable to the equity holders of the</w:t>
            </w: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6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(28,390,280)</w:t>
            </w:r>
          </w:p>
        </w:tc>
        <w:tc>
          <w:tcPr>
            <w:tcW w:w="142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(38,799,054)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60"/>
              <w:spacing w:after="0" w:line="203" w:lineRule="exact"/>
              <w:rPr>
                <w:sz w:val="20"/>
                <w:szCs w:val="20"/>
                <w:color w:val="auto"/>
              </w:rPr>
            </w:pPr>
            <w:r>
              <w:rPr>
                <w:rFonts w:ascii="Arial" w:cs="Arial" w:eastAsia="Arial" w:hAnsi="Arial"/>
                <w:sz w:val="18"/>
                <w:szCs w:val="18"/>
                <w:color w:val="auto"/>
              </w:rPr>
              <w:t>Company</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6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loss per share</w:t>
            </w:r>
          </w:p>
        </w:tc>
        <w:tc>
          <w:tcPr>
            <w:tcW w:w="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10</w:t>
            </w:r>
          </w:p>
        </w:tc>
        <w:tc>
          <w:tcPr>
            <w:tcW w:w="5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b w:val="1"/>
                <w:bCs w:val="1"/>
                <w:color w:val="auto"/>
              </w:rPr>
              <w:t>(0.63)</w:t>
            </w:r>
          </w:p>
        </w:tc>
        <w:tc>
          <w:tcPr>
            <w:tcW w:w="14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December 31, 2016 and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1120" w:type="dxa"/>
            <w:vAlign w:val="bottom"/>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104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120" w:type="dxa"/>
            <w:vAlign w:val="bottom"/>
          </w:tcPr>
          <w:p>
            <w:pPr>
              <w:jc w:val="right"/>
              <w:ind w:right="43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173,869</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153,361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12</w:t>
            </w:r>
          </w:p>
        </w:tc>
        <w:tc>
          <w:tcPr>
            <w:tcW w:w="2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25,812,941</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33,005,229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25,986,810</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33,158,590</w:t>
            </w: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Prepayments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1,102,146</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1,970,780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R&amp;D tax credits</w:t>
            </w:r>
          </w:p>
        </w:tc>
        <w:tc>
          <w:tcPr>
            <w:tcW w:w="400" w:type="dxa"/>
            <w:vAlign w:val="bottom"/>
          </w:tcPr>
          <w:p>
            <w:pPr>
              <w:jc w:val="center"/>
              <w:ind w:left="11"/>
              <w:spacing w:after="0" w:line="202" w:lineRule="exact"/>
              <w:rPr>
                <w:sz w:val="20"/>
                <w:szCs w:val="20"/>
                <w:color w:val="auto"/>
              </w:rPr>
            </w:pPr>
            <w:r>
              <w:rPr>
                <w:rFonts w:ascii="Arial" w:cs="Arial" w:eastAsia="Arial" w:hAnsi="Arial"/>
                <w:sz w:val="18"/>
                <w:szCs w:val="18"/>
                <w:color w:val="auto"/>
                <w:w w:val="99"/>
              </w:rPr>
              <w:t>9</w:t>
            </w:r>
          </w:p>
        </w:tc>
        <w:tc>
          <w:tcPr>
            <w:tcW w:w="2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5,331,271</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8,152,085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14</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767,009</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509,350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16</w:t>
            </w:r>
          </w:p>
        </w:tc>
        <w:tc>
          <w:tcPr>
            <w:tcW w:w="280" w:type="dxa"/>
            <w:vAlign w:val="bottom"/>
          </w:tcPr>
          <w:p>
            <w:pPr>
              <w:spacing w:after="0"/>
              <w:rPr>
                <w:sz w:val="17"/>
                <w:szCs w:val="17"/>
                <w:color w:val="auto"/>
              </w:rPr>
            </w:pPr>
          </w:p>
        </w:tc>
        <w:tc>
          <w:tcPr>
            <w:tcW w:w="13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15</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53,577,571</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50,044,672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60,777,997</w:t>
            </w:r>
          </w:p>
        </w:tc>
        <w:tc>
          <w:tcPr>
            <w:tcW w:w="3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63,176,887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86,764,807</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96,335,477</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193,022</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213,285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99,975,399</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118,226,956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Other capital reserves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12,667,562</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16,359,169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reserves</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7,000,000</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7,000,000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(40,579,241)</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(79,315,920)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79,256,742</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62,483,490</w:t>
            </w: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Provisions</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19</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1,172,424</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4,075,386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Interest bearing loans and borrowings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18</w:t>
            </w:r>
          </w:p>
        </w:tc>
        <w:tc>
          <w:tcPr>
            <w:tcW w:w="2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3,126,526</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18,812,511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20</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1,346,484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4,298,950</w:t>
            </w:r>
          </w:p>
        </w:tc>
        <w:tc>
          <w:tcPr>
            <w:tcW w:w="3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24,234,381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21</w:t>
            </w:r>
          </w:p>
        </w:tc>
        <w:tc>
          <w:tcPr>
            <w:tcW w:w="28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b w:val="1"/>
                <w:bCs w:val="1"/>
                <w:color w:val="auto"/>
              </w:rPr>
              <w:t>1,121,107</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3,024,026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Accruals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2,088,008</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4,379,774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400" w:type="dxa"/>
            <w:vAlign w:val="bottom"/>
          </w:tcPr>
          <w:p>
            <w:pPr>
              <w:jc w:val="center"/>
              <w:spacing w:after="0" w:line="202" w:lineRule="exact"/>
              <w:rPr>
                <w:sz w:val="20"/>
                <w:szCs w:val="20"/>
                <w:color w:val="auto"/>
              </w:rPr>
            </w:pPr>
            <w:r>
              <w:rPr>
                <w:rFonts w:ascii="Arial" w:cs="Arial" w:eastAsia="Arial" w:hAnsi="Arial"/>
                <w:sz w:val="18"/>
                <w:szCs w:val="18"/>
                <w:color w:val="auto"/>
                <w:w w:val="99"/>
              </w:rPr>
              <w:t>19</w:t>
            </w:r>
          </w:p>
        </w:tc>
        <w:tc>
          <w:tcPr>
            <w:tcW w:w="280" w:type="dxa"/>
            <w:vAlign w:val="bottom"/>
          </w:tcPr>
          <w:p>
            <w:pPr>
              <w:spacing w:after="0"/>
              <w:rPr>
                <w:sz w:val="17"/>
                <w:szCs w:val="17"/>
                <w:color w:val="auto"/>
              </w:rPr>
            </w:pPr>
          </w:p>
        </w:tc>
        <w:tc>
          <w:tcPr>
            <w:tcW w:w="13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274,000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bearing loans and borrowings</w:t>
            </w:r>
          </w:p>
        </w:tc>
        <w:tc>
          <w:tcPr>
            <w:tcW w:w="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18</w:t>
            </w: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1,939,806</w:t>
            </w:r>
          </w:p>
        </w:tc>
        <w:tc>
          <w:tcPr>
            <w:tcW w:w="0" w:type="dxa"/>
            <w:vAlign w:val="bottom"/>
          </w:tcPr>
          <w:p>
            <w:pPr>
              <w:spacing w:after="0"/>
              <w:rPr>
                <w:sz w:val="1"/>
                <w:szCs w:val="1"/>
                <w:color w:val="auto"/>
              </w:rPr>
            </w:pPr>
          </w:p>
        </w:tc>
      </w:tr>
      <w:tr>
        <w:trPr>
          <w:trHeight w:val="217"/>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7,508,065</w:t>
            </w:r>
          </w:p>
        </w:tc>
        <w:tc>
          <w:tcPr>
            <w:tcW w:w="3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33,851,987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 and liabilities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86,764,807</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96,335,477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and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1080" w:type="dxa"/>
            <w:vAlign w:val="bottom"/>
          </w:tcPr>
          <w:p>
            <w:pPr>
              <w:jc w:val="right"/>
              <w:ind w:right="41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1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activities</w:t>
            </w:r>
          </w:p>
        </w:tc>
        <w:tc>
          <w:tcPr>
            <w:tcW w:w="4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Loss before tax</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rPr>
              <w:t>(33,721,551)</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(46,951,138)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loss before tax to net cash flows: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Depreciation of property, plant and equipment, net of disposals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11</w:t>
            </w:r>
          </w:p>
        </w:tc>
        <w:tc>
          <w:tcPr>
            <w:tcW w:w="260" w:type="dxa"/>
            <w:vAlign w:val="bottom"/>
          </w:tcPr>
          <w:p>
            <w:pPr>
              <w:spacing w:after="0"/>
              <w:rPr>
                <w:sz w:val="17"/>
                <w:szCs w:val="17"/>
                <w:color w:val="auto"/>
              </w:rPr>
            </w:pPr>
          </w:p>
        </w:tc>
        <w:tc>
          <w:tcPr>
            <w:tcW w:w="14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32,940</w:t>
            </w: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36,076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Share-based payment expense</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24</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6,494,018</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3,651,898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Net foreign exchange (gain)/loss</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rPr>
              <w:t>(2,262,626)</w:t>
            </w: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1,384,225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Provision for social security contributions on employee share options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1,031,109</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1,115,966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Interest earned</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7"/>
                <w:szCs w:val="17"/>
                <w:color w:val="auto"/>
              </w:rPr>
            </w:pP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rPr>
              <w:t>(374,906)</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(826,855)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Loss on short-term deposits</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338,279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Accrued interest on convertible loan</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179,765</w:t>
            </w:r>
          </w:p>
        </w:tc>
        <w:tc>
          <w:tcPr>
            <w:tcW w:w="3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103,115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Transaction costs on bank loan</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Interest on bank loan</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7"/>
                <w:szCs w:val="17"/>
                <w:color w:val="auto"/>
              </w:rPr>
            </w:pPr>
          </w:p>
        </w:tc>
        <w:tc>
          <w:tcPr>
            <w:tcW w:w="14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327,123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Accreted interest on bank loan</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66,935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Warrant fair value adjustment</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7"/>
                <w:szCs w:val="17"/>
                <w:color w:val="auto"/>
              </w:rPr>
            </w:pPr>
          </w:p>
        </w:tc>
        <w:tc>
          <w:tcPr>
            <w:tcW w:w="14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54,473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adjustments: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Increase in receivables</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ind w:right="280"/>
              <w:spacing w:after="0" w:line="202" w:lineRule="exact"/>
              <w:rPr>
                <w:sz w:val="20"/>
                <w:szCs w:val="20"/>
                <w:color w:val="auto"/>
              </w:rPr>
            </w:pPr>
            <w:r>
              <w:rPr>
                <w:rFonts w:ascii="Arial" w:cs="Arial" w:eastAsia="Arial" w:hAnsi="Arial"/>
                <w:sz w:val="18"/>
                <w:szCs w:val="18"/>
                <w:b w:val="1"/>
                <w:bCs w:val="1"/>
                <w:color w:val="auto"/>
              </w:rPr>
              <w:t>(1,219,202)</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(839,751)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(Decrease)/Increase in payables and accruals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(768,402)</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3,860,412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ind w:left="340"/>
              <w:spacing w:after="0" w:line="202" w:lineRule="exact"/>
              <w:rPr>
                <w:sz w:val="20"/>
                <w:szCs w:val="20"/>
                <w:color w:val="auto"/>
              </w:rPr>
            </w:pPr>
            <w:r>
              <w:rPr>
                <w:rFonts w:ascii="Arial" w:cs="Arial" w:eastAsia="Arial" w:hAnsi="Arial"/>
                <w:sz w:val="18"/>
                <w:szCs w:val="18"/>
                <w:color w:val="auto"/>
              </w:rPr>
              <w:t>Tax credit received</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946,681</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5,331,271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flows used in operating activities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(29,662,174)</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(32,147,971)</w:t>
            </w: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property, plant and equipment</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(3,467)</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(15,568)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Purchase of licence</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12</w:t>
            </w:r>
          </w:p>
        </w:tc>
        <w:tc>
          <w:tcPr>
            <w:tcW w:w="260" w:type="dxa"/>
            <w:vAlign w:val="bottom"/>
          </w:tcPr>
          <w:p>
            <w:pPr>
              <w:spacing w:after="0"/>
              <w:rPr>
                <w:sz w:val="17"/>
                <w:szCs w:val="17"/>
                <w:color w:val="auto"/>
              </w:rPr>
            </w:pPr>
          </w:p>
        </w:tc>
        <w:tc>
          <w:tcPr>
            <w:tcW w:w="14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(2,280,000)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 of property, plant and equipment</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1,175</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16</w:t>
            </w:r>
          </w:p>
        </w:tc>
        <w:tc>
          <w:tcPr>
            <w:tcW w:w="260" w:type="dxa"/>
            <w:vAlign w:val="bottom"/>
          </w:tcPr>
          <w:p>
            <w:pPr>
              <w:spacing w:after="0"/>
              <w:rPr>
                <w:sz w:val="17"/>
                <w:szCs w:val="17"/>
                <w:color w:val="auto"/>
              </w:rPr>
            </w:pPr>
          </w:p>
        </w:tc>
        <w:tc>
          <w:tcPr>
            <w:tcW w:w="14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earned</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374,906</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1,051,620</w:t>
            </w:r>
          </w:p>
        </w:tc>
        <w:tc>
          <w:tcPr>
            <w:tcW w:w="0" w:type="dxa"/>
            <w:vAlign w:val="bottom"/>
          </w:tcPr>
          <w:p>
            <w:pPr>
              <w:spacing w:after="0"/>
              <w:rPr>
                <w:sz w:val="1"/>
                <w:szCs w:val="1"/>
                <w:color w:val="auto"/>
              </w:rPr>
            </w:pPr>
          </w:p>
        </w:tc>
      </w:tr>
      <w:tr>
        <w:trPr>
          <w:trHeight w:val="217"/>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 investing activities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372,614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(3,743,948)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Proceeds from issue of ordinary shares</w:t>
            </w:r>
          </w:p>
        </w:tc>
        <w:tc>
          <w:tcPr>
            <w:tcW w:w="420" w:type="dxa"/>
            <w:vAlign w:val="bottom"/>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6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67,888,820</w:t>
            </w:r>
          </w:p>
        </w:tc>
        <w:tc>
          <w:tcPr>
            <w:tcW w:w="3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15,000,000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costs on issue of ordinary shares</w:t>
            </w:r>
          </w:p>
        </w:tc>
        <w:tc>
          <w:tcPr>
            <w:tcW w:w="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17</w:t>
            </w: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(2,995,864)</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(729,632)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Proceeds from issue of convertible loan</w:t>
            </w:r>
          </w:p>
        </w:tc>
        <w:tc>
          <w:tcPr>
            <w:tcW w:w="68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18a</w:t>
            </w:r>
          </w:p>
        </w:tc>
        <w:tc>
          <w:tcPr>
            <w:tcW w:w="14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3,463,563</w:t>
            </w: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issue of bank loan</w:t>
            </w:r>
          </w:p>
        </w:tc>
        <w:tc>
          <w:tcPr>
            <w:tcW w:w="68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18b</w:t>
            </w:r>
          </w:p>
        </w:tc>
        <w:tc>
          <w:tcPr>
            <w:tcW w:w="14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20,000,000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Transaction costs on bank loan</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paid on bank loan</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(327,123)</w:t>
            </w:r>
          </w:p>
        </w:tc>
        <w:tc>
          <w:tcPr>
            <w:tcW w:w="0" w:type="dxa"/>
            <w:vAlign w:val="bottom"/>
          </w:tcPr>
          <w:p>
            <w:pPr>
              <w:spacing w:after="0"/>
              <w:rPr>
                <w:sz w:val="1"/>
                <w:szCs w:val="1"/>
                <w:color w:val="auto"/>
              </w:rPr>
            </w:pPr>
          </w:p>
        </w:tc>
      </w:tr>
      <w:tr>
        <w:trPr>
          <w:trHeight w:val="217"/>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68,356,519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33,743,245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cash and cash equivalents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39,066,959</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(2,148,674)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January 1</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12,247,986</w:t>
            </w:r>
          </w:p>
        </w:tc>
        <w:tc>
          <w:tcPr>
            <w:tcW w:w="32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53,577,571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rates changes on cash and cash equivalents</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2,262,626</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(1,384,225)</w:t>
            </w: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December 31</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2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53,577,571</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50,044,672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and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Issued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 capital</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capital</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premium</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reserves</w:t>
            </w:r>
          </w:p>
        </w:tc>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Other</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reserves £</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140" w:type="dxa"/>
            <w:vAlign w:val="bottom"/>
          </w:tcPr>
          <w:p>
            <w:pPr>
              <w:jc w:val="right"/>
              <w:ind w:right="45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2016</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59,221</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26,212,880</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21,660,105</w:t>
            </w:r>
          </w:p>
        </w:tc>
        <w:tc>
          <w:tcPr>
            <w:tcW w:w="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(12,188,961)</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35,743,245</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Total comprehensive loss for the year</w:t>
            </w:r>
          </w:p>
        </w:tc>
        <w:tc>
          <w:tcPr>
            <w:tcW w:w="920" w:type="dxa"/>
            <w:vAlign w:val="bottom"/>
            <w:gridSpan w:val="3"/>
          </w:tcPr>
          <w:p>
            <w:pPr>
              <w:ind w:left="48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(28,390,280)</w:t>
            </w:r>
          </w:p>
        </w:tc>
        <w:tc>
          <w:tcPr>
            <w:tcW w:w="1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(28,390,280)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 of share capital (Note 17)</w:t>
            </w: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107,709</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67,781,112</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67,888,821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Share-based payments – share options (Note</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24)</w:t>
            </w:r>
          </w:p>
        </w:tc>
        <w:tc>
          <w:tcPr>
            <w:tcW w:w="920" w:type="dxa"/>
            <w:vAlign w:val="bottom"/>
            <w:gridSpan w:val="3"/>
          </w:tcPr>
          <w:p>
            <w:pPr>
              <w:ind w:left="480"/>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6,185,067</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6,185,067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 LTIPS (Note 24)</w:t>
            </w:r>
          </w:p>
        </w:tc>
        <w:tc>
          <w:tcPr>
            <w:tcW w:w="920" w:type="dxa"/>
            <w:vAlign w:val="bottom"/>
            <w:gridSpan w:val="3"/>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133,601</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133,601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Share-based payments – deferred bonus shares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160"/>
              <w:spacing w:after="0" w:line="203" w:lineRule="exact"/>
              <w:rPr>
                <w:sz w:val="20"/>
                <w:szCs w:val="20"/>
                <w:color w:val="auto"/>
              </w:rPr>
            </w:pPr>
            <w:r>
              <w:rPr>
                <w:rFonts w:ascii="Arial" w:cs="Arial" w:eastAsia="Arial" w:hAnsi="Arial"/>
                <w:sz w:val="18"/>
                <w:szCs w:val="18"/>
                <w:color w:val="auto"/>
              </w:rPr>
              <w:t>(Note 24)</w:t>
            </w:r>
          </w:p>
        </w:tc>
        <w:tc>
          <w:tcPr>
            <w:tcW w:w="920" w:type="dxa"/>
            <w:vAlign w:val="bottom"/>
            <w:gridSpan w:val="3"/>
          </w:tcPr>
          <w:p>
            <w:pPr>
              <w:ind w:left="480"/>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175,350</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175,350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 of share capital (Note 17)</w:t>
            </w: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26,092</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15,977,271</w:t>
            </w:r>
          </w:p>
        </w:tc>
        <w:tc>
          <w:tcPr>
            <w:tcW w:w="13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(16,003,363)</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Equity element of convertible loan (Note 18a)</w:t>
            </w:r>
          </w:p>
        </w:tc>
        <w:tc>
          <w:tcPr>
            <w:tcW w:w="920" w:type="dxa"/>
            <w:vAlign w:val="bottom"/>
            <w:gridSpan w:val="3"/>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516,802</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516,802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capital reduction (Note 17)</w:t>
            </w:r>
          </w:p>
        </w:tc>
        <w:tc>
          <w:tcPr>
            <w:tcW w:w="920" w:type="dxa"/>
            <w:vAlign w:val="bottom"/>
            <w:gridSpan w:val="3"/>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(7,000,000)</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7,000,000</w:t>
            </w: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Transaction costs on issuance of share capital</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160"/>
              <w:spacing w:after="0" w:line="203" w:lineRule="exact"/>
              <w:rPr>
                <w:sz w:val="20"/>
                <w:szCs w:val="20"/>
                <w:color w:val="auto"/>
              </w:rPr>
            </w:pPr>
            <w:r>
              <w:rPr>
                <w:rFonts w:ascii="Arial" w:cs="Arial" w:eastAsia="Arial" w:hAnsi="Arial"/>
                <w:sz w:val="18"/>
                <w:szCs w:val="18"/>
                <w:color w:val="auto"/>
              </w:rPr>
              <w:t>(Note 17)</w:t>
            </w:r>
          </w:p>
        </w:tc>
        <w:tc>
          <w:tcPr>
            <w:tcW w:w="760" w:type="dxa"/>
            <w:vAlign w:val="bottom"/>
          </w:tcPr>
          <w:p>
            <w:pPr>
              <w:ind w:left="480"/>
              <w:spacing w:after="0" w:line="203" w:lineRule="exact"/>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7"/>
                <w:szCs w:val="17"/>
                <w:color w:val="auto"/>
              </w:rPr>
            </w:pPr>
          </w:p>
        </w:tc>
        <w:tc>
          <w:tcPr>
            <w:tcW w:w="14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(2,995,864)</w:t>
            </w:r>
          </w:p>
        </w:tc>
        <w:tc>
          <w:tcPr>
            <w:tcW w:w="13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(2,995,864)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193,022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99,975,399</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12,667,562</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b w:val="1"/>
                <w:bCs w:val="1"/>
                <w:color w:val="auto"/>
              </w:rPr>
              <w:t>7,000,000</w:t>
            </w: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(40,579,241)</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79,256,742</w:t>
            </w:r>
          </w:p>
        </w:tc>
        <w:tc>
          <w:tcPr>
            <w:tcW w:w="0" w:type="dxa"/>
            <w:vAlign w:val="bottom"/>
          </w:tcPr>
          <w:p>
            <w:pPr>
              <w:spacing w:after="0"/>
              <w:rPr>
                <w:sz w:val="1"/>
                <w:szCs w:val="1"/>
                <w:color w:val="auto"/>
              </w:rPr>
            </w:pPr>
          </w:p>
        </w:tc>
      </w:tr>
      <w:tr>
        <w:trPr>
          <w:trHeight w:val="20"/>
        </w:trPr>
        <w:tc>
          <w:tcPr>
            <w:tcW w:w="400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Total comprehensive loss for the year</w:t>
            </w:r>
          </w:p>
        </w:tc>
        <w:tc>
          <w:tcPr>
            <w:tcW w:w="920" w:type="dxa"/>
            <w:vAlign w:val="bottom"/>
            <w:gridSpan w:val="3"/>
          </w:tcPr>
          <w:p>
            <w:pPr>
              <w:ind w:left="48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660"/>
              <w:spacing w:after="0" w:line="196"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(38,799,054)</w:t>
            </w:r>
          </w:p>
        </w:tc>
        <w:tc>
          <w:tcPr>
            <w:tcW w:w="1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(38,799,054)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payments – share options (Note</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24)</w:t>
            </w:r>
          </w:p>
        </w:tc>
        <w:tc>
          <w:tcPr>
            <w:tcW w:w="920" w:type="dxa"/>
            <w:vAlign w:val="bottom"/>
            <w:gridSpan w:val="3"/>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3,027,963</w:t>
            </w:r>
          </w:p>
        </w:tc>
        <w:tc>
          <w:tcPr>
            <w:tcW w:w="1100" w:type="dxa"/>
            <w:vAlign w:val="bottom"/>
            <w:gridSpan w:val="2"/>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3,027,963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Share-based payments – LTIP (Note 24)</w:t>
            </w:r>
          </w:p>
        </w:tc>
        <w:tc>
          <w:tcPr>
            <w:tcW w:w="920" w:type="dxa"/>
            <w:vAlign w:val="bottom"/>
            <w:gridSpan w:val="3"/>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298,287</w:t>
            </w:r>
          </w:p>
        </w:tc>
        <w:tc>
          <w:tcPr>
            <w:tcW w:w="240" w:type="dxa"/>
            <w:vAlign w:val="bottom"/>
          </w:tcPr>
          <w:p>
            <w:pPr>
              <w:spacing w:after="0"/>
              <w:rPr>
                <w:sz w:val="17"/>
                <w:szCs w:val="17"/>
                <w:color w:val="auto"/>
              </w:rPr>
            </w:pPr>
          </w:p>
        </w:tc>
        <w:tc>
          <w:tcPr>
            <w:tcW w:w="11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298,287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 DBSP (Note 24)</w:t>
            </w:r>
          </w:p>
        </w:tc>
        <w:tc>
          <w:tcPr>
            <w:tcW w:w="920" w:type="dxa"/>
            <w:vAlign w:val="bottom"/>
            <w:gridSpan w:val="3"/>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325,648</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325,648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Share-based payments – Deferred equity</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160"/>
              <w:spacing w:after="0" w:line="203" w:lineRule="exact"/>
              <w:rPr>
                <w:sz w:val="20"/>
                <w:szCs w:val="20"/>
                <w:color w:val="auto"/>
              </w:rPr>
            </w:pPr>
            <w:r>
              <w:rPr>
                <w:rFonts w:ascii="Arial" w:cs="Arial" w:eastAsia="Arial" w:hAnsi="Arial"/>
                <w:sz w:val="18"/>
                <w:szCs w:val="18"/>
                <w:color w:val="auto"/>
              </w:rPr>
              <w:t>consideration (Note 24)</w:t>
            </w:r>
          </w:p>
        </w:tc>
        <w:tc>
          <w:tcPr>
            <w:tcW w:w="920" w:type="dxa"/>
            <w:vAlign w:val="bottom"/>
            <w:gridSpan w:val="3"/>
          </w:tcPr>
          <w:p>
            <w:pPr>
              <w:ind w:left="480"/>
              <w:spacing w:after="0" w:line="203"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1,331,288</w:t>
            </w:r>
          </w:p>
        </w:tc>
        <w:tc>
          <w:tcPr>
            <w:tcW w:w="1100" w:type="dxa"/>
            <w:vAlign w:val="bottom"/>
            <w:gridSpan w:val="2"/>
          </w:tcPr>
          <w:p>
            <w:pPr>
              <w:ind w:left="66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1,331,288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 of share capital on April, 4 2017 (Note 17)</w:t>
            </w: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15,125</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14,984,875</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Issue of share capital on conversion of loan note</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ind w:left="160"/>
              <w:spacing w:after="0" w:line="203" w:lineRule="exact"/>
              <w:rPr>
                <w:sz w:val="20"/>
                <w:szCs w:val="20"/>
                <w:color w:val="auto"/>
              </w:rPr>
            </w:pPr>
            <w:r>
              <w:rPr>
                <w:rFonts w:ascii="Arial" w:cs="Arial" w:eastAsia="Arial" w:hAnsi="Arial"/>
                <w:sz w:val="18"/>
                <w:szCs w:val="18"/>
                <w:color w:val="auto"/>
              </w:rPr>
              <w:t>(Note 17)</w:t>
            </w:r>
          </w:p>
        </w:tc>
        <w:tc>
          <w:tcPr>
            <w:tcW w:w="7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1,899</w:t>
            </w:r>
          </w:p>
        </w:tc>
        <w:tc>
          <w:tcPr>
            <w:tcW w:w="140" w:type="dxa"/>
            <w:vAlign w:val="bottom"/>
          </w:tcPr>
          <w:p>
            <w:pPr>
              <w:spacing w:after="0"/>
              <w:rPr>
                <w:sz w:val="17"/>
                <w:szCs w:val="17"/>
                <w:color w:val="auto"/>
              </w:rPr>
            </w:pPr>
          </w:p>
        </w:tc>
        <w:tc>
          <w:tcPr>
            <w:tcW w:w="14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1,396,654</w:t>
            </w:r>
          </w:p>
        </w:tc>
        <w:tc>
          <w:tcPr>
            <w:tcW w:w="13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66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1,398,553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 of share capital for Novartis bonus shares</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(Note 17)</w:t>
            </w:r>
          </w:p>
        </w:tc>
        <w:tc>
          <w:tcPr>
            <w:tcW w:w="7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1,766</w:t>
            </w: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1,081,133</w:t>
            </w:r>
          </w:p>
        </w:tc>
        <w:tc>
          <w:tcPr>
            <w:tcW w:w="13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(1,082,899)</w:t>
            </w:r>
          </w:p>
        </w:tc>
        <w:tc>
          <w:tcPr>
            <w:tcW w:w="1100" w:type="dxa"/>
            <w:vAlign w:val="bottom"/>
            <w:gridSpan w:val="2"/>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Equity element of convertible loan (Note 18a)</w:t>
            </w:r>
          </w:p>
        </w:tc>
        <w:tc>
          <w:tcPr>
            <w:tcW w:w="920" w:type="dxa"/>
            <w:vAlign w:val="bottom"/>
            <w:gridSpan w:val="3"/>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(208,680)</w:t>
            </w:r>
          </w:p>
        </w:tc>
        <w:tc>
          <w:tcPr>
            <w:tcW w:w="11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(208,680)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convertible loan (Note 18a)</w:t>
            </w:r>
          </w:p>
        </w:tc>
        <w:tc>
          <w:tcPr>
            <w:tcW w:w="920" w:type="dxa"/>
            <w:vAlign w:val="bottom"/>
            <w:gridSpan w:val="3"/>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62,375</w:t>
            </w:r>
          </w:p>
        </w:tc>
        <w:tc>
          <w:tcPr>
            <w:tcW w:w="12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62,375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Issue of share capital on October, 31 2017 (Note</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17)</w:t>
            </w:r>
          </w:p>
        </w:tc>
        <w:tc>
          <w:tcPr>
            <w:tcW w:w="7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1,473</w:t>
            </w:r>
          </w:p>
        </w:tc>
        <w:tc>
          <w:tcPr>
            <w:tcW w:w="140" w:type="dxa"/>
            <w:vAlign w:val="bottom"/>
          </w:tcPr>
          <w:p>
            <w:pPr>
              <w:spacing w:after="0"/>
              <w:rPr>
                <w:sz w:val="17"/>
                <w:szCs w:val="17"/>
                <w:color w:val="auto"/>
              </w:rPr>
            </w:pPr>
          </w:p>
        </w:tc>
        <w:tc>
          <w:tcPr>
            <w:tcW w:w="14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1,518,527</w:t>
            </w:r>
          </w:p>
        </w:tc>
        <w:tc>
          <w:tcPr>
            <w:tcW w:w="13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tcPr>
          <w:p>
            <w:pPr>
              <w:ind w:left="66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1,520,000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 costs on issuance of share capital</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(Note 17)</w:t>
            </w:r>
          </w:p>
        </w:tc>
        <w:tc>
          <w:tcPr>
            <w:tcW w:w="760" w:type="dxa"/>
            <w:vAlign w:val="bottom"/>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(729,632)</w:t>
            </w:r>
          </w:p>
        </w:tc>
        <w:tc>
          <w:tcPr>
            <w:tcW w:w="13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(729,632)</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2017</w:t>
            </w: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118,226,956</w:t>
            </w:r>
          </w:p>
        </w:tc>
        <w:tc>
          <w:tcPr>
            <w:tcW w:w="1100" w:type="dxa"/>
            <w:vAlign w:val="bottom"/>
          </w:tcPr>
          <w:p>
            <w:pPr>
              <w:jc w:val="right"/>
              <w:spacing w:after="0"/>
              <w:rPr>
                <w:sz w:val="20"/>
                <w:szCs w:val="20"/>
                <w:color w:val="auto"/>
              </w:rPr>
            </w:pPr>
            <w:r>
              <w:rPr>
                <w:rFonts w:ascii="Arial" w:cs="Arial" w:eastAsia="Arial" w:hAnsi="Arial"/>
                <w:sz w:val="18"/>
                <w:szCs w:val="18"/>
                <w:color w:val="auto"/>
              </w:rPr>
              <w:t>16,359,169</w:t>
            </w:r>
          </w:p>
        </w:tc>
        <w:tc>
          <w:tcPr>
            <w:tcW w:w="2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7,000,000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(79,315,920)</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62,483,490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Corporate information</w:t>
      </w:r>
    </w:p>
    <w:p>
      <w:pPr>
        <w:spacing w:after="0" w:line="126" w:lineRule="exact"/>
        <w:rPr>
          <w:sz w:val="20"/>
          <w:szCs w:val="20"/>
          <w:color w:val="auto"/>
        </w:rPr>
      </w:pPr>
    </w:p>
    <w:p>
      <w:pPr>
        <w:ind w:right="300" w:firstLine="456"/>
        <w:spacing w:after="0" w:line="246" w:lineRule="auto"/>
        <w:rPr>
          <w:sz w:val="20"/>
          <w:szCs w:val="20"/>
          <w:color w:val="auto"/>
        </w:rPr>
      </w:pPr>
      <w:r>
        <w:rPr>
          <w:rFonts w:ascii="Arial" w:cs="Arial" w:eastAsia="Arial" w:hAnsi="Arial"/>
          <w:sz w:val="18"/>
          <w:szCs w:val="18"/>
          <w:color w:val="auto"/>
        </w:rPr>
        <w:t>Mereo BioPharma Group plc (the “Company”) is multi-asset biopharmaceutical company focused on the acquisition, development and commercialization of innovative therapeutics that aim to improve outcomes for patients with rare and specialty diseases.</w:t>
      </w:r>
    </w:p>
    <w:p>
      <w:pPr>
        <w:spacing w:after="0" w:line="197"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We are a public limited company incorporated and domiciled in the United Kingdom, and registered in England, with our shares publicly traded on the Alternative Investment Market of the London Stock Exchange. Our registered office is located at Fourth Floor, 1 Cavendish Place, London W1G 0QF.</w:t>
      </w:r>
    </w:p>
    <w:p>
      <w:pPr>
        <w:spacing w:after="0" w:line="203" w:lineRule="exact"/>
        <w:rPr>
          <w:sz w:val="20"/>
          <w:szCs w:val="20"/>
          <w:color w:val="auto"/>
        </w:rPr>
      </w:pPr>
    </w:p>
    <w:p>
      <w:pPr>
        <w:ind w:right="260" w:firstLine="456"/>
        <w:spacing w:after="0" w:line="246" w:lineRule="auto"/>
        <w:rPr>
          <w:sz w:val="20"/>
          <w:szCs w:val="20"/>
          <w:color w:val="auto"/>
        </w:rPr>
      </w:pPr>
      <w:r>
        <w:rPr>
          <w:rFonts w:ascii="Arial" w:cs="Arial" w:eastAsia="Arial" w:hAnsi="Arial"/>
          <w:sz w:val="18"/>
          <w:szCs w:val="18"/>
          <w:color w:val="auto"/>
        </w:rPr>
        <w:t>The consolidated financial statements of Mereo BioPharma Group plc and its subsidiaries (collectively, the “Group”) for the year ended December 31, 2017 were authorised for issue in accordance with a resolution of the Directors on February 26, 2017.</w:t>
      </w:r>
    </w:p>
    <w:p>
      <w:pPr>
        <w:spacing w:after="0" w:line="283" w:lineRule="exact"/>
        <w:rPr>
          <w:sz w:val="20"/>
          <w:szCs w:val="20"/>
          <w:color w:val="auto"/>
        </w:rPr>
      </w:pPr>
    </w:p>
    <w:p>
      <w:pPr>
        <w:ind w:left="200" w:hanging="192"/>
        <w:spacing w:after="0"/>
        <w:tabs>
          <w:tab w:leader="none" w:pos="2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0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2.1 Basis of preparation</w:t>
      </w:r>
    </w:p>
    <w:p>
      <w:pPr>
        <w:spacing w:after="0" w:line="126" w:lineRule="exact"/>
        <w:rPr>
          <w:sz w:val="20"/>
          <w:szCs w:val="20"/>
          <w:color w:val="auto"/>
        </w:rPr>
      </w:pPr>
    </w:p>
    <w:p>
      <w:pPr>
        <w:ind w:right="260" w:firstLine="456"/>
        <w:spacing w:after="0" w:line="246" w:lineRule="auto"/>
        <w:rPr>
          <w:sz w:val="20"/>
          <w:szCs w:val="20"/>
          <w:color w:val="auto"/>
        </w:rPr>
      </w:pPr>
      <w:r>
        <w:rPr>
          <w:rFonts w:ascii="Arial" w:cs="Arial" w:eastAsia="Arial" w:hAnsi="Arial"/>
          <w:sz w:val="18"/>
          <w:szCs w:val="18"/>
          <w:color w:val="auto"/>
        </w:rPr>
        <w:t>The consolidated financial statements have been prepared in accordance with International Financial Reporting Standards (“IFRS”) as issued by the International Accounting Standards Board (“IASB”).</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financial statements are presented in pounds sterling (“Sterling”).</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 Revision of previously issued financial statements</w:t>
      </w:r>
    </w:p>
    <w:p>
      <w:pPr>
        <w:spacing w:after="0" w:line="126" w:lineRule="exact"/>
        <w:rPr>
          <w:sz w:val="20"/>
          <w:szCs w:val="20"/>
          <w:color w:val="auto"/>
        </w:rPr>
      </w:pPr>
    </w:p>
    <w:p>
      <w:pPr>
        <w:jc w:val="both"/>
        <w:ind w:right="680"/>
        <w:spacing w:after="0"/>
        <w:rPr>
          <w:sz w:val="20"/>
          <w:szCs w:val="20"/>
          <w:color w:val="auto"/>
        </w:rPr>
      </w:pPr>
      <w:r>
        <w:rPr>
          <w:rFonts w:ascii="Arial" w:cs="Arial" w:eastAsia="Arial" w:hAnsi="Arial"/>
          <w:sz w:val="18"/>
          <w:szCs w:val="18"/>
          <w:color w:val="auto"/>
        </w:rPr>
        <w:t>We have reclassified the capital reduction undertaken in 2016 resulting in the reduction of the accumulated loss by £7.0 million and the crediting a new Other reserves by the same amount as set out in the Consolidated balance sheet and in the Consolidated statement of changes in equity.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2.3 Going concern</w:t>
      </w:r>
    </w:p>
    <w:p>
      <w:pPr>
        <w:spacing w:after="0" w:line="126" w:lineRule="exact"/>
        <w:rPr>
          <w:sz w:val="20"/>
          <w:szCs w:val="20"/>
          <w:color w:val="auto"/>
        </w:rPr>
      </w:pPr>
    </w:p>
    <w:p>
      <w:pPr>
        <w:ind w:right="320" w:firstLine="456"/>
        <w:spacing w:after="0" w:line="239" w:lineRule="auto"/>
        <w:rPr>
          <w:sz w:val="20"/>
          <w:szCs w:val="20"/>
          <w:color w:val="auto"/>
        </w:rPr>
      </w:pPr>
      <w:r>
        <w:rPr>
          <w:rFonts w:ascii="Arial" w:cs="Arial" w:eastAsia="Arial" w:hAnsi="Arial"/>
          <w:sz w:val="18"/>
          <w:szCs w:val="18"/>
          <w:color w:val="auto"/>
        </w:rPr>
        <w:t>Though the Group continues to incur losses, the Directors believe it is appropriate to prepare the financial information on the going concern basis. This is because the Group’s development of its products continues to progress according to plan and the funding secured to date will allow it to meet its liabilities as they fall due for at least 12 months from the date of authorisation for the issue of these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2.4 Basis of consolidation</w:t>
      </w:r>
    </w:p>
    <w:p>
      <w:pPr>
        <w:spacing w:after="0" w:line="126" w:lineRule="exact"/>
        <w:rPr>
          <w:sz w:val="20"/>
          <w:szCs w:val="20"/>
          <w:color w:val="auto"/>
        </w:rPr>
      </w:pPr>
    </w:p>
    <w:p>
      <w:pPr>
        <w:ind w:right="20" w:firstLine="456"/>
        <w:spacing w:after="0"/>
        <w:rPr>
          <w:sz w:val="20"/>
          <w:szCs w:val="20"/>
          <w:color w:val="auto"/>
        </w:rPr>
      </w:pPr>
      <w:r>
        <w:rPr>
          <w:rFonts w:ascii="Arial" w:cs="Arial" w:eastAsia="Arial" w:hAnsi="Arial"/>
          <w:sz w:val="18"/>
          <w:szCs w:val="18"/>
          <w:color w:val="auto"/>
        </w:rPr>
        <w:t>The consolidated financial information comprises the financial statements of Mereo BioPharma Group plc and its subsidiaries as at December 31, 2017. Subsidiaries are all entities over which the Group has control. The Group controls an entity when the Group is exposed to, or has rights to, variable returns from its involvement with the entity and has the ability to affect those returns through its power over the entity.</w:t>
      </w:r>
    </w:p>
    <w:p>
      <w:pPr>
        <w:spacing w:after="0" w:line="203"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Subsidiaries are fully consolidated from the date on which control is transferred to the Group. They are deconsolidated from the date that control ceases. Intercompany transactions, balances and unrealised gains on transactions between Group companies are eliminated in preparing the consolidated financial statements. Accounting policies of subsidiaries are consistent with the policies adopted by the Group.</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The Group has an employee share trust to facilitate share transactions pursuant to certain employee share plans. Although the trust is a separate legal entity from the Group, it is consolidated into the Group’s results in accordance with the IFRS 10 “Consolidated Financial Statements” rules on special purpose vehicles. The Group is deemed to control the trust principally because the trust cannot operate without the funding the Group provides.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Group subsidiaries prepare yearly financial information to December 31 consistent with the Company.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2.5 Changes of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Segment reporting</w:t>
      </w:r>
    </w:p>
    <w:p>
      <w:pPr>
        <w:spacing w:after="0" w:line="122"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Effective in the third quarter of 2017 and following the completion of the exclusive license agreement with AstraZeneca for AZD- 9668, the Company has revised its policy and now reports as a single operating segment (See Note 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Other reserves</w:t>
      </w:r>
    </w:p>
    <w:p>
      <w:pPr>
        <w:spacing w:after="0" w:line="122" w:lineRule="exact"/>
        <w:rPr>
          <w:sz w:val="20"/>
          <w:szCs w:val="20"/>
          <w:color w:val="auto"/>
        </w:rPr>
      </w:pPr>
    </w:p>
    <w:p>
      <w:pPr>
        <w:ind w:right="160" w:firstLine="456"/>
        <w:spacing w:after="0" w:line="246" w:lineRule="auto"/>
        <w:rPr>
          <w:sz w:val="20"/>
          <w:szCs w:val="20"/>
          <w:color w:val="auto"/>
        </w:rPr>
      </w:pPr>
      <w:r>
        <w:rPr>
          <w:rFonts w:ascii="Arial" w:cs="Arial" w:eastAsia="Arial" w:hAnsi="Arial"/>
          <w:sz w:val="18"/>
          <w:szCs w:val="18"/>
          <w:color w:val="auto"/>
        </w:rPr>
        <w:t>Other reserves arose on reduction of share premium. These reserves are available for distribution to shareholders in the future at a time when the Company has sufficient accumulated realized profits to make a distribution.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2.6 Summary of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Taxation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Current income tax</w:t>
      </w:r>
    </w:p>
    <w:p>
      <w:pPr>
        <w:spacing w:after="0" w:line="122"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Current income tax assets and liabilities are measured at the amount expected to be recovered from or paid to the taxation authorities, and include R&amp;D tax credits receivable under the HM Revenue and Customs (“HMRC”) small or medium enterprise (“SME”) scheme, which provides additional taxation relief for qualifying expenditure on R&amp;D activities, and allows for the surrender of tax losses in exchange for a cash payment from HMRC.</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Current income tax relating to items recognized directly in equity is recognized in equity and not in the statement of comprehensive loss.</w:t>
      </w:r>
    </w:p>
    <w:p>
      <w:pPr>
        <w:spacing w:after="0" w:line="3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credit</w:t>
      </w:r>
    </w:p>
    <w:p>
      <w:pPr>
        <w:spacing w:after="0" w:line="122" w:lineRule="exact"/>
        <w:rPr>
          <w:sz w:val="20"/>
          <w:szCs w:val="20"/>
          <w:color w:val="auto"/>
        </w:rPr>
      </w:pPr>
    </w:p>
    <w:p>
      <w:pPr>
        <w:jc w:val="both"/>
        <w:ind w:right="300" w:firstLine="456"/>
        <w:spacing w:after="0"/>
        <w:rPr>
          <w:sz w:val="20"/>
          <w:szCs w:val="20"/>
          <w:color w:val="auto"/>
        </w:rPr>
      </w:pPr>
      <w:r>
        <w:rPr>
          <w:rFonts w:ascii="Arial" w:cs="Arial" w:eastAsia="Arial" w:hAnsi="Arial"/>
          <w:sz w:val="18"/>
          <w:szCs w:val="18"/>
          <w:color w:val="auto"/>
        </w:rPr>
        <w:t>The Company benefits from the U.K. research and development tax credit regime whereby a portion of the Company’s losses can be surrendered for a cash rebate of up to 33.35% of eligible expenditures. Such credits are accounted for within the tax provision, in the year in which the expenditures were incurred.</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tax</w:t>
      </w:r>
    </w:p>
    <w:p>
      <w:pPr>
        <w:spacing w:after="0" w:line="122" w:lineRule="exact"/>
        <w:rPr>
          <w:sz w:val="20"/>
          <w:szCs w:val="20"/>
          <w:color w:val="auto"/>
        </w:rPr>
      </w:pPr>
    </w:p>
    <w:p>
      <w:pPr>
        <w:ind w:right="540" w:firstLine="456"/>
        <w:spacing w:after="0" w:line="246" w:lineRule="auto"/>
        <w:rPr>
          <w:sz w:val="20"/>
          <w:szCs w:val="20"/>
          <w:color w:val="auto"/>
        </w:rPr>
      </w:pPr>
      <w:r>
        <w:rPr>
          <w:rFonts w:ascii="Arial" w:cs="Arial" w:eastAsia="Arial" w:hAnsi="Arial"/>
          <w:sz w:val="18"/>
          <w:szCs w:val="18"/>
          <w:color w:val="auto"/>
        </w:rPr>
        <w:t>Deferred tax is provided using the liability method on temporary differences between the tax bases of assets and liabilities and their carrying amounts for financial reporting purposes at the reporting date.</w:t>
      </w:r>
    </w:p>
    <w:p>
      <w:pPr>
        <w:spacing w:after="0" w:line="197"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Deferred income tax assets are recognized for all deductible temporary differences, carry-forward of unused tax credits and unused tax losses, to the extent that it is probable that taxable profit will be available against which the deductible temporary differences and the carry-forward of unused tax credits and unused tax losses can be utilised. The carrying amount of deferred income tax assets is reviewed at the end of each reporting period and reduced to the extent that it is no longer probable that sufficient taxable profit will be available to allow all or part of the deferred income tax asset to be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utilised. Unrecognized deferred income tax assets are reassessed at the end of each reporting period and are recognized to the extent that it has become probable that future taxable profit will allow the deferred tax asset to be recovered.</w:t>
      </w:r>
    </w:p>
    <w:p>
      <w:pPr>
        <w:spacing w:after="0" w:line="197" w:lineRule="exact"/>
        <w:rPr>
          <w:sz w:val="20"/>
          <w:szCs w:val="20"/>
          <w:color w:val="auto"/>
        </w:rPr>
      </w:pPr>
    </w:p>
    <w:p>
      <w:pPr>
        <w:ind w:right="20" w:firstLine="456"/>
        <w:spacing w:after="0" w:line="246" w:lineRule="auto"/>
        <w:rPr>
          <w:sz w:val="20"/>
          <w:szCs w:val="20"/>
          <w:color w:val="auto"/>
        </w:rPr>
      </w:pPr>
      <w:r>
        <w:rPr>
          <w:rFonts w:ascii="Arial" w:cs="Arial" w:eastAsia="Arial" w:hAnsi="Arial"/>
          <w:sz w:val="18"/>
          <w:szCs w:val="18"/>
          <w:color w:val="auto"/>
        </w:rPr>
        <w:t>Deferred tax assets and liabilities are measured on an undiscounted basis at the tax rates that are expected to apply to the year when the asset is realised, based on tax rates (and tax laws) enacted or substantively enacted at the end of the reporting period.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Foreign currencies</w:t>
      </w:r>
    </w:p>
    <w:p>
      <w:pPr>
        <w:spacing w:after="0" w:line="122" w:lineRule="exact"/>
        <w:rPr>
          <w:sz w:val="20"/>
          <w:szCs w:val="20"/>
          <w:color w:val="auto"/>
        </w:rPr>
      </w:pPr>
    </w:p>
    <w:p>
      <w:pPr>
        <w:ind w:right="340" w:firstLine="456"/>
        <w:spacing w:after="0" w:line="246" w:lineRule="auto"/>
        <w:rPr>
          <w:sz w:val="20"/>
          <w:szCs w:val="20"/>
          <w:color w:val="auto"/>
        </w:rPr>
      </w:pPr>
      <w:r>
        <w:rPr>
          <w:rFonts w:ascii="Arial" w:cs="Arial" w:eastAsia="Arial" w:hAnsi="Arial"/>
          <w:sz w:val="18"/>
          <w:szCs w:val="18"/>
          <w:color w:val="auto"/>
        </w:rPr>
        <w:t>The functional currency of the Company and its subsidiaries is Sterling. Transactions in foreign currencies are initially recorded by the Group’s entities at the rate ruling on the date the transaction first qualifies for recognition.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Differences arising on settlement or translation of monetary items are recognized in profit or loss.</w:t>
      </w:r>
    </w:p>
    <w:p>
      <w:pPr>
        <w:spacing w:after="0" w:line="212" w:lineRule="exact"/>
        <w:rPr>
          <w:sz w:val="20"/>
          <w:szCs w:val="20"/>
          <w:color w:val="auto"/>
        </w:rPr>
      </w:pPr>
    </w:p>
    <w:p>
      <w:pPr>
        <w:ind w:right="720" w:firstLine="456"/>
        <w:spacing w:after="0" w:line="246" w:lineRule="auto"/>
        <w:rPr>
          <w:sz w:val="20"/>
          <w:szCs w:val="20"/>
          <w:color w:val="auto"/>
        </w:rPr>
      </w:pPr>
      <w:r>
        <w:rPr>
          <w:rFonts w:ascii="Arial" w:cs="Arial" w:eastAsia="Arial" w:hAnsi="Arial"/>
          <w:sz w:val="18"/>
          <w:szCs w:val="18"/>
          <w:color w:val="auto"/>
        </w:rPr>
        <w:t>Gains or losses on the retranslation of foreign currency balances at the year end are recognized in the consolidated statement of comprehensive loss under net foreign exchange gain.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Property, plant and equipment</w:t>
      </w:r>
    </w:p>
    <w:p>
      <w:pPr>
        <w:spacing w:after="0" w:line="122" w:lineRule="exact"/>
        <w:rPr>
          <w:sz w:val="20"/>
          <w:szCs w:val="20"/>
          <w:color w:val="auto"/>
        </w:rPr>
      </w:pPr>
    </w:p>
    <w:p>
      <w:pPr>
        <w:ind w:right="280" w:firstLine="456"/>
        <w:spacing w:after="0"/>
        <w:rPr>
          <w:sz w:val="20"/>
          <w:szCs w:val="20"/>
          <w:color w:val="auto"/>
        </w:rPr>
      </w:pPr>
      <w:r>
        <w:rPr>
          <w:rFonts w:ascii="Arial" w:cs="Arial" w:eastAsia="Arial" w:hAnsi="Arial"/>
          <w:sz w:val="18"/>
          <w:szCs w:val="18"/>
          <w:color w:val="auto"/>
        </w:rPr>
        <w:t>Property, plant and equipment is stated at cost, net of accumulated depreciation and accumulated impairment losses, if any. Such cost includes the cost of replacing part of the plant and equipment if the recognition criteria are met. All other repair and maintenance costs are recognized in profit or loss as incurred.</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as follows: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21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tcPr>
          <w:p>
            <w:pPr>
              <w:ind w:left="140"/>
              <w:spacing w:after="0"/>
              <w:rPr>
                <w:sz w:val="20"/>
                <w:szCs w:val="20"/>
                <w:color w:val="auto"/>
              </w:rPr>
            </w:pPr>
            <w:r>
              <w:rPr>
                <w:rFonts w:ascii="Arial" w:cs="Arial" w:eastAsia="Arial" w:hAnsi="Arial"/>
                <w:sz w:val="18"/>
                <w:szCs w:val="18"/>
                <w:color w:val="auto"/>
              </w:rPr>
              <w:t>Leasehold improvements</w:t>
            </w:r>
          </w:p>
        </w:tc>
        <w:tc>
          <w:tcPr>
            <w:tcW w:w="1020" w:type="dxa"/>
            <w:vAlign w:val="bottom"/>
          </w:tcPr>
          <w:p>
            <w:pPr>
              <w:ind w:left="180"/>
              <w:spacing w:after="0"/>
              <w:rPr>
                <w:sz w:val="20"/>
                <w:szCs w:val="20"/>
                <w:color w:val="auto"/>
              </w:rPr>
            </w:pPr>
            <w:r>
              <w:rPr>
                <w:rFonts w:ascii="Arial" w:cs="Arial" w:eastAsia="Arial" w:hAnsi="Arial"/>
                <w:sz w:val="18"/>
                <w:szCs w:val="18"/>
                <w:color w:val="auto"/>
              </w:rPr>
              <w:t>ten years</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tcPr>
          <w:p>
            <w:pPr>
              <w:ind w:left="140"/>
              <w:spacing w:after="0"/>
              <w:rPr>
                <w:sz w:val="20"/>
                <w:szCs w:val="20"/>
                <w:color w:val="auto"/>
              </w:rPr>
            </w:pPr>
            <w:r>
              <w:rPr>
                <w:rFonts w:ascii="Arial" w:cs="Arial" w:eastAsia="Arial" w:hAnsi="Arial"/>
                <w:sz w:val="18"/>
                <w:szCs w:val="18"/>
                <w:color w:val="auto"/>
              </w:rPr>
              <w:t>Office equipment</w:t>
            </w:r>
          </w:p>
        </w:tc>
        <w:tc>
          <w:tcPr>
            <w:tcW w:w="1020" w:type="dxa"/>
            <w:vAlign w:val="bottom"/>
          </w:tcPr>
          <w:p>
            <w:pPr>
              <w:ind w:left="120"/>
              <w:spacing w:after="0"/>
              <w:rPr>
                <w:sz w:val="20"/>
                <w:szCs w:val="20"/>
                <w:color w:val="auto"/>
              </w:rPr>
            </w:pPr>
            <w:r>
              <w:rPr>
                <w:rFonts w:ascii="Arial" w:cs="Arial" w:eastAsia="Arial" w:hAnsi="Arial"/>
                <w:sz w:val="18"/>
                <w:szCs w:val="18"/>
                <w:color w:val="auto"/>
              </w:rPr>
              <w:t>five years</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280" w:type="dxa"/>
            <w:vAlign w:val="bottom"/>
          </w:tcPr>
          <w:p>
            <w:pPr>
              <w:ind w:left="140"/>
              <w:spacing w:after="0"/>
              <w:rPr>
                <w:sz w:val="20"/>
                <w:szCs w:val="20"/>
                <w:color w:val="auto"/>
              </w:rPr>
            </w:pPr>
            <w:r>
              <w:rPr>
                <w:rFonts w:ascii="Arial" w:cs="Arial" w:eastAsia="Arial" w:hAnsi="Arial"/>
                <w:sz w:val="18"/>
                <w:szCs w:val="18"/>
                <w:color w:val="auto"/>
              </w:rPr>
              <w:t>IT equipment</w:t>
            </w:r>
          </w:p>
        </w:tc>
        <w:tc>
          <w:tcPr>
            <w:tcW w:w="1020" w:type="dxa"/>
            <w:vAlign w:val="bottom"/>
          </w:tcPr>
          <w:p>
            <w:pPr>
              <w:ind w:left="120"/>
              <w:spacing w:after="0"/>
              <w:rPr>
                <w:sz w:val="20"/>
                <w:szCs w:val="20"/>
                <w:color w:val="auto"/>
              </w:rPr>
            </w:pPr>
            <w:r>
              <w:rPr>
                <w:rFonts w:ascii="Arial" w:cs="Arial" w:eastAsia="Arial" w:hAnsi="Arial"/>
                <w:sz w:val="18"/>
                <w:szCs w:val="18"/>
                <w:color w:val="auto"/>
                <w:w w:val="97"/>
              </w:rPr>
              <w:t>three years</w:t>
            </w:r>
          </w:p>
        </w:tc>
      </w:tr>
    </w:tbl>
    <w:p>
      <w:pPr>
        <w:spacing w:after="0" w:line="202"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An item of property, plant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statement of comprehensive loss when the asset is derecognized.</w:t>
      </w:r>
    </w:p>
    <w:p>
      <w:pPr>
        <w:spacing w:after="0" w:line="202" w:lineRule="exact"/>
        <w:rPr>
          <w:sz w:val="20"/>
          <w:szCs w:val="20"/>
          <w:color w:val="auto"/>
        </w:rPr>
      </w:pPr>
    </w:p>
    <w:p>
      <w:pPr>
        <w:ind w:right="280" w:firstLine="456"/>
        <w:spacing w:after="0" w:line="246" w:lineRule="auto"/>
        <w:rPr>
          <w:sz w:val="20"/>
          <w:szCs w:val="20"/>
          <w:color w:val="auto"/>
        </w:rPr>
      </w:pPr>
      <w:r>
        <w:rPr>
          <w:rFonts w:ascii="Arial" w:cs="Arial" w:eastAsia="Arial" w:hAnsi="Arial"/>
          <w:sz w:val="18"/>
          <w:szCs w:val="18"/>
          <w:color w:val="auto"/>
        </w:rPr>
        <w:t>The residual values, useful lives and methods of depreciation of property, plant and equipment are reviewed at each financial year end and adjusted prospectively, if appropriate.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Leases</w:t>
      </w:r>
    </w:p>
    <w:p>
      <w:pPr>
        <w:spacing w:after="0" w:line="122"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Leases in which a significant portion of the risks and rewards of ownership are retained by the lessor are classified as operating leases. Payments made under operating leases (net of any incentives received from the lessor) are charged to the statement of comprehensive loss on a straight-line basis over the period of the lease.</w:t>
      </w:r>
    </w:p>
    <w:p>
      <w:pPr>
        <w:spacing w:after="0" w:line="203" w:lineRule="exact"/>
        <w:rPr>
          <w:sz w:val="20"/>
          <w:szCs w:val="20"/>
          <w:color w:val="auto"/>
        </w:rPr>
      </w:pPr>
    </w:p>
    <w:p>
      <w:pPr>
        <w:ind w:right="120" w:firstLine="456"/>
        <w:spacing w:after="0"/>
        <w:rPr>
          <w:sz w:val="20"/>
          <w:szCs w:val="20"/>
          <w:color w:val="auto"/>
        </w:rPr>
      </w:pPr>
      <w:r>
        <w:rPr>
          <w:rFonts w:ascii="Arial" w:cs="Arial" w:eastAsia="Arial" w:hAnsi="Arial"/>
          <w:sz w:val="18"/>
          <w:szCs w:val="18"/>
          <w:color w:val="auto"/>
        </w:rPr>
        <w:t>The Group leases its premises. The Group recognizes any lease incentives on a straight-line basis over the entire period of the lease, assuming that any break clauses available will not be exercised. By not exercising any break clauses, the Group receives a 50% rent discount from the landlord for a fixed period of time.</w:t>
      </w:r>
    </w:p>
    <w:p>
      <w:pPr>
        <w:spacing w:after="0" w:line="203" w:lineRule="exact"/>
        <w:rPr>
          <w:sz w:val="20"/>
          <w:szCs w:val="20"/>
          <w:color w:val="auto"/>
        </w:rPr>
      </w:pPr>
    </w:p>
    <w:p>
      <w:pPr>
        <w:ind w:right="20" w:firstLine="456"/>
        <w:spacing w:after="0" w:line="246" w:lineRule="auto"/>
        <w:rPr>
          <w:sz w:val="20"/>
          <w:szCs w:val="20"/>
          <w:color w:val="auto"/>
        </w:rPr>
      </w:pPr>
      <w:r>
        <w:rPr>
          <w:rFonts w:ascii="Arial" w:cs="Arial" w:eastAsia="Arial" w:hAnsi="Arial"/>
          <w:sz w:val="18"/>
          <w:szCs w:val="18"/>
          <w:color w:val="auto"/>
        </w:rPr>
        <w:t>The determination of whether an arrangement is, or contains, a lease is based on the substance of the arrangement at the inception date. The arrangement is assessed for whether fulfilment of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arrangement is dependent on the use of a specific asset or assets or the arrangement conveys a right to use the asset or assets, even if that right is not explicitly specified in an arrangement.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Intangible assets</w:t>
      </w:r>
    </w:p>
    <w:p>
      <w:pPr>
        <w:spacing w:after="0" w:line="122"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Intangible assets, relating to intellectual property rights acquired through licensing or assigning patents and knowhow, are initially recognized at cost which has been determined as the fair value of the consideration paid and payable. Consideration comprises cash paid together with the net present value of any provision for deferred cash consideration (see Note 2p) and the fair value of consideration settled in shares. Where share transfer occurs, the cost is measured at fair value of the shares issued or to be issued in accordance with IFRS 2. Intangible assets are held at cost less accumulated amortization and provision for impairment, if any. Where a finite useful life of the acquired intangible asset cannot be determined or the intangible asset is not yet available for use, the asset is tested annually for impairment by allocating the assets to the cash-generating units to which they relate. Amoritzation would commence when product candidates underpinned by the intellectual property rights become available for commercial use. No amoritzation has been charged to date, as the product candidates underpinned by the intellectual property rights are not yet available for commercial use.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Fair value measurement</w:t>
      </w:r>
    </w:p>
    <w:p>
      <w:pPr>
        <w:spacing w:after="0" w:line="122"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08" w:lineRule="exact"/>
        <w:rPr>
          <w:sz w:val="20"/>
          <w:szCs w:val="20"/>
          <w:color w:val="auto"/>
        </w:rPr>
      </w:pPr>
    </w:p>
    <w:p>
      <w:pPr>
        <w:ind w:left="460" w:right="7340" w:hanging="344"/>
        <w:spacing w:after="0" w:line="367" w:lineRule="auto"/>
        <w:tabs>
          <w:tab w:leader="none" w:pos="43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principal market for the asset or liability Or</w:t>
      </w:r>
    </w:p>
    <w:p>
      <w:pPr>
        <w:spacing w:after="0" w:line="1" w:lineRule="exact"/>
        <w:rPr>
          <w:rFonts w:ascii="Arial" w:cs="Arial" w:eastAsia="Arial" w:hAnsi="Arial"/>
          <w:sz w:val="18"/>
          <w:szCs w:val="18"/>
          <w:color w:val="auto"/>
        </w:rPr>
      </w:pPr>
    </w:p>
    <w:p>
      <w:pPr>
        <w:ind w:left="440" w:hanging="324"/>
        <w:spacing w:after="0"/>
        <w:tabs>
          <w:tab w:leader="none" w:pos="4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absence of a principal market, in the most advantageous market for the asset or liability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or the most advantageous market must be accessible by the Group.</w:t>
      </w:r>
    </w:p>
    <w:p>
      <w:pPr>
        <w:spacing w:after="0" w:line="21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fair value of an asset or a liability is measured using the assumptions that market participants would use when pricing the asset or liability, assuming that market participants act in their economic best interest.</w:t>
      </w:r>
    </w:p>
    <w:p>
      <w:pPr>
        <w:spacing w:after="0" w:line="197"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 Group uses valuation techniques that are appropriate in the circumstances and for which sufficient data are available to measure fair value, maximising the use of relevant observable inputs and minimising the use of unobservable inputs.</w:t>
      </w:r>
    </w:p>
    <w:p>
      <w:pPr>
        <w:spacing w:after="0" w:line="19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All assets and liabilities for which fair value is measured or disclosed in the financial statements are categorised within the fair value hierarchy, described as follows, based on the lowest level input that is significant to the fair value measurement as a whole:</w:t>
      </w:r>
    </w:p>
    <w:p>
      <w:pPr>
        <w:spacing w:after="0" w:line="102" w:lineRule="exact"/>
        <w:rPr>
          <w:sz w:val="20"/>
          <w:szCs w:val="20"/>
          <w:color w:val="auto"/>
        </w:rPr>
      </w:pPr>
    </w:p>
    <w:p>
      <w:pPr>
        <w:ind w:left="440" w:hanging="324"/>
        <w:spacing w:after="0"/>
        <w:tabs>
          <w:tab w:leader="none" w:pos="4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Level 1 — Quoted (unadjusted) market prices in active markets for identical assets or liabilities</w:t>
      </w:r>
    </w:p>
    <w:p>
      <w:pPr>
        <w:spacing w:after="0" w:line="117" w:lineRule="exact"/>
        <w:rPr>
          <w:rFonts w:ascii="Arial" w:cs="Arial" w:eastAsia="Arial" w:hAnsi="Arial"/>
          <w:sz w:val="18"/>
          <w:szCs w:val="18"/>
          <w:color w:val="auto"/>
        </w:rPr>
      </w:pPr>
    </w:p>
    <w:p>
      <w:pPr>
        <w:ind w:left="440" w:right="360" w:hanging="324"/>
        <w:spacing w:after="0" w:line="246" w:lineRule="auto"/>
        <w:tabs>
          <w:tab w:leader="none" w:pos="4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Level 2 — Valuation techniques for which the lowest level input that is significant to the fair value measurement is directly or indirectly observable</w:t>
      </w:r>
    </w:p>
    <w:p>
      <w:pPr>
        <w:spacing w:after="0" w:line="102" w:lineRule="exact"/>
        <w:rPr>
          <w:rFonts w:ascii="Arial" w:cs="Arial" w:eastAsia="Arial" w:hAnsi="Arial"/>
          <w:sz w:val="18"/>
          <w:szCs w:val="18"/>
          <w:color w:val="auto"/>
        </w:rPr>
      </w:pPr>
    </w:p>
    <w:p>
      <w:pPr>
        <w:ind w:left="440" w:hanging="324"/>
        <w:spacing w:after="0"/>
        <w:tabs>
          <w:tab w:leader="none" w:pos="4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Level 3 — Valuation techniques for which the lowest level input that is significant to the fair value measurement is unobservable</w:t>
      </w:r>
    </w:p>
    <w:p>
      <w:pPr>
        <w:spacing w:after="0" w:line="212" w:lineRule="exact"/>
        <w:rPr>
          <w:sz w:val="20"/>
          <w:szCs w:val="20"/>
          <w:color w:val="auto"/>
        </w:rPr>
      </w:pPr>
    </w:p>
    <w:p>
      <w:pPr>
        <w:jc w:val="both"/>
        <w:ind w:right="400"/>
        <w:spacing w:after="0"/>
        <w:rPr>
          <w:sz w:val="20"/>
          <w:szCs w:val="20"/>
          <w:color w:val="auto"/>
        </w:rPr>
      </w:pPr>
      <w:r>
        <w:rPr>
          <w:rFonts w:ascii="Arial" w:cs="Arial" w:eastAsia="Arial" w:hAnsi="Arial"/>
          <w:sz w:val="18"/>
          <w:szCs w:val="18"/>
          <w:color w:val="auto"/>
        </w:rPr>
        <w:t>For assets and liabilities that are recognized in the financial statements on a recurring basis, the Group determines whether transfers have occurred between levels in the hierarchy by re-assessing categorisation (based on the lowest level input that is significant to the fair value measurement as a whole) at the end of each reporting period.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 Impairment of non-financial assets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Further disclosures relating to impairment of non-financial assets are also provided in the following notes:</w:t>
      </w:r>
    </w:p>
    <w:p>
      <w:pPr>
        <w:sectPr>
          <w:pgSz w:w="11900" w:h="16838" w:orient="portrait"/>
          <w:cols w:equalWidth="0" w:num="1">
            <w:col w:w="11320"/>
          </w:cols>
          <w:pgMar w:left="240" w:top="459" w:right="339" w:bottom="1440" w:gutter="0" w:footer="0" w:header="0"/>
        </w:sectPr>
      </w:pP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Disclosures for significant assumptions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Note 3</w:t>
      </w:r>
    </w:p>
    <w:p>
      <w:pPr>
        <w:spacing w:after="0" w:line="129" w:lineRule="exact"/>
        <w:rPr>
          <w:sz w:val="20"/>
          <w:szCs w:val="20"/>
          <w:color w:val="auto"/>
        </w:rPr>
      </w:pPr>
    </w:p>
    <w:p>
      <w:pPr>
        <w:sectPr>
          <w:pgSz w:w="11900" w:h="16838" w:orient="portrait"/>
          <w:cols w:equalWidth="0" w:num="3">
            <w:col w:w="180" w:space="260"/>
            <w:col w:w="3100" w:space="260"/>
            <w:col w:w="7520"/>
          </w:cols>
          <w:pgMar w:left="240" w:top="459" w:right="33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Property, plant and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Note 11</w:t>
      </w:r>
    </w:p>
    <w:p>
      <w:pPr>
        <w:spacing w:after="0" w:line="117" w:lineRule="exact"/>
        <w:rPr>
          <w:sz w:val="20"/>
          <w:szCs w:val="20"/>
          <w:color w:val="auto"/>
        </w:rPr>
      </w:pPr>
    </w:p>
    <w:p>
      <w:pPr>
        <w:sectPr>
          <w:pgSz w:w="11900" w:h="16838" w:orient="portrait"/>
          <w:cols w:equalWidth="0" w:num="3">
            <w:col w:w="180" w:space="260"/>
            <w:col w:w="2820" w:space="720"/>
            <w:col w:w="7340"/>
          </w:cols>
          <w:pgMar w:left="240" w:top="459" w:right="33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Intangible assets not yet available for 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Notes 12 and 13</w:t>
      </w:r>
    </w:p>
    <w:p>
      <w:pPr>
        <w:spacing w:after="0" w:line="200" w:lineRule="exact"/>
        <w:rPr>
          <w:sz w:val="20"/>
          <w:szCs w:val="20"/>
          <w:color w:val="auto"/>
        </w:rPr>
      </w:pPr>
    </w:p>
    <w:p>
      <w:pPr>
        <w:sectPr>
          <w:pgSz w:w="11900" w:h="16838" w:orient="portrait"/>
          <w:cols w:equalWidth="0" w:num="3">
            <w:col w:w="180" w:space="260"/>
            <w:col w:w="3300" w:space="260"/>
            <w:col w:w="7320"/>
          </w:cols>
          <w:pgMar w:left="240" w:top="459" w:right="339" w:bottom="1440" w:gutter="0" w:footer="0" w:header="0"/>
          <w:type w:val="continuous"/>
        </w:sectPr>
      </w:pPr>
    </w:p>
    <w:p>
      <w:pPr>
        <w:spacing w:after="0" w:line="23"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cash-generating unit’s (“CGU”)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CGU exceeds its recoverable amount, the asset is considered impaired and is written down to its recoverable amount.</w:t>
      </w:r>
    </w:p>
    <w:p>
      <w:pPr>
        <w:spacing w:after="0" w:line="20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w:t>
      </w:r>
    </w:p>
    <w:p>
      <w:pPr>
        <w:spacing w:after="0" w:line="202" w:lineRule="exact"/>
        <w:rPr>
          <w:sz w:val="20"/>
          <w:szCs w:val="20"/>
          <w:color w:val="auto"/>
        </w:rPr>
      </w:pPr>
    </w:p>
    <w:p>
      <w:pPr>
        <w:ind w:right="460" w:firstLine="456"/>
        <w:spacing w:after="0" w:line="246" w:lineRule="auto"/>
        <w:rPr>
          <w:sz w:val="20"/>
          <w:szCs w:val="20"/>
          <w:color w:val="auto"/>
        </w:rPr>
      </w:pPr>
      <w:r>
        <w:rPr>
          <w:rFonts w:ascii="Arial" w:cs="Arial" w:eastAsia="Arial" w:hAnsi="Arial"/>
          <w:sz w:val="18"/>
          <w:szCs w:val="18"/>
          <w:color w:val="auto"/>
        </w:rPr>
        <w:t>Impairment losses are recognized in the statement of comprehensive loss in expense categories consistent with the function of the impaired asset.</w:t>
      </w:r>
    </w:p>
    <w:p>
      <w:pPr>
        <w:spacing w:after="0" w:line="197"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An assessment is made at each reporting date to determine whether there is an indication that previously recognized impairment losses no longer exist or have decreased. If such indication exists, the Group estimates the asset’s or CGU’s recoverable amount. A previously recognized impairment loss is reversed only if there has been a change in the assumptions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statement of comprehensive loss unless the asset is carried at a revalued amount, in which case the reversal is treated as a revaluation increase.</w:t>
      </w:r>
    </w:p>
    <w:p>
      <w:pPr>
        <w:spacing w:after="0" w:line="203" w:lineRule="exact"/>
        <w:rPr>
          <w:sz w:val="20"/>
          <w:szCs w:val="20"/>
          <w:color w:val="auto"/>
        </w:rPr>
      </w:pPr>
    </w:p>
    <w:p>
      <w:pPr>
        <w:ind w:right="180" w:firstLine="456"/>
        <w:spacing w:after="0" w:line="246" w:lineRule="auto"/>
        <w:rPr>
          <w:sz w:val="20"/>
          <w:szCs w:val="20"/>
          <w:color w:val="auto"/>
        </w:rPr>
      </w:pPr>
      <w:r>
        <w:rPr>
          <w:rFonts w:ascii="Arial" w:cs="Arial" w:eastAsia="Arial" w:hAnsi="Arial"/>
          <w:sz w:val="18"/>
          <w:szCs w:val="18"/>
          <w:color w:val="auto"/>
        </w:rPr>
        <w:t>Intangible assets not yet available for use are tested for impairment annually as at December 31 at the CGU level, as appropriate, and when circumstances indicate that the carrying value may be impaired. An impairment test was performed at December 31, 2017.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Cash and short-term deposits</w:t>
      </w:r>
    </w:p>
    <w:p>
      <w:pPr>
        <w:spacing w:after="0" w:line="122" w:lineRule="exact"/>
        <w:rPr>
          <w:sz w:val="20"/>
          <w:szCs w:val="20"/>
          <w:color w:val="auto"/>
        </w:rPr>
      </w:pPr>
    </w:p>
    <w:p>
      <w:pPr>
        <w:ind w:right="20" w:firstLine="456"/>
        <w:spacing w:after="0" w:line="246" w:lineRule="auto"/>
        <w:rPr>
          <w:sz w:val="20"/>
          <w:szCs w:val="20"/>
          <w:color w:val="auto"/>
        </w:rPr>
      </w:pPr>
      <w:r>
        <w:rPr>
          <w:rFonts w:ascii="Arial" w:cs="Arial" w:eastAsia="Arial" w:hAnsi="Arial"/>
          <w:sz w:val="18"/>
          <w:szCs w:val="18"/>
          <w:color w:val="auto"/>
        </w:rPr>
        <w:t>Cash and short-term deposits in the balance sheet comprise cash at banks and on hand and short-term deposits with a maturity of three months or less, which are subject to an insignificant risk of changes in value.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Short-term investments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on deposit for terms greater than three months are recognized at fair value in the balance sheet.</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20"/>
          </w:cols>
          <w:pgMar w:left="240" w:top="459" w:right="339" w:bottom="1440" w:gutter="0" w:footer="0" w:header="0"/>
          <w:type w:val="continuous"/>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 Provisions</w:t>
      </w:r>
    </w:p>
    <w:p>
      <w:pPr>
        <w:spacing w:after="0" w:line="122"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When the Group expects some or all of a provision to be reimbursed, for example, under an insurance contract, the reimbursement is recognized as a separate asset, but only when the reimbursement is virtually certain. The expense relating to a provision is presented in the statement of comprehensive loss net of any reimbursement.</w:t>
      </w:r>
    </w:p>
    <w:p>
      <w:pPr>
        <w:spacing w:after="0" w:line="203" w:lineRule="exact"/>
        <w:rPr>
          <w:sz w:val="20"/>
          <w:szCs w:val="20"/>
          <w:color w:val="auto"/>
        </w:rPr>
      </w:pPr>
    </w:p>
    <w:p>
      <w:pPr>
        <w:jc w:val="both"/>
        <w:ind w:right="140" w:firstLine="456"/>
        <w:spacing w:after="0"/>
        <w:rPr>
          <w:sz w:val="20"/>
          <w:szCs w:val="20"/>
          <w:color w:val="auto"/>
        </w:rPr>
      </w:pPr>
      <w:r>
        <w:rPr>
          <w:rFonts w:ascii="Arial" w:cs="Arial" w:eastAsia="Arial" w:hAnsi="Arial"/>
          <w:sz w:val="18"/>
          <w:szCs w:val="18"/>
          <w:color w:val="auto"/>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 Share-based payments</w:t>
      </w:r>
    </w:p>
    <w:p>
      <w:pPr>
        <w:spacing w:after="0" w:line="122" w:lineRule="exact"/>
        <w:rPr>
          <w:sz w:val="20"/>
          <w:szCs w:val="20"/>
          <w:color w:val="auto"/>
        </w:rPr>
      </w:pPr>
    </w:p>
    <w:p>
      <w:pPr>
        <w:ind w:right="200" w:firstLine="456"/>
        <w:spacing w:after="0" w:line="246" w:lineRule="auto"/>
        <w:rPr>
          <w:sz w:val="20"/>
          <w:szCs w:val="20"/>
          <w:color w:val="auto"/>
        </w:rPr>
      </w:pPr>
      <w:r>
        <w:rPr>
          <w:rFonts w:ascii="Arial" w:cs="Arial" w:eastAsia="Arial" w:hAnsi="Arial"/>
          <w:sz w:val="18"/>
          <w:szCs w:val="18"/>
          <w:color w:val="auto"/>
        </w:rPr>
        <w:t>Employees (including Executive Officers) of the Group receive remuneration in the form of share-based payments, whereby employees render services as consideration for equity instruments (equity-settled transactions).</w:t>
      </w:r>
    </w:p>
    <w:p>
      <w:pPr>
        <w:spacing w:after="0" w:line="197"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Incentives in the form of shares are provided to employees under the Share Option Plan. Executive Officers are also provided with shares under a deferred bonus share plan (“DBSP Plan”) and a long-term incentive plan (“LTIP Plan”). In accordance with IFRS 2 “Share-based Payment” (“IFRS 2”), charges for these incentives are expensed through the consolidated statement of comprehensive loss on a straight-line basis over their vesting period, based on the Group’s estimate of shares that will eventually vest. The total amount to be expensed is determined by reference to the fair value of the options or awards at the date they were granted. For LTIP shares, the fair value excludes the impact of any non-market vesting conditions. The fair value of LTIP shares, which have market conditions attached, includes an adjustment based on the probability of the shares vesting at the end of the vesting period.</w:t>
      </w:r>
    </w:p>
    <w:p>
      <w:pPr>
        <w:spacing w:after="0" w:line="203"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Under the 2015 plan, options were historically awarded to employees, non- executive directors and certain consultants. Share options awarded to non-employees under the 2015 plan are accounted for as for options awarded to employees as the value of non-employee services could be readily determined.</w:t>
      </w:r>
    </w:p>
    <w:p>
      <w:pPr>
        <w:spacing w:after="0" w:line="203" w:lineRule="exact"/>
        <w:rPr>
          <w:sz w:val="20"/>
          <w:szCs w:val="20"/>
          <w:color w:val="auto"/>
        </w:rPr>
      </w:pPr>
    </w:p>
    <w:p>
      <w:pPr>
        <w:ind w:right="180" w:firstLine="456"/>
        <w:spacing w:after="0"/>
        <w:rPr>
          <w:sz w:val="20"/>
          <w:szCs w:val="20"/>
          <w:color w:val="auto"/>
        </w:rPr>
      </w:pPr>
      <w:r>
        <w:rPr>
          <w:rFonts w:ascii="Arial" w:cs="Arial" w:eastAsia="Arial" w:hAnsi="Arial"/>
          <w:sz w:val="18"/>
          <w:szCs w:val="18"/>
          <w:color w:val="auto"/>
        </w:rPr>
        <w:t>In accordance with IFRS 2, the cancellation of share options is accounted for as an acceleration of the vesting period and therefore any amount unrecognized that would otherwise have been charged in future accounting periods is recognized immediately. When options are forfeited, the accounting expense for any unvested awards is reversed.</w:t>
      </w:r>
    </w:p>
    <w:p>
      <w:pPr>
        <w:spacing w:after="0" w:line="203" w:lineRule="exact"/>
        <w:rPr>
          <w:sz w:val="20"/>
          <w:szCs w:val="20"/>
          <w:color w:val="auto"/>
        </w:rPr>
      </w:pPr>
    </w:p>
    <w:p>
      <w:pPr>
        <w:ind w:right="860" w:firstLine="456"/>
        <w:spacing w:after="0" w:line="246" w:lineRule="auto"/>
        <w:rPr>
          <w:sz w:val="20"/>
          <w:szCs w:val="20"/>
          <w:color w:val="auto"/>
        </w:rPr>
      </w:pPr>
      <w:r>
        <w:rPr>
          <w:rFonts w:ascii="Arial" w:cs="Arial" w:eastAsia="Arial" w:hAnsi="Arial"/>
          <w:sz w:val="18"/>
          <w:szCs w:val="18"/>
          <w:color w:val="auto"/>
        </w:rPr>
        <w:t>Purchases, where consideration is satisfied by issuing equity shares, are accounted for as equity-settled share-based payment transactions in accordance with IFRS 2. Fair value is determined by the share price at the date of purchase.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 Costs of issuing capital</w:t>
      </w:r>
    </w:p>
    <w:p>
      <w:pPr>
        <w:spacing w:after="0" w:line="122"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The Group deducts directly attributable costs of issuing capital from the proceeds in accordance with IAS 39 “Financial Instruments: Recognition and Measurement”. Incremental costs incurred and directly attributable to the offering of equity securities are deducted from the related proceeds of the offering. The net amount is recorded as share premium in the period when such shares are issued. Where such expenses are incurred prior to the offering they are recorded in prepayments until the offering completes. Other costs incurred in such offerings are expensed as incurred and included in general and administrative expenses.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Convertible loan instrument</w:t>
      </w:r>
    </w:p>
    <w:p>
      <w:pPr>
        <w:spacing w:after="0" w:line="122"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Convertible loan notes are regarded as compound instruments consisting of a liability component and an equity component. At the date of issue the fair value of the liability component is estimated using a discount rate for an equivalent liability without the conversion feature. The difference between the proceeds of issue of the convertible loan note and the fair value assigned to the liability component, representing the embedded option to convert the liability into equity of the Group, is included in equity.</w:t>
      </w:r>
    </w:p>
    <w:p>
      <w:pPr>
        <w:spacing w:after="0" w:line="202"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An exchange between an existing borrower and lender of debt instruments with ‘substantially different’ terms are accounted for as an extinguishment of the original financial liability and the recognition of a new financial liability as per IAS 39 and IFRS 9. Similarly, a substantial modification of the terms of an existing financial liability, or a part of it, (whether or not due to the financial difficulty of the debtor) should be accounted for as an extinguishment of the original financial liability and the recognition of a new financial liability.</w:t>
      </w:r>
    </w:p>
    <w:p>
      <w:pPr>
        <w:spacing w:after="0" w:line="202"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In line with IAS 39 the terms of exchanged or modified debt are regarded as ‘substantially different’ if the net present value of the cash flows under the new terms (including any fees paid net of any fees received) discounted at the original effective interest rate is at least 10% different from the discounted present value of the remaining cash flows of the original debt instrument. Where such modifications are less than 10% different, the effective interest rate is adjusted to take account of the new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 Employee Benefit Trust</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operates an Employee Benefit Trust (“EBT”): Mereo BioPharma Group plc Employee Benefit Trust.</w:t>
      </w:r>
    </w:p>
    <w:p>
      <w:pPr>
        <w:spacing w:after="0" w:line="212"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The EBT has been established to fulfil awards made under the Deferred Share Bonus Plan and the Long Term Incentive Plan. The EBT is a Jersey-based trust which is funded by a loan from the Company, which it will utilise to buy shares at nominal value from the Company in sufficient quantity to fulfil the envisaged awards. The EBT will acquire shares in the Company and these will be deducted from the shareholders’ funds on the consolidated balance sheet at the cost of acquisition less proceeds on disposal.</w:t>
      </w:r>
    </w:p>
    <w:p>
      <w:pPr>
        <w:spacing w:after="0" w:line="202" w:lineRule="exact"/>
        <w:rPr>
          <w:sz w:val="20"/>
          <w:szCs w:val="20"/>
          <w:color w:val="auto"/>
        </w:rPr>
      </w:pPr>
    </w:p>
    <w:p>
      <w:pPr>
        <w:ind w:right="100" w:firstLine="456"/>
        <w:spacing w:after="0" w:line="246" w:lineRule="auto"/>
        <w:rPr>
          <w:sz w:val="20"/>
          <w:szCs w:val="20"/>
          <w:color w:val="auto"/>
        </w:rPr>
      </w:pPr>
      <w:r>
        <w:rPr>
          <w:rFonts w:ascii="Arial" w:cs="Arial" w:eastAsia="Arial" w:hAnsi="Arial"/>
          <w:sz w:val="18"/>
          <w:szCs w:val="18"/>
          <w:color w:val="auto"/>
        </w:rPr>
        <w:t>In compliance with IAS 32 “Financial Instruments: Presentation” Group, shares held by the EBT are included in the consolidated balance sheet as a reduction in equity. Gains and losses on Group shares are recognized directly in equity.</w:t>
      </w:r>
    </w:p>
    <w:p>
      <w:pPr>
        <w:spacing w:after="0" w:line="197" w:lineRule="exact"/>
        <w:rPr>
          <w:sz w:val="20"/>
          <w:szCs w:val="20"/>
          <w:color w:val="auto"/>
        </w:rPr>
      </w:pPr>
    </w:p>
    <w:p>
      <w:pPr>
        <w:ind w:right="200" w:firstLine="456"/>
        <w:spacing w:after="0" w:line="246" w:lineRule="auto"/>
        <w:rPr>
          <w:sz w:val="20"/>
          <w:szCs w:val="20"/>
          <w:color w:val="auto"/>
        </w:rPr>
      </w:pPr>
      <w:r>
        <w:rPr>
          <w:rFonts w:ascii="Arial" w:cs="Arial" w:eastAsia="Arial" w:hAnsi="Arial"/>
          <w:sz w:val="18"/>
          <w:szCs w:val="18"/>
          <w:color w:val="auto"/>
        </w:rPr>
        <w:t>The Group consolidated accounts treat the EBT as a wholly owned subsidiary company. Residual cash within the EBT is classified as a debtor (restricted cash) since it is not readily accessible by the Group.</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 Research and development costs</w:t>
      </w:r>
    </w:p>
    <w:p>
      <w:pPr>
        <w:spacing w:after="0" w:line="122"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Expenditure on product development is capitalised as an intangible asset and amortised over the expected useful economic life of the product candidate concerned. Capitalisation commences from the point at which technical feasibility and commercial viability of the product candidate can be demonstrated and the Group is satisfied that it is probable that future economic benefits will result from the product candidate once completed. Capitalisation ceases when the product candidate receives regulatory approval for launch. No such costs have been capitalised to date.</w:t>
      </w:r>
    </w:p>
    <w:p>
      <w:pPr>
        <w:spacing w:after="0" w:line="203" w:lineRule="exact"/>
        <w:rPr>
          <w:sz w:val="20"/>
          <w:szCs w:val="20"/>
          <w:color w:val="auto"/>
        </w:rPr>
      </w:pPr>
    </w:p>
    <w:p>
      <w:pPr>
        <w:ind w:right="40" w:firstLine="456"/>
        <w:spacing w:after="0" w:line="246" w:lineRule="auto"/>
        <w:rPr>
          <w:sz w:val="20"/>
          <w:szCs w:val="20"/>
          <w:color w:val="auto"/>
        </w:rPr>
      </w:pPr>
      <w:r>
        <w:rPr>
          <w:rFonts w:ascii="Arial" w:cs="Arial" w:eastAsia="Arial" w:hAnsi="Arial"/>
          <w:sz w:val="18"/>
          <w:szCs w:val="18"/>
          <w:color w:val="auto"/>
        </w:rPr>
        <w:t>Expenditure on research and development activities that do not meet the above criteria, including ongoing costs associated with acquired intellectual property rights and intellectual property rights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generated internally by the Group, is charged to the statement of comprehensive loss as incurred. Intellectual property and in-process research and development from asset acquisitions are recognized as intangible assets at cost.</w:t>
      </w:r>
    </w:p>
    <w:p>
      <w:pPr>
        <w:spacing w:after="0" w:line="197" w:lineRule="exact"/>
        <w:rPr>
          <w:sz w:val="20"/>
          <w:szCs w:val="20"/>
          <w:color w:val="auto"/>
        </w:rPr>
      </w:pPr>
    </w:p>
    <w:p>
      <w:pPr>
        <w:ind w:right="160" w:firstLine="456"/>
        <w:spacing w:after="0" w:line="246" w:lineRule="auto"/>
        <w:rPr>
          <w:sz w:val="20"/>
          <w:szCs w:val="20"/>
          <w:color w:val="auto"/>
        </w:rPr>
      </w:pPr>
      <w:r>
        <w:rPr>
          <w:rFonts w:ascii="Arial" w:cs="Arial" w:eastAsia="Arial" w:hAnsi="Arial"/>
          <w:sz w:val="18"/>
          <w:szCs w:val="18"/>
          <w:color w:val="auto"/>
        </w:rPr>
        <w:t>Future commitments to Novartis Pharma AG (“Novartis”) (as described in Note 25) will be recognized as an expense in the same period when related future cash inflows from product sales or out-licensing or other monetisation of the programs by the Group are earned.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 Provisions for deferred cash consideration</w:t>
      </w:r>
    </w:p>
    <w:p>
      <w:pPr>
        <w:spacing w:after="0" w:line="122"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Provisions for deferred cash consideration consist of future payments which are contractually committed but not yet certain. In respect of products which are not yet approved such deferred cash consideration excludes potential downstream milestones, royalties or other payments as these are deemed to be so uncertain as to be unquantifiable. Deferred cash consideration is recognized as a liability with the amounts calculated as the risk adjusted net present value of anticipated deferred payments.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is reviewed at each balance sheet date and adjusted based on the likelihood of the deferred payment being settled.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 Bank loan and associated warrants</w:t>
      </w:r>
    </w:p>
    <w:p>
      <w:pPr>
        <w:spacing w:after="0" w:line="122" w:lineRule="exact"/>
        <w:rPr>
          <w:sz w:val="20"/>
          <w:szCs w:val="20"/>
          <w:color w:val="auto"/>
        </w:rPr>
      </w:pPr>
    </w:p>
    <w:p>
      <w:pPr>
        <w:ind w:right="220" w:firstLine="456"/>
        <w:spacing w:after="0"/>
        <w:rPr>
          <w:sz w:val="20"/>
          <w:szCs w:val="20"/>
          <w:color w:val="auto"/>
        </w:rPr>
      </w:pPr>
      <w:r>
        <w:rPr>
          <w:rFonts w:ascii="Arial" w:cs="Arial" w:eastAsia="Arial" w:hAnsi="Arial"/>
          <w:sz w:val="18"/>
          <w:szCs w:val="18"/>
          <w:color w:val="auto"/>
        </w:rPr>
        <w:t>After initial recognition, interest-bearing loans and borrowings are subsequently measured at amortized cost using the effective interest rate (EIR) method. The EIR amortization is included as a finance charge in the statement of comprehensive loss. This category applies to interest-bearing borrowings, trade and other payables.</w:t>
      </w: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Associated warrants are measured at fair value with changes recorded through the statement of comprehensive loss (see note 20).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accounting judgements, estimates and assumptions</w:t>
      </w:r>
    </w:p>
    <w:p>
      <w:pPr>
        <w:spacing w:after="0" w:line="126"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The preparation of the consolidated accounts requires the management of the Group to make estimates and judgements that affect the reported amounts of assets, liabilities, revenues and expenses. The Group bases its estimates and judgements on historical experience and on various other assumptions that it considers to be reasonable. Actual results may differ from these estimates under different assumptions or conditions.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26"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Incentives in the form of shares are provided to employees under a share option plan, long term incentive plan and deferred share bonus plan. The fair value of the employee services received in exchange for the grant of the options is recognized as an expense. The expense is based upon a number of assumptions disclosed in Note 24. The selection of different assumptions could affect the results of the Group.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 and property, plant and equipment</w:t>
      </w:r>
    </w:p>
    <w:p>
      <w:pPr>
        <w:spacing w:after="0" w:line="126"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An assessment was made in respect of indicators of impairment in the carrying value of the Group’s intangible assets (see Note 13) and leasehold improvements, office equipment and IT equipment as at December 31, 2017.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 The assessment of intangible assets involves a number of judgements regarding the likelihood of successful product approval, the costs of reaching approval and the subsequent commercial profitability of the product once approved.</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license consideration</w:t>
      </w:r>
    </w:p>
    <w:p>
      <w:pPr>
        <w:spacing w:after="0" w:line="126"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Deferred consideration in the form of cash is recognized as a provision at each balance sheet date, to the extent its amount is quantifiable at the inception of the arrangement. The amount provided is based on a number of judgements regarding the timing and progress of the related research. Deferred consideration in the form of shares is recognized as a share-based payment when it is probable that shares will be transfered.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 and associated warrants</w:t>
      </w:r>
    </w:p>
    <w:p>
      <w:pPr>
        <w:spacing w:after="0" w:line="126"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As part of the bank loan, the Group has issued warrants to subscribe for shares. The fair value of the warrants issued is assessed at each balance sheet date based upon a number of assumptions, as disclosed in Note 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126"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consolidation of product candidates into a single segment follows management’s view of the business as a single portfolio of product candidates. Research and development (“R&amp;D”) expenses only are monitored at a product candidate level, however the Chief Operating Decision Maker (“CODM”) makes decisions over resource allocation at an overall portfolio level. The Group’s financing is managed and monitored on a consolidated basis. All non-current assets held by the Group are located in the United Kingdom.</w:t>
      </w:r>
    </w:p>
    <w:p>
      <w:pPr>
        <w:spacing w:after="0" w:line="202" w:lineRule="exact"/>
        <w:rPr>
          <w:sz w:val="20"/>
          <w:szCs w:val="20"/>
          <w:color w:val="auto"/>
        </w:rPr>
      </w:pPr>
    </w:p>
    <w:p>
      <w:pPr>
        <w:ind w:right="560" w:firstLine="456"/>
        <w:spacing w:after="0" w:line="246" w:lineRule="auto"/>
        <w:rPr>
          <w:sz w:val="20"/>
          <w:szCs w:val="20"/>
          <w:color w:val="auto"/>
        </w:rPr>
      </w:pPr>
      <w:r>
        <w:rPr>
          <w:rFonts w:ascii="Arial" w:cs="Arial" w:eastAsia="Arial" w:hAnsi="Arial"/>
          <w:sz w:val="18"/>
          <w:szCs w:val="18"/>
          <w:color w:val="auto"/>
        </w:rPr>
        <w:t>The Company’s CODM is the Executive Management team (comprised of the Chief Executive Officer, Chief Financial Officer, Chief Medical Officer, General Counsel and the Head of Corporate Development) which manages the operating results of the business.</w:t>
      </w:r>
    </w:p>
    <w:p>
      <w:pPr>
        <w:spacing w:after="0" w:line="283" w:lineRule="exact"/>
        <w:rPr>
          <w:sz w:val="20"/>
          <w:szCs w:val="20"/>
          <w:color w:val="auto"/>
        </w:rPr>
      </w:pPr>
    </w:p>
    <w:p>
      <w:pPr>
        <w:ind w:right="8780" w:firstLine="8"/>
        <w:spacing w:after="0" w:line="372" w:lineRule="auto"/>
        <w:tabs>
          <w:tab w:leader="none" w:pos="2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Group information </w:t>
      </w:r>
      <w:r>
        <w:rPr>
          <w:rFonts w:ascii="Arial" w:cs="Arial" w:eastAsia="Arial" w:hAnsi="Arial"/>
          <w:sz w:val="18"/>
          <w:szCs w:val="18"/>
          <w:b w:val="1"/>
          <w:bCs w:val="1"/>
          <w:i w:val="1"/>
          <w:iCs w:val="1"/>
          <w:color w:val="auto"/>
        </w:rPr>
        <w:t>Information about subsidiaries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of the Group include: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Country of</w:t>
            </w:r>
          </w:p>
        </w:tc>
        <w:tc>
          <w:tcPr>
            <w:tcW w:w="21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 equity interest</w:t>
            </w:r>
          </w:p>
        </w:tc>
        <w:tc>
          <w:tcPr>
            <w:tcW w:w="16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 equity interest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1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rPr>
              <w:t>December 31,</w:t>
            </w:r>
          </w:p>
        </w:tc>
        <w:tc>
          <w:tcPr>
            <w:tcW w:w="1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tcPr>
          <w:p>
            <w:pPr>
              <w:ind w:left="440"/>
              <w:spacing w:after="0"/>
              <w:rPr>
                <w:sz w:val="20"/>
                <w:szCs w:val="20"/>
                <w:color w:val="auto"/>
              </w:rPr>
            </w:pPr>
            <w:r>
              <w:rPr>
                <w:rFonts w:ascii="Arial" w:cs="Arial" w:eastAsia="Arial" w:hAnsi="Arial"/>
                <w:sz w:val="14"/>
                <w:szCs w:val="14"/>
                <w:b w:val="1"/>
                <w:bCs w:val="1"/>
                <w:color w:val="auto"/>
              </w:rPr>
              <w:t>Principal activities</w:t>
            </w:r>
          </w:p>
        </w:tc>
        <w:tc>
          <w:tcPr>
            <w:tcW w:w="420" w:type="dxa"/>
            <w:vAlign w:val="bottom"/>
          </w:tcPr>
          <w:p>
            <w:pPr>
              <w:spacing w:after="0"/>
              <w:rPr>
                <w:sz w:val="16"/>
                <w:szCs w:val="16"/>
                <w:color w:val="auto"/>
              </w:rPr>
            </w:pPr>
          </w:p>
        </w:tc>
        <w:tc>
          <w:tcPr>
            <w:tcW w:w="2080" w:type="dxa"/>
            <w:vAlign w:val="bottom"/>
            <w:gridSpan w:val="2"/>
          </w:tcPr>
          <w:p>
            <w:pPr>
              <w:ind w:left="380"/>
              <w:spacing w:after="0"/>
              <w:rPr>
                <w:sz w:val="20"/>
                <w:szCs w:val="20"/>
                <w:color w:val="auto"/>
              </w:rPr>
            </w:pPr>
            <w:r>
              <w:rPr>
                <w:rFonts w:ascii="Arial" w:cs="Arial" w:eastAsia="Arial" w:hAnsi="Arial"/>
                <w:sz w:val="14"/>
                <w:szCs w:val="14"/>
                <w:b w:val="1"/>
                <w:bCs w:val="1"/>
                <w:color w:val="auto"/>
              </w:rPr>
              <w:t>incorporation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960" w:type="dxa"/>
            <w:vAlign w:val="bottom"/>
          </w:tcPr>
          <w:p>
            <w:pPr>
              <w:spacing w:after="0"/>
              <w:rPr>
                <w:sz w:val="16"/>
                <w:szCs w:val="16"/>
                <w:color w:val="auto"/>
              </w:rPr>
            </w:pPr>
          </w:p>
        </w:tc>
        <w:tc>
          <w:tcPr>
            <w:tcW w:w="1160" w:type="dxa"/>
            <w:vAlign w:val="bottom"/>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Mereo BioPharma 1 Limited</w:t>
            </w:r>
          </w:p>
        </w:tc>
        <w:tc>
          <w:tcPr>
            <w:tcW w:w="3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Pharmaceutical research</w:t>
            </w:r>
          </w:p>
        </w:tc>
        <w:tc>
          <w:tcPr>
            <w:tcW w:w="42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and development</w:t>
            </w:r>
          </w:p>
        </w:tc>
        <w:tc>
          <w:tcPr>
            <w:tcW w:w="4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Kingdom</w:t>
            </w:r>
          </w:p>
        </w:tc>
        <w:tc>
          <w:tcPr>
            <w:tcW w:w="1160" w:type="dxa"/>
            <w:vAlign w:val="bottom"/>
            <w:shd w:val="clear" w:color="auto" w:fill="CCEEFF"/>
          </w:tcPr>
          <w:p>
            <w:pPr>
              <w:ind w:left="860"/>
              <w:spacing w:after="0" w:line="203" w:lineRule="exact"/>
              <w:rPr>
                <w:sz w:val="20"/>
                <w:szCs w:val="20"/>
                <w:color w:val="auto"/>
              </w:rPr>
            </w:pPr>
            <w:r>
              <w:rPr>
                <w:rFonts w:ascii="Arial" w:cs="Arial" w:eastAsia="Arial" w:hAnsi="Arial"/>
                <w:sz w:val="18"/>
                <w:szCs w:val="18"/>
                <w:color w:val="auto"/>
                <w:w w:val="93"/>
              </w:rPr>
              <w:t>100</w:t>
            </w: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Mereo BioPharma 2 Limited</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Pharmaceutical research</w:t>
            </w: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tcPr>
          <w:p>
            <w:pPr>
              <w:spacing w:after="0" w:line="203" w:lineRule="exact"/>
              <w:rPr>
                <w:sz w:val="20"/>
                <w:szCs w:val="20"/>
                <w:color w:val="auto"/>
              </w:rPr>
            </w:pPr>
            <w:r>
              <w:rPr>
                <w:rFonts w:ascii="Arial" w:cs="Arial" w:eastAsia="Arial" w:hAnsi="Arial"/>
                <w:sz w:val="18"/>
                <w:szCs w:val="18"/>
                <w:color w:val="auto"/>
              </w:rPr>
              <w:t>and development</w:t>
            </w:r>
          </w:p>
        </w:tc>
        <w:tc>
          <w:tcPr>
            <w:tcW w:w="420" w:type="dxa"/>
            <w:vAlign w:val="bottom"/>
          </w:tcPr>
          <w:p>
            <w:pPr>
              <w:spacing w:after="0"/>
              <w:rPr>
                <w:sz w:val="17"/>
                <w:szCs w:val="17"/>
                <w:color w:val="auto"/>
              </w:rPr>
            </w:pPr>
          </w:p>
        </w:tc>
        <w:tc>
          <w:tcPr>
            <w:tcW w:w="2080" w:type="dxa"/>
            <w:vAlign w:val="bottom"/>
            <w:gridSpan w:val="2"/>
          </w:tcPr>
          <w:p>
            <w:pPr>
              <w:spacing w:after="0" w:line="203" w:lineRule="exact"/>
              <w:rPr>
                <w:sz w:val="20"/>
                <w:szCs w:val="20"/>
                <w:color w:val="auto"/>
              </w:rPr>
            </w:pPr>
            <w:r>
              <w:rPr>
                <w:rFonts w:ascii="Arial" w:cs="Arial" w:eastAsia="Arial" w:hAnsi="Arial"/>
                <w:sz w:val="18"/>
                <w:szCs w:val="18"/>
                <w:color w:val="auto"/>
              </w:rPr>
              <w:t>United Kingdom</w:t>
            </w:r>
          </w:p>
        </w:tc>
        <w:tc>
          <w:tcPr>
            <w:tcW w:w="1160" w:type="dxa"/>
            <w:vAlign w:val="bottom"/>
          </w:tcPr>
          <w:p>
            <w:pPr>
              <w:ind w:left="860"/>
              <w:spacing w:after="0" w:line="203" w:lineRule="exact"/>
              <w:rPr>
                <w:sz w:val="20"/>
                <w:szCs w:val="20"/>
                <w:color w:val="auto"/>
              </w:rPr>
            </w:pPr>
            <w:r>
              <w:rPr>
                <w:rFonts w:ascii="Arial" w:cs="Arial" w:eastAsia="Arial" w:hAnsi="Arial"/>
                <w:sz w:val="18"/>
                <w:szCs w:val="18"/>
                <w:color w:val="auto"/>
                <w:w w:val="93"/>
              </w:rPr>
              <w:t>100</w:t>
            </w:r>
          </w:p>
        </w:tc>
        <w:tc>
          <w:tcPr>
            <w:tcW w:w="9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100</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Mereo BioPharma 3 Limited</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Pharmaceutical research</w:t>
            </w:r>
          </w:p>
        </w:tc>
        <w:tc>
          <w:tcPr>
            <w:tcW w:w="4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and development</w:t>
            </w:r>
          </w:p>
        </w:tc>
        <w:tc>
          <w:tcPr>
            <w:tcW w:w="4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Kingdom</w:t>
            </w:r>
          </w:p>
        </w:tc>
        <w:tc>
          <w:tcPr>
            <w:tcW w:w="1160" w:type="dxa"/>
            <w:vAlign w:val="bottom"/>
            <w:shd w:val="clear" w:color="auto" w:fill="CCEEFF"/>
          </w:tcPr>
          <w:p>
            <w:pPr>
              <w:ind w:left="860"/>
              <w:spacing w:after="0" w:line="203" w:lineRule="exact"/>
              <w:rPr>
                <w:sz w:val="20"/>
                <w:szCs w:val="20"/>
                <w:color w:val="auto"/>
              </w:rPr>
            </w:pPr>
            <w:r>
              <w:rPr>
                <w:rFonts w:ascii="Arial" w:cs="Arial" w:eastAsia="Arial" w:hAnsi="Arial"/>
                <w:sz w:val="18"/>
                <w:szCs w:val="18"/>
                <w:color w:val="auto"/>
                <w:w w:val="93"/>
              </w:rPr>
              <w:t>100</w:t>
            </w: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Mereo BioPharma 4 Limited</w:t>
            </w: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Pharmaceutical research</w:t>
            </w: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tcPr>
          <w:p>
            <w:pPr>
              <w:spacing w:after="0" w:line="203" w:lineRule="exact"/>
              <w:rPr>
                <w:sz w:val="20"/>
                <w:szCs w:val="20"/>
                <w:color w:val="auto"/>
              </w:rPr>
            </w:pPr>
            <w:r>
              <w:rPr>
                <w:rFonts w:ascii="Arial" w:cs="Arial" w:eastAsia="Arial" w:hAnsi="Arial"/>
                <w:sz w:val="18"/>
                <w:szCs w:val="18"/>
                <w:color w:val="auto"/>
              </w:rPr>
              <w:t>and development</w:t>
            </w:r>
          </w:p>
        </w:tc>
        <w:tc>
          <w:tcPr>
            <w:tcW w:w="420" w:type="dxa"/>
            <w:vAlign w:val="bottom"/>
          </w:tcPr>
          <w:p>
            <w:pPr>
              <w:spacing w:after="0"/>
              <w:rPr>
                <w:sz w:val="17"/>
                <w:szCs w:val="17"/>
                <w:color w:val="auto"/>
              </w:rPr>
            </w:pPr>
          </w:p>
        </w:tc>
        <w:tc>
          <w:tcPr>
            <w:tcW w:w="2080" w:type="dxa"/>
            <w:vAlign w:val="bottom"/>
            <w:gridSpan w:val="2"/>
          </w:tcPr>
          <w:p>
            <w:pPr>
              <w:spacing w:after="0" w:line="203" w:lineRule="exact"/>
              <w:rPr>
                <w:sz w:val="20"/>
                <w:szCs w:val="20"/>
                <w:color w:val="auto"/>
              </w:rPr>
            </w:pPr>
            <w:r>
              <w:rPr>
                <w:rFonts w:ascii="Arial" w:cs="Arial" w:eastAsia="Arial" w:hAnsi="Arial"/>
                <w:sz w:val="18"/>
                <w:szCs w:val="18"/>
                <w:color w:val="auto"/>
              </w:rPr>
              <w:t>United Kingdom</w:t>
            </w:r>
          </w:p>
        </w:tc>
        <w:tc>
          <w:tcPr>
            <w:tcW w:w="2120" w:type="dxa"/>
            <w:vAlign w:val="bottom"/>
            <w:gridSpan w:val="2"/>
          </w:tcPr>
          <w:p>
            <w:pPr>
              <w:ind w:left="880"/>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100</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Mereo BioPharma Group plc</w:t>
            </w: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Employee share plan</w:t>
            </w:r>
          </w:p>
        </w:tc>
        <w:tc>
          <w:tcPr>
            <w:tcW w:w="4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Employee Benefit Trust</w:t>
            </w:r>
          </w:p>
        </w:tc>
        <w:tc>
          <w:tcPr>
            <w:tcW w:w="2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Jersey</w:t>
            </w:r>
          </w:p>
        </w:tc>
        <w:tc>
          <w:tcPr>
            <w:tcW w:w="2120" w:type="dxa"/>
            <w:vAlign w:val="bottom"/>
            <w:gridSpan w:val="2"/>
            <w:shd w:val="clear" w:color="auto" w:fill="CCEEFF"/>
          </w:tcPr>
          <w:p>
            <w:pPr>
              <w:ind w:left="880"/>
              <w:spacing w:after="0" w:line="203"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8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gridSpan w:val="3"/>
          </w:tcPr>
          <w:p>
            <w:pPr>
              <w:ind w:left="400"/>
              <w:spacing w:after="0"/>
              <w:rPr>
                <w:sz w:val="20"/>
                <w:szCs w:val="20"/>
                <w:color w:val="auto"/>
              </w:rPr>
            </w:pPr>
            <w:r>
              <w:rPr>
                <w:rFonts w:ascii="Arial" w:cs="Arial" w:eastAsia="Arial" w:hAnsi="Arial"/>
                <w:sz w:val="18"/>
                <w:szCs w:val="18"/>
                <w:color w:val="auto"/>
              </w:rPr>
              <w:t>F-15</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Compensation of key management personnel of the Group</w:t>
      </w:r>
    </w:p>
    <w:p>
      <w:pPr>
        <w:spacing w:after="0" w:line="126"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Key management includes Directors (Executive and Non-Executive) and Executive Officers, the General Counsel, the Chief Medical Officer and the Head of Corporate Development. The compensation paid or payable to key management is set out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10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10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5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center"/>
              <w:ind w:left="37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benefits</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2,111,712</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2,756,979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Post-employment benefits</w:t>
            </w:r>
          </w:p>
        </w:tc>
        <w:tc>
          <w:tcPr>
            <w:tcW w:w="158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rPr>
              <w:t>106,500</w:t>
            </w:r>
          </w:p>
        </w:tc>
        <w:tc>
          <w:tcPr>
            <w:tcW w:w="80" w:type="dxa"/>
            <w:vAlign w:val="bottom"/>
          </w:tcPr>
          <w:p>
            <w:pPr>
              <w:spacing w:after="0"/>
              <w:rPr>
                <w:sz w:val="17"/>
                <w:szCs w:val="17"/>
                <w:color w:val="auto"/>
              </w:rPr>
            </w:pPr>
          </w:p>
        </w:tc>
        <w:tc>
          <w:tcPr>
            <w:tcW w:w="156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rPr>
              <w:t>87,269</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IFRS 2 Share-based payment charge</w:t>
            </w:r>
          </w:p>
        </w:tc>
        <w:tc>
          <w:tcPr>
            <w:tcW w:w="1580" w:type="dxa"/>
            <w:vAlign w:val="bottom"/>
            <w:gridSpan w:val="6"/>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4,631,853</w:t>
            </w:r>
          </w:p>
        </w:tc>
        <w:tc>
          <w:tcPr>
            <w:tcW w:w="80" w:type="dxa"/>
            <w:vAlign w:val="bottom"/>
            <w:shd w:val="clear" w:color="auto" w:fill="CCEEFF"/>
          </w:tcPr>
          <w:p>
            <w:pPr>
              <w:spacing w:after="0"/>
              <w:rPr>
                <w:sz w:val="17"/>
                <w:szCs w:val="17"/>
                <w:color w:val="auto"/>
              </w:rPr>
            </w:pPr>
          </w:p>
        </w:tc>
        <w:tc>
          <w:tcPr>
            <w:tcW w:w="1560" w:type="dxa"/>
            <w:vAlign w:val="bottom"/>
            <w:gridSpan w:val="6"/>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2,726,337</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Total compensation paid to key management personnel</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6,850,065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5,570,585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Finance income and Finance charge</w:t>
            </w: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2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rPr>
              <w:t>Year ended</w:t>
            </w:r>
          </w:p>
        </w:tc>
        <w:tc>
          <w:tcPr>
            <w:tcW w:w="156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center"/>
              <w:ind w:right="64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Finance income</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Bank interest earned</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374,906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826,855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Finance charge</w:t>
            </w:r>
          </w:p>
        </w:tc>
        <w:tc>
          <w:tcPr>
            <w:tcW w:w="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Interest expense on convertible loan</w:t>
            </w:r>
          </w:p>
        </w:tc>
        <w:tc>
          <w:tcPr>
            <w:tcW w:w="11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(179,765)</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(103,115)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paid on bank loan</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5"/>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(327,123)</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Accreted interest on bank loan</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5"/>
          </w:tcPr>
          <w:p>
            <w:pPr>
              <w:ind w:lef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(66,935)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costs on bank loan</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5"/>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Loss on short-term deposits</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5"/>
          </w:tcPr>
          <w:p>
            <w:pPr>
              <w:ind w:lef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(338,279)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warrant fair value</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gridSpan w:val="5"/>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(54,473)</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36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 Finance charge</w:t>
            </w: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(179,765)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(1,089,925</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Employee benefits expense</w:t>
            </w: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2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66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9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9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Included in research &amp; development expenses:</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Salaries</w:t>
            </w: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1,150,222</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1,640,373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Social security costs</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344,467</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420,417</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Pension contributions</w:t>
            </w: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50,864</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77,425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 expense</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1,550,884</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822,173</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b w:val="1"/>
                <w:bCs w:val="1"/>
                <w:color w:val="auto"/>
              </w:rPr>
              <w:t>Included in general and administrative expenses:</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2,132,920</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2,253,393</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Social security costs</w:t>
            </w: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1,040,409</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1,159,548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contributions</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109,187</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96,598</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Share-based payment expense</w:t>
            </w:r>
          </w:p>
        </w:tc>
        <w:tc>
          <w:tcPr>
            <w:tcW w:w="110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color w:val="auto"/>
              </w:rPr>
              <w:t>4,943,133</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2,829,725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employee benefits expense</w:t>
            </w:r>
          </w:p>
        </w:tc>
        <w:tc>
          <w:tcPr>
            <w:tcW w:w="1100" w:type="dxa"/>
            <w:vAlign w:val="bottom"/>
            <w:tcBorders>
              <w:bottom w:val="single" w:sz="8" w:color="auto"/>
            </w:tcBorders>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11,322,086</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9,299,652</w:t>
            </w: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00" w:type="dxa"/>
            <w:vAlign w:val="bottom"/>
            <w:vMerge w:val="restart"/>
          </w:tcPr>
          <w:p>
            <w:pPr>
              <w:ind w:left="4140"/>
              <w:spacing w:after="0"/>
              <w:rPr>
                <w:sz w:val="20"/>
                <w:szCs w:val="20"/>
                <w:color w:val="auto"/>
              </w:rPr>
            </w:pPr>
            <w:r>
              <w:rPr>
                <w:rFonts w:ascii="Arial" w:cs="Arial" w:eastAsia="Arial" w:hAnsi="Arial"/>
                <w:sz w:val="18"/>
                <w:szCs w:val="18"/>
                <w:color w:val="auto"/>
              </w:rPr>
              <w:t>F-16</w:t>
            </w: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w:t>
      </w:r>
    </w:p>
    <w:p>
      <w:pPr>
        <w:spacing w:after="0" w:line="126"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Group is entitled to claim tax credits in the United Kingdom (the “UK”) under the UK R&amp;D SME scheme. The amount included in the financial statements represents the credit receivable by the Group for the year. The claims in respect of the year ended December 31, 2016 were received by the Group in May 2017. The year ended December 31, 2017 amounts have not yet been agreed with the relevant tax authorities.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3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138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138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040" w:type="dxa"/>
            <w:vAlign w:val="bottom"/>
          </w:tcPr>
          <w:p>
            <w:pPr>
              <w:jc w:val="right"/>
              <w:ind w:right="404"/>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3"/>
          </w:tcPr>
          <w:p>
            <w:pPr>
              <w:jc w:val="right"/>
              <w:ind w:right="22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1380" w:type="dxa"/>
            <w:vAlign w:val="bottom"/>
          </w:tcPr>
          <w:p>
            <w:pPr>
              <w:spacing w:after="0"/>
              <w:rPr>
                <w:sz w:val="17"/>
                <w:szCs w:val="17"/>
                <w:color w:val="auto"/>
              </w:rPr>
            </w:pPr>
          </w:p>
        </w:tc>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Kingdom corporation tax R&amp;D credit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5,331,271</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gridSpan w:val="3"/>
            <w:shd w:val="clear" w:color="auto" w:fill="CCEEFF"/>
          </w:tcPr>
          <w:p>
            <w:pPr>
              <w:ind w:left="280"/>
              <w:spacing w:after="0" w:line="196" w:lineRule="exact"/>
              <w:rPr>
                <w:sz w:val="20"/>
                <w:szCs w:val="20"/>
                <w:color w:val="auto"/>
              </w:rPr>
            </w:pPr>
            <w:r>
              <w:rPr>
                <w:rFonts w:ascii="Arial" w:cs="Arial" w:eastAsia="Arial" w:hAnsi="Arial"/>
                <w:sz w:val="18"/>
                <w:szCs w:val="18"/>
                <w:color w:val="auto"/>
                <w:w w:val="97"/>
              </w:rPr>
              <w:t>8,152,084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color w:val="auto"/>
              </w:rPr>
              <w:t>The charge for the year can be reconciled to the loss per the income statement as follows:</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13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24"/>
                <w:szCs w:val="2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13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138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3"/>
          </w:tcPr>
          <w:p>
            <w:pPr>
              <w:jc w:val="center"/>
              <w:ind w:left="178"/>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r>
      <w:tr>
        <w:trPr>
          <w:trHeight w:val="175"/>
        </w:trPr>
        <w:tc>
          <w:tcPr>
            <w:tcW w:w="138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gridSpan w:val="3"/>
          </w:tcPr>
          <w:p>
            <w:pPr>
              <w:ind w:left="78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7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before tax</w:t>
            </w:r>
          </w:p>
        </w:tc>
        <w:tc>
          <w:tcPr>
            <w:tcW w:w="10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(33,721,551)</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(46,951,138)</w:t>
            </w:r>
          </w:p>
        </w:tc>
        <w:tc>
          <w:tcPr>
            <w:tcW w:w="140" w:type="dxa"/>
            <w:vAlign w:val="bottom"/>
            <w:tcBorders>
              <w:top w:val="single" w:sz="8" w:color="CCEEFF"/>
            </w:tcBorders>
            <w:shd w:val="clear" w:color="auto" w:fill="CCEEFF"/>
          </w:tcPr>
          <w:p>
            <w:pPr>
              <w:spacing w:after="0"/>
              <w:rPr>
                <w:sz w:val="17"/>
                <w:szCs w:val="17"/>
                <w:color w:val="auto"/>
              </w:rPr>
            </w:pPr>
          </w:p>
        </w:tc>
      </w:tr>
      <w:tr>
        <w:trPr>
          <w:trHeight w:val="202"/>
        </w:trPr>
        <w:tc>
          <w:tcPr>
            <w:tcW w:w="8400" w:type="dxa"/>
            <w:vAlign w:val="bottom"/>
            <w:gridSpan w:val="3"/>
          </w:tcPr>
          <w:p>
            <w:pPr>
              <w:spacing w:after="0" w:line="201" w:lineRule="exact"/>
              <w:rPr>
                <w:sz w:val="20"/>
                <w:szCs w:val="20"/>
                <w:color w:val="auto"/>
              </w:rPr>
            </w:pPr>
            <w:r>
              <w:rPr>
                <w:rFonts w:ascii="Arial" w:cs="Arial" w:eastAsia="Arial" w:hAnsi="Arial"/>
                <w:sz w:val="18"/>
                <w:szCs w:val="18"/>
                <w:color w:val="auto"/>
              </w:rPr>
              <w:t>Loss on ordinary activities before tax at the United Kingdom’s statutory income tax rate of 19.25%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1380" w:type="dxa"/>
            <w:vAlign w:val="bottom"/>
          </w:tcPr>
          <w:p>
            <w:pPr>
              <w:ind w:left="180"/>
              <w:spacing w:after="0" w:line="203" w:lineRule="exact"/>
              <w:rPr>
                <w:sz w:val="20"/>
                <w:szCs w:val="20"/>
                <w:color w:val="auto"/>
              </w:rPr>
            </w:pPr>
            <w:r>
              <w:rPr>
                <w:rFonts w:ascii="Arial" w:cs="Arial" w:eastAsia="Arial" w:hAnsi="Arial"/>
                <w:sz w:val="18"/>
                <w:szCs w:val="18"/>
                <w:color w:val="auto"/>
              </w:rPr>
              <w:t>(2016:20%)</w:t>
            </w:r>
          </w:p>
        </w:tc>
        <w:tc>
          <w:tcPr>
            <w:tcW w:w="5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rPr>
              <w:t>6,744,310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3"/>
          </w:tcPr>
          <w:p>
            <w:pPr>
              <w:jc w:val="right"/>
              <w:ind w:right="140"/>
              <w:spacing w:after="0" w:line="203" w:lineRule="exact"/>
              <w:rPr>
                <w:sz w:val="20"/>
                <w:szCs w:val="20"/>
                <w:color w:val="auto"/>
              </w:rPr>
            </w:pPr>
            <w:r>
              <w:rPr>
                <w:rFonts w:ascii="Arial" w:cs="Arial" w:eastAsia="Arial" w:hAnsi="Arial"/>
                <w:sz w:val="18"/>
                <w:szCs w:val="18"/>
                <w:color w:val="auto"/>
              </w:rPr>
              <w:t>9,036,428</w:t>
            </w: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 not deductible for tax purposes (permanent differences)</w:t>
            </w:r>
          </w:p>
        </w:tc>
        <w:tc>
          <w:tcPr>
            <w:tcW w:w="1040" w:type="dxa"/>
            <w:vAlign w:val="bottom"/>
            <w:shd w:val="clear" w:color="auto" w:fill="CCEEFF"/>
          </w:tcPr>
          <w:p>
            <w:pPr>
              <w:spacing w:after="0"/>
              <w:rPr>
                <w:sz w:val="17"/>
                <w:szCs w:val="17"/>
                <w:color w:val="auto"/>
              </w:rPr>
            </w:pPr>
          </w:p>
        </w:tc>
        <w:tc>
          <w:tcPr>
            <w:tcW w:w="158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(15,116)</w:t>
            </w:r>
          </w:p>
        </w:tc>
        <w:tc>
          <w:tcPr>
            <w:tcW w:w="8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(14,317)</w:t>
            </w: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Temporary timing differences</w:t>
            </w:r>
          </w:p>
        </w:tc>
        <w:tc>
          <w:tcPr>
            <w:tcW w:w="1040" w:type="dxa"/>
            <w:vAlign w:val="bottom"/>
          </w:tcPr>
          <w:p>
            <w:pPr>
              <w:spacing w:after="0"/>
              <w:rPr>
                <w:sz w:val="17"/>
                <w:szCs w:val="17"/>
                <w:color w:val="auto"/>
              </w:rPr>
            </w:pPr>
          </w:p>
        </w:tc>
        <w:tc>
          <w:tcPr>
            <w:tcW w:w="1580" w:type="dxa"/>
            <w:vAlign w:val="bottom"/>
            <w:gridSpan w:val="5"/>
          </w:tcPr>
          <w:p>
            <w:pPr>
              <w:jc w:val="right"/>
              <w:ind w:right="140"/>
              <w:spacing w:after="0" w:line="202" w:lineRule="exact"/>
              <w:rPr>
                <w:sz w:val="20"/>
                <w:szCs w:val="20"/>
                <w:color w:val="auto"/>
              </w:rPr>
            </w:pPr>
            <w:r>
              <w:rPr>
                <w:rFonts w:ascii="Arial" w:cs="Arial" w:eastAsia="Arial" w:hAnsi="Arial"/>
                <w:sz w:val="18"/>
                <w:szCs w:val="18"/>
                <w:color w:val="auto"/>
              </w:rPr>
              <w:t>(1,300,044)</w:t>
            </w:r>
          </w:p>
        </w:tc>
        <w:tc>
          <w:tcPr>
            <w:tcW w:w="80" w:type="dxa"/>
            <w:vAlign w:val="bottom"/>
          </w:tcPr>
          <w:p>
            <w:pPr>
              <w:spacing w:after="0"/>
              <w:rPr>
                <w:sz w:val="17"/>
                <w:szCs w:val="17"/>
                <w:color w:val="auto"/>
              </w:rPr>
            </w:pPr>
          </w:p>
        </w:tc>
        <w:tc>
          <w:tcPr>
            <w:tcW w:w="13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(711,677)</w:t>
            </w: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relief uplift</w:t>
            </w:r>
          </w:p>
        </w:tc>
        <w:tc>
          <w:tcPr>
            <w:tcW w:w="104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2,134,107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3,447,474</w:t>
            </w:r>
          </w:p>
        </w:tc>
      </w:tr>
      <w:tr>
        <w:trPr>
          <w:trHeight w:val="203"/>
        </w:trPr>
        <w:tc>
          <w:tcPr>
            <w:tcW w:w="7360" w:type="dxa"/>
            <w:vAlign w:val="bottom"/>
            <w:gridSpan w:val="2"/>
          </w:tcPr>
          <w:p>
            <w:pPr>
              <w:spacing w:after="0" w:line="202" w:lineRule="exact"/>
              <w:rPr>
                <w:sz w:val="20"/>
                <w:szCs w:val="20"/>
                <w:color w:val="auto"/>
              </w:rPr>
            </w:pPr>
            <w:r>
              <w:rPr>
                <w:rFonts w:ascii="Arial" w:cs="Arial" w:eastAsia="Arial" w:hAnsi="Arial"/>
                <w:sz w:val="18"/>
                <w:szCs w:val="18"/>
                <w:color w:val="auto"/>
              </w:rPr>
              <w:t>Losses (unrecognized)</w:t>
            </w:r>
          </w:p>
        </w:tc>
        <w:tc>
          <w:tcPr>
            <w:tcW w:w="1040" w:type="dxa"/>
            <w:vAlign w:val="bottom"/>
          </w:tcPr>
          <w:p>
            <w:pPr>
              <w:spacing w:after="0"/>
              <w:rPr>
                <w:sz w:val="17"/>
                <w:szCs w:val="17"/>
                <w:color w:val="auto"/>
              </w:rPr>
            </w:pPr>
          </w:p>
        </w:tc>
        <w:tc>
          <w:tcPr>
            <w:tcW w:w="1580" w:type="dxa"/>
            <w:vAlign w:val="bottom"/>
            <w:gridSpan w:val="5"/>
          </w:tcPr>
          <w:p>
            <w:pPr>
              <w:jc w:val="right"/>
              <w:ind w:right="140"/>
              <w:spacing w:after="0" w:line="202" w:lineRule="exact"/>
              <w:rPr>
                <w:sz w:val="20"/>
                <w:szCs w:val="20"/>
                <w:color w:val="auto"/>
              </w:rPr>
            </w:pPr>
            <w:r>
              <w:rPr>
                <w:rFonts w:ascii="Arial" w:cs="Arial" w:eastAsia="Arial" w:hAnsi="Arial"/>
                <w:sz w:val="18"/>
                <w:szCs w:val="18"/>
                <w:color w:val="auto"/>
              </w:rPr>
              <w:t>(2,231,986)</w:t>
            </w:r>
          </w:p>
        </w:tc>
        <w:tc>
          <w:tcPr>
            <w:tcW w:w="80" w:type="dxa"/>
            <w:vAlign w:val="bottom"/>
          </w:tcPr>
          <w:p>
            <w:pPr>
              <w:spacing w:after="0"/>
              <w:rPr>
                <w:sz w:val="17"/>
                <w:szCs w:val="17"/>
                <w:color w:val="auto"/>
              </w:rPr>
            </w:pPr>
          </w:p>
        </w:tc>
        <w:tc>
          <w:tcPr>
            <w:tcW w:w="13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(4,014,473)</w:t>
            </w:r>
          </w:p>
        </w:tc>
      </w:tr>
      <w:tr>
        <w:trPr>
          <w:trHeight w:val="203"/>
        </w:trPr>
        <w:tc>
          <w:tcPr>
            <w:tcW w:w="7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income from MBG loan guarantee costs</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408,649</w:t>
            </w:r>
          </w:p>
        </w:tc>
      </w:tr>
      <w:tr>
        <w:trPr>
          <w:trHeight w:val="210"/>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Tax credit for the year</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5,331,271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8,152,084</w:t>
            </w:r>
          </w:p>
        </w:tc>
        <w:tc>
          <w:tcPr>
            <w:tcW w:w="14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2017, the Group had tax losses to be carried forward of approximately £36,377,451 (2016: £16,343,508).</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tax relates to the following:</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20" w:type="dxa"/>
            <w:vAlign w:val="bottom"/>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4"/>
                <w:szCs w:val="14"/>
                <w:color w:val="auto"/>
              </w:rPr>
            </w:pPr>
          </w:p>
        </w:tc>
        <w:tc>
          <w:tcPr>
            <w:tcW w:w="1040" w:type="dxa"/>
            <w:vAlign w:val="bottom"/>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9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Losses</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2,788,396</w:t>
            </w: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6,324,265</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Accelerated capital allowances</w:t>
            </w:r>
          </w:p>
        </w:tc>
        <w:tc>
          <w:tcPr>
            <w:tcW w:w="15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(9,883)</w:t>
            </w:r>
          </w:p>
        </w:tc>
        <w:tc>
          <w:tcPr>
            <w:tcW w:w="11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2,210</w:t>
            </w:r>
          </w:p>
        </w:tc>
        <w:tc>
          <w:tcPr>
            <w:tcW w:w="5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Temporary differences trading</w:t>
            </w:r>
          </w:p>
        </w:tc>
        <w:tc>
          <w:tcPr>
            <w:tcW w:w="15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2,266,798</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deferred tax asset</w:t>
            </w: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2,770,723</w:t>
            </w:r>
          </w:p>
        </w:tc>
        <w:tc>
          <w:tcPr>
            <w:tcW w:w="560" w:type="dxa"/>
            <w:vAlign w:val="bottom"/>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8,591,063</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456"/>
        <w:spacing w:after="0" w:line="246" w:lineRule="auto"/>
        <w:rPr>
          <w:sz w:val="20"/>
          <w:szCs w:val="20"/>
          <w:color w:val="auto"/>
        </w:rPr>
      </w:pPr>
      <w:r>
        <w:rPr>
          <w:rFonts w:ascii="Arial" w:cs="Arial" w:eastAsia="Arial" w:hAnsi="Arial"/>
          <w:sz w:val="18"/>
          <w:szCs w:val="18"/>
          <w:color w:val="auto"/>
        </w:rPr>
        <w:t>The deferred tax asset has not been recognized as there is uncertainty regarding when suitable future profits against which to offset the accumulated tax losses will arise. There is no expiration date for the accumulated tax losses.</w:t>
      </w:r>
    </w:p>
    <w:p>
      <w:pPr>
        <w:spacing w:after="0" w:line="197" w:lineRule="exact"/>
        <w:rPr>
          <w:sz w:val="20"/>
          <w:szCs w:val="20"/>
          <w:color w:val="auto"/>
        </w:rPr>
      </w:pPr>
    </w:p>
    <w:p>
      <w:pPr>
        <w:jc w:val="both"/>
        <w:ind w:right="320" w:firstLine="456"/>
        <w:spacing w:after="0"/>
        <w:rPr>
          <w:sz w:val="20"/>
          <w:szCs w:val="20"/>
          <w:color w:val="auto"/>
        </w:rPr>
      </w:pPr>
      <w:r>
        <w:rPr>
          <w:rFonts w:ascii="Arial" w:cs="Arial" w:eastAsia="Arial" w:hAnsi="Arial"/>
          <w:sz w:val="18"/>
          <w:szCs w:val="18"/>
          <w:color w:val="auto"/>
        </w:rPr>
        <w:t>A reduction in the rate of UK corporation tax to 19% from April 1, 2017 and to 17% from April 1, 2020 has been substantively enacted. The standard rate of corporation tax applied to reported loss is 19.25% (2016:20%) and any UK deferred tax assets and liabilities would be recognized at a rate of 17%.</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Loss per share</w:t>
      </w:r>
    </w:p>
    <w:p>
      <w:pPr>
        <w:spacing w:after="0" w:line="126"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Basic loss per share is calculated by dividing the loss attributable for the year to ordinary equity holders of the parent by the weighted average number of ordinary shares outstanding during the year. As net losses from continuing operations were recorded in the year, the dilutive potential shares are anti-dilutive for the earnings per share calculation.</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30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Year ended December 31, 2016</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Weighted</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Loss per</w:t>
            </w:r>
          </w:p>
        </w:tc>
        <w:tc>
          <w:tcPr>
            <w:tcW w:w="140" w:type="dxa"/>
            <w:vAlign w:val="bottom"/>
          </w:tcPr>
          <w:p>
            <w:pPr>
              <w:spacing w:after="0"/>
              <w:rPr>
                <w:sz w:val="12"/>
                <w:szCs w:val="12"/>
                <w:color w:val="auto"/>
              </w:rPr>
            </w:pPr>
          </w:p>
        </w:tc>
      </w:tr>
      <w:tr>
        <w:trPr>
          <w:trHeight w:val="162"/>
        </w:trPr>
        <w:tc>
          <w:tcPr>
            <w:tcW w:w="574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Loss</w:t>
            </w: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r>
      <w:tr>
        <w:trPr>
          <w:trHeight w:val="175"/>
        </w:trPr>
        <w:tc>
          <w:tcPr>
            <w:tcW w:w="57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(28,390,280)</w:t>
            </w:r>
          </w:p>
        </w:tc>
        <w:tc>
          <w:tcPr>
            <w:tcW w:w="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44,789,893</w:t>
            </w: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140" w:type="dxa"/>
            <w:vAlign w:val="bottom"/>
            <w:tcBorders>
              <w:top w:val="single" w:sz="8" w:color="CCEEFF"/>
            </w:tcBorders>
            <w:shd w:val="clear" w:color="auto" w:fill="CCEEFF"/>
          </w:tcPr>
          <w:p>
            <w:pPr>
              <w:spacing w:after="0"/>
              <w:rPr>
                <w:sz w:val="17"/>
                <w:szCs w:val="17"/>
                <w:color w:val="auto"/>
              </w:rPr>
            </w:pPr>
          </w:p>
        </w:tc>
      </w:tr>
      <w:tr>
        <w:trPr>
          <w:trHeight w:val="378"/>
        </w:trPr>
        <w:tc>
          <w:tcPr>
            <w:tcW w:w="5740" w:type="dxa"/>
            <w:vAlign w:val="bottom"/>
          </w:tcPr>
          <w:p>
            <w:pPr>
              <w:spacing w:after="0"/>
              <w:rPr>
                <w:sz w:val="24"/>
                <w:szCs w:val="24"/>
                <w:color w:val="auto"/>
              </w:rPr>
            </w:pPr>
          </w:p>
        </w:tc>
        <w:tc>
          <w:tcPr>
            <w:tcW w:w="30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Year ended December 31, 2017</w:t>
            </w:r>
          </w:p>
        </w:tc>
        <w:tc>
          <w:tcPr>
            <w:tcW w:w="6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42"/>
        </w:trPr>
        <w:tc>
          <w:tcPr>
            <w:tcW w:w="5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Weighted</w:t>
            </w: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Loss per</w:t>
            </w:r>
          </w:p>
        </w:tc>
        <w:tc>
          <w:tcPr>
            <w:tcW w:w="140" w:type="dxa"/>
            <w:vAlign w:val="bottom"/>
          </w:tcPr>
          <w:p>
            <w:pPr>
              <w:spacing w:after="0"/>
              <w:rPr>
                <w:sz w:val="12"/>
                <w:szCs w:val="12"/>
                <w:color w:val="auto"/>
              </w:rPr>
            </w:pPr>
          </w:p>
        </w:tc>
      </w:tr>
      <w:tr>
        <w:trPr>
          <w:trHeight w:val="162"/>
        </w:trPr>
        <w:tc>
          <w:tcPr>
            <w:tcW w:w="574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Loss</w:t>
            </w: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r>
      <w:tr>
        <w:trPr>
          <w:trHeight w:val="175"/>
        </w:trPr>
        <w:tc>
          <w:tcPr>
            <w:tcW w:w="57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(38,799,054)</w:t>
            </w:r>
          </w:p>
        </w:tc>
        <w:tc>
          <w:tcPr>
            <w:tcW w:w="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69,012,348</w:t>
            </w: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140" w:type="dxa"/>
            <w:vAlign w:val="bottom"/>
            <w:tcBorders>
              <w:top w:val="single" w:sz="8" w:color="CCEEFF"/>
            </w:tcBorders>
            <w:shd w:val="clear" w:color="auto" w:fill="CCEEFF"/>
          </w:tcPr>
          <w:p>
            <w:pPr>
              <w:spacing w:after="0"/>
              <w:rPr>
                <w:sz w:val="17"/>
                <w:szCs w:val="17"/>
                <w:color w:val="auto"/>
              </w:rPr>
            </w:pPr>
          </w:p>
        </w:tc>
      </w:tr>
    </w:tbl>
    <w:p>
      <w:pPr>
        <w:spacing w:after="0" w:line="215"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The Group operates a number of share option plans (see Note 24) which could potentially dilute basic earnings per share in the future. In addition, there exist within equity 864,988 (2016: 1,453,520) shares to be issued which also have the potential to dilute basic earnings per share in future (see Note 17).</w:t>
      </w:r>
    </w:p>
    <w:p>
      <w:pPr>
        <w:spacing w:after="0" w:line="203"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As part of a licence and option agreement with AstraZeneca (see Note 25), additional future payments of a maximum of 1,349,692 new ordinary shares would be payable on reaching certain clinical milestones.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Warrants totaling 696,490 were issued in 2017 that could potentially dilute basic earnings per share if converted.</w:t>
      </w:r>
    </w:p>
    <w:p>
      <w:pPr>
        <w:spacing w:after="0" w:line="212" w:lineRule="exact"/>
        <w:rPr>
          <w:sz w:val="20"/>
          <w:szCs w:val="20"/>
          <w:color w:val="auto"/>
        </w:rPr>
      </w:pPr>
    </w:p>
    <w:p>
      <w:pPr>
        <w:ind w:right="140" w:firstLine="456"/>
        <w:spacing w:after="0" w:line="246" w:lineRule="auto"/>
        <w:rPr>
          <w:sz w:val="20"/>
          <w:szCs w:val="20"/>
          <w:color w:val="auto"/>
        </w:rPr>
      </w:pPr>
      <w:r>
        <w:rPr>
          <w:rFonts w:ascii="Arial" w:cs="Arial" w:eastAsia="Arial" w:hAnsi="Arial"/>
          <w:sz w:val="18"/>
          <w:szCs w:val="18"/>
          <w:color w:val="auto"/>
        </w:rPr>
        <w:t>There have been no other transactions involving ordinary shares or potential ordinary shares between the reporting date and the date of authorisation of these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Property, plant and equipment</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Leasehold</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Office</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IT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improvements</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equipment</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equipment</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840" w:type="dxa"/>
            <w:vAlign w:val="bottom"/>
            <w:gridSpan w:val="2"/>
          </w:tcPr>
          <w:p>
            <w:pPr>
              <w:jc w:val="center"/>
              <w:ind w:left="1793"/>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Cost or valuation</w:t>
            </w:r>
          </w:p>
        </w:tc>
        <w:tc>
          <w:tcPr>
            <w:tcW w:w="18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At January 1, 2016</w:t>
            </w:r>
          </w:p>
        </w:tc>
        <w:tc>
          <w:tcPr>
            <w:tcW w:w="338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155,494</w:t>
            </w:r>
          </w:p>
        </w:tc>
        <w:tc>
          <w:tcPr>
            <w:tcW w:w="12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20,024</w:t>
            </w:r>
          </w:p>
        </w:tc>
        <w:tc>
          <w:tcPr>
            <w:tcW w:w="12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40,360</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215,878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18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3,467</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Disposals</w:t>
            </w:r>
          </w:p>
        </w:tc>
        <w:tc>
          <w:tcPr>
            <w:tcW w:w="1860" w:type="dxa"/>
            <w:vAlign w:val="bottom"/>
          </w:tcPr>
          <w:p>
            <w:pPr>
              <w:spacing w:after="0"/>
              <w:rPr>
                <w:sz w:val="17"/>
                <w:szCs w:val="17"/>
                <w:color w:val="auto"/>
              </w:rPr>
            </w:pP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(1,175)</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8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155,494</w:t>
            </w:r>
          </w:p>
        </w:tc>
        <w:tc>
          <w:tcPr>
            <w:tcW w:w="12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20,024</w:t>
            </w:r>
          </w:p>
        </w:tc>
        <w:tc>
          <w:tcPr>
            <w:tcW w:w="12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42,652</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218,170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86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10,107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5,461</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15,568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18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2017</w:t>
            </w:r>
          </w:p>
        </w:tc>
        <w:tc>
          <w:tcPr>
            <w:tcW w:w="18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155,494</w:t>
            </w:r>
          </w:p>
        </w:tc>
        <w:tc>
          <w:tcPr>
            <w:tcW w:w="5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30,131</w:t>
            </w:r>
          </w:p>
        </w:tc>
        <w:tc>
          <w:tcPr>
            <w:tcW w:w="5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48,113</w:t>
            </w:r>
          </w:p>
        </w:tc>
        <w:tc>
          <w:tcPr>
            <w:tcW w:w="5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233,738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Depreciation and impairment</w:t>
            </w:r>
          </w:p>
        </w:tc>
        <w:tc>
          <w:tcPr>
            <w:tcW w:w="1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At January 1, 2016</w:t>
            </w:r>
          </w:p>
        </w:tc>
        <w:tc>
          <w:tcPr>
            <w:tcW w:w="338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(5,625)</w:t>
            </w: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(1,335)</w:t>
            </w: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(4,401)</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18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457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Depreciation for the year</w:t>
            </w:r>
          </w:p>
        </w:tc>
        <w:tc>
          <w:tcPr>
            <w:tcW w:w="1860" w:type="dxa"/>
            <w:vAlign w:val="bottom"/>
          </w:tcPr>
          <w:p>
            <w:pPr>
              <w:spacing w:after="0"/>
              <w:rPr>
                <w:sz w:val="17"/>
                <w:szCs w:val="17"/>
                <w:color w:val="auto"/>
              </w:rPr>
            </w:pPr>
          </w:p>
        </w:tc>
        <w:tc>
          <w:tcPr>
            <w:tcW w:w="15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(15,549)</w:t>
            </w: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(4,005)</w:t>
            </w: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(13,843)</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8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b w:val="1"/>
                <w:bCs w:val="1"/>
                <w:color w:val="auto"/>
              </w:rPr>
              <w:t>(21,174)</w:t>
            </w: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(5,340)</w:t>
            </w: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(17,787)</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(44,301)</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1860" w:type="dxa"/>
            <w:vAlign w:val="bottom"/>
          </w:tcPr>
          <w:p>
            <w:pPr>
              <w:spacing w:after="0"/>
              <w:rPr>
                <w:sz w:val="18"/>
                <w:szCs w:val="18"/>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for the year</w:t>
            </w:r>
          </w:p>
        </w:tc>
        <w:tc>
          <w:tcPr>
            <w:tcW w:w="338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(15,549)</w:t>
            </w: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(5,386)</w:t>
            </w: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(15,141)</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(36,076)</w:t>
            </w:r>
          </w:p>
        </w:tc>
        <w:tc>
          <w:tcPr>
            <w:tcW w:w="0" w:type="dxa"/>
            <w:vAlign w:val="bottom"/>
          </w:tcPr>
          <w:p>
            <w:pPr>
              <w:spacing w:after="0"/>
              <w:rPr>
                <w:sz w:val="1"/>
                <w:szCs w:val="1"/>
                <w:color w:val="auto"/>
              </w:rPr>
            </w:pPr>
          </w:p>
        </w:tc>
      </w:tr>
      <w:tr>
        <w:trPr>
          <w:trHeight w:val="217"/>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2017</w:t>
            </w:r>
          </w:p>
        </w:tc>
        <w:tc>
          <w:tcPr>
            <w:tcW w:w="18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(36,723)</w:t>
            </w:r>
          </w:p>
        </w:tc>
        <w:tc>
          <w:tcPr>
            <w:tcW w:w="5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(10,726)</w:t>
            </w:r>
          </w:p>
        </w:tc>
        <w:tc>
          <w:tcPr>
            <w:tcW w:w="5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(32,928)</w:t>
            </w:r>
          </w:p>
        </w:tc>
        <w:tc>
          <w:tcPr>
            <w:tcW w:w="5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book value</w:t>
            </w:r>
          </w:p>
        </w:tc>
        <w:tc>
          <w:tcPr>
            <w:tcW w:w="1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b w:val="1"/>
                <w:bCs w:val="1"/>
                <w:color w:val="auto"/>
              </w:rPr>
              <w:t>At January 1, 2016</w:t>
            </w:r>
          </w:p>
        </w:tc>
        <w:tc>
          <w:tcPr>
            <w:tcW w:w="338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149,869</w:t>
            </w:r>
          </w:p>
        </w:tc>
        <w:tc>
          <w:tcPr>
            <w:tcW w:w="12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18,689</w:t>
            </w:r>
          </w:p>
        </w:tc>
        <w:tc>
          <w:tcPr>
            <w:tcW w:w="12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35,959</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204,517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2016</w:t>
            </w:r>
          </w:p>
        </w:tc>
        <w:tc>
          <w:tcPr>
            <w:tcW w:w="18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134,320</w:t>
            </w:r>
          </w:p>
        </w:tc>
        <w:tc>
          <w:tcPr>
            <w:tcW w:w="124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14,684</w:t>
            </w:r>
          </w:p>
        </w:tc>
        <w:tc>
          <w:tcPr>
            <w:tcW w:w="126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24,865</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173,869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2017</w:t>
            </w:r>
          </w:p>
        </w:tc>
        <w:tc>
          <w:tcPr>
            <w:tcW w:w="1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gridSpan w:val="2"/>
            <w:vMerge w:val="continue"/>
          </w:tcPr>
          <w:p>
            <w:pPr>
              <w:spacing w:after="0"/>
              <w:rPr>
                <w:sz w:val="17"/>
                <w:szCs w:val="17"/>
                <w:color w:val="auto"/>
              </w:rPr>
            </w:pPr>
          </w:p>
        </w:tc>
        <w:tc>
          <w:tcPr>
            <w:tcW w:w="1860" w:type="dxa"/>
            <w:vAlign w:val="bottom"/>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118,771</w:t>
            </w:r>
          </w:p>
        </w:tc>
        <w:tc>
          <w:tcPr>
            <w:tcW w:w="540" w:type="dxa"/>
            <w:vAlign w:val="bottom"/>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19,405</w:t>
            </w:r>
          </w:p>
        </w:tc>
        <w:tc>
          <w:tcPr>
            <w:tcW w:w="520" w:type="dxa"/>
            <w:vAlign w:val="bottom"/>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15,185</w:t>
            </w:r>
          </w:p>
        </w:tc>
        <w:tc>
          <w:tcPr>
            <w:tcW w:w="520" w:type="dxa"/>
            <w:vAlign w:val="bottom"/>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153,361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380" w:type="dxa"/>
            <w:vAlign w:val="bottom"/>
            <w:gridSpan w:val="3"/>
          </w:tcPr>
          <w:p>
            <w:pPr>
              <w:jc w:val="right"/>
              <w:ind w:right="1720"/>
              <w:spacing w:after="0"/>
              <w:rPr>
                <w:sz w:val="20"/>
                <w:szCs w:val="20"/>
                <w:color w:val="auto"/>
              </w:rPr>
            </w:pPr>
            <w:r>
              <w:rPr>
                <w:rFonts w:ascii="Arial" w:cs="Arial" w:eastAsia="Arial" w:hAnsi="Arial"/>
                <w:sz w:val="18"/>
                <w:szCs w:val="18"/>
                <w:color w:val="auto"/>
              </w:rPr>
              <w:t>F-19</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Intangible assets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8320" w:type="dxa"/>
            <w:vAlign w:val="bottom"/>
          </w:tcPr>
          <w:p>
            <w:pPr>
              <w:spacing w:after="0"/>
              <w:rPr>
                <w:sz w:val="14"/>
                <w:szCs w:val="14"/>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Acquired</w:t>
            </w:r>
          </w:p>
        </w:tc>
        <w:tc>
          <w:tcPr>
            <w:tcW w:w="0" w:type="dxa"/>
            <w:vAlign w:val="bottom"/>
          </w:tcPr>
          <w:p>
            <w:pPr>
              <w:spacing w:after="0"/>
              <w:rPr>
                <w:sz w:val="1"/>
                <w:szCs w:val="1"/>
                <w:color w:val="auto"/>
              </w:rPr>
            </w:pPr>
          </w:p>
        </w:tc>
      </w:tr>
      <w:tr>
        <w:trPr>
          <w:trHeight w:val="162"/>
        </w:trPr>
        <w:tc>
          <w:tcPr>
            <w:tcW w:w="8320" w:type="dxa"/>
            <w:vAlign w:val="bottom"/>
          </w:tcPr>
          <w:p>
            <w:pPr>
              <w:spacing w:after="0"/>
              <w:rPr>
                <w:sz w:val="14"/>
                <w:szCs w:val="14"/>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development</w:t>
            </w:r>
          </w:p>
        </w:tc>
        <w:tc>
          <w:tcPr>
            <w:tcW w:w="0" w:type="dxa"/>
            <w:vAlign w:val="bottom"/>
          </w:tcPr>
          <w:p>
            <w:pPr>
              <w:spacing w:after="0"/>
              <w:rPr>
                <w:sz w:val="1"/>
                <w:szCs w:val="1"/>
                <w:color w:val="auto"/>
              </w:rPr>
            </w:pPr>
          </w:p>
        </w:tc>
      </w:tr>
      <w:tr>
        <w:trPr>
          <w:trHeight w:val="162"/>
        </w:trPr>
        <w:tc>
          <w:tcPr>
            <w:tcW w:w="8320" w:type="dxa"/>
            <w:vAlign w:val="bottom"/>
          </w:tcPr>
          <w:p>
            <w:pPr>
              <w:spacing w:after="0"/>
              <w:rPr>
                <w:sz w:val="14"/>
                <w:szCs w:val="14"/>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programmes</w:t>
            </w:r>
          </w:p>
        </w:tc>
        <w:tc>
          <w:tcPr>
            <w:tcW w:w="0" w:type="dxa"/>
            <w:vAlign w:val="bottom"/>
          </w:tcPr>
          <w:p>
            <w:pPr>
              <w:spacing w:after="0"/>
              <w:rPr>
                <w:sz w:val="1"/>
                <w:szCs w:val="1"/>
                <w:color w:val="auto"/>
              </w:rPr>
            </w:pPr>
          </w:p>
        </w:tc>
      </w:tr>
      <w:tr>
        <w:trPr>
          <w:trHeight w:val="189"/>
        </w:trPr>
        <w:tc>
          <w:tcPr>
            <w:tcW w:w="83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 at January 1, 2016 and December 31, 2016</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Amortisation and impairment</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26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Impairment (Note 13)</w:t>
            </w:r>
          </w:p>
        </w:tc>
        <w:tc>
          <w:tcPr>
            <w:tcW w:w="1260" w:type="dxa"/>
            <w:vAlign w:val="bottom"/>
            <w:gridSpan w:val="3"/>
          </w:tcPr>
          <w:p>
            <w:pPr>
              <w:ind w:left="9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26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b w:val="1"/>
                <w:bCs w:val="1"/>
                <w:color w:val="auto"/>
              </w:rPr>
              <w:t>Net book value</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Arial" w:cs="Arial" w:eastAsia="Arial" w:hAnsi="Arial"/>
                <w:sz w:val="18"/>
                <w:szCs w:val="18"/>
                <w:b w:val="1"/>
                <w:bCs w:val="1"/>
                <w:color w:val="auto"/>
              </w:rPr>
              <w:t>At December 31, 2016</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25,812,941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at January 1, 2017</w:t>
            </w:r>
          </w:p>
        </w:tc>
        <w:tc>
          <w:tcPr>
            <w:tcW w:w="12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12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7,192,288</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33,005,229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Arial" w:cs="Arial" w:eastAsia="Arial" w:hAnsi="Arial"/>
                <w:sz w:val="18"/>
                <w:szCs w:val="18"/>
                <w:b w:val="1"/>
                <w:bCs w:val="1"/>
                <w:color w:val="auto"/>
              </w:rPr>
              <w:t>Amortisation and impairment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2017</w:t>
            </w:r>
          </w:p>
        </w:tc>
        <w:tc>
          <w:tcPr>
            <w:tcW w:w="126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b w:val="1"/>
                <w:bCs w:val="1"/>
                <w:color w:val="auto"/>
              </w:rPr>
              <w:t>Impairment (Note 13)</w:t>
            </w:r>
          </w:p>
        </w:tc>
        <w:tc>
          <w:tcPr>
            <w:tcW w:w="1260" w:type="dxa"/>
            <w:vAlign w:val="bottom"/>
            <w:gridSpan w:val="3"/>
          </w:tcPr>
          <w:p>
            <w:pPr>
              <w:ind w:left="90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26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b w:val="1"/>
                <w:bCs w:val="1"/>
                <w:color w:val="auto"/>
              </w:rPr>
              <w:t>Net book value</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2017</w:t>
            </w:r>
          </w:p>
        </w:tc>
        <w:tc>
          <w:tcPr>
            <w:tcW w:w="1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Arial" w:cs="Arial" w:eastAsia="Arial" w:hAnsi="Arial"/>
                <w:sz w:val="18"/>
                <w:szCs w:val="18"/>
                <w:b w:val="1"/>
                <w:bCs w:val="1"/>
                <w:color w:val="auto"/>
              </w:rPr>
              <w:t>At December 31, 2017</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33,005,229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firstLine="456"/>
        <w:spacing w:after="0" w:line="246" w:lineRule="auto"/>
        <w:rPr>
          <w:sz w:val="20"/>
          <w:szCs w:val="20"/>
          <w:color w:val="auto"/>
        </w:rPr>
      </w:pPr>
      <w:r>
        <w:rPr>
          <w:rFonts w:ascii="Arial" w:cs="Arial" w:eastAsia="Arial" w:hAnsi="Arial"/>
          <w:sz w:val="18"/>
          <w:szCs w:val="18"/>
          <w:color w:val="auto"/>
        </w:rPr>
        <w:t>The Group’s strategy is to acquire clinical-stage development programmes for the treatment of speciality and rare diseases from large pharmaceutical companies.</w:t>
      </w:r>
    </w:p>
    <w:p>
      <w:pPr>
        <w:spacing w:after="0" w:line="197"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On October 28, 2017, the Group acquired the exclusive license for AZD-9668 and included the option to acquire certain assets from Astra Zeneca AB (AstraZeneca). AZD-9668 is being developed for the treatment of severe alpha-1 antitrypsin deficiency, at a cost of £7,192,288 as follows:</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Cash payment in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-130175</wp:posOffset>
            </wp:positionV>
            <wp:extent cx="492252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Equity issued (see Note 17)</w:t>
      </w:r>
    </w:p>
    <w:p>
      <w:pPr>
        <w:ind w:left="1840"/>
        <w:spacing w:after="0" w:line="234" w:lineRule="auto"/>
        <w:rPr>
          <w:sz w:val="20"/>
          <w:szCs w:val="20"/>
          <w:color w:val="auto"/>
        </w:rPr>
      </w:pPr>
      <w:r>
        <w:rPr>
          <w:rFonts w:ascii="Arial" w:cs="Arial" w:eastAsia="Arial" w:hAnsi="Arial"/>
          <w:sz w:val="18"/>
          <w:szCs w:val="18"/>
          <w:color w:val="auto"/>
        </w:rPr>
        <w:t>Deferred equity consideration (see Note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-127000</wp:posOffset>
            </wp:positionV>
            <wp:extent cx="4922520" cy="128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7"/>
          <w:szCs w:val="17"/>
          <w:color w:val="auto"/>
        </w:rPr>
        <w:t>Present value of provision for deferred cash consideration (see Note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22225</wp:posOffset>
            </wp:positionV>
            <wp:extent cx="4922520" cy="128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922520" cy="12890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Impairment testing of intangible assets not yet available for use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980"/>
        <w:spacing w:after="0"/>
        <w:rPr>
          <w:sz w:val="20"/>
          <w:szCs w:val="20"/>
          <w:color w:val="auto"/>
        </w:rPr>
      </w:pPr>
      <w:r>
        <w:rPr>
          <w:rFonts w:ascii="Arial" w:cs="Arial" w:eastAsia="Arial" w:hAnsi="Arial"/>
          <w:sz w:val="14"/>
          <w:szCs w:val="14"/>
          <w:b w:val="1"/>
          <w:bCs w:val="1"/>
          <w:color w:val="auto"/>
        </w:rPr>
        <w:t>December 31,</w:t>
      </w:r>
    </w:p>
    <w:p>
      <w:pPr>
        <w:spacing w:after="0" w:line="19" w:lineRule="exact"/>
        <w:rPr>
          <w:sz w:val="20"/>
          <w:szCs w:val="20"/>
          <w:color w:val="auto"/>
        </w:rPr>
      </w:pPr>
    </w:p>
    <w:p>
      <w:pPr>
        <w:jc w:val="center"/>
        <w:ind w:right="1980"/>
        <w:spacing w:after="0"/>
        <w:rPr>
          <w:sz w:val="20"/>
          <w:szCs w:val="20"/>
          <w:color w:val="auto"/>
        </w:rPr>
      </w:pPr>
      <w:r>
        <w:rPr>
          <w:rFonts w:ascii="Arial" w:cs="Arial" w:eastAsia="Arial" w:hAnsi="Arial"/>
          <w:sz w:val="14"/>
          <w:szCs w:val="14"/>
          <w:b w:val="1"/>
          <w:bCs w:val="1"/>
          <w:color w:val="auto"/>
        </w:rPr>
        <w:t>2017</w:t>
      </w:r>
    </w:p>
    <w:p>
      <w:pPr>
        <w:spacing w:after="0" w:line="1" w:lineRule="exact"/>
        <w:rPr>
          <w:sz w:val="20"/>
          <w:szCs w:val="20"/>
          <w:color w:val="auto"/>
        </w:rPr>
      </w:pPr>
    </w:p>
    <w:p>
      <w:pPr>
        <w:jc w:val="center"/>
        <w:ind w:right="1980"/>
        <w:spacing w:after="0"/>
        <w:rPr>
          <w:sz w:val="20"/>
          <w:szCs w:val="20"/>
          <w:color w:val="auto"/>
        </w:rPr>
      </w:pPr>
      <w:r>
        <w:rPr>
          <w:rFonts w:ascii="Arial" w:cs="Arial" w:eastAsia="Arial" w:hAnsi="Arial"/>
          <w:sz w:val="14"/>
          <w:szCs w:val="14"/>
          <w:b w:val="1"/>
          <w:bCs w:val="1"/>
          <w:color w:val="auto"/>
        </w:rPr>
        <w:t>£</w:t>
      </w:r>
    </w:p>
    <w:p>
      <w:pPr>
        <w:spacing w:after="0" w:line="5"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2,280,000</w:t>
      </w:r>
    </w:p>
    <w:p>
      <w:pPr>
        <w:jc w:val="right"/>
        <w:ind w:right="1900"/>
        <w:spacing w:after="0" w:line="234" w:lineRule="auto"/>
        <w:rPr>
          <w:sz w:val="20"/>
          <w:szCs w:val="20"/>
          <w:color w:val="auto"/>
        </w:rPr>
      </w:pPr>
      <w:r>
        <w:rPr>
          <w:rFonts w:ascii="Arial" w:cs="Arial" w:eastAsia="Arial" w:hAnsi="Arial"/>
          <w:sz w:val="18"/>
          <w:szCs w:val="18"/>
          <w:color w:val="auto"/>
        </w:rPr>
        <w:t>1,520,000</w:t>
      </w:r>
    </w:p>
    <w:p>
      <w:pPr>
        <w:jc w:val="right"/>
        <w:ind w:right="1900"/>
        <w:spacing w:after="0" w:line="235" w:lineRule="auto"/>
        <w:rPr>
          <w:sz w:val="20"/>
          <w:szCs w:val="20"/>
          <w:color w:val="auto"/>
        </w:rPr>
      </w:pPr>
      <w:r>
        <w:rPr>
          <w:rFonts w:ascii="Arial" w:cs="Arial" w:eastAsia="Arial" w:hAnsi="Arial"/>
          <w:sz w:val="18"/>
          <w:szCs w:val="18"/>
          <w:color w:val="auto"/>
        </w:rPr>
        <w:t>1,331,288</w:t>
      </w:r>
    </w:p>
    <w:p>
      <w:pPr>
        <w:spacing w:after="0" w:line="1"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2,061,000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-1905</wp:posOffset>
            </wp:positionV>
            <wp:extent cx="70294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jc w:val="right"/>
        <w:ind w:right="1900"/>
        <w:spacing w:after="0"/>
        <w:rPr>
          <w:sz w:val="20"/>
          <w:szCs w:val="20"/>
          <w:color w:val="auto"/>
        </w:rPr>
      </w:pPr>
      <w:r>
        <w:rPr>
          <w:rFonts w:ascii="Arial" w:cs="Arial" w:eastAsia="Arial" w:hAnsi="Arial"/>
          <w:sz w:val="18"/>
          <w:szCs w:val="18"/>
          <w:b w:val="1"/>
          <w:bCs w:val="1"/>
          <w:color w:val="auto"/>
        </w:rPr>
        <w:t>7,192,288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5715</wp:posOffset>
            </wp:positionV>
            <wp:extent cx="70294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22860</wp:posOffset>
            </wp:positionV>
            <wp:extent cx="70294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7780" w:space="720"/>
            <w:col w:w="2920"/>
          </w:cols>
          <w:pgMar w:left="240" w:top="460"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Acquired or licensed development programmes not yet available for use are assessed annually for impairment.</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type w:val="continuous"/>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Carrying amount of acquired and licensed development programmes: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gridSpan w:val="12"/>
          </w:tcPr>
          <w:p>
            <w:pPr>
              <w:jc w:val="center"/>
              <w:ind w:right="580"/>
              <w:spacing w:after="0"/>
              <w:rPr>
                <w:sz w:val="20"/>
                <w:szCs w:val="20"/>
                <w:color w:val="auto"/>
              </w:rPr>
            </w:pPr>
            <w:r>
              <w:rPr>
                <w:rFonts w:ascii="Arial" w:cs="Arial" w:eastAsia="Arial" w:hAnsi="Arial"/>
                <w:sz w:val="14"/>
                <w:szCs w:val="14"/>
                <w:b w:val="1"/>
                <w:bCs w:val="1"/>
                <w:color w:val="auto"/>
              </w:rPr>
              <w:t>As at December 31, 2016</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4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4"/>
          </w:tcPr>
          <w:p>
            <w:pPr>
              <w:jc w:val="center"/>
              <w:ind w:right="40"/>
              <w:spacing w:after="0" w:line="143" w:lineRule="exact"/>
              <w:rPr>
                <w:sz w:val="20"/>
                <w:szCs w:val="20"/>
                <w:color w:val="auto"/>
              </w:rPr>
            </w:pPr>
            <w:r>
              <w:rPr>
                <w:rFonts w:ascii="Arial" w:cs="Arial" w:eastAsia="Arial" w:hAnsi="Arial"/>
                <w:sz w:val="14"/>
                <w:szCs w:val="14"/>
                <w:b w:val="1"/>
                <w:bCs w:val="1"/>
                <w:color w:val="auto"/>
              </w:rPr>
              <w:t>BPS-804</w:t>
            </w:r>
          </w:p>
        </w:tc>
        <w:tc>
          <w:tcPr>
            <w:tcW w:w="340" w:type="dxa"/>
            <w:vAlign w:val="bottom"/>
          </w:tcPr>
          <w:p>
            <w:pPr>
              <w:spacing w:after="0"/>
              <w:rPr>
                <w:sz w:val="12"/>
                <w:szCs w:val="12"/>
                <w:color w:val="auto"/>
              </w:rPr>
            </w:pPr>
          </w:p>
        </w:tc>
        <w:tc>
          <w:tcPr>
            <w:tcW w:w="800" w:type="dxa"/>
            <w:vAlign w:val="bottom"/>
            <w:gridSpan w:val="2"/>
          </w:tcPr>
          <w:p>
            <w:pPr>
              <w:ind w:left="200"/>
              <w:spacing w:after="0" w:line="143" w:lineRule="exact"/>
              <w:rPr>
                <w:sz w:val="20"/>
                <w:szCs w:val="20"/>
                <w:color w:val="auto"/>
              </w:rPr>
            </w:pPr>
            <w:r>
              <w:rPr>
                <w:rFonts w:ascii="Arial" w:cs="Arial" w:eastAsia="Arial" w:hAnsi="Arial"/>
                <w:sz w:val="14"/>
                <w:szCs w:val="14"/>
                <w:b w:val="1"/>
                <w:bCs w:val="1"/>
                <w:color w:val="auto"/>
                <w:w w:val="99"/>
              </w:rPr>
              <w:t>BGS-649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gridSpan w:val="7"/>
          </w:tcPr>
          <w:p>
            <w:pPr>
              <w:jc w:val="center"/>
              <w:ind w:right="620"/>
              <w:spacing w:after="0" w:line="143" w:lineRule="exact"/>
              <w:rPr>
                <w:sz w:val="20"/>
                <w:szCs w:val="20"/>
                <w:color w:val="auto"/>
              </w:rPr>
            </w:pPr>
            <w:r>
              <w:rPr>
                <w:rFonts w:ascii="Arial" w:cs="Arial" w:eastAsia="Arial" w:hAnsi="Arial"/>
                <w:sz w:val="14"/>
                <w:szCs w:val="14"/>
                <w:b w:val="1"/>
                <w:bCs w:val="1"/>
                <w:color w:val="auto"/>
                <w:w w:val="98"/>
              </w:rPr>
              <w:t>BCT-197</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4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(setrusumab)</w:t>
            </w:r>
          </w:p>
        </w:tc>
        <w:tc>
          <w:tcPr>
            <w:tcW w:w="340" w:type="dxa"/>
            <w:vAlign w:val="bottom"/>
          </w:tcPr>
          <w:p>
            <w:pPr>
              <w:spacing w:after="0"/>
              <w:rPr>
                <w:sz w:val="15"/>
                <w:szCs w:val="15"/>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(leflutozole)</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7"/>
          </w:tcPr>
          <w:p>
            <w:pPr>
              <w:jc w:val="center"/>
              <w:ind w:right="620"/>
              <w:spacing w:after="0"/>
              <w:rPr>
                <w:sz w:val="20"/>
                <w:szCs w:val="20"/>
                <w:color w:val="auto"/>
              </w:rPr>
            </w:pPr>
            <w:r>
              <w:rPr>
                <w:rFonts w:ascii="Arial" w:cs="Arial" w:eastAsia="Arial" w:hAnsi="Arial"/>
                <w:sz w:val="14"/>
                <w:szCs w:val="14"/>
                <w:b w:val="1"/>
                <w:bCs w:val="1"/>
                <w:color w:val="auto"/>
              </w:rPr>
              <w:t>(acumapimod)</w:t>
            </w:r>
          </w:p>
        </w:tc>
        <w:tc>
          <w:tcPr>
            <w:tcW w:w="1420" w:type="dxa"/>
            <w:vAlign w:val="bottom"/>
            <w:gridSpan w:val="4"/>
          </w:tcPr>
          <w:p>
            <w:pPr>
              <w:ind w:left="160"/>
              <w:spacing w:after="0"/>
              <w:rPr>
                <w:sz w:val="20"/>
                <w:szCs w:val="20"/>
                <w:color w:val="auto"/>
              </w:rPr>
            </w:pPr>
            <w:r>
              <w:rPr>
                <w:rFonts w:ascii="Arial" w:cs="Arial" w:eastAsia="Arial" w:hAnsi="Arial"/>
                <w:sz w:val="14"/>
                <w:szCs w:val="14"/>
                <w:b w:val="1"/>
                <w:bCs w:val="1"/>
                <w:color w:val="auto"/>
              </w:rPr>
              <w:t>Total</w:t>
            </w:r>
          </w:p>
        </w:tc>
      </w:tr>
      <w:tr>
        <w:trPr>
          <w:trHeight w:val="196"/>
        </w:trPr>
        <w:tc>
          <w:tcPr>
            <w:tcW w:w="46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development programmes</w:t>
            </w: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11,615,824</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4"/>
            <w:shd w:val="clear" w:color="auto" w:fill="CCEEFF"/>
          </w:tcPr>
          <w:p>
            <w:pPr>
              <w:ind w:left="200"/>
              <w:spacing w:after="0" w:line="196" w:lineRule="exact"/>
              <w:rPr>
                <w:sz w:val="20"/>
                <w:szCs w:val="20"/>
                <w:color w:val="auto"/>
              </w:rPr>
            </w:pPr>
            <w:r>
              <w:rPr>
                <w:rFonts w:ascii="Arial" w:cs="Arial" w:eastAsia="Arial" w:hAnsi="Arial"/>
                <w:sz w:val="18"/>
                <w:szCs w:val="18"/>
                <w:color w:val="auto"/>
                <w:w w:val="97"/>
              </w:rPr>
              <w:t>9,886,356</w:t>
            </w:r>
          </w:p>
        </w:tc>
        <w:tc>
          <w:tcPr>
            <w:tcW w:w="3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4,310,761</w:t>
            </w: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25,812,941</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92"/>
        </w:trPr>
        <w:tc>
          <w:tcPr>
            <w:tcW w:w="4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rPr>
              <w:t>As at December 31, 2017</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4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BPS-804</w:t>
            </w:r>
          </w:p>
        </w:tc>
        <w:tc>
          <w:tcPr>
            <w:tcW w:w="2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140" w:type="dxa"/>
            <w:vAlign w:val="bottom"/>
            <w:gridSpan w:val="3"/>
          </w:tcPr>
          <w:p>
            <w:pPr>
              <w:ind w:left="80"/>
              <w:spacing w:after="0" w:line="143" w:lineRule="exact"/>
              <w:rPr>
                <w:sz w:val="20"/>
                <w:szCs w:val="20"/>
                <w:color w:val="auto"/>
              </w:rPr>
            </w:pPr>
            <w:r>
              <w:rPr>
                <w:rFonts w:ascii="Arial" w:cs="Arial" w:eastAsia="Arial" w:hAnsi="Arial"/>
                <w:sz w:val="14"/>
                <w:szCs w:val="14"/>
                <w:b w:val="1"/>
                <w:bCs w:val="1"/>
                <w:color w:val="auto"/>
              </w:rPr>
              <w:t>AZD-9668</w:t>
            </w:r>
          </w:p>
        </w:tc>
        <w:tc>
          <w:tcPr>
            <w:tcW w:w="140" w:type="dxa"/>
            <w:vAlign w:val="bottom"/>
          </w:tcPr>
          <w:p>
            <w:pPr>
              <w:spacing w:after="0"/>
              <w:rPr>
                <w:sz w:val="12"/>
                <w:szCs w:val="12"/>
                <w:color w:val="auto"/>
              </w:rPr>
            </w:pPr>
          </w:p>
        </w:tc>
        <w:tc>
          <w:tcPr>
            <w:tcW w:w="940" w:type="dxa"/>
            <w:vAlign w:val="bottom"/>
            <w:gridSpan w:val="4"/>
          </w:tcPr>
          <w:p>
            <w:pPr>
              <w:jc w:val="center"/>
              <w:ind w:right="260"/>
              <w:spacing w:after="0" w:line="143" w:lineRule="exact"/>
              <w:rPr>
                <w:sz w:val="20"/>
                <w:szCs w:val="20"/>
                <w:color w:val="auto"/>
              </w:rPr>
            </w:pPr>
            <w:r>
              <w:rPr>
                <w:rFonts w:ascii="Arial" w:cs="Arial" w:eastAsia="Arial" w:hAnsi="Arial"/>
                <w:sz w:val="14"/>
                <w:szCs w:val="14"/>
                <w:b w:val="1"/>
                <w:bCs w:val="1"/>
                <w:color w:val="auto"/>
              </w:rPr>
              <w:t>BGS-649</w:t>
            </w:r>
          </w:p>
        </w:tc>
        <w:tc>
          <w:tcPr>
            <w:tcW w:w="160" w:type="dxa"/>
            <w:vAlign w:val="bottom"/>
          </w:tcPr>
          <w:p>
            <w:pPr>
              <w:spacing w:after="0"/>
              <w:rPr>
                <w:sz w:val="12"/>
                <w:szCs w:val="12"/>
                <w:color w:val="auto"/>
              </w:rPr>
            </w:pPr>
          </w:p>
        </w:tc>
        <w:tc>
          <w:tcPr>
            <w:tcW w:w="1100" w:type="dxa"/>
            <w:vAlign w:val="bottom"/>
            <w:gridSpan w:val="4"/>
          </w:tcPr>
          <w:p>
            <w:pPr>
              <w:jc w:val="center"/>
              <w:ind w:right="20"/>
              <w:spacing w:after="0" w:line="143" w:lineRule="exact"/>
              <w:rPr>
                <w:sz w:val="20"/>
                <w:szCs w:val="20"/>
                <w:color w:val="auto"/>
              </w:rPr>
            </w:pPr>
            <w:r>
              <w:rPr>
                <w:rFonts w:ascii="Arial" w:cs="Arial" w:eastAsia="Arial" w:hAnsi="Arial"/>
                <w:sz w:val="14"/>
                <w:szCs w:val="14"/>
                <w:b w:val="1"/>
                <w:bCs w:val="1"/>
                <w:color w:val="auto"/>
                <w:w w:val="98"/>
              </w:rPr>
              <w:t>BCT-197</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4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4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(setrusumab)</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(alvelestat)</w:t>
            </w:r>
          </w:p>
        </w:tc>
        <w:tc>
          <w:tcPr>
            <w:tcW w:w="10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(leflutozole)</w:t>
            </w:r>
          </w:p>
        </w:tc>
        <w:tc>
          <w:tcPr>
            <w:tcW w:w="160" w:type="dxa"/>
            <w:vAlign w:val="bottom"/>
          </w:tcPr>
          <w:p>
            <w:pPr>
              <w:spacing w:after="0"/>
              <w:rPr>
                <w:sz w:val="15"/>
                <w:szCs w:val="15"/>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(acumapimod)</w:t>
            </w:r>
          </w:p>
        </w:tc>
        <w:tc>
          <w:tcPr>
            <w:tcW w:w="260" w:type="dxa"/>
            <w:vAlign w:val="bottom"/>
          </w:tcPr>
          <w:p>
            <w:pPr>
              <w:spacing w:after="0"/>
              <w:rPr>
                <w:sz w:val="15"/>
                <w:szCs w:val="15"/>
                <w:color w:val="auto"/>
              </w:rPr>
            </w:pPr>
          </w:p>
        </w:tc>
        <w:tc>
          <w:tcPr>
            <w:tcW w:w="1160" w:type="dxa"/>
            <w:vAlign w:val="bottom"/>
            <w:gridSpan w:val="3"/>
          </w:tcPr>
          <w:p>
            <w:pPr>
              <w:ind w:left="3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1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Acquired and licensed development programmes</w:t>
            </w:r>
          </w:p>
        </w:tc>
        <w:tc>
          <w:tcPr>
            <w:tcW w:w="10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11,615,824</w:t>
            </w: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97"/>
              </w:rPr>
              <w:t>7,192,288</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9,886,356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4,310,761</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33,005,229</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215"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Group considers the future development costs, the probability of successfully progressing each programme to product approval and likely commercial returns after product approval, among other factors, when reviewing for indicators of impairment. The results of this testing did not indicate any impairment of the acquired products’ rights in the year to December 31, 2017. We believe that the likelihood of a materially different outcome using different assumptions is remote.</w:t>
      </w:r>
    </w:p>
    <w:p>
      <w:pPr>
        <w:spacing w:after="0" w:line="202"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The acquired development programmes are assets which are not used in launched products. These assets have not yet begun to be amortised but have been tested for impairment by assessing their value in use. Value-in-use calculations for each programme are utilised to calculate the recoverable amount. The calculations use pre-tax cash flow projections covering the period through product development to commercial sales up to the later of loss of patent protection or market exclusivity, which extend beyond five years from the balance sheet date. Approved products are assumed to be out-licensed such that the Group receives signature fees, milestone receipts and royalties on sales; therefore, the Group does not incur any costs of commercialisation after out-licensing.</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assumptions for the value-in-use calculations are described as follows:</w:t>
      </w:r>
    </w:p>
    <w:p>
      <w:pPr>
        <w:spacing w:after="0" w:line="117" w:lineRule="exact"/>
        <w:rPr>
          <w:sz w:val="20"/>
          <w:szCs w:val="20"/>
          <w:color w:val="auto"/>
        </w:rPr>
      </w:pPr>
    </w:p>
    <w:p>
      <w:pPr>
        <w:jc w:val="both"/>
        <w:ind w:left="900" w:right="72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development costs to obtain regulatory approval—costs are estimated net of any contributions expected from collaborative arrangements with future partners. The Directors have developed cost estimates based on their previous experience and in conjunction with the expertise of their clinical development partners;</w:t>
      </w:r>
    </w:p>
    <w:p>
      <w:pPr>
        <w:spacing w:after="0" w:line="108" w:lineRule="exact"/>
        <w:rPr>
          <w:rFonts w:ascii="Arial" w:cs="Arial" w:eastAsia="Arial" w:hAnsi="Arial"/>
          <w:sz w:val="18"/>
          <w:szCs w:val="18"/>
          <w:color w:val="auto"/>
        </w:rPr>
      </w:pPr>
    </w:p>
    <w:p>
      <w:pPr>
        <w:ind w:left="900" w:right="2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launch dates of products—these reflect management’s expected date of launch for products based on the timeline of development programmes required to obtain regulatory approval. The assumptions are based on the Directors’ and clinical development partners’ prior experience;</w:t>
      </w:r>
    </w:p>
    <w:p>
      <w:pPr>
        <w:spacing w:after="0" w:line="108" w:lineRule="exact"/>
        <w:rPr>
          <w:rFonts w:ascii="Arial" w:cs="Arial" w:eastAsia="Arial" w:hAnsi="Arial"/>
          <w:sz w:val="18"/>
          <w:szCs w:val="18"/>
          <w:color w:val="auto"/>
        </w:rPr>
      </w:pPr>
    </w:p>
    <w:p>
      <w:pPr>
        <w:ind w:left="900" w:right="260" w:hanging="325"/>
        <w:spacing w:after="0" w:line="246"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probability of successful development—management estimates probabilities of success for each phase of development based on industry averages and knowledge of specific programmes;</w:t>
      </w:r>
    </w:p>
    <w:p>
      <w:pPr>
        <w:spacing w:after="0" w:line="102" w:lineRule="exact"/>
        <w:rPr>
          <w:rFonts w:ascii="Arial" w:cs="Arial" w:eastAsia="Arial" w:hAnsi="Arial"/>
          <w:sz w:val="18"/>
          <w:szCs w:val="18"/>
          <w:color w:val="auto"/>
        </w:rPr>
      </w:pPr>
    </w:p>
    <w:p>
      <w:pPr>
        <w:ind w:left="900" w:right="3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out-licensing signature fees, milestones and royalty rates on sales—management estimates these amounts based on prior experience and access to values from similar transactions in the industry, which are collated and accessible from specialist third-party sources;</w:t>
      </w:r>
    </w:p>
    <w:p>
      <w:pPr>
        <w:spacing w:after="0" w:line="108" w:lineRule="exact"/>
        <w:rPr>
          <w:rFonts w:ascii="Arial" w:cs="Arial" w:eastAsia="Arial" w:hAnsi="Arial"/>
          <w:sz w:val="18"/>
          <w:szCs w:val="18"/>
          <w:color w:val="auto"/>
        </w:rPr>
      </w:pPr>
    </w:p>
    <w:p>
      <w:pPr>
        <w:ind w:left="900" w:right="800" w:hanging="325"/>
        <w:spacing w:after="0" w:line="246"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sales projections—these are based on management’s internal projections using external market data and market research commissioned by the Group;</w:t>
      </w:r>
    </w:p>
    <w:p>
      <w:pPr>
        <w:spacing w:after="0" w:line="102" w:lineRule="exact"/>
        <w:rPr>
          <w:rFonts w:ascii="Arial" w:cs="Arial" w:eastAsia="Arial" w:hAnsi="Arial"/>
          <w:sz w:val="18"/>
          <w:szCs w:val="18"/>
          <w:color w:val="auto"/>
        </w:rPr>
      </w:pPr>
    </w:p>
    <w:p>
      <w:pPr>
        <w:ind w:left="900" w:right="1140" w:hanging="325"/>
        <w:spacing w:after="0" w:line="246"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profit margins and other operational expenses—these are based on the Group’s internal projections of current product manufacturing costings, with input from manufacturing partners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 applicable, and estimates of operating costs based on management’s prior industry experience;</w:t>
      </w:r>
    </w:p>
    <w:p>
      <w:pPr>
        <w:spacing w:after="0" w:line="117" w:lineRule="exact"/>
        <w:rPr>
          <w:sz w:val="20"/>
          <w:szCs w:val="20"/>
          <w:color w:val="auto"/>
        </w:rPr>
      </w:pPr>
    </w:p>
    <w:p>
      <w:pPr>
        <w:ind w:left="900" w:right="300" w:hanging="325"/>
        <w:spacing w:after="0" w:line="246"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cash flow projections—the periods over which cash flows are forecast (based on the current patent protection periods relevant to the asset), are as follows:</w:t>
      </w:r>
    </w:p>
    <w:p>
      <w:pPr>
        <w:spacing w:after="0" w:line="102" w:lineRule="exact"/>
        <w:rPr>
          <w:rFonts w:ascii="Arial" w:cs="Arial" w:eastAsia="Arial" w:hAnsi="Arial"/>
          <w:sz w:val="18"/>
          <w:szCs w:val="18"/>
          <w:color w:val="auto"/>
        </w:rPr>
      </w:pPr>
    </w:p>
    <w:p>
      <w:pPr>
        <w:ind w:left="1480" w:hanging="446"/>
        <w:spacing w:after="0"/>
        <w:tabs>
          <w:tab w:leader="none" w:pos="14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BCT-197 —18 years;</w:t>
      </w:r>
    </w:p>
    <w:p>
      <w:pPr>
        <w:spacing w:after="0" w:line="117" w:lineRule="exact"/>
        <w:rPr>
          <w:rFonts w:ascii="Arial" w:cs="Arial" w:eastAsia="Arial" w:hAnsi="Arial"/>
          <w:sz w:val="18"/>
          <w:szCs w:val="18"/>
          <w:color w:val="auto"/>
        </w:rPr>
      </w:pPr>
    </w:p>
    <w:p>
      <w:pPr>
        <w:ind w:left="1480" w:hanging="446"/>
        <w:spacing w:after="0"/>
        <w:tabs>
          <w:tab w:leader="none" w:pos="14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BGS-649 —17 years; and</w:t>
      </w:r>
    </w:p>
    <w:p>
      <w:pPr>
        <w:spacing w:after="0" w:line="117" w:lineRule="exact"/>
        <w:rPr>
          <w:rFonts w:ascii="Arial" w:cs="Arial" w:eastAsia="Arial" w:hAnsi="Arial"/>
          <w:sz w:val="18"/>
          <w:szCs w:val="18"/>
          <w:color w:val="auto"/>
        </w:rPr>
      </w:pPr>
    </w:p>
    <w:p>
      <w:pPr>
        <w:ind w:left="1480" w:hanging="446"/>
        <w:spacing w:after="0"/>
        <w:tabs>
          <w:tab w:leader="none" w:pos="14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BPS-804 —14 years: and</w:t>
      </w:r>
    </w:p>
    <w:p>
      <w:pPr>
        <w:spacing w:after="0" w:line="117" w:lineRule="exact"/>
        <w:rPr>
          <w:rFonts w:ascii="Arial" w:cs="Arial" w:eastAsia="Arial" w:hAnsi="Arial"/>
          <w:sz w:val="18"/>
          <w:szCs w:val="18"/>
          <w:color w:val="auto"/>
        </w:rPr>
      </w:pPr>
    </w:p>
    <w:p>
      <w:pPr>
        <w:ind w:left="1480" w:hanging="446"/>
        <w:spacing w:after="0"/>
        <w:tabs>
          <w:tab w:leader="none" w:pos="14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AZD-9668 —16 years: and</w:t>
      </w:r>
    </w:p>
    <w:p>
      <w:pPr>
        <w:spacing w:after="0" w:line="117" w:lineRule="exact"/>
        <w:rPr>
          <w:rFonts w:ascii="Arial" w:cs="Arial" w:eastAsia="Arial" w:hAnsi="Arial"/>
          <w:sz w:val="18"/>
          <w:szCs w:val="18"/>
          <w:color w:val="auto"/>
        </w:rPr>
      </w:pPr>
    </w:p>
    <w:p>
      <w:pPr>
        <w:ind w:left="900" w:right="120" w:hanging="325"/>
        <w:spacing w:after="0" w:line="246"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discount rates—the discount rate is estimated on a pre-tax basis reflecting the estimated cost of capital of the Group and is applied consistently across each of the operating segments. The cost of capital was calculated at 15.3% (2016: 11.2%).</w:t>
      </w:r>
    </w:p>
    <w:p>
      <w:pPr>
        <w:spacing w:after="0" w:line="197" w:lineRule="exact"/>
        <w:rPr>
          <w:sz w:val="20"/>
          <w:szCs w:val="20"/>
          <w:color w:val="auto"/>
        </w:rPr>
      </w:pPr>
    </w:p>
    <w:p>
      <w:pPr>
        <w:jc w:val="both"/>
        <w:ind w:right="80" w:firstLine="456"/>
        <w:spacing w:after="0"/>
        <w:rPr>
          <w:sz w:val="20"/>
          <w:szCs w:val="20"/>
          <w:color w:val="auto"/>
        </w:rPr>
      </w:pPr>
      <w:r>
        <w:rPr>
          <w:rFonts w:ascii="Arial" w:cs="Arial" w:eastAsia="Arial" w:hAnsi="Arial"/>
          <w:sz w:val="18"/>
          <w:szCs w:val="18"/>
          <w:color w:val="auto"/>
        </w:rPr>
        <w:t>At this stage of product development, the key sensitivity for all three development programmes is the probability of successful completion of clinical trials in order to obtain regulatory approval for sale. Therefore, full impairment of a development programme is expected should such related trials be unsuccessful.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receivables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1240" w:type="dxa"/>
            <w:vAlign w:val="bottom"/>
            <w:gridSpan w:val="4"/>
          </w:tcPr>
          <w:p>
            <w:pPr>
              <w:jc w:val="center"/>
              <w:ind w:left="9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6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0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66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Rent deposit</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293,328</w:t>
            </w: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293,328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228,775</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ind w:left="6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VAT recoverable</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241,306</w:t>
            </w:r>
          </w:p>
        </w:tc>
        <w:tc>
          <w:tcPr>
            <w:tcW w:w="6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212,422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Cash held by Employee Benefit Trust</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3,600</w:t>
            </w:r>
          </w:p>
        </w:tc>
        <w:tc>
          <w:tcPr>
            <w:tcW w:w="6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9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767,009</w:t>
            </w:r>
          </w:p>
        </w:tc>
        <w:tc>
          <w:tcPr>
            <w:tcW w:w="6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509,350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15. Cash and short-term deposits</w:t>
            </w: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3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24"/>
                <w:szCs w:val="24"/>
                <w:color w:val="auto"/>
              </w:rPr>
            </w:pPr>
          </w:p>
        </w:tc>
        <w:tc>
          <w:tcPr>
            <w:tcW w:w="124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66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0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66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at banks and on hand</w:t>
            </w:r>
          </w:p>
        </w:tc>
        <w:tc>
          <w:tcPr>
            <w:tcW w:w="11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421,292</w:t>
            </w:r>
          </w:p>
        </w:tc>
        <w:tc>
          <w:tcPr>
            <w:tcW w:w="5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gridSpan w:val="2"/>
            <w:shd w:val="clear" w:color="auto" w:fill="CCEEFF"/>
          </w:tcPr>
          <w:p>
            <w:pPr>
              <w:jc w:val="center"/>
              <w:ind w:left="179"/>
              <w:spacing w:after="0" w:line="196" w:lineRule="exact"/>
              <w:rPr>
                <w:sz w:val="20"/>
                <w:szCs w:val="20"/>
                <w:color w:val="auto"/>
              </w:rPr>
            </w:pPr>
            <w:r>
              <w:rPr>
                <w:rFonts w:ascii="Arial" w:cs="Arial" w:eastAsia="Arial" w:hAnsi="Arial"/>
                <w:sz w:val="18"/>
                <w:szCs w:val="18"/>
                <w:color w:val="auto"/>
                <w:w w:val="99"/>
              </w:rPr>
              <w:t>10,839,311</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820" w:type="dxa"/>
            <w:vAlign w:val="bottom"/>
          </w:tcPr>
          <w:p>
            <w:pPr>
              <w:spacing w:after="0" w:line="202" w:lineRule="exact"/>
              <w:rPr>
                <w:sz w:val="20"/>
                <w:szCs w:val="20"/>
                <w:color w:val="auto"/>
              </w:rPr>
            </w:pPr>
            <w:r>
              <w:rPr>
                <w:rFonts w:ascii="Arial" w:cs="Arial" w:eastAsia="Arial" w:hAnsi="Arial"/>
                <w:sz w:val="18"/>
                <w:szCs w:val="18"/>
                <w:color w:val="auto"/>
              </w:rPr>
              <w:t>Short-term deposits</w:t>
            </w:r>
          </w:p>
        </w:tc>
        <w:tc>
          <w:tcPr>
            <w:tcW w:w="11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53,156,279</w:t>
            </w:r>
          </w:p>
        </w:tc>
        <w:tc>
          <w:tcPr>
            <w:tcW w:w="500" w:type="dxa"/>
            <w:vAlign w:val="bottom"/>
          </w:tcPr>
          <w:p>
            <w:pPr>
              <w:spacing w:after="0"/>
              <w:rPr>
                <w:sz w:val="18"/>
                <w:szCs w:val="18"/>
                <w:color w:val="auto"/>
              </w:rPr>
            </w:pPr>
          </w:p>
        </w:tc>
        <w:tc>
          <w:tcPr>
            <w:tcW w:w="1160" w:type="dxa"/>
            <w:vAlign w:val="bottom"/>
            <w:tcBorders>
              <w:bottom w:val="single" w:sz="8" w:color="auto"/>
            </w:tcBorders>
            <w:gridSpan w:val="2"/>
          </w:tcPr>
          <w:p>
            <w:pPr>
              <w:jc w:val="center"/>
              <w:ind w:left="179"/>
              <w:spacing w:after="0" w:line="202" w:lineRule="exact"/>
              <w:rPr>
                <w:sz w:val="20"/>
                <w:szCs w:val="20"/>
                <w:color w:val="auto"/>
              </w:rPr>
            </w:pPr>
            <w:r>
              <w:rPr>
                <w:rFonts w:ascii="Arial" w:cs="Arial" w:eastAsia="Arial" w:hAnsi="Arial"/>
                <w:sz w:val="18"/>
                <w:szCs w:val="18"/>
                <w:color w:val="auto"/>
                <w:w w:val="99"/>
              </w:rPr>
              <w:t>39,204,951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53,577,571</w:t>
            </w:r>
          </w:p>
        </w:tc>
        <w:tc>
          <w:tcPr>
            <w:tcW w:w="1660" w:type="dxa"/>
            <w:vAlign w:val="bottom"/>
            <w:gridSpan w:val="3"/>
            <w:shd w:val="clear" w:color="auto" w:fill="CCEEFF"/>
          </w:tcPr>
          <w:p>
            <w:pPr>
              <w:jc w:val="center"/>
              <w:ind w:left="680"/>
              <w:spacing w:after="0" w:line="202" w:lineRule="exact"/>
              <w:rPr>
                <w:sz w:val="20"/>
                <w:szCs w:val="20"/>
                <w:color w:val="auto"/>
              </w:rPr>
            </w:pPr>
            <w:r>
              <w:rPr>
                <w:rFonts w:ascii="Arial" w:cs="Arial" w:eastAsia="Arial" w:hAnsi="Arial"/>
                <w:sz w:val="18"/>
                <w:szCs w:val="18"/>
                <w:b w:val="1"/>
                <w:bCs w:val="1"/>
                <w:color w:val="auto"/>
                <w:w w:val="99"/>
              </w:rPr>
              <w:t>50,044,672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456"/>
        <w:spacing w:after="0" w:line="246" w:lineRule="auto"/>
        <w:rPr>
          <w:sz w:val="20"/>
          <w:szCs w:val="20"/>
          <w:color w:val="auto"/>
        </w:rPr>
      </w:pPr>
      <w:r>
        <w:rPr>
          <w:rFonts w:ascii="Arial" w:cs="Arial" w:eastAsia="Arial" w:hAnsi="Arial"/>
          <w:sz w:val="18"/>
          <w:szCs w:val="18"/>
          <w:color w:val="auto"/>
        </w:rPr>
        <w:t>Cash at banks earns interest at floating rates based on daily bank deposit rates. Short-term deposits are available immediately and earn fixed interest at the respective short-term deposit rates and are held in a diversified portfolio of counterparties.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Short-term investments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2960" w:type="dxa"/>
            <w:vAlign w:val="bottom"/>
            <w:gridSpan w:val="2"/>
          </w:tcPr>
          <w:p>
            <w:pPr>
              <w:ind w:left="2000"/>
              <w:spacing w:after="0"/>
              <w:rPr>
                <w:sz w:val="20"/>
                <w:szCs w:val="20"/>
                <w:color w:val="auto"/>
              </w:rPr>
            </w:pPr>
            <w:r>
              <w:rPr>
                <w:rFonts w:ascii="Arial" w:cs="Arial" w:eastAsia="Arial" w:hAnsi="Arial"/>
                <w:sz w:val="14"/>
                <w:szCs w:val="14"/>
                <w:b w:val="1"/>
                <w:bCs w:val="1"/>
                <w:color w:val="auto"/>
              </w:rPr>
              <w:t>December 31,</w:t>
            </w:r>
          </w:p>
        </w:tc>
        <w:tc>
          <w:tcPr>
            <w:tcW w:w="18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3860" w:type="dxa"/>
            <w:vAlign w:val="bottom"/>
          </w:tcPr>
          <w:p>
            <w:pPr>
              <w:spacing w:after="0"/>
              <w:rPr>
                <w:sz w:val="14"/>
                <w:szCs w:val="14"/>
                <w:color w:val="auto"/>
              </w:rPr>
            </w:pPr>
          </w:p>
        </w:tc>
        <w:tc>
          <w:tcPr>
            <w:tcW w:w="296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18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3860" w:type="dxa"/>
            <w:vAlign w:val="bottom"/>
          </w:tcPr>
          <w:p>
            <w:pPr>
              <w:spacing w:after="0"/>
              <w:rPr>
                <w:sz w:val="15"/>
                <w:szCs w:val="15"/>
                <w:color w:val="auto"/>
              </w:rPr>
            </w:pPr>
          </w:p>
        </w:tc>
        <w:tc>
          <w:tcPr>
            <w:tcW w:w="29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18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w:t>
            </w:r>
          </w:p>
        </w:tc>
        <w:tc>
          <w:tcPr>
            <w:tcW w:w="20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2,500,000</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229"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Short term investments consist of cash deposits held with greater than three month’s term to maturity. None of these investments are held with terms greater than a year.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Issued capital and reserves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15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15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0" w:type="dxa"/>
            <w:vAlign w:val="bottom"/>
          </w:tcPr>
          <w:p>
            <w:pPr>
              <w:jc w:val="right"/>
              <w:ind w:right="260"/>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00"/>
        </w:trPr>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Ordinary share capital</w:t>
            </w: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6"/>
                <w:szCs w:val="16"/>
                <w:color w:val="auto"/>
              </w:rPr>
            </w:pPr>
          </w:p>
        </w:tc>
      </w:tr>
      <w:tr>
        <w:trPr>
          <w:trHeight w:val="176"/>
        </w:trPr>
        <w:tc>
          <w:tcPr>
            <w:tcW w:w="15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Balance at beginning</w:t>
            </w:r>
          </w:p>
        </w:tc>
        <w:tc>
          <w:tcPr>
            <w:tcW w:w="5340" w:type="dxa"/>
            <w:vAlign w:val="bottom"/>
            <w:tcBorders>
              <w:top w:val="single" w:sz="8" w:color="CCEEFF"/>
            </w:tcBorders>
            <w:shd w:val="clear" w:color="auto" w:fill="CCEEFF"/>
          </w:tcPr>
          <w:p>
            <w:pPr>
              <w:ind w:left="200"/>
              <w:spacing w:after="0" w:line="176" w:lineRule="exact"/>
              <w:rPr>
                <w:sz w:val="20"/>
                <w:szCs w:val="20"/>
                <w:color w:val="auto"/>
              </w:rPr>
            </w:pPr>
            <w:r>
              <w:rPr>
                <w:rFonts w:ascii="Arial" w:cs="Arial" w:eastAsia="Arial" w:hAnsi="Arial"/>
                <w:sz w:val="18"/>
                <w:szCs w:val="18"/>
                <w:color w:val="auto"/>
              </w:rPr>
              <w:t>of year</w:t>
            </w:r>
          </w:p>
        </w:tc>
        <w:tc>
          <w:tcPr>
            <w:tcW w:w="100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59,221</w:t>
            </w:r>
          </w:p>
        </w:tc>
        <w:tc>
          <w:tcPr>
            <w:tcW w:w="6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193,022</w:t>
            </w: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Issuances in the year</w:t>
            </w:r>
          </w:p>
        </w:tc>
        <w:tc>
          <w:tcPr>
            <w:tcW w:w="16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133,801</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20,263</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Nominal share capital as at December 31</w:t>
            </w:r>
          </w:p>
        </w:tc>
        <w:tc>
          <w:tcPr>
            <w:tcW w:w="16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193,022</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213,285</w:t>
            </w: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Ordinary shares issued and fully paid</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19,740,296</w:t>
            </w:r>
          </w:p>
        </w:tc>
        <w:tc>
          <w:tcPr>
            <w:tcW w:w="60" w:type="dxa"/>
            <w:vAlign w:val="bottom"/>
            <w:shd w:val="clear" w:color="auto" w:fill="CCEEFF"/>
          </w:tcPr>
          <w:p>
            <w:pPr>
              <w:spacing w:after="0"/>
              <w:rPr>
                <w:sz w:val="17"/>
                <w:szCs w:val="17"/>
                <w:color w:val="auto"/>
              </w:rPr>
            </w:pP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Issued on June 9, 2016 for private financing round</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39,464,540</w:t>
            </w:r>
          </w:p>
        </w:tc>
        <w:tc>
          <w:tcPr>
            <w:tcW w:w="60" w:type="dxa"/>
            <w:vAlign w:val="bottom"/>
          </w:tcPr>
          <w:p>
            <w:pPr>
              <w:spacing w:after="0"/>
              <w:rPr>
                <w:sz w:val="17"/>
                <w:szCs w:val="17"/>
                <w:color w:val="auto"/>
              </w:rPr>
            </w:pP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June 9, 2016 for private placement</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5,135,962</w:t>
            </w:r>
          </w:p>
        </w:tc>
      </w:tr>
      <w:tr>
        <w:trPr>
          <w:trHeight w:val="217"/>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2016</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64,340,798</w:t>
            </w:r>
          </w:p>
        </w:tc>
        <w:tc>
          <w:tcPr>
            <w:tcW w:w="60" w:type="dxa"/>
            <w:vAlign w:val="bottom"/>
          </w:tcPr>
          <w:p>
            <w:pPr>
              <w:spacing w:after="0"/>
              <w:rPr>
                <w:sz w:val="18"/>
                <w:szCs w:val="18"/>
                <w:color w:val="auto"/>
              </w:rPr>
            </w:pP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Nominal value at December 31, 2016 (£)</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0.003</w:t>
            </w:r>
          </w:p>
        </w:tc>
      </w:tr>
      <w:tr>
        <w:trPr>
          <w:trHeight w:val="210"/>
        </w:trPr>
        <w:tc>
          <w:tcPr>
            <w:tcW w:w="68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Issued capital at December 31, 2016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193,022</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January 1, 2017</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64,340,798</w:t>
            </w:r>
          </w:p>
        </w:tc>
        <w:tc>
          <w:tcPr>
            <w:tcW w:w="60" w:type="dxa"/>
            <w:vAlign w:val="bottom"/>
            <w:shd w:val="clear" w:color="auto" w:fill="CCEEFF"/>
          </w:tcPr>
          <w:p>
            <w:pPr>
              <w:spacing w:after="0"/>
              <w:rPr>
                <w:sz w:val="17"/>
                <w:szCs w:val="17"/>
                <w:color w:val="auto"/>
              </w:rPr>
            </w:pPr>
          </w:p>
        </w:tc>
      </w:tr>
      <w:tr>
        <w:trPr>
          <w:trHeight w:val="203"/>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Issued on 3 April 2017</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5,042,017</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26 April 2017 for conversion of loan note</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1,221,361</w:t>
            </w:r>
          </w:p>
        </w:tc>
      </w:tr>
      <w:tr>
        <w:trPr>
          <w:trHeight w:val="210"/>
        </w:trPr>
        <w:tc>
          <w:tcPr>
            <w:tcW w:w="6880" w:type="dxa"/>
            <w:vAlign w:val="bottom"/>
            <w:gridSpan w:val="2"/>
          </w:tcPr>
          <w:p>
            <w:pPr>
              <w:spacing w:after="0" w:line="202" w:lineRule="exact"/>
              <w:rPr>
                <w:sz w:val="20"/>
                <w:szCs w:val="20"/>
                <w:color w:val="auto"/>
              </w:rPr>
            </w:pPr>
            <w:r>
              <w:rPr>
                <w:rFonts w:ascii="Arial" w:cs="Arial" w:eastAsia="Arial" w:hAnsi="Arial"/>
                <w:sz w:val="18"/>
                <w:szCs w:val="18"/>
                <w:color w:val="auto"/>
              </w:rPr>
              <w:t>Issued on 28 October 2017 for acquisition of licence</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490,798</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71,094,974</w:t>
            </w:r>
          </w:p>
        </w:tc>
        <w:tc>
          <w:tcPr>
            <w:tcW w:w="60" w:type="dxa"/>
            <w:vAlign w:val="bottom"/>
            <w:shd w:val="clear" w:color="auto" w:fill="CCEEFF"/>
          </w:tcPr>
          <w:p>
            <w:pPr>
              <w:spacing w:after="0"/>
              <w:rPr>
                <w:sz w:val="17"/>
                <w:szCs w:val="17"/>
                <w:color w:val="auto"/>
              </w:rPr>
            </w:pPr>
          </w:p>
        </w:tc>
      </w:tr>
      <w:tr>
        <w:trPr>
          <w:trHeight w:val="210"/>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Nominal value at December 31, 2017 (£)</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0.003</w:t>
            </w:r>
          </w:p>
        </w:tc>
      </w:tr>
      <w:tr>
        <w:trPr>
          <w:trHeight w:val="203"/>
        </w:trPr>
        <w:tc>
          <w:tcPr>
            <w:tcW w:w="6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Issued capital at December 31, 2017 (£)</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213,285</w:t>
            </w:r>
          </w:p>
        </w:tc>
      </w:tr>
      <w:tr>
        <w:trPr>
          <w:trHeight w:val="20"/>
        </w:trPr>
        <w:tc>
          <w:tcPr>
            <w:tcW w:w="15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January 1, 2016, the following alterations to the Company’s share capital have been made:</w:t>
      </w:r>
    </w:p>
    <w:p>
      <w:pPr>
        <w:spacing w:after="0" w:line="117" w:lineRule="exact"/>
        <w:rPr>
          <w:sz w:val="20"/>
          <w:szCs w:val="20"/>
          <w:color w:val="auto"/>
        </w:rPr>
      </w:pPr>
    </w:p>
    <w:p>
      <w:pPr>
        <w:ind w:left="900" w:right="20" w:hanging="325"/>
        <w:spacing w:after="0" w:line="239"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under the subscription agreement dated July 28, 2015, as amended by an agreement dated June 1, 2016, the Company issued and allotted 39,464,540 ordinary shares of £0.003 in nominal value in the capital of the Company on June 9, 2016 at a price of £1.84 per share. 39,699 of these ordinary shares were issued to WG Partners LLP, for no cash consideration, as payment for financial advisory services;</w:t>
      </w:r>
    </w:p>
    <w:p>
      <w:pPr>
        <w:spacing w:after="0" w:line="107" w:lineRule="exact"/>
        <w:rPr>
          <w:rFonts w:ascii="Arial" w:cs="Arial" w:eastAsia="Arial" w:hAnsi="Arial"/>
          <w:sz w:val="18"/>
          <w:szCs w:val="18"/>
          <w:color w:val="auto"/>
        </w:rPr>
      </w:pPr>
    </w:p>
    <w:p>
      <w:pPr>
        <w:ind w:left="900" w:hanging="325"/>
        <w:spacing w:after="0" w:line="246"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on March 21, 2016 the Directors of the Company signed a solvency statement with the agreement of all shareholders and undertook a capital reduction, reducing the share premium account by £7,000,000 and crediting a new Other reserve by the same amount;</w:t>
      </w:r>
    </w:p>
    <w:p>
      <w:pPr>
        <w:spacing w:after="0" w:line="102" w:lineRule="exact"/>
        <w:rPr>
          <w:rFonts w:ascii="Arial" w:cs="Arial" w:eastAsia="Arial" w:hAnsi="Arial"/>
          <w:sz w:val="18"/>
          <w:szCs w:val="18"/>
          <w:color w:val="auto"/>
        </w:rPr>
      </w:pPr>
    </w:p>
    <w:p>
      <w:pPr>
        <w:ind w:left="900" w:right="320" w:hanging="325"/>
        <w:spacing w:after="0" w:line="246"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under a private placement dated June 9, 2016, the Company issued and allotted 5,135,962 ordinary shares of £0.003 in nominal value in the capital of the Company on June 9, 2016 at a price of £2.21 per share; and</w:t>
      </w:r>
    </w:p>
    <w:p>
      <w:pPr>
        <w:spacing w:after="0" w:line="102" w:lineRule="exact"/>
        <w:rPr>
          <w:rFonts w:ascii="Arial" w:cs="Arial" w:eastAsia="Arial" w:hAnsi="Arial"/>
          <w:sz w:val="18"/>
          <w:szCs w:val="18"/>
          <w:color w:val="auto"/>
        </w:rPr>
      </w:pPr>
    </w:p>
    <w:p>
      <w:pPr>
        <w:ind w:left="900" w:hanging="325"/>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on June 9, 2016, the Company’s ordinary shares were admitted to trading on the AIM market of the London Stock Exchange.</w:t>
      </w:r>
    </w:p>
    <w:p>
      <w:pPr>
        <w:spacing w:after="0" w:line="117" w:lineRule="exact"/>
        <w:rPr>
          <w:rFonts w:ascii="Arial" w:cs="Arial" w:eastAsia="Arial" w:hAnsi="Arial"/>
          <w:sz w:val="18"/>
          <w:szCs w:val="18"/>
          <w:color w:val="auto"/>
        </w:rPr>
      </w:pPr>
    </w:p>
    <w:p>
      <w:pPr>
        <w:ind w:left="900" w:right="260" w:hanging="325"/>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under a placement dated April 3, 2017, the Company issued and allotted 5,042,017 ordinary shares of £0.003 in nominal value in the capital of the Company on April 3, 2017 at a price of £2.975 per share to institutional investors. Gross cash received was £15,000,000.</w:t>
      </w:r>
    </w:p>
    <w:p>
      <w:pPr>
        <w:spacing w:after="0" w:line="108" w:lineRule="exact"/>
        <w:rPr>
          <w:rFonts w:ascii="Arial" w:cs="Arial" w:eastAsia="Arial" w:hAnsi="Arial"/>
          <w:sz w:val="18"/>
          <w:szCs w:val="18"/>
          <w:color w:val="auto"/>
        </w:rPr>
      </w:pPr>
    </w:p>
    <w:p>
      <w:pPr>
        <w:ind w:left="900" w:right="40" w:hanging="325"/>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on April 26, 2017 Novartis converted £1,398,552 of loan notes dated 3 June 2016 into 632,829 ordinary shares of £0.003 in nominal value in the capital of the Company at the fixed conversion price of £2.21 per share. Under the terms of the Notes, Novartis also received 588,532 bonus shares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900" w:right="300" w:hanging="325"/>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on October 31, 2017, Mereo BioPharma Group plc issued and allotted 490,798 ordinary shares of £0.003 in nominal value in the capital of the Company to Astrazeneca AB as part payment for the acquisition by Mereo BioPharma 4 Ltd of an exclusive licence and option to acquire certain assets</w:t>
      </w:r>
    </w:p>
    <w:p>
      <w:pPr>
        <w:sectPr>
          <w:pgSz w:w="11900" w:h="16838" w:orient="portrait"/>
          <w:cols w:equalWidth="0" w:num="1">
            <w:col w:w="11420"/>
          </w:cols>
          <w:pgMar w:left="240" w:top="459" w:right="239" w:bottom="1440" w:gutter="0" w:footer="0" w:header="0"/>
        </w:sectPr>
      </w:pPr>
    </w:p>
    <w:p>
      <w:pPr>
        <w:spacing w:after="0" w:line="380" w:lineRule="exact"/>
        <w:rPr>
          <w:sz w:val="20"/>
          <w:szCs w:val="20"/>
          <w:color w:val="auto"/>
        </w:rPr>
      </w:pPr>
    </w:p>
    <w:p>
      <w:pPr>
        <w:ind w:left="920"/>
        <w:spacing w:after="0"/>
        <w:rPr>
          <w:sz w:val="20"/>
          <w:szCs w:val="20"/>
          <w:color w:val="auto"/>
        </w:rPr>
      </w:pPr>
      <w:r>
        <w:rPr>
          <w:rFonts w:ascii="Arial" w:cs="Arial" w:eastAsia="Arial" w:hAnsi="Arial"/>
          <w:sz w:val="14"/>
          <w:szCs w:val="14"/>
          <w:b w:val="1"/>
          <w:bCs w:val="1"/>
          <w:u w:val="single" w:color="auto"/>
          <w:color w:val="auto"/>
        </w:rPr>
        <w:t>Share premium</w:t>
      </w:r>
    </w:p>
    <w:p>
      <w:pPr>
        <w:spacing w:after="0" w:line="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At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0125"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Share capital reduction on March 21, 2016</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Issuance of share capital for private financing round on June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-127635</wp:posOffset>
            </wp:positionV>
            <wp:extent cx="6080125" cy="1289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80125" cy="128905"/>
                    </a:xfrm>
                    <a:prstGeom prst="rect">
                      <a:avLst/>
                    </a:prstGeom>
                    <a:noFill/>
                  </pic:spPr>
                </pic:pic>
              </a:graphicData>
            </a:graphic>
          </wp:anchor>
        </w:drawing>
      </w:r>
    </w:p>
    <w:p>
      <w:pPr>
        <w:ind w:left="920"/>
        <w:spacing w:after="0" w:line="234" w:lineRule="auto"/>
        <w:rPr>
          <w:sz w:val="20"/>
          <w:szCs w:val="20"/>
          <w:color w:val="auto"/>
        </w:rPr>
      </w:pPr>
      <w:r>
        <w:rPr>
          <w:rFonts w:ascii="Arial" w:cs="Arial" w:eastAsia="Arial" w:hAnsi="Arial"/>
          <w:sz w:val="18"/>
          <w:szCs w:val="18"/>
          <w:color w:val="auto"/>
        </w:rPr>
        <w:t>Issuance of share capital for private placement on June 9, 2016</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Transaction costs for issued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0125" cy="1289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80125" cy="12890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b w:val="1"/>
          <w:bCs w:val="1"/>
          <w:color w:val="auto"/>
        </w:rPr>
        <w:t>At December 31, 2016</w:t>
      </w:r>
    </w:p>
    <w:p>
      <w:pPr>
        <w:spacing w:after="0" w:line="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Issued on 3 April 2017 for private financing 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-127635</wp:posOffset>
            </wp:positionV>
            <wp:extent cx="6080125" cy="1289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80125" cy="128905"/>
                    </a:xfrm>
                    <a:prstGeom prst="rect">
                      <a:avLst/>
                    </a:prstGeom>
                    <a:noFill/>
                  </pic:spPr>
                </pic:pic>
              </a:graphicData>
            </a:graphic>
          </wp:anchor>
        </w:drawing>
      </w:r>
    </w:p>
    <w:p>
      <w:pPr>
        <w:ind w:left="920"/>
        <w:spacing w:after="0" w:line="234" w:lineRule="auto"/>
        <w:rPr>
          <w:sz w:val="20"/>
          <w:szCs w:val="20"/>
          <w:color w:val="auto"/>
        </w:rPr>
      </w:pPr>
      <w:r>
        <w:rPr>
          <w:rFonts w:ascii="Arial" w:cs="Arial" w:eastAsia="Arial" w:hAnsi="Arial"/>
          <w:sz w:val="18"/>
          <w:szCs w:val="18"/>
          <w:color w:val="auto"/>
        </w:rPr>
        <w:t>Issued on 26 April 2017 for conversion of loan note</w:t>
      </w:r>
    </w:p>
    <w:p>
      <w:pPr>
        <w:ind w:left="920"/>
        <w:spacing w:after="0" w:line="235" w:lineRule="auto"/>
        <w:rPr>
          <w:sz w:val="20"/>
          <w:szCs w:val="20"/>
          <w:color w:val="auto"/>
        </w:rPr>
      </w:pPr>
      <w:r>
        <w:rPr>
          <w:rFonts w:ascii="Arial" w:cs="Arial" w:eastAsia="Arial" w:hAnsi="Arial"/>
          <w:sz w:val="18"/>
          <w:szCs w:val="18"/>
          <w:color w:val="auto"/>
        </w:rPr>
        <w:t>Issued on 28 October 2017 for acquisition of 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-127000</wp:posOffset>
            </wp:positionV>
            <wp:extent cx="6080125" cy="128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80125" cy="128905"/>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Transaction costs for issued share capital</w:t>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289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80125" cy="12890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capital reserves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26,212,880</w:t>
      </w:r>
    </w:p>
    <w:p>
      <w:pPr>
        <w:jc w:val="right"/>
        <w:ind w:right="1000"/>
        <w:spacing w:after="0"/>
        <w:rPr>
          <w:sz w:val="20"/>
          <w:szCs w:val="20"/>
          <w:color w:val="auto"/>
        </w:rPr>
      </w:pPr>
      <w:r>
        <w:rPr>
          <w:rFonts w:ascii="Arial" w:cs="Arial" w:eastAsia="Arial" w:hAnsi="Arial"/>
          <w:sz w:val="18"/>
          <w:szCs w:val="18"/>
          <w:color w:val="auto"/>
        </w:rPr>
        <w:t>(7,000,000)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-1905</wp:posOffset>
            </wp:positionV>
            <wp:extent cx="7632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72,423,314</w:t>
      </w:r>
    </w:p>
    <w:p>
      <w:pPr>
        <w:ind w:left="100"/>
        <w:spacing w:after="0" w:line="234" w:lineRule="auto"/>
        <w:rPr>
          <w:sz w:val="20"/>
          <w:szCs w:val="20"/>
          <w:color w:val="auto"/>
        </w:rPr>
      </w:pPr>
      <w:r>
        <w:rPr>
          <w:rFonts w:ascii="Arial" w:cs="Arial" w:eastAsia="Arial" w:hAnsi="Arial"/>
          <w:sz w:val="18"/>
          <w:szCs w:val="18"/>
          <w:color w:val="auto"/>
        </w:rPr>
        <w:t>11,335,069</w:t>
      </w:r>
    </w:p>
    <w:p>
      <w:pPr>
        <w:spacing w:after="0" w:line="1"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(2,995,864)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-1905</wp:posOffset>
            </wp:positionV>
            <wp:extent cx="7632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b w:val="1"/>
          <w:bCs w:val="1"/>
          <w:color w:val="auto"/>
        </w:rPr>
        <w:t>99,975,399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5715</wp:posOffset>
            </wp:positionV>
            <wp:extent cx="7632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14,984,875</w:t>
      </w:r>
    </w:p>
    <w:p>
      <w:pPr>
        <w:jc w:val="right"/>
        <w:ind w:right="1060"/>
        <w:spacing w:after="0" w:line="234" w:lineRule="auto"/>
        <w:rPr>
          <w:sz w:val="20"/>
          <w:szCs w:val="20"/>
          <w:color w:val="auto"/>
        </w:rPr>
      </w:pPr>
      <w:r>
        <w:rPr>
          <w:rFonts w:ascii="Arial" w:cs="Arial" w:eastAsia="Arial" w:hAnsi="Arial"/>
          <w:sz w:val="18"/>
          <w:szCs w:val="18"/>
          <w:color w:val="auto"/>
        </w:rPr>
        <w:t>2,477,787</w:t>
      </w:r>
    </w:p>
    <w:p>
      <w:pPr>
        <w:jc w:val="right"/>
        <w:ind w:right="1060"/>
        <w:spacing w:after="0" w:line="235" w:lineRule="auto"/>
        <w:rPr>
          <w:sz w:val="20"/>
          <w:szCs w:val="20"/>
          <w:color w:val="auto"/>
        </w:rPr>
      </w:pPr>
      <w:r>
        <w:rPr>
          <w:rFonts w:ascii="Arial" w:cs="Arial" w:eastAsia="Arial" w:hAnsi="Arial"/>
          <w:sz w:val="18"/>
          <w:szCs w:val="18"/>
          <w:color w:val="auto"/>
        </w:rPr>
        <w:t>1,518,527</w:t>
      </w:r>
    </w:p>
    <w:p>
      <w:pPr>
        <w:spacing w:after="0" w:line="1"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(729,632)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-1905</wp:posOffset>
            </wp:positionV>
            <wp:extent cx="7632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118,226,956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-1905</wp:posOffset>
            </wp:positionV>
            <wp:extent cx="7632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14605</wp:posOffset>
            </wp:positionV>
            <wp:extent cx="7632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758" w:lineRule="exact"/>
        <w:rPr>
          <w:sz w:val="20"/>
          <w:szCs w:val="20"/>
          <w:color w:val="auto"/>
        </w:rPr>
      </w:pPr>
    </w:p>
    <w:p>
      <w:pPr>
        <w:sectPr>
          <w:pgSz w:w="11900" w:h="16838" w:orient="portrait"/>
          <w:cols w:equalWidth="0" w:num="2">
            <w:col w:w="8640" w:space="720"/>
            <w:col w:w="2060"/>
          </w:cols>
          <w:pgMar w:left="240" w:top="459" w:right="239" w:bottom="1440" w:gutter="0" w:footer="0" w:header="0"/>
          <w:type w:val="continuous"/>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Equity</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component</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Share</w:t>
            </w: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of convertible</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 to be</w:t>
            </w: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based</w:t>
            </w: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loan instrument</w:t>
            </w: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issued £</w:t>
            </w: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payments £</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1040" w:type="dxa"/>
            <w:vAlign w:val="bottom"/>
          </w:tcPr>
          <w:p>
            <w:pPr>
              <w:jc w:val="right"/>
              <w:ind w:right="39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2016</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18,677,840</w:t>
            </w: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2,982,265</w:t>
            </w:r>
          </w:p>
        </w:tc>
        <w:tc>
          <w:tcPr>
            <w:tcW w:w="4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21,660,105</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Share-based payments expense during 2016</w:t>
            </w:r>
          </w:p>
        </w:tc>
        <w:tc>
          <w:tcPr>
            <w:tcW w:w="15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6,494,018</w:t>
            </w:r>
          </w:p>
        </w:tc>
        <w:tc>
          <w:tcPr>
            <w:tcW w:w="15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6,494,018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w:t>
            </w:r>
          </w:p>
        </w:tc>
        <w:tc>
          <w:tcPr>
            <w:tcW w:w="15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(16,003,363)</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(16,003,363)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Equity component of convertible loan instrument</w:t>
            </w:r>
          </w:p>
        </w:tc>
        <w:tc>
          <w:tcPr>
            <w:tcW w:w="10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516,802</w:t>
            </w:r>
          </w:p>
        </w:tc>
        <w:tc>
          <w:tcPr>
            <w:tcW w:w="46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516,802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2,674,477</w:t>
            </w:r>
          </w:p>
        </w:tc>
        <w:tc>
          <w:tcPr>
            <w:tcW w:w="4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9,476,283</w:t>
            </w:r>
          </w:p>
        </w:tc>
        <w:tc>
          <w:tcPr>
            <w:tcW w:w="15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516,802</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12,667,562</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rPr>
              <w:t>Share-based payments expense during 2017</w:t>
            </w:r>
          </w:p>
        </w:tc>
        <w:tc>
          <w:tcPr>
            <w:tcW w:w="150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4,983,186</w:t>
            </w:r>
          </w:p>
        </w:tc>
        <w:tc>
          <w:tcPr>
            <w:tcW w:w="156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4,983,186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w:t>
            </w:r>
          </w:p>
        </w:tc>
        <w:tc>
          <w:tcPr>
            <w:tcW w:w="15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(1,082,899)</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(1,082,899)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Equity component of convertible loan instrument</w:t>
            </w:r>
          </w:p>
        </w:tc>
        <w:tc>
          <w:tcPr>
            <w:tcW w:w="10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5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(208,680)</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(208,680)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1,591,578</w:t>
            </w:r>
          </w:p>
        </w:tc>
        <w:tc>
          <w:tcPr>
            <w:tcW w:w="4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14,459,469</w:t>
            </w:r>
          </w:p>
        </w:tc>
        <w:tc>
          <w:tcPr>
            <w:tcW w:w="15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308,122</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16,359,169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26" w:lineRule="exact"/>
        <w:rPr>
          <w:sz w:val="20"/>
          <w:szCs w:val="20"/>
          <w:color w:val="auto"/>
        </w:rPr>
      </w:pPr>
    </w:p>
    <w:p>
      <w:pPr>
        <w:ind w:right="380" w:firstLine="456"/>
        <w:spacing w:after="0" w:line="246" w:lineRule="auto"/>
        <w:rPr>
          <w:sz w:val="20"/>
          <w:szCs w:val="20"/>
          <w:color w:val="auto"/>
        </w:rPr>
      </w:pPr>
      <w:r>
        <w:rPr>
          <w:rFonts w:ascii="Arial" w:cs="Arial" w:eastAsia="Arial" w:hAnsi="Arial"/>
          <w:sz w:val="18"/>
          <w:szCs w:val="18"/>
          <w:color w:val="auto"/>
        </w:rPr>
        <w:t>The Group has a number of share option plans under which options to subscribe for the Group’s shares have been granted to certain Executives, Non-Executive Directors and employees (see Note 24 for further details).</w:t>
      </w:r>
    </w:p>
    <w:p>
      <w:pPr>
        <w:spacing w:after="0" w:line="197"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The share-based payment reserve is used to recognise (a) the value of equity-settled share-based payments provided to employees, including key management personnel, as part of their remuneration and (b) deferred equity consideration. Refer to Note 24 for further details of these plans. Of the £6,494,018 share-based payment expense in 2016, £298,836 is an accelerated charge relating to 500,000 share options which were cancelled on June 9, 2016.</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type w:val="continuous"/>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issued/to be issued</w:t>
      </w:r>
    </w:p>
    <w:p>
      <w:pPr>
        <w:spacing w:after="0" w:line="126"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Shares to be issued at January 1, 2016 of £18,677,840 represented a maximum potential 10,151,000 bonus shares due to Novartis under the terms of an investment in the prior year. Of the 44,600,502 ordinary shares issued on June 9, 2016, 8,697,480 shares were issued to Novartis as fully paid up bonus shares (for £nil consideration), the number of which was calculated to maintain its shareholding at 19.5%. The fair value of these shares was £1.84 per share. At December 31, 2016, £2,674,477 representing a maximum of 1,453,520 shares at £1.84 were remaining to be issued to Novartis pro rata to their percentage shareholding as and when the Company issues further ordinary shares.</w:t>
      </w:r>
    </w:p>
    <w:p>
      <w:pPr>
        <w:spacing w:after="0" w:line="203"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Of the 1,221,361 ordinary shares issued on April 26, 2017, 588,532 shares were issued to Novartis as fully paid up bonus shares (for £nil consideration), the number of which was calculated to maintain its shareholding at 19.5%. The fair value of these shares was £1.84 per share. At December 31, 2017, £1,591,578 representing a maximum of 864,988 shares at £1.84 were remaining to be issued to Novartis pro rata to their percentage shareholding as and when the Company issues further ordinary shares.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component of convertible loan instrument</w:t>
      </w:r>
    </w:p>
    <w:p>
      <w:pPr>
        <w:spacing w:after="0" w:line="126" w:lineRule="exact"/>
        <w:rPr>
          <w:sz w:val="20"/>
          <w:szCs w:val="20"/>
          <w:color w:val="auto"/>
        </w:rPr>
      </w:pPr>
    </w:p>
    <w:p>
      <w:pPr>
        <w:ind w:right="420" w:firstLine="456"/>
        <w:spacing w:after="0" w:line="246" w:lineRule="auto"/>
        <w:rPr>
          <w:sz w:val="20"/>
          <w:szCs w:val="20"/>
          <w:color w:val="auto"/>
        </w:rPr>
      </w:pPr>
      <w:r>
        <w:rPr>
          <w:rFonts w:ascii="Arial" w:cs="Arial" w:eastAsia="Arial" w:hAnsi="Arial"/>
          <w:sz w:val="18"/>
          <w:szCs w:val="18"/>
          <w:color w:val="auto"/>
        </w:rPr>
        <w:t>The convertible loan notes issued to Novartis are a compound instrument consisting of a liability and an equity component (see Note 18a). The value of the equity component (cost of the conversion option) as at 31 December 2017 is £308,122 (2016: £516,802).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deficit</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3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5720" w:type="dxa"/>
            <w:vAlign w:val="bottom"/>
          </w:tcPr>
          <w:p>
            <w:pPr>
              <w:spacing w:after="0"/>
              <w:rPr>
                <w:sz w:val="14"/>
                <w:szCs w:val="1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720" w:type="dxa"/>
            <w:vAlign w:val="bottom"/>
          </w:tcPr>
          <w:p>
            <w:pPr>
              <w:spacing w:after="0"/>
              <w:rPr>
                <w:sz w:val="14"/>
                <w:szCs w:val="14"/>
                <w:color w:val="auto"/>
              </w:rPr>
            </w:pPr>
          </w:p>
        </w:tc>
        <w:tc>
          <w:tcPr>
            <w:tcW w:w="1160" w:type="dxa"/>
            <w:vAlign w:val="bottom"/>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4"/>
                <w:szCs w:val="14"/>
                <w:color w:val="auto"/>
              </w:rPr>
            </w:pPr>
          </w:p>
        </w:tc>
        <w:tc>
          <w:tcPr>
            <w:tcW w:w="1160" w:type="dxa"/>
            <w:vAlign w:val="bottom"/>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r>
      <w:tr>
        <w:trPr>
          <w:trHeight w:val="175"/>
        </w:trPr>
        <w:tc>
          <w:tcPr>
            <w:tcW w:w="57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r>
      <w:tr>
        <w:trPr>
          <w:trHeight w:val="196"/>
        </w:trPr>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reserves</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7,000,000</w:t>
            </w: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7,000,000</w:t>
            </w:r>
          </w:p>
        </w:tc>
        <w:tc>
          <w:tcPr>
            <w:tcW w:w="160" w:type="dxa"/>
            <w:vAlign w:val="bottom"/>
            <w:shd w:val="clear" w:color="auto" w:fill="CCEEFF"/>
          </w:tcPr>
          <w:p>
            <w:pPr>
              <w:spacing w:after="0"/>
              <w:rPr>
                <w:sz w:val="17"/>
                <w:szCs w:val="17"/>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Accumulated losses</w:t>
            </w:r>
          </w:p>
        </w:tc>
        <w:tc>
          <w:tcPr>
            <w:tcW w:w="16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(40,579,241)</w:t>
            </w: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(79,315,920)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(33,579,241)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(72,315,920)</w:t>
            </w:r>
          </w:p>
        </w:tc>
      </w:tr>
    </w:tbl>
    <w:p>
      <w:pPr>
        <w:spacing w:after="0" w:line="21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On March 21, 2016 the Directors of the Company signed a solvency statement with the agreement of all shareholders and undertook a capital reduction, reducing the share premium account by £7,000,000 and crediting a new Other Reserve by the same amount.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Interest bearing loans and borrowings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80" w:type="dxa"/>
            <w:vAlign w:val="bottom"/>
          </w:tcPr>
          <w:p>
            <w:pPr>
              <w:jc w:val="right"/>
              <w:ind w:right="298"/>
              <w:spacing w:after="0"/>
              <w:rPr>
                <w:sz w:val="20"/>
                <w:szCs w:val="20"/>
                <w:color w:val="auto"/>
              </w:rPr>
            </w:pPr>
            <w:r>
              <w:rPr>
                <w:rFonts w:ascii="Arial" w:cs="Arial" w:eastAsia="Arial" w:hAnsi="Arial"/>
                <w:sz w:val="14"/>
                <w:szCs w:val="14"/>
                <w:b w:val="1"/>
                <w:bCs w:val="1"/>
                <w:color w:val="auto"/>
              </w:rPr>
              <w:t>2016</w:t>
            </w:r>
          </w:p>
        </w:tc>
        <w:tc>
          <w:tcPr>
            <w:tcW w:w="1620" w:type="dxa"/>
            <w:vAlign w:val="bottom"/>
            <w:gridSpan w:val="2"/>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080" w:type="dxa"/>
            <w:vAlign w:val="bottom"/>
          </w:tcPr>
          <w:p>
            <w:pPr>
              <w:jc w:val="right"/>
              <w:ind w:right="418"/>
              <w:spacing w:after="0"/>
              <w:rPr>
                <w:sz w:val="20"/>
                <w:szCs w:val="20"/>
                <w:color w:val="auto"/>
              </w:rPr>
            </w:pPr>
            <w:r>
              <w:rPr>
                <w:rFonts w:ascii="Arial" w:cs="Arial" w:eastAsia="Arial" w:hAnsi="Arial"/>
                <w:sz w:val="14"/>
                <w:szCs w:val="14"/>
                <w:b w:val="1"/>
                <w:bCs w:val="1"/>
                <w:color w:val="auto"/>
              </w:rPr>
              <w:t>£</w:t>
            </w:r>
          </w:p>
        </w:tc>
        <w:tc>
          <w:tcPr>
            <w:tcW w:w="1620" w:type="dxa"/>
            <w:vAlign w:val="bottom"/>
            <w:gridSpan w:val="2"/>
          </w:tcPr>
          <w:p>
            <w:pPr>
              <w:jc w:val="right"/>
              <w:ind w:right="437"/>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Novartis Notes - see Note 18a</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3,126,526</w:t>
            </w:r>
          </w:p>
        </w:tc>
        <w:tc>
          <w:tcPr>
            <w:tcW w:w="5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1,977,393</w:t>
            </w:r>
          </w:p>
        </w:tc>
        <w:tc>
          <w:tcPr>
            <w:tcW w:w="8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Bank loan -see Note 18b</w:t>
            </w:r>
          </w:p>
        </w:tc>
        <w:tc>
          <w:tcPr>
            <w:tcW w:w="1080" w:type="dxa"/>
            <w:vAlign w:val="bottom"/>
            <w:tcBorders>
              <w:bottom w:val="single" w:sz="8" w:color="auto"/>
            </w:tcBorders>
          </w:tcPr>
          <w:p>
            <w:pPr>
              <w:ind w:left="80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18,774,924</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3,126,526</w:t>
            </w:r>
          </w:p>
        </w:tc>
        <w:tc>
          <w:tcPr>
            <w:tcW w:w="5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20,752,317</w:t>
            </w:r>
          </w:p>
        </w:tc>
        <w:tc>
          <w:tcPr>
            <w:tcW w:w="80" w:type="dxa"/>
            <w:vAlign w:val="bottom"/>
            <w:shd w:val="clear" w:color="auto" w:fill="CCEEFF"/>
          </w:tcPr>
          <w:p>
            <w:pPr>
              <w:spacing w:after="0"/>
              <w:rPr>
                <w:sz w:val="17"/>
                <w:szCs w:val="17"/>
                <w:color w:val="auto"/>
              </w:rPr>
            </w:pPr>
          </w:p>
        </w:tc>
      </w:tr>
      <w:tr>
        <w:trPr>
          <w:trHeight w:val="20"/>
        </w:trPr>
        <w:tc>
          <w:tcPr>
            <w:tcW w:w="5900" w:type="dxa"/>
            <w:vAlign w:val="bottom"/>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90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1080" w:type="dxa"/>
            <w:vAlign w:val="bottom"/>
          </w:tcPr>
          <w:p>
            <w:pPr>
              <w:ind w:left="800"/>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1,939,806</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08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18,812,511</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18a. Novartis Notes</w:t>
      </w:r>
    </w:p>
    <w:p>
      <w:pPr>
        <w:spacing w:after="0" w:line="126" w:lineRule="exact"/>
        <w:rPr>
          <w:sz w:val="20"/>
          <w:szCs w:val="20"/>
          <w:color w:val="auto"/>
        </w:rPr>
      </w:pPr>
    </w:p>
    <w:p>
      <w:pPr>
        <w:ind w:right="300" w:firstLine="456"/>
        <w:spacing w:after="0" w:line="239" w:lineRule="auto"/>
        <w:rPr>
          <w:sz w:val="20"/>
          <w:szCs w:val="20"/>
          <w:color w:val="auto"/>
        </w:rPr>
      </w:pPr>
      <w:r>
        <w:rPr>
          <w:rFonts w:ascii="Arial" w:cs="Arial" w:eastAsia="Arial" w:hAnsi="Arial"/>
          <w:sz w:val="18"/>
          <w:szCs w:val="18"/>
          <w:color w:val="auto"/>
        </w:rPr>
        <w:t>On June 3, 2016, the Company issued 3,463,563 £1 unsecured convertible loan notes (“Novartis Notes”) to Novartis Pharma AG, a shareholder of the Company (see Note 26) in consideration for an investment in cash by Novartis at the time of the private placement on June 9, 2016. The Novartis Notes attract an interest rate of 4% per annum and accruing daily and constitute direct, unsecured obligations of the Company ranking ahead of any other unsecured obligations of the Company.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20" w:firstLine="456"/>
        <w:spacing w:after="0" w:line="238" w:lineRule="auto"/>
        <w:rPr>
          <w:sz w:val="20"/>
          <w:szCs w:val="20"/>
          <w:color w:val="auto"/>
        </w:rPr>
      </w:pPr>
      <w:r>
        <w:rPr>
          <w:rFonts w:ascii="Arial" w:cs="Arial" w:eastAsia="Arial" w:hAnsi="Arial"/>
          <w:sz w:val="18"/>
          <w:szCs w:val="18"/>
          <w:color w:val="auto"/>
        </w:rPr>
        <w:t>On April 26, 2017 Novartis converted £1,398,553 of loan notes into 632,829 ordinary shares at the fixed conversion price of £2.21 per share. This has been recorded as a £1,187,974 reduction in interest bearing loans and borrowings, a reduction in other capital reserves of £208,680, and a reduction in accumulated loss of £62,375. Under the terms of the Notes, Novartis also received 588,532 bonus shares. Novartis holds £2,065,011 principal value of Notes at December 31, 2017 representing 934,394 ordinary shares if converted, together with 864,988 potential bonus shares, together these represent 2.5% of the current share capital of the Company as at December 31, 2017.</w:t>
      </w:r>
    </w:p>
    <w:p>
      <w:pPr>
        <w:spacing w:after="0" w:line="203"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In August 2017, in connection with the new loan agreements (see Note 18b), Novartis agreed to amend the terms of its Novartis Notes. Under the revised terms of the Novartis Notes, the loan is subordinated to the Silicon Valley Bank and Kreos Capital loan such that Novartis shall be entitled, at any time up to the repayment of the foregoing loan, being March 2, 2021, to serve a conversion notice on the Company to convert all or some only of the outstanding Novartis Notes into fully paid ordinary shares at a conversion price of £2.21 per share. To the extent the Novartis Notes are not converted at that date, the outstanding principal amount of the Novartis Notes, together with any accrued and unconverted interest, is redeemable. Upon conversion of any Novartis Notes, in addition to the relevant number of conversion shares, Novartis is entitled to receive an additional number of ordinary shares in the Company equal to the number of conversion shares into which such Novartis Notes are to convert, multiplied by 0.93, up to a maximum aggregate number of 864,988 such bonus shares.</w:t>
      </w:r>
    </w:p>
    <w:p>
      <w:pPr>
        <w:spacing w:after="0" w:line="208" w:lineRule="exact"/>
        <w:rPr>
          <w:sz w:val="20"/>
          <w:szCs w:val="20"/>
          <w:color w:val="auto"/>
        </w:rPr>
      </w:pPr>
    </w:p>
    <w:p>
      <w:pPr>
        <w:jc w:val="both"/>
        <w:ind w:right="60" w:firstLine="456"/>
        <w:spacing w:after="0"/>
        <w:rPr>
          <w:sz w:val="20"/>
          <w:szCs w:val="20"/>
          <w:color w:val="auto"/>
        </w:rPr>
      </w:pPr>
      <w:r>
        <w:rPr>
          <w:rFonts w:ascii="Arial" w:cs="Arial" w:eastAsia="Arial" w:hAnsi="Arial"/>
          <w:sz w:val="18"/>
          <w:szCs w:val="18"/>
          <w:color w:val="auto"/>
        </w:rPr>
        <w:t>The value of the debt component of the Notes at the date of issue was calculated as £2,946,761. The cash flows attached to the Note up to the Maturity Date were calculated and discounted at an appropriate venture debt rate of 10%. The carrying amount at December 31, 2017 is £1,977,393 (2016: £3,126,526).</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value of the equity component of the Notes at December 31, 2017 was calculated as £308,123 (2016: £516,802).</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18b. Bank loan</w:t>
      </w:r>
    </w:p>
    <w:p>
      <w:pPr>
        <w:spacing w:after="0" w:line="126"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On August 7, 2017, we entered into a loan agreement with Silicon Valley Bank and Kreos Capital V (UK) Limited, which provides for total borrowings of £20.0 million and the issue of warrants over shares in the Company (see Note 20). We borrowed £10.0 million on each of August 21, 2017 (Tranche 1) and December 29, 2017 (Tranche 2) for general working capital purposes. We are obligated to make interest-only payments on the loan amount until September 30, 2018, and thereafter we are obligated to pay interest and principal in 30 equal monthly installments until March 31, 2021, the maturity date. The loan bears interest at an annual fixed rate equal to 9.0%. In addition a final payment of 7.5% of the principal loan amount is due upon the earlier of the maturity date, prepayment in whole of the loan amount, mandatory repayment, acceleration of the loan, and the loan becoming immediately due and payable due to an event of default. The loan is secured by substantially all of our assets, including intellectual property rights owned or controlled by us. The terms of the debt facility include an interest only period to September 30, 2018, a thirty-month capital and interest repayment period thereafter, a 9% headline interest rate and customary security over all assets of the Group.</w:t>
      </w:r>
    </w:p>
    <w:p>
      <w:pPr>
        <w:spacing w:after="0" w:line="20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The fair value of warrants issued as part of Tranche 1 on August 21, 2017 was £657,676. The fair value of the loan liability of Tranche 1 on August 21, 2017 was £9,342,324. Application of the effective interest method is required to accrete the initial loan liability value up to the face value of the loan at the end of the loan term. This non-cash interest charge will be made in each statutory reporting period. The annual value of this interest charge is £182,133, which is an effective interest rate of 1.95%.</w:t>
      </w:r>
    </w:p>
    <w:p>
      <w:pPr>
        <w:spacing w:after="0" w:line="202"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 fair value of warrants issued as part of Tranche 2 on December 29, 2017 was £634,335. The fair value of the loan liability of Tranche 2 on December 29, 2017 was £9,365,665. Application of the effective interest method is required to accrete the initial loan liability value up to the face value of the loan at the end of the loan term. This non-cash interest charge will be made in each statutory reporting period. The annual value of this interest charge is £194,892, which is an effective interest rate of 2.08%.</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700" w:firstLine="456"/>
        <w:spacing w:after="0" w:line="246" w:lineRule="auto"/>
        <w:rPr>
          <w:sz w:val="20"/>
          <w:szCs w:val="20"/>
          <w:color w:val="auto"/>
        </w:rPr>
      </w:pPr>
      <w:r>
        <w:rPr>
          <w:rFonts w:ascii="Arial" w:cs="Arial" w:eastAsia="Arial" w:hAnsi="Arial"/>
          <w:sz w:val="18"/>
          <w:szCs w:val="18"/>
          <w:color w:val="auto"/>
        </w:rPr>
        <w:t>The total carrying value of the loan at 31 December 2017 was £18,774,924. £1,939,806 is a current liability and £16,835,118 is a non-current liability. A total of £66,935 of non-cash interest has been charged to the statement of comprehensive loss in the period.</w:t>
      </w:r>
    </w:p>
    <w:p>
      <w:pPr>
        <w:spacing w:after="0" w:line="283" w:lineRule="exact"/>
        <w:rPr>
          <w:sz w:val="20"/>
          <w:szCs w:val="20"/>
          <w:color w:val="auto"/>
        </w:rPr>
      </w:pPr>
    </w:p>
    <w:p>
      <w:pPr>
        <w:ind w:right="10180" w:firstLine="8"/>
        <w:spacing w:after="0" w:line="434" w:lineRule="auto"/>
        <w:tabs>
          <w:tab w:leader="none" w:pos="300"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color w:val="auto"/>
        </w:rPr>
        <w:t>Provisions Summary</w:t>
      </w:r>
    </w:p>
    <w:p>
      <w:pPr>
        <w:spacing w:after="0" w:line="59"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2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160" w:type="dxa"/>
            <w:vAlign w:val="bottom"/>
            <w:tcBorders>
              <w:bottom w:val="single" w:sz="8" w:color="CCEEFF"/>
            </w:tcBorders>
          </w:tcPr>
          <w:p>
            <w:pPr>
              <w:spacing w:after="0"/>
              <w:rPr>
                <w:sz w:val="15"/>
                <w:szCs w:val="15"/>
                <w:color w:val="auto"/>
              </w:rPr>
            </w:pPr>
          </w:p>
        </w:tc>
        <w:tc>
          <w:tcPr>
            <w:tcW w:w="27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Social security contributions on share options</w:t>
            </w:r>
          </w:p>
        </w:tc>
        <w:tc>
          <w:tcPr>
            <w:tcW w:w="10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1,172,420</w:t>
            </w: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2,288,386</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0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8"/>
                <w:szCs w:val="18"/>
                <w:color w:val="auto"/>
              </w:rPr>
            </w:pPr>
          </w:p>
        </w:tc>
        <w:tc>
          <w:tcPr>
            <w:tcW w:w="10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2,061,000</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4,349,386</w:t>
            </w:r>
          </w:p>
        </w:tc>
        <w:tc>
          <w:tcPr>
            <w:tcW w:w="80" w:type="dxa"/>
            <w:vAlign w:val="bottom"/>
            <w:shd w:val="clear" w:color="auto" w:fill="CCEEFF"/>
          </w:tcPr>
          <w:p>
            <w:pPr>
              <w:spacing w:after="0"/>
              <w:rPr>
                <w:sz w:val="17"/>
                <w:szCs w:val="17"/>
                <w:color w:val="auto"/>
              </w:rPr>
            </w:pPr>
          </w:p>
        </w:tc>
      </w:tr>
      <w:tr>
        <w:trPr>
          <w:trHeight w:val="20"/>
        </w:trPr>
        <w:tc>
          <w:tcPr>
            <w:tcW w:w="318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900" w:type="dxa"/>
            <w:vAlign w:val="bottom"/>
            <w:gridSpan w:val="3"/>
          </w:tcPr>
          <w:p>
            <w:pPr>
              <w:spacing w:after="0" w:line="196" w:lineRule="exact"/>
              <w:rPr>
                <w:sz w:val="20"/>
                <w:szCs w:val="20"/>
                <w:color w:val="auto"/>
              </w:rPr>
            </w:pPr>
            <w:r>
              <w:rPr>
                <w:rFonts w:ascii="Arial" w:cs="Arial" w:eastAsia="Arial" w:hAnsi="Arial"/>
                <w:sz w:val="18"/>
                <w:szCs w:val="18"/>
                <w:color w:val="auto"/>
              </w:rPr>
              <w:t>Current</w:t>
            </w:r>
          </w:p>
        </w:tc>
        <w:tc>
          <w:tcPr>
            <w:tcW w:w="80" w:type="dxa"/>
            <w:vAlign w:val="bottom"/>
          </w:tcPr>
          <w:p>
            <w:pPr>
              <w:spacing w:after="0"/>
              <w:rPr>
                <w:sz w:val="17"/>
                <w:szCs w:val="17"/>
                <w:color w:val="auto"/>
              </w:rPr>
            </w:pPr>
          </w:p>
        </w:tc>
        <w:tc>
          <w:tcPr>
            <w:tcW w:w="1540" w:type="dxa"/>
            <w:vAlign w:val="bottom"/>
            <w:gridSpan w:val="3"/>
          </w:tcPr>
          <w:p>
            <w:pPr>
              <w:ind w:left="70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274,000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1,172,420</w:t>
            </w: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4,075,386</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24"/>
                <w:szCs w:val="2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95"/>
        </w:trPr>
        <w:tc>
          <w:tcPr>
            <w:tcW w:w="5900" w:type="dxa"/>
            <w:vAlign w:val="bottom"/>
            <w:gridSpan w:val="3"/>
          </w:tcPr>
          <w:p>
            <w:pPr>
              <w:spacing w:after="0"/>
              <w:rPr>
                <w:sz w:val="20"/>
                <w:szCs w:val="20"/>
                <w:color w:val="auto"/>
              </w:rPr>
            </w:pPr>
            <w:r>
              <w:rPr>
                <w:rFonts w:ascii="Arial" w:cs="Arial" w:eastAsia="Arial" w:hAnsi="Arial"/>
                <w:sz w:val="14"/>
                <w:szCs w:val="14"/>
                <w:b w:val="1"/>
                <w:bCs w:val="1"/>
                <w:color w:val="auto"/>
              </w:rPr>
              <w:t>Social security contributions on share options</w:t>
            </w:r>
          </w:p>
        </w:tc>
        <w:tc>
          <w:tcPr>
            <w:tcW w:w="106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1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At beginning of year</w:t>
            </w:r>
          </w:p>
        </w:tc>
        <w:tc>
          <w:tcPr>
            <w:tcW w:w="27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141,311</w:t>
            </w:r>
          </w:p>
        </w:tc>
        <w:tc>
          <w:tcPr>
            <w:tcW w:w="5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1,172,420</w:t>
            </w:r>
          </w:p>
        </w:tc>
        <w:tc>
          <w:tcPr>
            <w:tcW w:w="8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Accretion of discount</w:t>
            </w: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7,293</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Arising during the year</w:t>
            </w:r>
          </w:p>
        </w:tc>
        <w:tc>
          <w:tcPr>
            <w:tcW w:w="11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1,084,181</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1,115,966</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Released</w:t>
            </w:r>
          </w:p>
        </w:tc>
        <w:tc>
          <w:tcPr>
            <w:tcW w:w="80" w:type="dxa"/>
            <w:vAlign w:val="bottom"/>
          </w:tcPr>
          <w:p>
            <w:pPr>
              <w:spacing w:after="0"/>
              <w:rPr>
                <w:sz w:val="18"/>
                <w:szCs w:val="18"/>
                <w:color w:val="auto"/>
              </w:rPr>
            </w:pPr>
          </w:p>
        </w:tc>
        <w:tc>
          <w:tcPr>
            <w:tcW w:w="154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(60,365)</w:t>
            </w:r>
          </w:p>
        </w:tc>
        <w:tc>
          <w:tcPr>
            <w:tcW w:w="40" w:type="dxa"/>
            <w:vAlign w:val="bottom"/>
          </w:tcPr>
          <w:p>
            <w:pPr>
              <w:spacing w:after="0"/>
              <w:rPr>
                <w:sz w:val="18"/>
                <w:szCs w:val="18"/>
                <w:color w:val="auto"/>
              </w:rPr>
            </w:pPr>
          </w:p>
        </w:tc>
        <w:tc>
          <w:tcPr>
            <w:tcW w:w="11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80" w:type="dxa"/>
            <w:vAlign w:val="bottom"/>
            <w:shd w:val="clear" w:color="auto" w:fill="CCEEFF"/>
          </w:tcPr>
          <w:p>
            <w:pPr>
              <w:spacing w:after="0"/>
              <w:rPr>
                <w:sz w:val="17"/>
                <w:szCs w:val="17"/>
                <w:color w:val="auto"/>
              </w:rPr>
            </w:pPr>
          </w:p>
        </w:tc>
        <w:tc>
          <w:tcPr>
            <w:tcW w:w="10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1,172,420</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2,288,386</w:t>
            </w:r>
          </w:p>
        </w:tc>
        <w:tc>
          <w:tcPr>
            <w:tcW w:w="80" w:type="dxa"/>
            <w:vAlign w:val="bottom"/>
            <w:shd w:val="clear" w:color="auto" w:fill="CCEEFF"/>
          </w:tcPr>
          <w:p>
            <w:pPr>
              <w:spacing w:after="0"/>
              <w:rPr>
                <w:sz w:val="17"/>
                <w:szCs w:val="17"/>
                <w:color w:val="auto"/>
              </w:rPr>
            </w:pPr>
          </w:p>
        </w:tc>
      </w:tr>
      <w:tr>
        <w:trPr>
          <w:trHeight w:val="20"/>
        </w:trPr>
        <w:tc>
          <w:tcPr>
            <w:tcW w:w="318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900" w:type="dxa"/>
            <w:vAlign w:val="bottom"/>
            <w:gridSpan w:val="3"/>
          </w:tcPr>
          <w:p>
            <w:pPr>
              <w:spacing w:after="0" w:line="196" w:lineRule="exact"/>
              <w:rPr>
                <w:sz w:val="20"/>
                <w:szCs w:val="20"/>
                <w:color w:val="auto"/>
              </w:rPr>
            </w:pPr>
            <w:r>
              <w:rPr>
                <w:rFonts w:ascii="Arial" w:cs="Arial" w:eastAsia="Arial" w:hAnsi="Arial"/>
                <w:sz w:val="18"/>
                <w:szCs w:val="18"/>
                <w:color w:val="auto"/>
              </w:rPr>
              <w:t>Current</w:t>
            </w:r>
          </w:p>
        </w:tc>
        <w:tc>
          <w:tcPr>
            <w:tcW w:w="80" w:type="dxa"/>
            <w:vAlign w:val="bottom"/>
          </w:tcPr>
          <w:p>
            <w:pPr>
              <w:spacing w:after="0"/>
              <w:rPr>
                <w:sz w:val="17"/>
                <w:szCs w:val="17"/>
                <w:color w:val="auto"/>
              </w:rPr>
            </w:pPr>
          </w:p>
        </w:tc>
        <w:tc>
          <w:tcPr>
            <w:tcW w:w="1540" w:type="dxa"/>
            <w:vAlign w:val="bottom"/>
            <w:gridSpan w:val="3"/>
          </w:tcPr>
          <w:p>
            <w:pPr>
              <w:ind w:left="740"/>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120" w:type="dxa"/>
            <w:vAlign w:val="bottom"/>
            <w:gridSpan w:val="2"/>
          </w:tcPr>
          <w:p>
            <w:pPr>
              <w:ind w:left="760"/>
              <w:spacing w:after="0" w:line="196"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1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1,172,420</w:t>
            </w:r>
          </w:p>
        </w:tc>
        <w:tc>
          <w:tcPr>
            <w:tcW w:w="5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2,288,386</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The provision for social security contributions on share options is calculated based on the number of options outstanding at the reporting date that are expected to be exercised. The provision is based on the estimated gain arising on exercise of the share options, using the best estimate of the market price at the balance sheet date. Since the Directors assume the options will be held for their full contractual life of ten years (see Note 24) the liability has been classified as non-current. The provision has been discounted.</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164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95"/>
        </w:trPr>
        <w:tc>
          <w:tcPr>
            <w:tcW w:w="5900" w:type="dxa"/>
            <w:vAlign w:val="bottom"/>
            <w:gridSpan w:val="3"/>
          </w:tcPr>
          <w:p>
            <w:pPr>
              <w:spacing w:after="0"/>
              <w:rPr>
                <w:sz w:val="20"/>
                <w:szCs w:val="20"/>
                <w:color w:val="auto"/>
              </w:rPr>
            </w:pPr>
            <w:r>
              <w:rPr>
                <w:rFonts w:ascii="Arial" w:cs="Arial" w:eastAsia="Arial" w:hAnsi="Arial"/>
                <w:sz w:val="14"/>
                <w:szCs w:val="14"/>
                <w:b w:val="1"/>
                <w:bCs w:val="1"/>
                <w:color w:val="auto"/>
              </w:rPr>
              <w:t>Provision for deferred cash consideration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center"/>
              <w:ind w:left="47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28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At beginning of year</w:t>
            </w:r>
          </w:p>
        </w:tc>
        <w:tc>
          <w:tcPr>
            <w:tcW w:w="30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ind w:left="780"/>
              <w:spacing w:after="0" w:line="17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17"/>
              <w:spacing w:after="0" w:line="17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Arising during the year</w:t>
            </w:r>
          </w:p>
        </w:tc>
        <w:tc>
          <w:tcPr>
            <w:tcW w:w="1060" w:type="dxa"/>
            <w:vAlign w:val="bottom"/>
            <w:tcBorders>
              <w:bottom w:val="single" w:sz="8" w:color="auto"/>
            </w:tcBorders>
          </w:tcPr>
          <w:p>
            <w:pPr>
              <w:ind w:left="7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2,061,000</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1060" w:type="dxa"/>
            <w:vAlign w:val="bottom"/>
            <w:tcBorders>
              <w:bottom w:val="single" w:sz="8" w:color="auto"/>
            </w:tcBorders>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2,061,000</w:t>
            </w:r>
          </w:p>
        </w:tc>
        <w:tc>
          <w:tcPr>
            <w:tcW w:w="80" w:type="dxa"/>
            <w:vAlign w:val="bottom"/>
            <w:shd w:val="clear" w:color="auto" w:fill="CCEEFF"/>
          </w:tcPr>
          <w:p>
            <w:pPr>
              <w:spacing w:after="0"/>
              <w:rPr>
                <w:sz w:val="17"/>
                <w:szCs w:val="17"/>
                <w:color w:val="auto"/>
              </w:rPr>
            </w:pPr>
          </w:p>
        </w:tc>
      </w:tr>
      <w:tr>
        <w:trPr>
          <w:trHeight w:val="20"/>
        </w:trPr>
        <w:tc>
          <w:tcPr>
            <w:tcW w:w="28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900" w:type="dxa"/>
            <w:vAlign w:val="bottom"/>
            <w:gridSpan w:val="3"/>
          </w:tcPr>
          <w:p>
            <w:pPr>
              <w:spacing w:after="0" w:line="196" w:lineRule="exact"/>
              <w:rPr>
                <w:sz w:val="20"/>
                <w:szCs w:val="20"/>
                <w:color w:val="auto"/>
              </w:rPr>
            </w:pPr>
            <w:r>
              <w:rPr>
                <w:rFonts w:ascii="Arial" w:cs="Arial" w:eastAsia="Arial" w:hAnsi="Arial"/>
                <w:sz w:val="18"/>
                <w:szCs w:val="18"/>
                <w:color w:val="auto"/>
              </w:rPr>
              <w:t>Current</w:t>
            </w:r>
          </w:p>
        </w:tc>
        <w:tc>
          <w:tcPr>
            <w:tcW w:w="1060" w:type="dxa"/>
            <w:vAlign w:val="bottom"/>
          </w:tcPr>
          <w:p>
            <w:pPr>
              <w:ind w:left="780"/>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274,000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060" w:type="dxa"/>
            <w:vAlign w:val="bottom"/>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1,787,000</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The deferred cash consideration is the estimate of the quantifiable but not certain future cash payment obligations due to AstraZeneca for the acquisition of certain assets (see Note 12). This liability is calculated as the risk adjusted net present value of future cash payments to be made by the Group. The payments are dependent on reaching certain milestones based on the commencement and outcome of clinical trials.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60" w:right="2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Warrant liability</w:t>
      </w:r>
    </w:p>
    <w:p>
      <w:pPr>
        <w:spacing w:after="0" w:line="127"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980" w:type="dxa"/>
            <w:vAlign w:val="bottom"/>
            <w:gridSpan w:val="2"/>
          </w:tcPr>
          <w:p>
            <w:pPr>
              <w:jc w:val="center"/>
              <w:ind w:left="1968"/>
              <w:spacing w:after="0"/>
              <w:rPr>
                <w:sz w:val="20"/>
                <w:szCs w:val="20"/>
                <w:color w:val="auto"/>
              </w:rPr>
            </w:pPr>
            <w:r>
              <w:rPr>
                <w:rFonts w:ascii="Arial" w:cs="Arial" w:eastAsia="Arial" w:hAnsi="Arial"/>
                <w:sz w:val="14"/>
                <w:szCs w:val="14"/>
                <w:b w:val="1"/>
                <w:bCs w:val="1"/>
                <w:color w:val="auto"/>
              </w:rPr>
              <w:t>December 31,</w:t>
            </w:r>
          </w:p>
        </w:tc>
        <w:tc>
          <w:tcPr>
            <w:tcW w:w="1860" w:type="dxa"/>
            <w:vAlign w:val="bottom"/>
            <w:gridSpan w:val="3"/>
          </w:tcPr>
          <w:p>
            <w:pPr>
              <w:jc w:val="center"/>
              <w:ind w:left="724"/>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980" w:type="dxa"/>
            <w:vAlign w:val="bottom"/>
            <w:gridSpan w:val="2"/>
          </w:tcPr>
          <w:p>
            <w:pPr>
              <w:jc w:val="center"/>
              <w:ind w:left="1908"/>
              <w:spacing w:after="0"/>
              <w:rPr>
                <w:sz w:val="20"/>
                <w:szCs w:val="20"/>
                <w:color w:val="auto"/>
              </w:rPr>
            </w:pPr>
            <w:r>
              <w:rPr>
                <w:rFonts w:ascii="Arial" w:cs="Arial" w:eastAsia="Arial" w:hAnsi="Arial"/>
                <w:sz w:val="14"/>
                <w:szCs w:val="14"/>
                <w:b w:val="1"/>
                <w:bCs w:val="1"/>
                <w:color w:val="auto"/>
              </w:rPr>
              <w:t>2016</w:t>
            </w:r>
          </w:p>
        </w:tc>
        <w:tc>
          <w:tcPr>
            <w:tcW w:w="1800" w:type="dxa"/>
            <w:vAlign w:val="bottom"/>
            <w:gridSpan w:val="2"/>
          </w:tcPr>
          <w:p>
            <w:pPr>
              <w:jc w:val="center"/>
              <w:ind w:left="72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980" w:type="dxa"/>
            <w:vAlign w:val="bottom"/>
            <w:gridSpan w:val="2"/>
          </w:tcPr>
          <w:p>
            <w:pPr>
              <w:jc w:val="center"/>
              <w:ind w:left="1948"/>
              <w:spacing w:after="0"/>
              <w:rPr>
                <w:sz w:val="20"/>
                <w:szCs w:val="20"/>
                <w:color w:val="auto"/>
              </w:rPr>
            </w:pPr>
            <w:r>
              <w:rPr>
                <w:rFonts w:ascii="Arial" w:cs="Arial" w:eastAsia="Arial" w:hAnsi="Arial"/>
                <w:sz w:val="14"/>
                <w:szCs w:val="14"/>
                <w:b w:val="1"/>
                <w:bCs w:val="1"/>
                <w:color w:val="auto"/>
              </w:rPr>
              <w:t>£</w:t>
            </w:r>
          </w:p>
        </w:tc>
        <w:tc>
          <w:tcPr>
            <w:tcW w:w="1800" w:type="dxa"/>
            <w:vAlign w:val="bottom"/>
            <w:gridSpan w:val="2"/>
          </w:tcPr>
          <w:p>
            <w:pPr>
              <w:jc w:val="center"/>
              <w:ind w:left="76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At beginning of year</w:t>
            </w:r>
          </w:p>
        </w:tc>
        <w:tc>
          <w:tcPr>
            <w:tcW w:w="20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Arising during the year</w:t>
            </w:r>
          </w:p>
        </w:tc>
        <w:tc>
          <w:tcPr>
            <w:tcW w:w="2040" w:type="dxa"/>
            <w:vAlign w:val="bottom"/>
          </w:tcPr>
          <w:p>
            <w:pPr>
              <w:spacing w:after="0"/>
              <w:rPr>
                <w:sz w:val="18"/>
                <w:szCs w:val="18"/>
                <w:color w:val="auto"/>
              </w:rPr>
            </w:pPr>
          </w:p>
        </w:tc>
        <w:tc>
          <w:tcPr>
            <w:tcW w:w="94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1,346,484</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2040" w:type="dxa"/>
            <w:vAlign w:val="bottom"/>
            <w:shd w:val="clear" w:color="auto" w:fill="CCEEFF"/>
          </w:tcPr>
          <w:p>
            <w:pPr>
              <w:spacing w:after="0"/>
              <w:rPr>
                <w:sz w:val="17"/>
                <w:szCs w:val="17"/>
                <w:color w:val="auto"/>
              </w:rPr>
            </w:pPr>
          </w:p>
        </w:tc>
        <w:tc>
          <w:tcPr>
            <w:tcW w:w="94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1,346,484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As part of the bank loan facility (see Note 18b), 363,156 warrants to subscribe for shares were issued to the lenders on August 21, 2017. These warrants will be capable of exercise until August 7, 2027 at an exercise price of £ 3.029. A further 333,334 warrants were issued to the lenders on December 29, 2017. These warrants will be capable of exercise until August 7, 2027 at an exercise price of £3.30. The total of 696,490 warrants is equivalent to 0.98% of ordinary share capital at December 31, 2017.</w:t>
      </w:r>
    </w:p>
    <w:p>
      <w:pPr>
        <w:spacing w:after="0" w:line="202"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The terms of the warrant instrument allow for a cashless exercise. In line with IAS32, the future number of shares to be issued to the warrantholder under a cashless exercise can only be determined at that future date. At each balance sheet date the fair value of the warrants will be assessed using the Black-Scholes model taking into account appropriate amendments to inputs in respect of volatility and remaining expected life of the warrants.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the weighted average inputs to the models used for the fair value of warrants granted during the period ended</w:t>
      </w:r>
    </w:p>
    <w:p>
      <w:pPr>
        <w:spacing w:after="0"/>
        <w:rPr>
          <w:sz w:val="20"/>
          <w:szCs w:val="20"/>
          <w:color w:val="auto"/>
        </w:rPr>
      </w:pPr>
      <w:r>
        <w:rPr>
          <w:rFonts w:ascii="Arial" w:cs="Arial" w:eastAsia="Arial" w:hAnsi="Arial"/>
          <w:sz w:val="18"/>
          <w:szCs w:val="18"/>
          <w:color w:val="auto"/>
        </w:rPr>
        <w:t>December 31, 2017:</w:t>
      </w:r>
    </w:p>
    <w:p>
      <w:pPr>
        <w:spacing w:after="0" w:line="226"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10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31 December</w:t>
            </w:r>
          </w:p>
        </w:tc>
      </w:tr>
      <w:tr>
        <w:trPr>
          <w:trHeight w:val="175"/>
        </w:trPr>
        <w:tc>
          <w:tcPr>
            <w:tcW w:w="6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5"/>
                <w:szCs w:val="15"/>
                <w:color w:val="auto"/>
              </w:rPr>
            </w:pPr>
          </w:p>
        </w:tc>
      </w:tr>
      <w:tr>
        <w:trPr>
          <w:trHeight w:val="196"/>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50-51</w:t>
            </w:r>
          </w:p>
        </w:tc>
        <w:tc>
          <w:tcPr>
            <w:tcW w:w="80" w:type="dxa"/>
            <w:vAlign w:val="bottom"/>
            <w:shd w:val="clear" w:color="auto" w:fill="CCEEFF"/>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1.10–1.25</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9.6-10</w:t>
            </w:r>
          </w:p>
        </w:tc>
        <w:tc>
          <w:tcPr>
            <w:tcW w:w="80" w:type="dxa"/>
            <w:vAlign w:val="bottom"/>
            <w:shd w:val="clear" w:color="auto" w:fill="CCEEFF"/>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3.00–3.25</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6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Black Scholes</w:t>
            </w:r>
          </w:p>
        </w:tc>
      </w:tr>
      <w:tr>
        <w:trPr>
          <w:trHeight w:val="20"/>
        </w:trPr>
        <w:tc>
          <w:tcPr>
            <w:tcW w:w="6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warrants at grant was £1,292,011. At December 31, 2017 it was £1,346,484.</w:t>
      </w:r>
    </w:p>
    <w:p>
      <w:pPr>
        <w:spacing w:after="0" w:line="212" w:lineRule="exact"/>
        <w:rPr>
          <w:sz w:val="20"/>
          <w:szCs w:val="20"/>
          <w:color w:val="auto"/>
        </w:rPr>
      </w:pPr>
    </w:p>
    <w:p>
      <w:pPr>
        <w:ind w:right="180" w:firstLine="456"/>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warrants the contractual life of the options was used in calculating the expense for the year.</w:t>
      </w:r>
    </w:p>
    <w:p>
      <w:pPr>
        <w:spacing w:after="0" w:line="197" w:lineRule="exact"/>
        <w:rPr>
          <w:sz w:val="20"/>
          <w:szCs w:val="20"/>
          <w:color w:val="auto"/>
        </w:rPr>
      </w:pPr>
    </w:p>
    <w:p>
      <w:pPr>
        <w:ind w:right="120" w:firstLine="456"/>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warrants.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Trade and other payables</w:t>
      </w:r>
    </w:p>
    <w:p>
      <w:pPr>
        <w:spacing w:after="0" w:line="127"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3300" w:type="dxa"/>
            <w:vAlign w:val="bottom"/>
          </w:tcPr>
          <w:p>
            <w:pPr>
              <w:spacing w:after="0"/>
              <w:rPr>
                <w:sz w:val="14"/>
                <w:szCs w:val="14"/>
                <w:color w:val="auto"/>
              </w:rPr>
            </w:pPr>
          </w:p>
        </w:tc>
        <w:tc>
          <w:tcPr>
            <w:tcW w:w="3660" w:type="dxa"/>
            <w:vAlign w:val="bottom"/>
            <w:gridSpan w:val="2"/>
          </w:tcPr>
          <w:p>
            <w:pPr>
              <w:jc w:val="center"/>
              <w:ind w:left="2457"/>
              <w:spacing w:after="0"/>
              <w:rPr>
                <w:sz w:val="20"/>
                <w:szCs w:val="20"/>
                <w:color w:val="auto"/>
              </w:rPr>
            </w:pPr>
            <w:r>
              <w:rPr>
                <w:rFonts w:ascii="Arial" w:cs="Arial" w:eastAsia="Arial" w:hAnsi="Arial"/>
                <w:sz w:val="14"/>
                <w:szCs w:val="14"/>
                <w:b w:val="1"/>
                <w:bCs w:val="1"/>
                <w:color w:val="auto"/>
              </w:rPr>
              <w:t>2016</w:t>
            </w:r>
          </w:p>
        </w:tc>
        <w:tc>
          <w:tcPr>
            <w:tcW w:w="164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3300" w:type="dxa"/>
            <w:vAlign w:val="bottom"/>
          </w:tcPr>
          <w:p>
            <w:pPr>
              <w:spacing w:after="0"/>
              <w:rPr>
                <w:sz w:val="15"/>
                <w:szCs w:val="15"/>
                <w:color w:val="auto"/>
              </w:rPr>
            </w:pPr>
          </w:p>
        </w:tc>
        <w:tc>
          <w:tcPr>
            <w:tcW w:w="3660" w:type="dxa"/>
            <w:vAlign w:val="bottom"/>
            <w:gridSpan w:val="2"/>
          </w:tcPr>
          <w:p>
            <w:pPr>
              <w:jc w:val="center"/>
              <w:ind w:left="2497"/>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center"/>
              <w:ind w:left="47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3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Trade payables</w:t>
            </w:r>
          </w:p>
        </w:tc>
        <w:tc>
          <w:tcPr>
            <w:tcW w:w="26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994,901</w:t>
            </w:r>
          </w:p>
        </w:tc>
        <w:tc>
          <w:tcPr>
            <w:tcW w:w="5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2,860,303</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Social security and other taxes</w:t>
            </w:r>
          </w:p>
        </w:tc>
        <w:tc>
          <w:tcPr>
            <w:tcW w:w="3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113,205</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144,348</w:t>
            </w:r>
          </w:p>
        </w:tc>
        <w:tc>
          <w:tcPr>
            <w:tcW w:w="80" w:type="dxa"/>
            <w:vAlign w:val="bottom"/>
          </w:tcPr>
          <w:p>
            <w:pPr>
              <w:spacing w:after="0"/>
              <w:rPr>
                <w:sz w:val="17"/>
                <w:szCs w:val="17"/>
                <w:color w:val="auto"/>
              </w:rPr>
            </w:pPr>
          </w:p>
        </w:tc>
      </w:tr>
      <w:tr>
        <w:trPr>
          <w:trHeight w:val="203"/>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payables</w:t>
            </w:r>
          </w:p>
        </w:tc>
        <w:tc>
          <w:tcPr>
            <w:tcW w:w="3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13,001</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19,375</w:t>
            </w:r>
          </w:p>
        </w:tc>
        <w:tc>
          <w:tcPr>
            <w:tcW w:w="80" w:type="dxa"/>
            <w:vAlign w:val="bottom"/>
            <w:shd w:val="clear" w:color="auto" w:fill="CCEEFF"/>
          </w:tcPr>
          <w:p>
            <w:pPr>
              <w:spacing w:after="0"/>
              <w:rPr>
                <w:sz w:val="17"/>
                <w:szCs w:val="17"/>
                <w:color w:val="auto"/>
              </w:rPr>
            </w:pPr>
          </w:p>
        </w:tc>
      </w:tr>
      <w:tr>
        <w:trPr>
          <w:trHeight w:val="210"/>
        </w:trPr>
        <w:tc>
          <w:tcPr>
            <w:tcW w:w="3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1,121,107</w:t>
            </w:r>
          </w:p>
        </w:tc>
        <w:tc>
          <w:tcPr>
            <w:tcW w:w="5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3,024,026</w:t>
            </w:r>
          </w:p>
        </w:tc>
        <w:tc>
          <w:tcPr>
            <w:tcW w:w="80" w:type="dxa"/>
            <w:vAlign w:val="bottom"/>
          </w:tcPr>
          <w:p>
            <w:pPr>
              <w:spacing w:after="0"/>
              <w:rPr>
                <w:sz w:val="18"/>
                <w:szCs w:val="18"/>
                <w:color w:val="auto"/>
              </w:rPr>
            </w:pPr>
          </w:p>
        </w:tc>
      </w:tr>
      <w:tr>
        <w:trPr>
          <w:trHeight w:val="20"/>
        </w:trPr>
        <w:tc>
          <w:tcPr>
            <w:tcW w:w="3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3660" w:type="dxa"/>
            <w:vAlign w:val="bottom"/>
            <w:gridSpan w:val="2"/>
          </w:tcPr>
          <w:p>
            <w:pPr>
              <w:jc w:val="right"/>
              <w:ind w:right="2356"/>
              <w:spacing w:after="0"/>
              <w:rPr>
                <w:sz w:val="20"/>
                <w:szCs w:val="20"/>
                <w:color w:val="auto"/>
              </w:rPr>
            </w:pPr>
            <w:r>
              <w:rPr>
                <w:rFonts w:ascii="Arial" w:cs="Arial" w:eastAsia="Arial" w:hAnsi="Arial"/>
                <w:sz w:val="18"/>
                <w:szCs w:val="18"/>
                <w:color w:val="auto"/>
              </w:rPr>
              <w:t>F-28</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Terms and conditions of the above financial liabilities:</w:t>
      </w:r>
    </w:p>
    <w:p>
      <w:pPr>
        <w:spacing w:after="0" w:line="117" w:lineRule="exact"/>
        <w:rPr>
          <w:sz w:val="20"/>
          <w:szCs w:val="20"/>
          <w:color w:val="auto"/>
        </w:rPr>
      </w:pPr>
    </w:p>
    <w:p>
      <w:pPr>
        <w:ind w:left="900" w:hanging="325"/>
        <w:spacing w:after="0"/>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trade payables are non-interest bearing and are normally settled on 30-day terms;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other payables are non-interest bearing and have an average term of one month.</w:t>
      </w:r>
    </w:p>
    <w:p>
      <w:pPr>
        <w:spacing w:after="0" w:line="297" w:lineRule="exact"/>
        <w:rPr>
          <w:rFonts w:ascii="Arial" w:cs="Arial" w:eastAsia="Arial" w:hAnsi="Arial"/>
          <w:sz w:val="18"/>
          <w:szCs w:val="18"/>
          <w:color w:val="auto"/>
        </w:rPr>
      </w:pPr>
    </w:p>
    <w:p>
      <w:pPr>
        <w:ind w:left="300" w:hanging="292"/>
        <w:spacing w:after="0"/>
        <w:tabs>
          <w:tab w:leader="none" w:pos="30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liabilities arising from financing activities</w:t>
      </w:r>
    </w:p>
    <w:p>
      <w:pPr>
        <w:spacing w:after="0" w:line="145"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4"/>
                <w:szCs w:val="14"/>
                <w:color w:val="auto"/>
              </w:rPr>
              <w:t>Total Interest</w:t>
            </w: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4"/>
                <w:szCs w:val="14"/>
                <w:color w:val="auto"/>
              </w:rPr>
              <w:t>bearing loans and</w:t>
            </w: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color w:val="auto"/>
              </w:rPr>
              <w:t>Total Other</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7"/>
        </w:trPr>
        <w:tc>
          <w:tcPr>
            <w:tcW w:w="5160" w:type="dxa"/>
            <w:vAlign w:val="bottom"/>
          </w:tcPr>
          <w:p>
            <w:pPr>
              <w:spacing w:after="0"/>
              <w:rPr>
                <w:sz w:val="13"/>
                <w:szCs w:val="13"/>
                <w:color w:val="auto"/>
              </w:rPr>
            </w:pPr>
          </w:p>
        </w:tc>
        <w:tc>
          <w:tcPr>
            <w:tcW w:w="1740" w:type="dxa"/>
            <w:vAlign w:val="bottom"/>
            <w:gridSpan w:val="2"/>
          </w:tcPr>
          <w:p>
            <w:pPr>
              <w:jc w:val="center"/>
              <w:ind w:right="480"/>
              <w:spacing w:after="0" w:line="157" w:lineRule="exact"/>
              <w:rPr>
                <w:sz w:val="20"/>
                <w:szCs w:val="20"/>
                <w:color w:val="auto"/>
              </w:rPr>
            </w:pPr>
            <w:r>
              <w:rPr>
                <w:rFonts w:ascii="Arial" w:cs="Arial" w:eastAsia="Arial" w:hAnsi="Arial"/>
                <w:sz w:val="14"/>
                <w:szCs w:val="14"/>
                <w:color w:val="auto"/>
              </w:rPr>
              <w:t>borrowings</w:t>
            </w:r>
          </w:p>
        </w:tc>
        <w:tc>
          <w:tcPr>
            <w:tcW w:w="1480" w:type="dxa"/>
            <w:vAlign w:val="bottom"/>
            <w:gridSpan w:val="2"/>
          </w:tcPr>
          <w:p>
            <w:pPr>
              <w:jc w:val="center"/>
              <w:ind w:right="520"/>
              <w:spacing w:after="0" w:line="157" w:lineRule="exact"/>
              <w:rPr>
                <w:sz w:val="20"/>
                <w:szCs w:val="20"/>
                <w:color w:val="auto"/>
              </w:rPr>
            </w:pPr>
            <w:r>
              <w:rPr>
                <w:rFonts w:ascii="Arial" w:cs="Arial" w:eastAsia="Arial" w:hAnsi="Arial"/>
                <w:sz w:val="14"/>
                <w:szCs w:val="14"/>
                <w:color w:val="auto"/>
              </w:rPr>
              <w:t>liabilities</w:t>
            </w:r>
          </w:p>
        </w:tc>
        <w:tc>
          <w:tcPr>
            <w:tcW w:w="1200" w:type="dxa"/>
            <w:vAlign w:val="bottom"/>
            <w:gridSpan w:val="2"/>
          </w:tcPr>
          <w:p>
            <w:pPr>
              <w:jc w:val="right"/>
              <w:ind w:right="520"/>
              <w:spacing w:after="0" w:line="157" w:lineRule="exact"/>
              <w:rPr>
                <w:sz w:val="20"/>
                <w:szCs w:val="20"/>
                <w:color w:val="auto"/>
              </w:rPr>
            </w:pPr>
            <w:r>
              <w:rPr>
                <w:rFonts w:ascii="Arial" w:cs="Arial" w:eastAsia="Arial" w:hAnsi="Arial"/>
                <w:sz w:val="14"/>
                <w:szCs w:val="14"/>
                <w:color w:val="auto"/>
              </w:rPr>
              <w:t>Total</w:t>
            </w: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January 1, 2017</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3,126,526</w:t>
            </w:r>
          </w:p>
        </w:tc>
        <w:tc>
          <w:tcPr>
            <w:tcW w:w="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3,126,526</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b w:val="1"/>
                <w:bCs w:val="1"/>
                <w:color w:val="auto"/>
              </w:rPr>
              <w:t>Cash</w:t>
            </w: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bank loan</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18,507,989</w:t>
            </w:r>
          </w:p>
        </w:tc>
        <w:tc>
          <w:tcPr>
            <w:tcW w:w="5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18,507,989</w:t>
            </w:r>
          </w:p>
        </w:tc>
        <w:tc>
          <w:tcPr>
            <w:tcW w:w="140" w:type="dxa"/>
            <w:vAlign w:val="bottom"/>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Increase in warrant liability</w:t>
            </w:r>
          </w:p>
        </w:tc>
        <w:tc>
          <w:tcPr>
            <w:tcW w:w="17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1,292,011</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1,292,011</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payments</w:t>
            </w:r>
          </w:p>
        </w:tc>
        <w:tc>
          <w:tcPr>
            <w:tcW w:w="17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(327,123)</w:t>
            </w:r>
          </w:p>
        </w:tc>
        <w:tc>
          <w:tcPr>
            <w:tcW w:w="14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(327,123)</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b w:val="1"/>
                <w:bCs w:val="1"/>
                <w:color w:val="auto"/>
              </w:rPr>
              <w:t>Non-cash</w:t>
            </w: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Novartis notes</w:t>
            </w:r>
          </w:p>
        </w:tc>
        <w:tc>
          <w:tcPr>
            <w:tcW w:w="17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(1,252,248)</w:t>
            </w:r>
          </w:p>
        </w:tc>
        <w:tc>
          <w:tcPr>
            <w:tcW w:w="14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(1,252,248)</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Bank loan transaction costs</w:t>
            </w:r>
          </w:p>
        </w:tc>
        <w:tc>
          <w:tcPr>
            <w:tcW w:w="17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200,000</w:t>
            </w:r>
          </w:p>
        </w:tc>
        <w:tc>
          <w:tcPr>
            <w:tcW w:w="14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200,000</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warrant</w:t>
            </w:r>
          </w:p>
        </w:tc>
        <w:tc>
          <w:tcPr>
            <w:tcW w:w="17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54,473</w:t>
            </w: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54,473</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17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2,061,000</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2,061,000</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accrual</w:t>
            </w:r>
          </w:p>
        </w:tc>
        <w:tc>
          <w:tcPr>
            <w:tcW w:w="17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327,123</w:t>
            </w:r>
          </w:p>
        </w:tc>
        <w:tc>
          <w:tcPr>
            <w:tcW w:w="14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327,123</w:t>
            </w:r>
          </w:p>
        </w:tc>
      </w:tr>
      <w:tr>
        <w:trPr>
          <w:trHeight w:val="210"/>
        </w:trPr>
        <w:tc>
          <w:tcPr>
            <w:tcW w:w="5160" w:type="dxa"/>
            <w:vAlign w:val="bottom"/>
          </w:tcPr>
          <w:p>
            <w:pPr>
              <w:spacing w:after="0" w:line="202" w:lineRule="exact"/>
              <w:rPr>
                <w:sz w:val="20"/>
                <w:szCs w:val="20"/>
                <w:color w:val="auto"/>
              </w:rPr>
            </w:pPr>
            <w:r>
              <w:rPr>
                <w:rFonts w:ascii="Arial" w:cs="Arial" w:eastAsia="Arial" w:hAnsi="Arial"/>
                <w:sz w:val="18"/>
                <w:szCs w:val="18"/>
                <w:color w:val="auto"/>
              </w:rPr>
              <w:t>Accreted interest</w:t>
            </w:r>
          </w:p>
        </w:tc>
        <w:tc>
          <w:tcPr>
            <w:tcW w:w="17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170,050</w:t>
            </w:r>
          </w:p>
        </w:tc>
        <w:tc>
          <w:tcPr>
            <w:tcW w:w="14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170,050</w:t>
            </w: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2017</w:t>
            </w:r>
          </w:p>
        </w:tc>
        <w:tc>
          <w:tcPr>
            <w:tcW w:w="12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20,752,317</w:t>
            </w:r>
          </w:p>
        </w:tc>
        <w:tc>
          <w:tcPr>
            <w:tcW w:w="500" w:type="dxa"/>
            <w:vAlign w:val="bottom"/>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3,407,484</w:t>
            </w:r>
          </w:p>
        </w:tc>
        <w:tc>
          <w:tcPr>
            <w:tcW w:w="520" w:type="dxa"/>
            <w:vAlign w:val="bottom"/>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24,159,801</w:t>
            </w:r>
          </w:p>
        </w:tc>
        <w:tc>
          <w:tcPr>
            <w:tcW w:w="140" w:type="dxa"/>
            <w:vAlign w:val="bottom"/>
            <w:shd w:val="clear" w:color="auto" w:fill="CCEEFF"/>
          </w:tcPr>
          <w:p>
            <w:pPr>
              <w:spacing w:after="0"/>
              <w:rPr>
                <w:sz w:val="17"/>
                <w:szCs w:val="17"/>
                <w:color w:val="auto"/>
              </w:rPr>
            </w:pPr>
          </w:p>
        </w:tc>
      </w:tr>
      <w:tr>
        <w:trPr>
          <w:trHeight w:val="20"/>
        </w:trPr>
        <w:tc>
          <w:tcPr>
            <w:tcW w:w="5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5" w:lineRule="exact"/>
        <w:rPr>
          <w:sz w:val="20"/>
          <w:szCs w:val="20"/>
          <w:color w:val="auto"/>
        </w:rPr>
      </w:pPr>
    </w:p>
    <w:p>
      <w:pPr>
        <w:ind w:left="300" w:hanging="292"/>
        <w:spacing w:after="0"/>
        <w:tabs>
          <w:tab w:leader="none" w:pos="30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and capital risk measurement and Fair value measurement</w:t>
      </w:r>
    </w:p>
    <w:p>
      <w:pPr>
        <w:spacing w:after="0" w:line="103" w:lineRule="exact"/>
        <w:rPr>
          <w:rFonts w:ascii="Arial" w:cs="Arial" w:eastAsia="Arial" w:hAnsi="Arial"/>
          <w:sz w:val="18"/>
          <w:szCs w:val="18"/>
          <w:b w:val="1"/>
          <w:bCs w:val="1"/>
          <w:color w:val="auto"/>
        </w:rPr>
      </w:pPr>
    </w:p>
    <w:p>
      <w:pPr>
        <w:ind w:left="460" w:hanging="452"/>
        <w:spacing w:after="0"/>
        <w:tabs>
          <w:tab w:leader="none" w:pos="460" w:val="left"/>
        </w:tabs>
        <w:numPr>
          <w:ilvl w:val="0"/>
          <w:numId w:val="1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risk management</w:t>
      </w:r>
    </w:p>
    <w:p>
      <w:pPr>
        <w:spacing w:after="0" w:line="126" w:lineRule="exact"/>
        <w:rPr>
          <w:sz w:val="20"/>
          <w:szCs w:val="20"/>
          <w:color w:val="auto"/>
        </w:rPr>
      </w:pPr>
    </w:p>
    <w:p>
      <w:pPr>
        <w:ind w:right="840" w:firstLine="456"/>
        <w:spacing w:after="0" w:line="246" w:lineRule="auto"/>
        <w:rPr>
          <w:sz w:val="20"/>
          <w:szCs w:val="20"/>
          <w:color w:val="auto"/>
        </w:rPr>
      </w:pPr>
      <w:r>
        <w:rPr>
          <w:rFonts w:ascii="Arial" w:cs="Arial" w:eastAsia="Arial" w:hAnsi="Arial"/>
          <w:sz w:val="18"/>
          <w:szCs w:val="18"/>
          <w:color w:val="auto"/>
        </w:rPr>
        <w:t>For the purpose of the Group’s capital management, capital includes issued capital, share premium, the equity component of a convertible loan note and all other equity reserves attributable to the equity holders of the parent.</w:t>
      </w:r>
    </w:p>
    <w:p>
      <w:pPr>
        <w:spacing w:after="0" w:line="197"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The Group’s objectives when managing capital are to safeguard the ability to continue as a going concern and ensure that sufficient capital is in place to fund the Group’s research and development activities. The Group’s principal method of adjusting the capital available is through issuing new shares or arranging suitable debt financing, including any related warrants. The Group’s share capital and share premium are disclosed in Note 17. The Group’s loans are disclosed in note 18. The Group monitors the availability of capital with regard to its committed and planned forecast future expenditure on an ongoing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23.2. Financial risk management objectives and policies</w:t>
      </w:r>
    </w:p>
    <w:p>
      <w:pPr>
        <w:spacing w:after="0" w:line="126"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Monitoring of financial risk is part of the Board’s ongoing risk management, the effectiveness of which is reviewed annually. Our agreed policies are implemented by the Chief Financial Officer, who submits periodic reports to the Board. We seek to maintain a balance between equity capital and convertible and secured debt to provide sufficient cash resources to execute our business plan. In addition, we maintain a balance between cash held on deposit and short term investments in sterling and other currencies to reduce its exposure to foreign exchange fluctuations in respect of our planned expenditure. During the year, in order to maintain a strong cash runway we completed an equity placing and arranged and drew down a new bank debt facility, which includes an initial interest-only period until September 2018.</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60"/>
          </w:cols>
          <w:pgMar w:left="240" w:top="460" w:right="29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20" w:firstLine="456"/>
        <w:spacing w:after="0" w:line="239" w:lineRule="auto"/>
        <w:rPr>
          <w:sz w:val="20"/>
          <w:szCs w:val="20"/>
          <w:color w:val="auto"/>
        </w:rPr>
      </w:pPr>
      <w:r>
        <w:rPr>
          <w:rFonts w:ascii="Arial" w:cs="Arial" w:eastAsia="Arial" w:hAnsi="Arial"/>
          <w:sz w:val="18"/>
          <w:szCs w:val="18"/>
          <w:color w:val="auto"/>
        </w:rPr>
        <w:t>Except for the bank loans and the existing convertible loan notes issued in 2016, the Group’s principal financial instruments comprise trade payables which arise directly from its operations and are not designed as a means of raising finance for the Group’s operations. The Group has various financial assets, such as receivables and cash and short-term deposits. The Group does not consider that its financial instruments gave rise to any material financial risks during the year to December 31,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22" w:lineRule="exact"/>
        <w:rPr>
          <w:sz w:val="20"/>
          <w:szCs w:val="20"/>
          <w:color w:val="auto"/>
        </w:rPr>
      </w:pPr>
    </w:p>
    <w:p>
      <w:pPr>
        <w:ind w:right="400" w:firstLine="456"/>
        <w:spacing w:after="0" w:line="246" w:lineRule="auto"/>
        <w:rPr>
          <w:sz w:val="20"/>
          <w:szCs w:val="20"/>
          <w:color w:val="auto"/>
        </w:rPr>
      </w:pPr>
      <w:r>
        <w:rPr>
          <w:rFonts w:ascii="Arial" w:cs="Arial" w:eastAsia="Arial" w:hAnsi="Arial"/>
          <w:sz w:val="18"/>
          <w:szCs w:val="18"/>
          <w:color w:val="auto"/>
        </w:rPr>
        <w:t>The Group’s policy in relation to interest rate risk is to monitor short and medium-term interest rates and to place cash on deposit for periods that optimise the amount of interest earned while maintaining access to sufficient funds to meet day-to-day cash requirements.</w:t>
      </w:r>
    </w:p>
    <w:p>
      <w:pPr>
        <w:spacing w:after="0" w:line="197" w:lineRule="exact"/>
        <w:rPr>
          <w:sz w:val="20"/>
          <w:szCs w:val="20"/>
          <w:color w:val="auto"/>
        </w:rPr>
      </w:pPr>
    </w:p>
    <w:p>
      <w:pPr>
        <w:ind w:right="460" w:firstLine="456"/>
        <w:spacing w:after="0" w:line="246" w:lineRule="auto"/>
        <w:rPr>
          <w:sz w:val="20"/>
          <w:szCs w:val="20"/>
          <w:color w:val="auto"/>
        </w:rPr>
      </w:pPr>
      <w:r>
        <w:rPr>
          <w:rFonts w:ascii="Arial" w:cs="Arial" w:eastAsia="Arial" w:hAnsi="Arial"/>
          <w:sz w:val="18"/>
          <w:szCs w:val="18"/>
          <w:color w:val="auto"/>
        </w:rPr>
        <w:t>The interest payable on both the convertible loan note and on the bank loan is fixed. Consequently, there is no material exposure to interest rate risk in respect of interest payable.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22"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The Group currently has no revenue. The majority of operating costs are denominated in Sterling, Euros and U.S. dollars (“USD”). Foreign exchange risk arises from commercial transactions and recognized assets and liabilities in foreign currencies. In relation to foreign currency risk, the Group’s policy is to hold the majority of its funds in Sterling and to hold sufficient USD to fund planned commitments for the next 12 months on a rolling basis with short term spot purchases to manage commitments in other currencies.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risks</w:t>
      </w:r>
    </w:p>
    <w:p>
      <w:pPr>
        <w:spacing w:after="0" w:line="122"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Group’s policy is to place funds with financial institutions which have a minimum long-term credit rating with S&amp;P of A. The Group also allocates a quota to individual institutions in respect of cash deposits and also seeks to diversify its investments where this is consistent with achieving competitive rates of return. It is the Group’s policy to place not more than £10 million with any one investment counterparty and no more than £5m with any one cash deposit counter party.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and liquidity risk</w:t>
      </w:r>
    </w:p>
    <w:p>
      <w:pPr>
        <w:spacing w:after="0" w:line="122"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Credit risk from balances with banks and financial institutions is managed by the Group’s finance department in accordance with the Group’s policy. Investments of funds are made only with approved counterparties and within credit limits assigned to each counterparty. Counterparty credit limits are reviewed by the Group’s Board of Directors on an annual basis, and may be updated throughout the year subject to approval of the Group’s Audit and Risk Committee. The limits are set to minimise the concentration of risks and therefore mitigate financial loss through a counterparty’s potential failure to make payments.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Group’s maximum exposure to credit risk for the components of the balance sheet at December 31, 2017 is the carrying amounts.</w:t>
      </w:r>
    </w:p>
    <w:p>
      <w:pPr>
        <w:spacing w:after="0" w:line="212"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The Group monitors its funding requirements through preparation of short-term, mid-term and long-term forecasts. All short-term deposits are immediately convertible to liquid funds without penalty and are recorded in the balance sheet at their open market value. Please refer to Note 2.3 “Going Concern” regarding the Directors’ assessment of liquidity for further information.</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60"/>
          </w:cols>
          <w:pgMar w:left="240" w:top="459" w:right="2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23.3. Fair value hierarchy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 hierarchy for liabilities as at December 31, 2017:</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color w:val="auto"/>
              </w:rPr>
              <w:t>Fair Value Measurement using</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4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Quoted</w:t>
            </w: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prices in</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rPr>
              <w:t>Significant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active</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rPr>
              <w:t>observable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Significant</w:t>
            </w:r>
          </w:p>
        </w:tc>
      </w:tr>
      <w:tr>
        <w:trPr>
          <w:trHeight w:val="162"/>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markets</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rPr>
              <w:t>inputs</w:t>
            </w:r>
          </w:p>
        </w:tc>
        <w:tc>
          <w:tcPr>
            <w:tcW w:w="240" w:type="dxa"/>
            <w:vAlign w:val="bottom"/>
          </w:tcPr>
          <w:p>
            <w:pPr>
              <w:spacing w:after="0"/>
              <w:rPr>
                <w:sz w:val="14"/>
                <w:szCs w:val="14"/>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unobservable</w:t>
            </w:r>
          </w:p>
        </w:tc>
      </w:tr>
      <w:tr>
        <w:trPr>
          <w:trHeight w:val="157"/>
        </w:trPr>
        <w:tc>
          <w:tcPr>
            <w:tcW w:w="4680" w:type="dxa"/>
            <w:vAlign w:val="bottom"/>
          </w:tcPr>
          <w:p>
            <w:pPr>
              <w:spacing w:after="0"/>
              <w:rPr>
                <w:sz w:val="13"/>
                <w:szCs w:val="13"/>
                <w:color w:val="auto"/>
              </w:rPr>
            </w:pPr>
          </w:p>
        </w:tc>
        <w:tc>
          <w:tcPr>
            <w:tcW w:w="1180" w:type="dxa"/>
            <w:vAlign w:val="bottom"/>
          </w:tcPr>
          <w:p>
            <w:pPr>
              <w:ind w:left="60"/>
              <w:spacing w:after="0" w:line="157" w:lineRule="exact"/>
              <w:rPr>
                <w:sz w:val="20"/>
                <w:szCs w:val="20"/>
                <w:color w:val="auto"/>
              </w:rPr>
            </w:pPr>
            <w:r>
              <w:rPr>
                <w:rFonts w:ascii="Arial" w:cs="Arial" w:eastAsia="Arial" w:hAnsi="Arial"/>
                <w:sz w:val="14"/>
                <w:szCs w:val="14"/>
                <w:color w:val="auto"/>
              </w:rPr>
              <w:t>Date of valuation</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ind w:left="260"/>
              <w:spacing w:after="0" w:line="157" w:lineRule="exact"/>
              <w:rPr>
                <w:sz w:val="20"/>
                <w:szCs w:val="20"/>
                <w:color w:val="auto"/>
              </w:rPr>
            </w:pPr>
            <w:r>
              <w:rPr>
                <w:rFonts w:ascii="Arial" w:cs="Arial" w:eastAsia="Arial" w:hAnsi="Arial"/>
                <w:sz w:val="14"/>
                <w:szCs w:val="14"/>
                <w:color w:val="auto"/>
              </w:rPr>
              <w:t>Total</w:t>
            </w:r>
          </w:p>
        </w:tc>
        <w:tc>
          <w:tcPr>
            <w:tcW w:w="300" w:type="dxa"/>
            <w:vAlign w:val="bottom"/>
          </w:tcPr>
          <w:p>
            <w:pPr>
              <w:spacing w:after="0"/>
              <w:rPr>
                <w:sz w:val="13"/>
                <w:szCs w:val="13"/>
                <w:color w:val="auto"/>
              </w:rPr>
            </w:pPr>
          </w:p>
        </w:tc>
        <w:tc>
          <w:tcPr>
            <w:tcW w:w="1120" w:type="dxa"/>
            <w:vAlign w:val="bottom"/>
            <w:gridSpan w:val="2"/>
          </w:tcPr>
          <w:p>
            <w:pPr>
              <w:jc w:val="center"/>
              <w:ind w:right="520"/>
              <w:spacing w:after="0" w:line="157" w:lineRule="exact"/>
              <w:rPr>
                <w:sz w:val="20"/>
                <w:szCs w:val="20"/>
                <w:color w:val="auto"/>
              </w:rPr>
            </w:pPr>
            <w:r>
              <w:rPr>
                <w:rFonts w:ascii="Arial" w:cs="Arial" w:eastAsia="Arial" w:hAnsi="Arial"/>
                <w:sz w:val="14"/>
                <w:szCs w:val="14"/>
                <w:color w:val="auto"/>
              </w:rPr>
              <w:t>(Level 1)</w:t>
            </w:r>
          </w:p>
        </w:tc>
        <w:tc>
          <w:tcPr>
            <w:tcW w:w="1020" w:type="dxa"/>
            <w:vAlign w:val="bottom"/>
            <w:gridSpan w:val="2"/>
          </w:tcPr>
          <w:p>
            <w:pPr>
              <w:jc w:val="center"/>
              <w:ind w:right="300"/>
              <w:spacing w:after="0" w:line="157" w:lineRule="exact"/>
              <w:rPr>
                <w:sz w:val="20"/>
                <w:szCs w:val="20"/>
                <w:color w:val="auto"/>
              </w:rPr>
            </w:pPr>
            <w:r>
              <w:rPr>
                <w:rFonts w:ascii="Arial" w:cs="Arial" w:eastAsia="Arial" w:hAnsi="Arial"/>
                <w:sz w:val="14"/>
                <w:szCs w:val="14"/>
                <w:color w:val="auto"/>
              </w:rPr>
              <w:t>(Level 2)</w:t>
            </w:r>
          </w:p>
        </w:tc>
        <w:tc>
          <w:tcPr>
            <w:tcW w:w="240" w:type="dxa"/>
            <w:vAlign w:val="bottom"/>
          </w:tcPr>
          <w:p>
            <w:pPr>
              <w:spacing w:after="0"/>
              <w:rPr>
                <w:sz w:val="13"/>
                <w:szCs w:val="13"/>
                <w:color w:val="auto"/>
              </w:rPr>
            </w:pPr>
          </w:p>
        </w:tc>
        <w:tc>
          <w:tcPr>
            <w:tcW w:w="1060" w:type="dxa"/>
            <w:vAlign w:val="bottom"/>
            <w:gridSpan w:val="3"/>
          </w:tcPr>
          <w:p>
            <w:pPr>
              <w:spacing w:after="0" w:line="157" w:lineRule="exact"/>
              <w:rPr>
                <w:sz w:val="20"/>
                <w:szCs w:val="20"/>
                <w:color w:val="auto"/>
              </w:rPr>
            </w:pPr>
            <w:r>
              <w:rPr>
                <w:rFonts w:ascii="Arial" w:cs="Arial" w:eastAsia="Arial" w:hAnsi="Arial"/>
                <w:sz w:val="14"/>
                <w:szCs w:val="14"/>
                <w:color w:val="auto"/>
              </w:rPr>
              <w:t>inputs (Level 3)</w:t>
            </w:r>
          </w:p>
        </w:tc>
      </w:tr>
      <w:tr>
        <w:trPr>
          <w:trHeight w:val="183"/>
        </w:trPr>
        <w:tc>
          <w:tcPr>
            <w:tcW w:w="4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Liabilities measured at fair value:</w:t>
            </w:r>
          </w:p>
        </w:tc>
        <w:tc>
          <w:tcPr>
            <w:tcW w:w="1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4680" w:type="dxa"/>
            <w:vAlign w:val="bottom"/>
          </w:tcPr>
          <w:p>
            <w:pPr>
              <w:spacing w:after="0" w:line="201" w:lineRule="exact"/>
              <w:rPr>
                <w:sz w:val="20"/>
                <w:szCs w:val="20"/>
                <w:color w:val="auto"/>
              </w:rPr>
            </w:pPr>
            <w:r>
              <w:rPr>
                <w:rFonts w:ascii="Arial" w:cs="Arial" w:eastAsia="Arial" w:hAnsi="Arial"/>
                <w:sz w:val="18"/>
                <w:szCs w:val="18"/>
                <w:color w:val="auto"/>
              </w:rPr>
              <w:t>Provision for deferred cash consideration (Note 19)</w:t>
            </w:r>
          </w:p>
        </w:tc>
        <w:tc>
          <w:tcPr>
            <w:tcW w:w="1180" w:type="dxa"/>
            <w:vAlign w:val="bottom"/>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6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2,061,000</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2,061,000</w:t>
            </w:r>
          </w:p>
        </w:tc>
      </w:tr>
      <w:tr>
        <w:trPr>
          <w:trHeight w:val="203"/>
        </w:trPr>
        <w:tc>
          <w:tcPr>
            <w:tcW w:w="4680" w:type="dxa"/>
            <w:vAlign w:val="bottom"/>
          </w:tcPr>
          <w:p>
            <w:pPr>
              <w:spacing w:after="0"/>
              <w:rPr>
                <w:sz w:val="17"/>
                <w:szCs w:val="17"/>
                <w:color w:val="auto"/>
              </w:rPr>
            </w:pPr>
          </w:p>
        </w:tc>
        <w:tc>
          <w:tcPr>
            <w:tcW w:w="1180" w:type="dxa"/>
            <w:vAlign w:val="bottom"/>
          </w:tcPr>
          <w:p>
            <w:pPr>
              <w:ind w:left="60"/>
              <w:spacing w:after="0" w:line="203" w:lineRule="exact"/>
              <w:rPr>
                <w:sz w:val="20"/>
                <w:szCs w:val="20"/>
                <w:color w:val="auto"/>
              </w:rPr>
            </w:pPr>
            <w:r>
              <w:rPr>
                <w:rFonts w:ascii="Arial" w:cs="Arial" w:eastAsia="Arial" w:hAnsi="Arial"/>
                <w:sz w:val="18"/>
                <w:szCs w:val="18"/>
                <w:color w:val="auto"/>
              </w:rPr>
              <w:t>2017</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liability (Note 20)</w:t>
            </w:r>
          </w:p>
        </w:tc>
        <w:tc>
          <w:tcPr>
            <w:tcW w:w="1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6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1,346,484</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1,346,484</w:t>
            </w:r>
          </w:p>
        </w:tc>
      </w:tr>
      <w:tr>
        <w:trPr>
          <w:trHeight w:val="203"/>
        </w:trPr>
        <w:tc>
          <w:tcPr>
            <w:tcW w:w="4680" w:type="dxa"/>
            <w:vAlign w:val="bottom"/>
            <w:shd w:val="clear" w:color="auto" w:fill="CCEEFF"/>
          </w:tcPr>
          <w:p>
            <w:pPr>
              <w:spacing w:after="0"/>
              <w:rPr>
                <w:sz w:val="17"/>
                <w:szCs w:val="17"/>
                <w:color w:val="auto"/>
              </w:rPr>
            </w:pPr>
          </w:p>
        </w:tc>
        <w:tc>
          <w:tcPr>
            <w:tcW w:w="1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2017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Liabilities for which fair values are disclosed</w:t>
            </w: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loan (Note 18a)</w:t>
            </w:r>
          </w:p>
        </w:tc>
        <w:tc>
          <w:tcPr>
            <w:tcW w:w="11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6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1,977,393</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1,977,393</w:t>
            </w:r>
          </w:p>
        </w:tc>
      </w:tr>
      <w:tr>
        <w:trPr>
          <w:trHeight w:val="203"/>
        </w:trPr>
        <w:tc>
          <w:tcPr>
            <w:tcW w:w="4680" w:type="dxa"/>
            <w:vAlign w:val="bottom"/>
            <w:shd w:val="clear" w:color="auto" w:fill="CCEEFF"/>
          </w:tcPr>
          <w:p>
            <w:pPr>
              <w:spacing w:after="0"/>
              <w:rPr>
                <w:sz w:val="17"/>
                <w:szCs w:val="17"/>
                <w:color w:val="auto"/>
              </w:rPr>
            </w:pPr>
          </w:p>
        </w:tc>
        <w:tc>
          <w:tcPr>
            <w:tcW w:w="11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2017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4680" w:type="dxa"/>
            <w:vAlign w:val="bottom"/>
          </w:tcPr>
          <w:p>
            <w:pPr>
              <w:spacing w:after="0" w:line="201" w:lineRule="exact"/>
              <w:rPr>
                <w:sz w:val="20"/>
                <w:szCs w:val="20"/>
                <w:color w:val="auto"/>
              </w:rPr>
            </w:pPr>
            <w:r>
              <w:rPr>
                <w:rFonts w:ascii="Arial" w:cs="Arial" w:eastAsia="Arial" w:hAnsi="Arial"/>
                <w:sz w:val="18"/>
                <w:szCs w:val="18"/>
                <w:color w:val="auto"/>
              </w:rPr>
              <w:t>Bank loan (Note 18b)</w:t>
            </w:r>
          </w:p>
        </w:tc>
        <w:tc>
          <w:tcPr>
            <w:tcW w:w="1180" w:type="dxa"/>
            <w:vAlign w:val="bottom"/>
          </w:tcPr>
          <w:p>
            <w:pPr>
              <w:ind w:left="60"/>
              <w:spacing w:after="0" w:line="201" w:lineRule="exact"/>
              <w:rPr>
                <w:sz w:val="20"/>
                <w:szCs w:val="20"/>
                <w:color w:val="auto"/>
              </w:rPr>
            </w:pPr>
            <w:r>
              <w:rPr>
                <w:rFonts w:ascii="Arial" w:cs="Arial" w:eastAsia="Arial" w:hAnsi="Arial"/>
                <w:sz w:val="18"/>
                <w:szCs w:val="18"/>
                <w:color w:val="auto"/>
                <w:w w:val="97"/>
              </w:rPr>
              <w:t>December 31,</w:t>
            </w:r>
          </w:p>
        </w:tc>
        <w:tc>
          <w:tcPr>
            <w:tcW w:w="6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w w:val="99"/>
              </w:rPr>
              <w:t>18,774,924</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7"/>
              </w:rPr>
              <w:t>18,774,924</w:t>
            </w:r>
          </w:p>
        </w:tc>
      </w:tr>
      <w:tr>
        <w:trPr>
          <w:trHeight w:val="217"/>
        </w:trPr>
        <w:tc>
          <w:tcPr>
            <w:tcW w:w="468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 hierarchy for liabilities as at December 31, 2016:</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color w:val="auto"/>
              </w:rPr>
              <w:t>Fair Value Measurement using</w:t>
            </w: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4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Quoted</w:t>
            </w: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4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prices in</w:t>
            </w: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rPr>
              <w:t>Significant</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color w:val="auto"/>
              </w:rPr>
              <w:t>Significant</w:t>
            </w:r>
          </w:p>
        </w:tc>
      </w:tr>
      <w:tr>
        <w:trPr>
          <w:trHeight w:val="162"/>
        </w:trPr>
        <w:tc>
          <w:tcPr>
            <w:tcW w:w="4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active</w:t>
            </w: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rPr>
              <w:t>observable</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color w:val="auto"/>
              </w:rPr>
              <w:t>unobservable</w:t>
            </w:r>
          </w:p>
        </w:tc>
      </w:tr>
      <w:tr>
        <w:trPr>
          <w:trHeight w:val="162"/>
        </w:trPr>
        <w:tc>
          <w:tcPr>
            <w:tcW w:w="4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color w:val="auto"/>
              </w:rPr>
              <w:t>markets</w:t>
            </w: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color w:val="auto"/>
              </w:rPr>
              <w:t>inputs</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color w:val="auto"/>
              </w:rPr>
              <w:t>inputs</w:t>
            </w:r>
          </w:p>
        </w:tc>
      </w:tr>
      <w:tr>
        <w:trPr>
          <w:trHeight w:val="157"/>
        </w:trPr>
        <w:tc>
          <w:tcPr>
            <w:tcW w:w="4860" w:type="dxa"/>
            <w:vAlign w:val="bottom"/>
          </w:tcPr>
          <w:p>
            <w:pPr>
              <w:spacing w:after="0"/>
              <w:rPr>
                <w:sz w:val="13"/>
                <w:szCs w:val="13"/>
                <w:color w:val="auto"/>
              </w:rPr>
            </w:pPr>
          </w:p>
        </w:tc>
        <w:tc>
          <w:tcPr>
            <w:tcW w:w="1200" w:type="dxa"/>
            <w:vAlign w:val="bottom"/>
          </w:tcPr>
          <w:p>
            <w:pPr>
              <w:ind w:left="60"/>
              <w:spacing w:after="0" w:line="157" w:lineRule="exact"/>
              <w:rPr>
                <w:sz w:val="20"/>
                <w:szCs w:val="20"/>
                <w:color w:val="auto"/>
              </w:rPr>
            </w:pPr>
            <w:r>
              <w:rPr>
                <w:rFonts w:ascii="Arial" w:cs="Arial" w:eastAsia="Arial" w:hAnsi="Arial"/>
                <w:sz w:val="14"/>
                <w:szCs w:val="14"/>
                <w:color w:val="auto"/>
              </w:rPr>
              <w:t>Date of valuation</w:t>
            </w:r>
          </w:p>
        </w:tc>
        <w:tc>
          <w:tcPr>
            <w:tcW w:w="560" w:type="dxa"/>
            <w:vAlign w:val="bottom"/>
          </w:tcPr>
          <w:p>
            <w:pPr>
              <w:spacing w:after="0"/>
              <w:rPr>
                <w:sz w:val="13"/>
                <w:szCs w:val="13"/>
                <w:color w:val="auto"/>
              </w:rPr>
            </w:pPr>
          </w:p>
        </w:tc>
        <w:tc>
          <w:tcPr>
            <w:tcW w:w="116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w w:val="96"/>
              </w:rPr>
              <w:t>Total</w:t>
            </w:r>
          </w:p>
        </w:tc>
        <w:tc>
          <w:tcPr>
            <w:tcW w:w="300" w:type="dxa"/>
            <w:vAlign w:val="bottom"/>
          </w:tcPr>
          <w:p>
            <w:pPr>
              <w:spacing w:after="0"/>
              <w:rPr>
                <w:sz w:val="13"/>
                <w:szCs w:val="13"/>
                <w:color w:val="auto"/>
              </w:rPr>
            </w:pPr>
          </w:p>
        </w:tc>
        <w:tc>
          <w:tcPr>
            <w:tcW w:w="1120" w:type="dxa"/>
            <w:vAlign w:val="bottom"/>
            <w:gridSpan w:val="2"/>
          </w:tcPr>
          <w:p>
            <w:pPr>
              <w:jc w:val="center"/>
              <w:ind w:right="560"/>
              <w:spacing w:after="0" w:line="157" w:lineRule="exact"/>
              <w:rPr>
                <w:sz w:val="20"/>
                <w:szCs w:val="20"/>
                <w:color w:val="auto"/>
              </w:rPr>
            </w:pPr>
            <w:r>
              <w:rPr>
                <w:rFonts w:ascii="Arial" w:cs="Arial" w:eastAsia="Arial" w:hAnsi="Arial"/>
                <w:sz w:val="14"/>
                <w:szCs w:val="14"/>
                <w:color w:val="auto"/>
              </w:rPr>
              <w:t>(Level 1)</w:t>
            </w:r>
          </w:p>
        </w:tc>
        <w:tc>
          <w:tcPr>
            <w:tcW w:w="1240" w:type="dxa"/>
            <w:vAlign w:val="bottom"/>
            <w:gridSpan w:val="2"/>
          </w:tcPr>
          <w:p>
            <w:pPr>
              <w:jc w:val="center"/>
              <w:ind w:right="560"/>
              <w:spacing w:after="0" w:line="157" w:lineRule="exact"/>
              <w:rPr>
                <w:sz w:val="20"/>
                <w:szCs w:val="20"/>
                <w:color w:val="auto"/>
              </w:rPr>
            </w:pPr>
            <w:r>
              <w:rPr>
                <w:rFonts w:ascii="Arial" w:cs="Arial" w:eastAsia="Arial" w:hAnsi="Arial"/>
                <w:sz w:val="14"/>
                <w:szCs w:val="14"/>
                <w:color w:val="auto"/>
              </w:rPr>
              <w:t>(Level 2)</w:t>
            </w:r>
          </w:p>
        </w:tc>
        <w:tc>
          <w:tcPr>
            <w:tcW w:w="98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rPr>
              <w:t>(Level 3)</w:t>
            </w:r>
          </w:p>
        </w:tc>
      </w:tr>
      <w:tr>
        <w:trPr>
          <w:trHeight w:val="183"/>
        </w:trPr>
        <w:tc>
          <w:tcPr>
            <w:tcW w:w="48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Liabilities for which fair values are disclosed</w:t>
            </w:r>
          </w:p>
        </w:tc>
        <w:tc>
          <w:tcPr>
            <w:tcW w:w="12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rPr>
              <w:t>Convertible loan (Note 18a)</w:t>
            </w:r>
          </w:p>
        </w:tc>
        <w:tc>
          <w:tcPr>
            <w:tcW w:w="1200" w:type="dxa"/>
            <w:vAlign w:val="bottom"/>
          </w:tcPr>
          <w:p>
            <w:pPr>
              <w:ind w:left="60"/>
              <w:spacing w:after="0" w:line="201" w:lineRule="exact"/>
              <w:rPr>
                <w:sz w:val="20"/>
                <w:szCs w:val="20"/>
                <w:color w:val="auto"/>
              </w:rPr>
            </w:pPr>
            <w:r>
              <w:rPr>
                <w:rFonts w:ascii="Arial" w:cs="Arial" w:eastAsia="Arial" w:hAnsi="Arial"/>
                <w:sz w:val="18"/>
                <w:szCs w:val="18"/>
                <w:color w:val="auto"/>
                <w:w w:val="99"/>
              </w:rPr>
              <w:t>December 31,</w:t>
            </w: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4860" w:type="dxa"/>
            <w:vAlign w:val="bottom"/>
          </w:tcPr>
          <w:p>
            <w:pPr>
              <w:spacing w:after="0"/>
              <w:rPr>
                <w:sz w:val="18"/>
                <w:szCs w:val="18"/>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auto"/>
              </w:rPr>
              <w:t>2016</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£3,126,526</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rPr>
              <w:t>£3,126,526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Set out below is a comparison, by class, of the carrying amounts and fair values of the Group’s financial instruments: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36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 2016</w:t>
            </w:r>
          </w:p>
        </w:tc>
        <w:tc>
          <w:tcPr>
            <w:tcW w:w="23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 2017</w:t>
            </w:r>
          </w:p>
        </w:tc>
      </w:tr>
      <w:tr>
        <w:trPr>
          <w:trHeight w:val="142"/>
        </w:trPr>
        <w:tc>
          <w:tcPr>
            <w:tcW w:w="5820" w:type="dxa"/>
            <w:vAlign w:val="bottom"/>
          </w:tcPr>
          <w:p>
            <w:pPr>
              <w:spacing w:after="0"/>
              <w:rPr>
                <w:sz w:val="12"/>
                <w:szCs w:val="12"/>
                <w:color w:val="auto"/>
              </w:rPr>
            </w:pPr>
          </w:p>
        </w:tc>
        <w:tc>
          <w:tcPr>
            <w:tcW w:w="1140" w:type="dxa"/>
            <w:vAlign w:val="bottom"/>
            <w:tcBorders>
              <w:top w:val="single" w:sz="8" w:color="auto"/>
            </w:tcBorders>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rPr>
              <w:t>Carrying</w:t>
            </w:r>
          </w:p>
        </w:tc>
        <w:tc>
          <w:tcPr>
            <w:tcW w:w="6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tcBorders>
              <w:top w:val="single" w:sz="8" w:color="auto"/>
            </w:tcBorders>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rPr>
              <w:t>Carrying</w:t>
            </w: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5820" w:type="dxa"/>
            <w:vAlign w:val="bottom"/>
          </w:tcPr>
          <w:p>
            <w:pPr>
              <w:spacing w:after="0"/>
              <w:rPr>
                <w:sz w:val="14"/>
                <w:szCs w:val="14"/>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Fair value</w:t>
            </w: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58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r>
      <w:tr>
        <w:trPr>
          <w:trHeight w:val="183"/>
        </w:trPr>
        <w:tc>
          <w:tcPr>
            <w:tcW w:w="58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Liabilities</w:t>
            </w: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114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2,061,000</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2,061,000</w:t>
            </w: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11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1,346,484</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1,346,484</w:t>
            </w:r>
          </w:p>
        </w:tc>
      </w:tr>
    </w:tbl>
    <w:p>
      <w:pPr>
        <w:spacing w:after="0" w:line="215" w:lineRule="exact"/>
        <w:rPr>
          <w:sz w:val="20"/>
          <w:szCs w:val="20"/>
          <w:color w:val="auto"/>
        </w:rPr>
      </w:pPr>
    </w:p>
    <w:p>
      <w:pPr>
        <w:jc w:val="both"/>
        <w:ind w:right="440"/>
        <w:spacing w:after="0" w:line="246" w:lineRule="auto"/>
        <w:rPr>
          <w:sz w:val="20"/>
          <w:szCs w:val="20"/>
          <w:color w:val="auto"/>
        </w:rPr>
      </w:pPr>
      <w:r>
        <w:rPr>
          <w:rFonts w:ascii="Arial" w:cs="Arial" w:eastAsia="Arial" w:hAnsi="Arial"/>
          <w:sz w:val="18"/>
          <w:szCs w:val="18"/>
          <w:color w:val="auto"/>
        </w:rPr>
        <w:t>The management of the Group assessed that the fair values of cash and short-term deposits, other receivables, trade payables, and other current liabilities approximate their carrying amounts largely due to the short-term maturities of these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values:</w:t>
      </w:r>
    </w:p>
    <w:p>
      <w:pPr>
        <w:spacing w:after="0" w:line="117" w:lineRule="exact"/>
        <w:rPr>
          <w:sz w:val="20"/>
          <w:szCs w:val="20"/>
          <w:color w:val="auto"/>
        </w:rPr>
      </w:pPr>
    </w:p>
    <w:p>
      <w:pPr>
        <w:ind w:left="900" w:right="40" w:hanging="325"/>
        <w:spacing w:after="0"/>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fair value of the provision for deferred cash consideration is estimated by discounting future cash flows using rates currently available for debt on similar terms and credit risk. In addition to being sensitive to a reasonably possible change in the forecast cash flows or the discount rate, the fair value of the deferred cash consideration is also sensitive to a</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20" w:right="20"/>
        <w:spacing w:after="0" w:line="239" w:lineRule="auto"/>
        <w:rPr>
          <w:sz w:val="20"/>
          <w:szCs w:val="20"/>
          <w:color w:val="auto"/>
        </w:rPr>
      </w:pPr>
      <w:r>
        <w:rPr>
          <w:rFonts w:ascii="Arial" w:cs="Arial" w:eastAsia="Arial" w:hAnsi="Arial"/>
          <w:sz w:val="18"/>
          <w:szCs w:val="18"/>
          <w:color w:val="auto"/>
        </w:rPr>
        <w:t>reasonably possible change in the probability of reaching certain milestones. The valuation requires management to use unobservable inputs in the model, of which the significant unobservable inputs are disclosed in the tables below. Management regularly assesses a range of reasonably possible alternatives for those significant unobservable inputs and determines their impact on the total fair value.</w:t>
      </w:r>
    </w:p>
    <w:p>
      <w:pPr>
        <w:spacing w:after="0" w:line="107" w:lineRule="exact"/>
        <w:rPr>
          <w:sz w:val="20"/>
          <w:szCs w:val="20"/>
          <w:color w:val="auto"/>
        </w:rPr>
      </w:pPr>
    </w:p>
    <w:p>
      <w:pPr>
        <w:ind w:left="900" w:right="80" w:hanging="325"/>
        <w:spacing w:after="0" w:line="246"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warrant liability is estimated using the Black-Scholes model taking into account appropriate amendments to inputs in respect of volatility and remaining expected life of the warrants, cost of capital, probability of success and interest rates.</w:t>
      </w:r>
    </w:p>
    <w:p>
      <w:pPr>
        <w:spacing w:after="0" w:line="19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significant unobservable inputs used in the fair value measurements categorized within Level 3 of the fair value hierarchy, together with a quantitative sensitivity analysis as at December 31, 2017 and 2016 are as shown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Significant</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Range</w:t>
            </w:r>
          </w:p>
        </w:tc>
        <w:tc>
          <w:tcPr>
            <w:tcW w:w="3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Valuation</w:t>
            </w:r>
          </w:p>
        </w:tc>
        <w:tc>
          <w:tcPr>
            <w:tcW w:w="1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unobservable</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39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Sensitivity of the input to fair value</w:t>
            </w:r>
          </w:p>
        </w:tc>
        <w:tc>
          <w:tcPr>
            <w:tcW w:w="0" w:type="dxa"/>
            <w:vAlign w:val="bottom"/>
          </w:tcPr>
          <w:p>
            <w:pPr>
              <w:spacing w:after="0"/>
              <w:rPr>
                <w:sz w:val="1"/>
                <w:szCs w:val="1"/>
                <w:color w:val="auto"/>
              </w:rPr>
            </w:pPr>
          </w:p>
        </w:tc>
      </w:tr>
      <w:tr>
        <w:trPr>
          <w:trHeight w:val="175"/>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Provision for deferred cash consideration</w:t>
            </w:r>
          </w:p>
        </w:tc>
        <w:tc>
          <w:tcPr>
            <w:tcW w:w="8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technique</w:t>
            </w:r>
          </w:p>
        </w:tc>
        <w:tc>
          <w:tcPr>
            <w:tcW w:w="120" w:type="dxa"/>
            <w:vAlign w:val="bottom"/>
          </w:tcPr>
          <w:p>
            <w:pPr>
              <w:spacing w:after="0"/>
              <w:rPr>
                <w:sz w:val="15"/>
                <w:szCs w:val="15"/>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inputs</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3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DCF</w:t>
            </w:r>
          </w:p>
        </w:tc>
        <w:tc>
          <w:tcPr>
            <w:tcW w:w="120" w:type="dxa"/>
            <w:vAlign w:val="bottom"/>
          </w:tcPr>
          <w:p>
            <w:pPr>
              <w:spacing w:after="0"/>
              <w:rPr>
                <w:sz w:val="16"/>
                <w:szCs w:val="16"/>
                <w:color w:val="auto"/>
              </w:rPr>
            </w:pPr>
          </w:p>
        </w:tc>
        <w:tc>
          <w:tcPr>
            <w:tcW w:w="1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WACC</w:t>
            </w:r>
          </w:p>
        </w:tc>
        <w:tc>
          <w:tcPr>
            <w:tcW w:w="120" w:type="dxa"/>
            <w:vAlign w:val="bottom"/>
          </w:tcPr>
          <w:p>
            <w:pPr>
              <w:spacing w:after="0"/>
              <w:rPr>
                <w:sz w:val="16"/>
                <w:szCs w:val="16"/>
                <w:color w:val="auto"/>
              </w:rPr>
            </w:pPr>
          </w:p>
        </w:tc>
        <w:tc>
          <w:tcPr>
            <w:tcW w:w="1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2017: 15.3%</w:t>
            </w:r>
          </w:p>
        </w:tc>
        <w:tc>
          <w:tcPr>
            <w:tcW w:w="1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 increase / (decrease) would result in a</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decrease / (increase) in fair value by £30,000.</w:t>
            </w:r>
          </w:p>
        </w:tc>
        <w:tc>
          <w:tcPr>
            <w:tcW w:w="0" w:type="dxa"/>
            <w:vAlign w:val="bottom"/>
          </w:tcPr>
          <w:p>
            <w:pPr>
              <w:spacing w:after="0"/>
              <w:rPr>
                <w:sz w:val="1"/>
                <w:szCs w:val="1"/>
                <w:color w:val="auto"/>
              </w:rPr>
            </w:pPr>
          </w:p>
        </w:tc>
      </w:tr>
      <w:tr>
        <w:trPr>
          <w:trHeight w:val="296"/>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Probability</w:t>
            </w:r>
          </w:p>
        </w:tc>
        <w:tc>
          <w:tcPr>
            <w:tcW w:w="1400" w:type="dxa"/>
            <w:vAlign w:val="bottom"/>
            <w:gridSpan w:val="2"/>
          </w:tcPr>
          <w:p>
            <w:pPr>
              <w:spacing w:after="0"/>
              <w:rPr>
                <w:sz w:val="20"/>
                <w:szCs w:val="20"/>
                <w:color w:val="auto"/>
              </w:rPr>
            </w:pPr>
            <w:r>
              <w:rPr>
                <w:rFonts w:ascii="Arial" w:cs="Arial" w:eastAsia="Arial" w:hAnsi="Arial"/>
                <w:sz w:val="18"/>
                <w:szCs w:val="18"/>
                <w:color w:val="auto"/>
              </w:rPr>
              <w:t>2017: 28 –</w:t>
            </w:r>
          </w:p>
        </w:tc>
        <w:tc>
          <w:tcPr>
            <w:tcW w:w="3980" w:type="dxa"/>
            <w:vAlign w:val="bottom"/>
          </w:tcPr>
          <w:p>
            <w:pPr>
              <w:spacing w:after="0"/>
              <w:rPr>
                <w:sz w:val="20"/>
                <w:szCs w:val="20"/>
                <w:color w:val="auto"/>
              </w:rPr>
            </w:pPr>
            <w:r>
              <w:rPr>
                <w:rFonts w:ascii="Arial" w:cs="Arial" w:eastAsia="Arial" w:hAnsi="Arial"/>
                <w:sz w:val="18"/>
                <w:szCs w:val="18"/>
                <w:color w:val="auto"/>
              </w:rPr>
              <w:t>10% increase / (decrease) would result in an</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of success</w:t>
            </w:r>
          </w:p>
        </w:tc>
        <w:tc>
          <w:tcPr>
            <w:tcW w:w="1280" w:type="dxa"/>
            <w:vAlign w:val="bottom"/>
          </w:tcPr>
          <w:p>
            <w:pPr>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increase / (decrease) in fair value by £600,000.</w:t>
            </w:r>
          </w:p>
        </w:tc>
        <w:tc>
          <w:tcPr>
            <w:tcW w:w="0" w:type="dxa"/>
            <w:vAlign w:val="bottom"/>
          </w:tcPr>
          <w:p>
            <w:pPr>
              <w:spacing w:after="0"/>
              <w:rPr>
                <w:sz w:val="1"/>
                <w:szCs w:val="1"/>
                <w:color w:val="auto"/>
              </w:rPr>
            </w:pPr>
          </w:p>
        </w:tc>
      </w:tr>
      <w:tr>
        <w:trPr>
          <w:trHeight w:val="310"/>
        </w:trPr>
        <w:tc>
          <w:tcPr>
            <w:tcW w:w="3680" w:type="dxa"/>
            <w:vAlign w:val="bottom"/>
          </w:tcPr>
          <w:p>
            <w:pPr>
              <w:spacing w:after="0"/>
              <w:rPr>
                <w:sz w:val="20"/>
                <w:szCs w:val="20"/>
                <w:color w:val="auto"/>
              </w:rPr>
            </w:pPr>
            <w:r>
              <w:rPr>
                <w:rFonts w:ascii="Arial" w:cs="Arial" w:eastAsia="Arial" w:hAnsi="Arial"/>
                <w:sz w:val="18"/>
                <w:szCs w:val="18"/>
                <w:b w:val="1"/>
                <w:bCs w:val="1"/>
                <w:color w:val="auto"/>
              </w:rPr>
              <w:t>Warrant liability</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Black</w:t>
            </w: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Risk free</w:t>
            </w:r>
          </w:p>
        </w:tc>
        <w:tc>
          <w:tcPr>
            <w:tcW w:w="1280" w:type="dxa"/>
            <w:vAlign w:val="bottom"/>
          </w:tcPr>
          <w:p>
            <w:pPr>
              <w:spacing w:after="0"/>
              <w:rPr>
                <w:sz w:val="20"/>
                <w:szCs w:val="20"/>
                <w:color w:val="auto"/>
              </w:rPr>
            </w:pPr>
            <w:r>
              <w:rPr>
                <w:rFonts w:ascii="Arial" w:cs="Arial" w:eastAsia="Arial" w:hAnsi="Arial"/>
                <w:sz w:val="18"/>
                <w:szCs w:val="18"/>
                <w:color w:val="auto"/>
              </w:rPr>
              <w:t>2017: 1.25%</w:t>
            </w: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 increase / (decrease) would result in an</w:t>
            </w:r>
          </w:p>
        </w:tc>
        <w:tc>
          <w:tcPr>
            <w:tcW w:w="0" w:type="dxa"/>
            <w:vAlign w:val="bottom"/>
          </w:tcPr>
          <w:p>
            <w:pPr>
              <w:spacing w:after="0"/>
              <w:rPr>
                <w:sz w:val="1"/>
                <w:szCs w:val="1"/>
                <w:color w:val="auto"/>
              </w:rPr>
            </w:pPr>
          </w:p>
        </w:tc>
      </w:tr>
      <w:tr>
        <w:trPr>
          <w:trHeight w:val="203"/>
        </w:trPr>
        <w:tc>
          <w:tcPr>
            <w:tcW w:w="3680" w:type="dxa"/>
            <w:vAlign w:val="bottom"/>
          </w:tcPr>
          <w:p>
            <w:pPr>
              <w:spacing w:after="0"/>
              <w:rPr>
                <w:sz w:val="17"/>
                <w:szCs w:val="17"/>
                <w:color w:val="auto"/>
              </w:rPr>
            </w:pPr>
          </w:p>
        </w:tc>
        <w:tc>
          <w:tcPr>
            <w:tcW w:w="9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Scholes</w:t>
            </w:r>
          </w:p>
        </w:tc>
        <w:tc>
          <w:tcPr>
            <w:tcW w:w="14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interest</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increase / (decrease) of £46,000.</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rate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Volatility</w:t>
            </w:r>
          </w:p>
        </w:tc>
        <w:tc>
          <w:tcPr>
            <w:tcW w:w="1280" w:type="dxa"/>
            <w:vAlign w:val="bottom"/>
          </w:tcPr>
          <w:p>
            <w:pPr>
              <w:spacing w:after="0"/>
              <w:rPr>
                <w:sz w:val="20"/>
                <w:szCs w:val="20"/>
                <w:color w:val="auto"/>
              </w:rPr>
            </w:pPr>
            <w:r>
              <w:rPr>
                <w:rFonts w:ascii="Arial" w:cs="Arial" w:eastAsia="Arial" w:hAnsi="Arial"/>
                <w:sz w:val="18"/>
                <w:szCs w:val="18"/>
                <w:color w:val="auto"/>
              </w:rPr>
              <w:t>2017: 50%</w:t>
            </w: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10% increase / (decrease) would result in an</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increase / (decrease) of £200,000.</w:t>
            </w:r>
          </w:p>
        </w:tc>
        <w:tc>
          <w:tcPr>
            <w:tcW w:w="0" w:type="dxa"/>
            <w:vAlign w:val="bottom"/>
          </w:tcPr>
          <w:p>
            <w:pPr>
              <w:spacing w:after="0"/>
              <w:rPr>
                <w:sz w:val="1"/>
                <w:szCs w:val="1"/>
                <w:color w:val="auto"/>
              </w:rPr>
            </w:pPr>
          </w:p>
        </w:tc>
      </w:tr>
      <w:tr>
        <w:trPr>
          <w:trHeight w:val="296"/>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Remaining</w:t>
            </w:r>
          </w:p>
        </w:tc>
        <w:tc>
          <w:tcPr>
            <w:tcW w:w="128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Increase / (decrease) of 365 days would result in</w:t>
            </w:r>
          </w:p>
        </w:tc>
        <w:tc>
          <w:tcPr>
            <w:tcW w:w="0" w:type="dxa"/>
            <w:vAlign w:val="bottom"/>
          </w:tcPr>
          <w:p>
            <w:pPr>
              <w:spacing w:after="0"/>
              <w:rPr>
                <w:sz w:val="1"/>
                <w:szCs w:val="1"/>
                <w:color w:val="auto"/>
              </w:rPr>
            </w:pPr>
          </w:p>
        </w:tc>
      </w:tr>
      <w:tr>
        <w:trPr>
          <w:trHeight w:val="217"/>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rPr>
              <w:t>life</w:t>
            </w:r>
          </w:p>
        </w:tc>
        <w:tc>
          <w:tcPr>
            <w:tcW w:w="1400" w:type="dxa"/>
            <w:vAlign w:val="bottom"/>
            <w:gridSpan w:val="2"/>
          </w:tcPr>
          <w:p>
            <w:pPr>
              <w:spacing w:after="0"/>
              <w:rPr>
                <w:sz w:val="20"/>
                <w:szCs w:val="20"/>
                <w:color w:val="auto"/>
              </w:rPr>
            </w:pPr>
            <w:r>
              <w:rPr>
                <w:rFonts w:ascii="Arial" w:cs="Arial" w:eastAsia="Arial" w:hAnsi="Arial"/>
                <w:sz w:val="18"/>
                <w:szCs w:val="18"/>
                <w:color w:val="auto"/>
              </w:rPr>
              <w:t>3519 days</w:t>
            </w:r>
          </w:p>
        </w:tc>
        <w:tc>
          <w:tcPr>
            <w:tcW w:w="3980" w:type="dxa"/>
            <w:vAlign w:val="bottom"/>
          </w:tcPr>
          <w:p>
            <w:pPr>
              <w:spacing w:after="0"/>
              <w:rPr>
                <w:sz w:val="20"/>
                <w:szCs w:val="20"/>
                <w:color w:val="auto"/>
              </w:rPr>
            </w:pPr>
            <w:r>
              <w:rPr>
                <w:rFonts w:ascii="Arial" w:cs="Arial" w:eastAsia="Arial" w:hAnsi="Arial"/>
                <w:sz w:val="18"/>
                <w:szCs w:val="18"/>
                <w:color w:val="auto"/>
              </w:rPr>
              <w:t>an increase / (decrease) of £54,000.</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maturity profile of the Group’s financial liabilities based on contractual undiscounted payments at</w:t>
      </w:r>
    </w:p>
    <w:p>
      <w:pPr>
        <w:spacing w:after="0"/>
        <w:rPr>
          <w:sz w:val="20"/>
          <w:szCs w:val="20"/>
          <w:color w:val="auto"/>
        </w:rPr>
      </w:pPr>
      <w:r>
        <w:rPr>
          <w:rFonts w:ascii="Arial" w:cs="Arial" w:eastAsia="Arial" w:hAnsi="Arial"/>
          <w:sz w:val="18"/>
          <w:szCs w:val="18"/>
          <w:color w:val="auto"/>
        </w:rPr>
        <w:t>December 31, 2017:</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3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gridSpan w:val="8"/>
          </w:tcPr>
          <w:p>
            <w:pPr>
              <w:ind w:left="40"/>
              <w:spacing w:after="0"/>
              <w:rPr>
                <w:sz w:val="20"/>
                <w:szCs w:val="20"/>
                <w:color w:val="auto"/>
              </w:rPr>
            </w:pPr>
            <w:r>
              <w:rPr>
                <w:rFonts w:ascii="Arial" w:cs="Arial" w:eastAsia="Arial" w:hAnsi="Arial"/>
                <w:sz w:val="14"/>
                <w:szCs w:val="14"/>
                <w:b w:val="1"/>
                <w:bCs w:val="1"/>
                <w:color w:val="auto"/>
              </w:rPr>
              <w:t>Up to 1 year</w:t>
            </w:r>
          </w:p>
        </w:tc>
        <w:tc>
          <w:tcPr>
            <w:tcW w:w="160" w:type="dxa"/>
            <w:vAlign w:val="bottom"/>
          </w:tcPr>
          <w:p>
            <w:pPr>
              <w:spacing w:after="0"/>
              <w:rPr>
                <w:sz w:val="15"/>
                <w:szCs w:val="15"/>
                <w:color w:val="auto"/>
              </w:rPr>
            </w:pPr>
          </w:p>
        </w:tc>
        <w:tc>
          <w:tcPr>
            <w:tcW w:w="11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5"/>
                <w:szCs w:val="15"/>
                <w:color w:val="auto"/>
              </w:rPr>
            </w:pPr>
          </w:p>
        </w:tc>
        <w:tc>
          <w:tcPr>
            <w:tcW w:w="14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rPr>
              <w:t>3-5 Years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Over 5 Years</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Novartis Notes</w:t>
            </w:r>
          </w:p>
        </w:tc>
        <w:tc>
          <w:tcPr>
            <w:tcW w:w="1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82,600</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165,427</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£2,078,815</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48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£ 2,326,842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Bank loan</w:t>
            </w:r>
          </w:p>
        </w:tc>
        <w:tc>
          <w:tcPr>
            <w:tcW w:w="2060" w:type="dxa"/>
            <w:vAlign w:val="bottom"/>
            <w:gridSpan w:val="6"/>
          </w:tcPr>
          <w:p>
            <w:pPr>
              <w:jc w:val="right"/>
              <w:ind w:right="20"/>
              <w:spacing w:after="0" w:line="202" w:lineRule="exact"/>
              <w:rPr>
                <w:sz w:val="20"/>
                <w:szCs w:val="20"/>
                <w:color w:val="auto"/>
              </w:rPr>
            </w:pPr>
            <w:r>
              <w:rPr>
                <w:rFonts w:ascii="Arial" w:cs="Arial" w:eastAsia="Arial" w:hAnsi="Arial"/>
                <w:sz w:val="18"/>
                <w:szCs w:val="18"/>
                <w:color w:val="auto"/>
              </w:rPr>
              <w:t>£3,574,208</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5"/>
          </w:tcPr>
          <w:p>
            <w:pPr>
              <w:jc w:val="right"/>
              <w:ind w:right="199"/>
              <w:spacing w:after="0" w:line="202" w:lineRule="exact"/>
              <w:rPr>
                <w:sz w:val="20"/>
                <w:szCs w:val="20"/>
                <w:color w:val="auto"/>
              </w:rPr>
            </w:pPr>
            <w:r>
              <w:rPr>
                <w:rFonts w:ascii="Arial" w:cs="Arial" w:eastAsia="Arial" w:hAnsi="Arial"/>
                <w:sz w:val="18"/>
                <w:szCs w:val="18"/>
                <w:color w:val="auto"/>
                <w:w w:val="99"/>
              </w:rPr>
              <w:t>£17,793,665</w:t>
            </w:r>
          </w:p>
        </w:tc>
        <w:tc>
          <w:tcPr>
            <w:tcW w:w="20" w:type="dxa"/>
            <w:vAlign w:val="bottom"/>
          </w:tcPr>
          <w:p>
            <w:pPr>
              <w:spacing w:after="0"/>
              <w:rPr>
                <w:sz w:val="17"/>
                <w:szCs w:val="17"/>
                <w:color w:val="auto"/>
              </w:rPr>
            </w:pPr>
          </w:p>
        </w:tc>
        <w:tc>
          <w:tcPr>
            <w:tcW w:w="122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£2,982,805</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£24,350,678</w:t>
            </w: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(see Note 25)</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743,858</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535,203</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£ 1,279,061</w:t>
            </w:r>
          </w:p>
        </w:tc>
      </w:tr>
      <w:tr>
        <w:trPr>
          <w:trHeight w:val="20"/>
        </w:trPr>
        <w:tc>
          <w:tcPr>
            <w:tcW w:w="3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4,400,666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18,494,295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5,061,620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27,956,581</w:t>
            </w:r>
          </w:p>
        </w:tc>
      </w:tr>
      <w:tr>
        <w:trPr>
          <w:trHeight w:val="20"/>
        </w:trPr>
        <w:tc>
          <w:tcPr>
            <w:tcW w:w="468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580" w:type="dxa"/>
            <w:vAlign w:val="bottom"/>
            <w:gridSpan w:val="13"/>
          </w:tcPr>
          <w:p>
            <w:pPr>
              <w:spacing w:after="0"/>
              <w:rPr>
                <w:sz w:val="20"/>
                <w:szCs w:val="20"/>
                <w:color w:val="auto"/>
              </w:rPr>
            </w:pPr>
            <w:r>
              <w:rPr>
                <w:rFonts w:ascii="Arial" w:cs="Arial" w:eastAsia="Arial" w:hAnsi="Arial"/>
                <w:sz w:val="18"/>
                <w:szCs w:val="18"/>
                <w:color w:val="auto"/>
              </w:rPr>
              <w:t>The table below summarizes our contractual obligations at December 31, 2016:</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3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8"/>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3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6"/>
          </w:tcPr>
          <w:p>
            <w:pPr>
              <w:spacing w:after="0"/>
              <w:rPr>
                <w:sz w:val="20"/>
                <w:szCs w:val="20"/>
                <w:color w:val="auto"/>
              </w:rPr>
            </w:pPr>
            <w:r>
              <w:rPr>
                <w:rFonts w:ascii="Arial" w:cs="Arial" w:eastAsia="Arial" w:hAnsi="Arial"/>
                <w:sz w:val="14"/>
                <w:szCs w:val="14"/>
                <w:b w:val="1"/>
                <w:bCs w:val="1"/>
                <w:color w:val="auto"/>
              </w:rPr>
              <w:t>Up to 1 year</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Over 5 Years</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Novartis Notes</w:t>
            </w:r>
          </w:p>
        </w:tc>
        <w:tc>
          <w:tcPr>
            <w:tcW w:w="1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w w:val="99"/>
              </w:rPr>
              <w:t>£ 138,543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3,660,559</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gridSpan w:val="2"/>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£3,799,102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Bank loan</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(see Note 25)</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6"/>
            <w:shd w:val="clear" w:color="auto" w:fill="CCEEFF"/>
          </w:tcPr>
          <w:p>
            <w:pPr>
              <w:ind w:left="300"/>
              <w:spacing w:after="0" w:line="202" w:lineRule="exact"/>
              <w:rPr>
                <w:sz w:val="20"/>
                <w:szCs w:val="20"/>
                <w:color w:val="auto"/>
              </w:rPr>
            </w:pPr>
            <w:r>
              <w:rPr>
                <w:rFonts w:ascii="Arial" w:cs="Arial" w:eastAsia="Arial" w:hAnsi="Arial"/>
                <w:sz w:val="18"/>
                <w:szCs w:val="18"/>
                <w:color w:val="auto"/>
              </w:rPr>
              <w:t>£ 325,920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651,840</w:t>
            </w:r>
          </w:p>
        </w:tc>
        <w:tc>
          <w:tcPr>
            <w:tcW w:w="1580" w:type="dxa"/>
            <w:vAlign w:val="bottom"/>
            <w:gridSpan w:val="5"/>
            <w:shd w:val="clear" w:color="auto" w:fill="CCEEFF"/>
          </w:tcPr>
          <w:p>
            <w:pPr>
              <w:jc w:val="center"/>
              <w:ind w:left="14"/>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202,736</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1,180,496</w:t>
            </w:r>
          </w:p>
        </w:tc>
      </w:tr>
      <w:tr>
        <w:trPr>
          <w:trHeight w:val="20"/>
        </w:trPr>
        <w:tc>
          <w:tcPr>
            <w:tcW w:w="3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6"/>
          </w:tcPr>
          <w:p>
            <w:pPr>
              <w:ind w:left="300"/>
              <w:spacing w:after="0"/>
              <w:rPr>
                <w:sz w:val="20"/>
                <w:szCs w:val="20"/>
                <w:color w:val="auto"/>
              </w:rPr>
            </w:pPr>
            <w:r>
              <w:rPr>
                <w:rFonts w:ascii="Arial" w:cs="Arial" w:eastAsia="Arial" w:hAnsi="Arial"/>
                <w:sz w:val="18"/>
                <w:szCs w:val="18"/>
                <w:color w:val="auto"/>
              </w:rPr>
              <w:t>£ 464,463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4,312,399</w:t>
            </w:r>
          </w:p>
        </w:tc>
        <w:tc>
          <w:tcPr>
            <w:tcW w:w="1580" w:type="dxa"/>
            <w:vAlign w:val="bottom"/>
            <w:gridSpan w:val="5"/>
          </w:tcPr>
          <w:p>
            <w:pPr>
              <w:jc w:val="center"/>
              <w:ind w:left="14"/>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202,736</w:t>
            </w:r>
          </w:p>
        </w:tc>
        <w:tc>
          <w:tcPr>
            <w:tcW w:w="12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4,979,598</w:t>
            </w:r>
          </w:p>
        </w:tc>
      </w:tr>
      <w:tr>
        <w:trPr>
          <w:trHeight w:val="20"/>
        </w:trPr>
        <w:tc>
          <w:tcPr>
            <w:tcW w:w="3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60" w:firstLine="456"/>
        <w:spacing w:after="0" w:line="246" w:lineRule="auto"/>
        <w:rPr>
          <w:sz w:val="20"/>
          <w:szCs w:val="20"/>
          <w:color w:val="auto"/>
        </w:rPr>
      </w:pPr>
      <w:r>
        <w:rPr>
          <w:rFonts w:ascii="Arial" w:cs="Arial" w:eastAsia="Arial" w:hAnsi="Arial"/>
          <w:sz w:val="18"/>
          <w:szCs w:val="18"/>
          <w:color w:val="auto"/>
        </w:rPr>
        <w:t>We may incur potential payments upon our achievement of clinical, regulatory and commercial milestones, as applicable, or royalty payments that we may be required to make under license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agreements we have entered into with various entities pursuant to which we have in-licensed certain intellectual property, including our license agreements with Novartis and AstraZeneca. Due to the uncertainty of the achievement and timing of the events requiring payment under these agreements, the amounts to be paid by us are not fixed or determinable at this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Share-based payments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charge for employee-related share-based payments under IFRS 2 arises across the following plans:</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60" w:type="dxa"/>
            <w:vAlign w:val="bottom"/>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164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2015 Plan</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6,185,067</w:t>
            </w:r>
          </w:p>
        </w:tc>
        <w:tc>
          <w:tcPr>
            <w:tcW w:w="5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2,441,671</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Share Option Plan</w:t>
            </w:r>
          </w:p>
        </w:tc>
        <w:tc>
          <w:tcPr>
            <w:tcW w:w="10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586,291</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LTIP</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133,601</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298,287</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DBSP</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175,350</w:t>
            </w:r>
          </w:p>
        </w:tc>
        <w:tc>
          <w:tcPr>
            <w:tcW w:w="560" w:type="dxa"/>
            <w:vAlign w:val="bottom"/>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325,649</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6,494,018</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3,651,898</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2015 Plan</w:t>
      </w:r>
    </w:p>
    <w:p>
      <w:pPr>
        <w:spacing w:after="0" w:line="126"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Under the Mereo BioPharma Group Limited Share Option Plan (the “2015 Plan”), the Group, at its discretion, granted share options to employees, including executive management, and Non-Executive Directors. Share options vest over four years for executive management and employees and over three years for Non-Executive Directors. There are no performance conditions attached to the options issued under the Option Plan. The fair value of share options granted was estimated at the date of grant using a Black Scholes pricing model, taking into account the terms and conditions upon which the share options were granted. The fair value calculation does not include any allowance for dividends as the Company has no available profits for distribution.</w:t>
      </w:r>
    </w:p>
    <w:p>
      <w:pPr>
        <w:spacing w:after="0" w:line="205" w:lineRule="exact"/>
        <w:rPr>
          <w:sz w:val="20"/>
          <w:szCs w:val="20"/>
          <w:color w:val="auto"/>
        </w:rPr>
      </w:pPr>
    </w:p>
    <w:p>
      <w:pPr>
        <w:ind w:right="400" w:firstLine="456"/>
        <w:spacing w:after="0" w:line="246" w:lineRule="auto"/>
        <w:rPr>
          <w:sz w:val="20"/>
          <w:szCs w:val="20"/>
          <w:color w:val="auto"/>
        </w:rPr>
      </w:pPr>
      <w:r>
        <w:rPr>
          <w:rFonts w:ascii="Arial" w:cs="Arial" w:eastAsia="Arial" w:hAnsi="Arial"/>
          <w:sz w:val="18"/>
          <w:szCs w:val="18"/>
          <w:color w:val="auto"/>
        </w:rPr>
        <w:t>The exercise price of the share options will be equal to the market price of the underlying shares on the date of grant, less a discount agreed with the Group’s institutional investors. The contractual term of the share options is ten years.</w:t>
      </w:r>
    </w:p>
    <w:p>
      <w:pPr>
        <w:spacing w:after="0" w:line="197" w:lineRule="exact"/>
        <w:rPr>
          <w:sz w:val="20"/>
          <w:szCs w:val="20"/>
          <w:color w:val="auto"/>
        </w:rPr>
      </w:pPr>
    </w:p>
    <w:p>
      <w:pPr>
        <w:ind w:right="320" w:firstLine="456"/>
        <w:spacing w:after="0" w:line="246" w:lineRule="auto"/>
        <w:rPr>
          <w:sz w:val="20"/>
          <w:szCs w:val="20"/>
          <w:color w:val="auto"/>
        </w:rPr>
      </w:pPr>
      <w:r>
        <w:rPr>
          <w:rFonts w:ascii="Arial" w:cs="Arial" w:eastAsia="Arial" w:hAnsi="Arial"/>
          <w:sz w:val="18"/>
          <w:szCs w:val="18"/>
          <w:color w:val="auto"/>
        </w:rPr>
        <w:t>Of the £6,185,067 expense recognized under the option plan for employee services received during 2016, £298,836 is an accelerated charge relating to 500,000 options which were cancelled on June 9, 2016.</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share options were issued during the year under the 2015 Share Plan.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Movements during the year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number and weighted average exercise prices (WAEP) of, and movements in, share options during the</w:t>
      </w:r>
    </w:p>
    <w:p>
      <w:pPr>
        <w:spacing w:after="0"/>
        <w:rPr>
          <w:sz w:val="20"/>
          <w:szCs w:val="20"/>
          <w:color w:val="auto"/>
        </w:rPr>
      </w:pPr>
      <w:r>
        <w:rPr>
          <w:rFonts w:ascii="Arial" w:cs="Arial" w:eastAsia="Arial" w:hAnsi="Arial"/>
          <w:sz w:val="18"/>
          <w:szCs w:val="18"/>
          <w:color w:val="auto"/>
        </w:rPr>
        <w:t>year: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40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9"/>
              </w:rPr>
              <w:t>WAEP</w:t>
            </w:r>
          </w:p>
        </w:tc>
        <w:tc>
          <w:tcPr>
            <w:tcW w:w="124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WAEP</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year</w:t>
            </w:r>
          </w:p>
        </w:tc>
        <w:tc>
          <w:tcPr>
            <w:tcW w:w="34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8,964,394</w:t>
            </w: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w:t>
            </w: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9,198,655</w:t>
            </w: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Granted during the year</w:t>
            </w:r>
          </w:p>
        </w:tc>
        <w:tc>
          <w:tcPr>
            <w:tcW w:w="47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1,316,117</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260" w:type="dxa"/>
            <w:vAlign w:val="bottom"/>
          </w:tcPr>
          <w:p>
            <w:pPr>
              <w:spacing w:after="0"/>
              <w:rPr>
                <w:sz w:val="17"/>
                <w:szCs w:val="17"/>
                <w:color w:val="auto"/>
              </w:rPr>
            </w:pPr>
          </w:p>
        </w:tc>
        <w:tc>
          <w:tcPr>
            <w:tcW w:w="13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Cancelled during the year</w:t>
            </w:r>
          </w:p>
        </w:tc>
        <w:tc>
          <w:tcPr>
            <w:tcW w:w="47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(500,000)</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Forfeited during the year</w:t>
            </w:r>
          </w:p>
        </w:tc>
        <w:tc>
          <w:tcPr>
            <w:tcW w:w="346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(581,856)</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15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(74,045)</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w:t>
            </w:r>
          </w:p>
        </w:tc>
        <w:tc>
          <w:tcPr>
            <w:tcW w:w="34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9,198,655</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15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9,124,610</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gridSpan w:val="2"/>
          </w:tcPr>
          <w:p>
            <w:pPr>
              <w:spacing w:after="0" w:line="196" w:lineRule="exact"/>
              <w:rPr>
                <w:sz w:val="20"/>
                <w:szCs w:val="20"/>
                <w:color w:val="auto"/>
              </w:rPr>
            </w:pPr>
            <w:r>
              <w:rPr>
                <w:rFonts w:ascii="Arial" w:cs="Arial" w:eastAsia="Arial" w:hAnsi="Arial"/>
                <w:sz w:val="18"/>
                <w:szCs w:val="18"/>
                <w:color w:val="auto"/>
              </w:rPr>
              <w:t>Exercisable at December 31</w:t>
            </w:r>
          </w:p>
        </w:tc>
        <w:tc>
          <w:tcPr>
            <w:tcW w:w="3460" w:type="dxa"/>
            <w:vAlign w:val="bottom"/>
          </w:tcPr>
          <w:p>
            <w:pPr>
              <w:spacing w:after="0"/>
              <w:rPr>
                <w:sz w:val="17"/>
                <w:szCs w:val="17"/>
                <w:color w:val="auto"/>
              </w:rPr>
            </w:pPr>
          </w:p>
        </w:tc>
        <w:tc>
          <w:tcPr>
            <w:tcW w:w="128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3,115,337</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c>
          <w:tcPr>
            <w:tcW w:w="1580" w:type="dxa"/>
            <w:vAlign w:val="bottom"/>
            <w:gridSpan w:val="3"/>
          </w:tcPr>
          <w:p>
            <w:pPr>
              <w:jc w:val="right"/>
              <w:ind w:right="340"/>
              <w:spacing w:after="0" w:line="196" w:lineRule="exact"/>
              <w:rPr>
                <w:sz w:val="20"/>
                <w:szCs w:val="20"/>
                <w:color w:val="auto"/>
              </w:rPr>
            </w:pPr>
            <w:r>
              <w:rPr>
                <w:rFonts w:ascii="Arial" w:cs="Arial" w:eastAsia="Arial" w:hAnsi="Arial"/>
                <w:sz w:val="18"/>
                <w:szCs w:val="18"/>
                <w:color w:val="auto"/>
              </w:rPr>
              <w:t>5,655,676</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740" w:type="dxa"/>
            <w:vAlign w:val="bottom"/>
            <w:gridSpan w:val="3"/>
          </w:tcPr>
          <w:p>
            <w:pPr>
              <w:jc w:val="right"/>
              <w:ind w:right="2900"/>
              <w:spacing w:after="0"/>
              <w:rPr>
                <w:sz w:val="20"/>
                <w:szCs w:val="20"/>
                <w:color w:val="auto"/>
              </w:rPr>
            </w:pPr>
            <w:r>
              <w:rPr>
                <w:rFonts w:ascii="Arial" w:cs="Arial" w:eastAsia="Arial" w:hAnsi="Arial"/>
                <w:sz w:val="18"/>
                <w:szCs w:val="18"/>
                <w:color w:val="auto"/>
              </w:rPr>
              <w:t>F-33</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60" w:firstLine="456"/>
        <w:spacing w:after="0" w:line="246" w:lineRule="auto"/>
        <w:rPr>
          <w:sz w:val="20"/>
          <w:szCs w:val="20"/>
          <w:color w:val="auto"/>
        </w:rPr>
      </w:pPr>
      <w:r>
        <w:rPr>
          <w:rFonts w:ascii="Arial" w:cs="Arial" w:eastAsia="Arial" w:hAnsi="Arial"/>
          <w:sz w:val="18"/>
          <w:szCs w:val="18"/>
          <w:color w:val="auto"/>
        </w:rPr>
        <w:t>The weighted average remaining contractual life for the share options outstanding as at December 31, 2017 was 7.6 years (2016: 8.3 years).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options granted in 2017. The weighted average fair value of options granted during 2016 was £1.29.</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outstanding at the end of the year had an exercise price of between £1.29 and £2.21.</w:t>
      </w:r>
    </w:p>
    <w:p>
      <w:pPr>
        <w:spacing w:after="0" w:line="212" w:lineRule="exact"/>
        <w:rPr>
          <w:sz w:val="20"/>
          <w:szCs w:val="20"/>
          <w:color w:val="auto"/>
        </w:rPr>
      </w:pPr>
    </w:p>
    <w:p>
      <w:pPr>
        <w:ind w:right="540" w:firstLine="456"/>
        <w:spacing w:after="0" w:line="246" w:lineRule="auto"/>
        <w:rPr>
          <w:sz w:val="20"/>
          <w:szCs w:val="20"/>
          <w:color w:val="auto"/>
        </w:rPr>
      </w:pPr>
      <w:r>
        <w:rPr>
          <w:rFonts w:ascii="Arial" w:cs="Arial" w:eastAsia="Arial" w:hAnsi="Arial"/>
          <w:sz w:val="18"/>
          <w:szCs w:val="18"/>
          <w:color w:val="auto"/>
        </w:rPr>
        <w:t>The following tables list the weighted average inputs to the models used for the fair value of share options granted during the years ended December 31, 2016 and 2017:</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55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900" w:type="dxa"/>
            <w:vAlign w:val="bottom"/>
            <w:gridSpan w:val="3"/>
          </w:tcPr>
          <w:p>
            <w:pPr>
              <w:jc w:val="center"/>
              <w:ind w:left="768"/>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5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1840" w:type="dxa"/>
            <w:vAlign w:val="bottom"/>
            <w:gridSpan w:val="2"/>
          </w:tcPr>
          <w:p>
            <w:pPr>
              <w:jc w:val="center"/>
              <w:ind w:left="80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r>
      <w:tr>
        <w:trPr>
          <w:trHeight w:val="196"/>
        </w:trPr>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c>
          <w:tcPr>
            <w:tcW w:w="9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1.48–2.07</w:t>
            </w:r>
          </w:p>
        </w:tc>
        <w:tc>
          <w:tcPr>
            <w:tcW w:w="900" w:type="dxa"/>
            <w:vAlign w:val="bottom"/>
          </w:tcPr>
          <w:p>
            <w:pPr>
              <w:spacing w:after="0"/>
              <w:rPr>
                <w:sz w:val="17"/>
                <w:szCs w:val="17"/>
                <w:color w:val="auto"/>
              </w:rPr>
            </w:pPr>
          </w:p>
        </w:tc>
        <w:tc>
          <w:tcPr>
            <w:tcW w:w="1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9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1.84–2.21</w:t>
            </w:r>
          </w:p>
        </w:tc>
        <w:tc>
          <w:tcPr>
            <w:tcW w:w="900" w:type="dxa"/>
            <w:vAlign w:val="bottom"/>
          </w:tcPr>
          <w:p>
            <w:pPr>
              <w:spacing w:after="0"/>
              <w:rPr>
                <w:sz w:val="17"/>
                <w:szCs w:val="17"/>
                <w:color w:val="auto"/>
              </w:rPr>
            </w:pPr>
          </w:p>
        </w:tc>
        <w:tc>
          <w:tcPr>
            <w:tcW w:w="1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Black Scholes</w:t>
            </w:r>
          </w:p>
        </w:tc>
        <w:tc>
          <w:tcPr>
            <w:tcW w:w="9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right="780" w:firstLine="456"/>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w:t>
      </w:r>
    </w:p>
    <w:p>
      <w:pPr>
        <w:spacing w:after="0" w:line="197"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share options.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Mereo BioPharma Group plc Share Option Plan</w:t>
      </w:r>
    </w:p>
    <w:p>
      <w:pPr>
        <w:spacing w:after="0" w:line="126"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Mereo BioPharma Group plc Share Option Plan (“Share Option Plan”) provides for the grant of options to acquire our ordinary shares to employees, executive directors and executive officers. Options may be granted to all eligible employees on commencement of employment and may be granted on a periodic basis after that. Under the Share Option Plan, our board of directors may determine if the vesting of an option will be subject to the satisfaction of a performance condition. With regard to an option which is subject to satisfaction of a performance condition, the option will normally vest on the later of: (i) the date on which our board of directors determines that the performance condition has been satisfied; and (ii) the third anniversary of the date of grant. With regard to an option which is not subject to the satisfaction of a performance condition, the option will normally vest on the third anniversary of the date of grant, or such other date determined by our board of directors and notified to the participant.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Options are not currently subject to performance conditions other than continued service with us and typically vest on the third anniversary of the date of grant, after which they remain exercisable generally until the tenth anniversary of the grant date. Our board of directors may determine that an option be settled in cash or by net exercise of the option.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Movements during the period</w:t>
      </w:r>
    </w:p>
    <w:p>
      <w:pPr>
        <w:spacing w:after="0" w:line="126" w:lineRule="exact"/>
        <w:rPr>
          <w:sz w:val="20"/>
          <w:szCs w:val="20"/>
          <w:color w:val="auto"/>
        </w:rPr>
      </w:pPr>
    </w:p>
    <w:p>
      <w:pPr>
        <w:ind w:right="380" w:firstLine="456"/>
        <w:spacing w:after="0" w:line="246" w:lineRule="auto"/>
        <w:rPr>
          <w:sz w:val="20"/>
          <w:szCs w:val="20"/>
          <w:color w:val="auto"/>
        </w:rPr>
      </w:pPr>
      <w:r>
        <w:rPr>
          <w:rFonts w:ascii="Arial" w:cs="Arial" w:eastAsia="Arial" w:hAnsi="Arial"/>
          <w:sz w:val="18"/>
          <w:szCs w:val="18"/>
          <w:color w:val="auto"/>
        </w:rPr>
        <w:t>The following table illustrates the number and weighted average exercise prices (WAEP) of, and movements in, options for the Share Option Plan during the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9"/>
              </w:rPr>
              <w:t>WAEP</w:t>
            </w:r>
          </w:p>
        </w:tc>
        <w:tc>
          <w:tcPr>
            <w:tcW w:w="1260" w:type="dxa"/>
            <w:vAlign w:val="bottom"/>
            <w:gridSpan w:val="2"/>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WAEP</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82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jc w:val="right"/>
              <w:ind w:right="9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year</w:t>
            </w:r>
          </w:p>
        </w:tc>
        <w:tc>
          <w:tcPr>
            <w:tcW w:w="560" w:type="dxa"/>
            <w:vAlign w:val="bottom"/>
            <w:tcBorders>
              <w:top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Granted during the year</w:t>
            </w: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72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1,593,188</w:t>
            </w:r>
          </w:p>
        </w:tc>
        <w:tc>
          <w:tcPr>
            <w:tcW w:w="4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6"/>
              </w:rPr>
              <w:t>3.05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Cancelled during the year</w:t>
            </w:r>
          </w:p>
        </w:tc>
        <w:tc>
          <w:tcPr>
            <w:tcW w:w="5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tcPr>
          <w:p>
            <w:pPr>
              <w:spacing w:after="0" w:line="202" w:lineRule="exact"/>
              <w:rPr>
                <w:sz w:val="20"/>
                <w:szCs w:val="20"/>
                <w:color w:val="auto"/>
              </w:rPr>
            </w:pPr>
            <w:r>
              <w:rPr>
                <w:rFonts w:ascii="Arial" w:cs="Arial" w:eastAsia="Arial" w:hAnsi="Arial"/>
                <w:sz w:val="18"/>
                <w:szCs w:val="18"/>
                <w:color w:val="auto"/>
              </w:rPr>
              <w:t>Forfeited during the year</w:t>
            </w:r>
          </w:p>
        </w:tc>
        <w:tc>
          <w:tcPr>
            <w:tcW w:w="5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7"/>
                <w:szCs w:val="17"/>
                <w:color w:val="auto"/>
              </w:rPr>
            </w:pPr>
          </w:p>
        </w:tc>
        <w:tc>
          <w:tcPr>
            <w:tcW w:w="13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(15,000)</w:t>
            </w:r>
          </w:p>
        </w:tc>
        <w:tc>
          <w:tcPr>
            <w:tcW w:w="4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6"/>
              </w:rPr>
              <w:t>3.03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w:t>
            </w:r>
          </w:p>
        </w:tc>
        <w:tc>
          <w:tcPr>
            <w:tcW w:w="5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1,578,188</w:t>
            </w:r>
          </w:p>
        </w:tc>
        <w:tc>
          <w:tcPr>
            <w:tcW w:w="4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3.05</w:t>
            </w:r>
          </w:p>
        </w:tc>
        <w:tc>
          <w:tcPr>
            <w:tcW w:w="0" w:type="dxa"/>
            <w:vAlign w:val="bottom"/>
          </w:tcPr>
          <w:p>
            <w:pPr>
              <w:spacing w:after="0"/>
              <w:rPr>
                <w:sz w:val="1"/>
                <w:szCs w:val="1"/>
                <w:color w:val="auto"/>
              </w:rPr>
            </w:pPr>
          </w:p>
        </w:tc>
      </w:tr>
      <w:tr>
        <w:trPr>
          <w:trHeight w:val="20"/>
        </w:trPr>
        <w:tc>
          <w:tcPr>
            <w:tcW w:w="784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40" w:type="dxa"/>
            <w:vAlign w:val="bottom"/>
            <w:gridSpan w:val="2"/>
          </w:tcPr>
          <w:p>
            <w:pPr>
              <w:spacing w:after="0" w:line="196" w:lineRule="exact"/>
              <w:rPr>
                <w:sz w:val="20"/>
                <w:szCs w:val="20"/>
                <w:color w:val="auto"/>
              </w:rPr>
            </w:pPr>
            <w:r>
              <w:rPr>
                <w:rFonts w:ascii="Arial" w:cs="Arial" w:eastAsia="Arial" w:hAnsi="Arial"/>
                <w:sz w:val="18"/>
                <w:szCs w:val="18"/>
                <w:color w:val="auto"/>
              </w:rPr>
              <w:t>Exercisable at December 31</w:t>
            </w:r>
          </w:p>
        </w:tc>
        <w:tc>
          <w:tcPr>
            <w:tcW w:w="560" w:type="dxa"/>
            <w:vAlign w:val="bottom"/>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7"/>
                <w:szCs w:val="17"/>
                <w:color w:val="auto"/>
              </w:rPr>
            </w:pPr>
          </w:p>
        </w:tc>
        <w:tc>
          <w:tcPr>
            <w:tcW w:w="132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center"/>
              <w:ind w:right="2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remaining contractual life for the share options outstanding as at December 31, 2017 was 9.4 years.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fair value of options granted during the year was £1.85.</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outstanding at the end of the year had an exercise price of between £3.03 and £3.23.</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list the weighted average inputs to the models used for the fair value of share options granted during the year ended</w:t>
      </w:r>
    </w:p>
    <w:p>
      <w:pPr>
        <w:spacing w:after="0"/>
        <w:rPr>
          <w:sz w:val="20"/>
          <w:szCs w:val="20"/>
          <w:color w:val="auto"/>
        </w:rPr>
      </w:pPr>
      <w:r>
        <w:rPr>
          <w:rFonts w:ascii="Arial" w:cs="Arial" w:eastAsia="Arial" w:hAnsi="Arial"/>
          <w:sz w:val="18"/>
          <w:szCs w:val="18"/>
          <w:color w:val="auto"/>
        </w:rPr>
        <w:t>December 31, 2017:</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4280" w:type="dxa"/>
            <w:vAlign w:val="bottom"/>
          </w:tcPr>
          <w:p>
            <w:pPr>
              <w:spacing w:after="0"/>
              <w:rPr>
                <w:sz w:val="14"/>
                <w:szCs w:val="14"/>
                <w:color w:val="auto"/>
              </w:rPr>
            </w:pPr>
          </w:p>
        </w:tc>
        <w:tc>
          <w:tcPr>
            <w:tcW w:w="2260" w:type="dxa"/>
            <w:vAlign w:val="bottom"/>
            <w:gridSpan w:val="2"/>
          </w:tcPr>
          <w:p>
            <w:pPr>
              <w:jc w:val="center"/>
              <w:ind w:left="1248"/>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280" w:type="dxa"/>
            <w:vAlign w:val="bottom"/>
          </w:tcPr>
          <w:p>
            <w:pPr>
              <w:spacing w:after="0"/>
              <w:rPr>
                <w:sz w:val="15"/>
                <w:szCs w:val="15"/>
                <w:color w:val="auto"/>
              </w:rPr>
            </w:pPr>
          </w:p>
        </w:tc>
        <w:tc>
          <w:tcPr>
            <w:tcW w:w="2260" w:type="dxa"/>
            <w:vAlign w:val="bottom"/>
            <w:gridSpan w:val="2"/>
          </w:tcPr>
          <w:p>
            <w:pPr>
              <w:jc w:val="center"/>
              <w:ind w:left="1228"/>
              <w:spacing w:after="0"/>
              <w:rPr>
                <w:sz w:val="20"/>
                <w:szCs w:val="20"/>
                <w:color w:val="auto"/>
              </w:rPr>
            </w:pPr>
            <w:r>
              <w:rPr>
                <w:rFonts w:ascii="Arial" w:cs="Arial" w:eastAsia="Arial" w:hAnsi="Arial"/>
                <w:sz w:val="14"/>
                <w:szCs w:val="14"/>
                <w:b w:val="1"/>
                <w:bCs w:val="1"/>
                <w:color w:val="auto"/>
              </w:rPr>
              <w:t>2016</w:t>
            </w:r>
          </w:p>
        </w:tc>
        <w:tc>
          <w:tcPr>
            <w:tcW w:w="2140" w:type="dxa"/>
            <w:vAlign w:val="bottom"/>
            <w:gridSpan w:val="2"/>
          </w:tcPr>
          <w:p>
            <w:pPr>
              <w:jc w:val="center"/>
              <w:ind w:left="814"/>
              <w:spacing w:after="0"/>
              <w:rPr>
                <w:sz w:val="20"/>
                <w:szCs w:val="20"/>
                <w:color w:val="auto"/>
              </w:rPr>
            </w:pPr>
            <w:r>
              <w:rPr>
                <w:rFonts w:ascii="Arial" w:cs="Arial" w:eastAsia="Arial" w:hAnsi="Arial"/>
                <w:sz w:val="14"/>
                <w:szCs w:val="14"/>
                <w:b w:val="1"/>
                <w:bCs w:val="1"/>
                <w:color w:val="auto"/>
              </w:rPr>
              <w:t>2017</w:t>
            </w: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3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49-51</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320" w:type="dxa"/>
            <w:vAlign w:val="bottom"/>
          </w:tcPr>
          <w:p>
            <w:pPr>
              <w:spacing w:after="0"/>
              <w:rPr>
                <w:sz w:val="17"/>
                <w:szCs w:val="17"/>
                <w:color w:val="auto"/>
              </w:rPr>
            </w:pPr>
          </w:p>
        </w:tc>
        <w:tc>
          <w:tcPr>
            <w:tcW w:w="94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814"/>
              <w:spacing w:after="0" w:line="202" w:lineRule="exact"/>
              <w:rPr>
                <w:sz w:val="20"/>
                <w:szCs w:val="20"/>
                <w:color w:val="auto"/>
              </w:rPr>
            </w:pPr>
            <w:r>
              <w:rPr>
                <w:rFonts w:ascii="Arial" w:cs="Arial" w:eastAsia="Arial" w:hAnsi="Arial"/>
                <w:sz w:val="18"/>
                <w:szCs w:val="18"/>
                <w:color w:val="auto"/>
                <w:w w:val="99"/>
              </w:rPr>
              <w:t>1.06-1.33</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320" w:type="dxa"/>
            <w:vAlign w:val="bottom"/>
            <w:shd w:val="clear" w:color="auto" w:fill="CCEEFF"/>
          </w:tcPr>
          <w:p>
            <w:pPr>
              <w:spacing w:after="0"/>
              <w:rPr>
                <w:sz w:val="17"/>
                <w:szCs w:val="17"/>
                <w:color w:val="auto"/>
              </w:rPr>
            </w:pPr>
          </w:p>
        </w:tc>
        <w:tc>
          <w:tcPr>
            <w:tcW w:w="94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814"/>
              <w:spacing w:after="0" w:line="202" w:lineRule="exact"/>
              <w:rPr>
                <w:sz w:val="20"/>
                <w:szCs w:val="20"/>
                <w:color w:val="auto"/>
              </w:rPr>
            </w:pPr>
            <w:r>
              <w:rPr>
                <w:rFonts w:ascii="Arial" w:cs="Arial" w:eastAsia="Arial" w:hAnsi="Arial"/>
                <w:sz w:val="18"/>
                <w:szCs w:val="18"/>
                <w:color w:val="auto"/>
                <w:w w:val="99"/>
              </w:rPr>
              <w:t>10</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320" w:type="dxa"/>
            <w:vAlign w:val="bottom"/>
          </w:tcPr>
          <w:p>
            <w:pPr>
              <w:spacing w:after="0"/>
              <w:rPr>
                <w:sz w:val="17"/>
                <w:szCs w:val="17"/>
                <w:color w:val="auto"/>
              </w:rPr>
            </w:pPr>
          </w:p>
        </w:tc>
        <w:tc>
          <w:tcPr>
            <w:tcW w:w="94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tcPr>
          <w:p>
            <w:pPr>
              <w:jc w:val="center"/>
              <w:ind w:left="814"/>
              <w:spacing w:after="0" w:line="202" w:lineRule="exact"/>
              <w:rPr>
                <w:sz w:val="20"/>
                <w:szCs w:val="20"/>
                <w:color w:val="auto"/>
              </w:rPr>
            </w:pPr>
            <w:r>
              <w:rPr>
                <w:rFonts w:ascii="Arial" w:cs="Arial" w:eastAsia="Arial" w:hAnsi="Arial"/>
                <w:sz w:val="18"/>
                <w:szCs w:val="18"/>
                <w:color w:val="auto"/>
                <w:w w:val="99"/>
              </w:rPr>
              <w:t>3.03-3.23</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320" w:type="dxa"/>
            <w:vAlign w:val="bottom"/>
            <w:shd w:val="clear" w:color="auto" w:fill="CCEEFF"/>
          </w:tcPr>
          <w:p>
            <w:pPr>
              <w:spacing w:after="0"/>
              <w:rPr>
                <w:sz w:val="17"/>
                <w:szCs w:val="17"/>
                <w:color w:val="auto"/>
              </w:rPr>
            </w:pPr>
          </w:p>
        </w:tc>
        <w:tc>
          <w:tcPr>
            <w:tcW w:w="94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center"/>
              <w:ind w:left="794"/>
              <w:spacing w:after="0" w:line="202" w:lineRule="exact"/>
              <w:rPr>
                <w:sz w:val="20"/>
                <w:szCs w:val="20"/>
                <w:color w:val="auto"/>
              </w:rPr>
            </w:pPr>
            <w:r>
              <w:rPr>
                <w:rFonts w:ascii="Arial" w:cs="Arial" w:eastAsia="Arial" w:hAnsi="Arial"/>
                <w:sz w:val="18"/>
                <w:szCs w:val="18"/>
                <w:b w:val="1"/>
                <w:bCs w:val="1"/>
                <w:color w:val="auto"/>
                <w:w w:val="99"/>
              </w:rPr>
              <w:t>Black Scholes</w:t>
            </w:r>
          </w:p>
        </w:tc>
      </w:tr>
    </w:tbl>
    <w:p>
      <w:pPr>
        <w:spacing w:after="0" w:line="215" w:lineRule="exact"/>
        <w:rPr>
          <w:sz w:val="20"/>
          <w:szCs w:val="20"/>
          <w:color w:val="auto"/>
        </w:rPr>
      </w:pPr>
    </w:p>
    <w:p>
      <w:pPr>
        <w:ind w:right="780" w:firstLine="456"/>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w:t>
      </w:r>
    </w:p>
    <w:p>
      <w:pPr>
        <w:spacing w:after="0" w:line="197"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share options.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Term Incentive Plan</w:t>
      </w:r>
    </w:p>
    <w:p>
      <w:pPr>
        <w:spacing w:after="0" w:line="126"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Under the Company’s Long Term Incentive Plan (LTIP), initiated in 2016, the Group, at its discretion, may grant nil-cost options to acquire shares to employees. Under the LTIP rules, vesting of 75% of the options issued to employees is subject to a share price performance condition (the “Share Price Element”) and vesting of 25% of the options is subject to achievement of strategic operational targets (the “Strategic Element”). Share options vest over a maximum of five years, dependent upon achievement of these targets.</w:t>
      </w:r>
    </w:p>
    <w:p>
      <w:pPr>
        <w:spacing w:after="0" w:line="202" w:lineRule="exact"/>
        <w:rPr>
          <w:sz w:val="20"/>
          <w:szCs w:val="20"/>
          <w:color w:val="auto"/>
        </w:rPr>
      </w:pPr>
    </w:p>
    <w:p>
      <w:pPr>
        <w:ind w:right="300" w:firstLine="456"/>
        <w:spacing w:after="0" w:line="246" w:lineRule="auto"/>
        <w:rPr>
          <w:sz w:val="20"/>
          <w:szCs w:val="20"/>
          <w:color w:val="auto"/>
        </w:rPr>
      </w:pPr>
      <w:r>
        <w:rPr>
          <w:rFonts w:ascii="Arial" w:cs="Arial" w:eastAsia="Arial" w:hAnsi="Arial"/>
          <w:sz w:val="18"/>
          <w:szCs w:val="18"/>
          <w:color w:val="auto"/>
        </w:rPr>
        <w:t>The fair value of the LTIP Share Price Element is estimated at the date of grant using a Monte Carlo pricing model, taking into account the terms and conditions upon which the share options were granted.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firstLine="456"/>
        <w:spacing w:after="0"/>
        <w:rPr>
          <w:sz w:val="20"/>
          <w:szCs w:val="20"/>
          <w:color w:val="auto"/>
        </w:rPr>
      </w:pPr>
      <w:r>
        <w:rPr>
          <w:rFonts w:ascii="Arial" w:cs="Arial" w:eastAsia="Arial" w:hAnsi="Arial"/>
          <w:sz w:val="18"/>
          <w:szCs w:val="18"/>
          <w:color w:val="auto"/>
        </w:rPr>
        <w:t>The fair value of the LTIP Strategic Element is estimated at the date of grant using a Black Scholes pricing model, taking into account the terms and conditions upon which the share options were granted, and the expense recorded is based upon the expected level of achievement of strategic targets.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calculations do not include any allowance for dividends as the Company has no available profits for distribution.</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contractual term of the LTIP options is five years.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 recognized for employee services received during the year to December 31, 2017 was £298,287 (2016: £133,601).</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Movements during the year</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number of, and movements in, LTIP options during the year:</w:t>
      </w:r>
    </w:p>
    <w:p>
      <w:pPr>
        <w:spacing w:after="0" w:line="226"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020" w:type="dxa"/>
            <w:vAlign w:val="bottom"/>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4"/>
                <w:szCs w:val="14"/>
                <w:color w:val="auto"/>
              </w:rPr>
            </w:pPr>
          </w:p>
        </w:tc>
        <w:tc>
          <w:tcPr>
            <w:tcW w:w="1040" w:type="dxa"/>
            <w:vAlign w:val="bottom"/>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5180" w:type="dxa"/>
            <w:vAlign w:val="bottom"/>
          </w:tcPr>
          <w:p>
            <w:pPr>
              <w:spacing w:after="0"/>
              <w:rPr>
                <w:sz w:val="15"/>
                <w:szCs w:val="15"/>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Number</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w:t>
            </w: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Granted during the year</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1,199,658</w:t>
            </w:r>
          </w:p>
        </w:tc>
        <w:tc>
          <w:tcPr>
            <w:tcW w:w="4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185,950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Cancelled during the year</w:t>
            </w:r>
          </w:p>
        </w:tc>
        <w:tc>
          <w:tcPr>
            <w:tcW w:w="14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 during the year</w:t>
            </w:r>
          </w:p>
        </w:tc>
        <w:tc>
          <w:tcPr>
            <w:tcW w:w="14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(234,162)</w:t>
            </w:r>
          </w:p>
        </w:tc>
        <w:tc>
          <w:tcPr>
            <w:tcW w:w="112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Outstanding at December 31</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965,496</w:t>
            </w:r>
          </w:p>
        </w:tc>
        <w:tc>
          <w:tcPr>
            <w:tcW w:w="4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1,151,446</w:t>
            </w:r>
          </w:p>
        </w:tc>
        <w:tc>
          <w:tcPr>
            <w:tcW w:w="80" w:type="dxa"/>
            <w:vAlign w:val="bottom"/>
          </w:tcPr>
          <w:p>
            <w:pPr>
              <w:spacing w:after="0"/>
              <w:rPr>
                <w:sz w:val="17"/>
                <w:szCs w:val="17"/>
                <w:color w:val="auto"/>
              </w:rPr>
            </w:pP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at December 31</w:t>
            </w: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right="360" w:firstLine="456"/>
        <w:spacing w:after="0" w:line="246" w:lineRule="auto"/>
        <w:rPr>
          <w:sz w:val="20"/>
          <w:szCs w:val="20"/>
          <w:color w:val="auto"/>
        </w:rPr>
      </w:pPr>
      <w:r>
        <w:rPr>
          <w:rFonts w:ascii="Arial" w:cs="Arial" w:eastAsia="Arial" w:hAnsi="Arial"/>
          <w:sz w:val="18"/>
          <w:szCs w:val="18"/>
          <w:color w:val="auto"/>
        </w:rPr>
        <w:t>The weighted average remaining contractual life for the LTIP options outstanding as at December 31, 2017 was 2.9 years (2016: 3.7 years).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fair value of LTIP options granted during the year was £1.99 (2016: £1.21).</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list the weighted average inputs to the models used for the fair value of LTIP options granted during the years ended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LTIP Share Price Element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Year ended</w:t>
            </w:r>
          </w:p>
        </w:tc>
        <w:tc>
          <w:tcPr>
            <w:tcW w:w="14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1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rPr>
              <w:t>December 31,</w:t>
            </w: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13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140" w:type="dxa"/>
            <w:vAlign w:val="bottom"/>
            <w:gridSpan w:val="3"/>
          </w:tcPr>
          <w:p>
            <w:pPr>
              <w:jc w:val="center"/>
              <w:ind w:left="205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196"/>
        </w:trPr>
        <w:tc>
          <w:tcPr>
            <w:tcW w:w="138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48.9</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4"/>
          </w:tcPr>
          <w:p>
            <w:pPr>
              <w:jc w:val="right"/>
              <w:ind w:right="420"/>
              <w:spacing w:after="0" w:line="202" w:lineRule="exact"/>
              <w:rPr>
                <w:sz w:val="20"/>
                <w:szCs w:val="20"/>
                <w:color w:val="auto"/>
              </w:rPr>
            </w:pPr>
            <w:r>
              <w:rPr>
                <w:rFonts w:ascii="Arial" w:cs="Arial" w:eastAsia="Arial" w:hAnsi="Arial"/>
                <w:sz w:val="18"/>
                <w:szCs w:val="18"/>
                <w:color w:val="auto"/>
              </w:rPr>
              <w:t>0.48–0.74</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0.17-0.39</w:t>
            </w:r>
          </w:p>
        </w:tc>
        <w:tc>
          <w:tcPr>
            <w:tcW w:w="8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4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3–5</w:t>
            </w: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33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2.21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8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40" w:type="dxa"/>
            <w:vAlign w:val="bottom"/>
            <w:gridSpan w:val="4"/>
            <w:shd w:val="clear" w:color="auto" w:fill="CCEEFF"/>
          </w:tcPr>
          <w:p>
            <w:pPr>
              <w:ind w:left="340"/>
              <w:spacing w:after="0" w:line="202" w:lineRule="exact"/>
              <w:rPr>
                <w:sz w:val="20"/>
                <w:szCs w:val="20"/>
                <w:color w:val="auto"/>
              </w:rPr>
            </w:pPr>
            <w:r>
              <w:rPr>
                <w:rFonts w:ascii="Arial" w:cs="Arial" w:eastAsia="Arial" w:hAnsi="Arial"/>
                <w:sz w:val="18"/>
                <w:szCs w:val="18"/>
                <w:color w:val="auto"/>
              </w:rPr>
              <w:t>Monte Carlo</w:t>
            </w:r>
          </w:p>
        </w:tc>
        <w:tc>
          <w:tcPr>
            <w:tcW w:w="14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Monte Carlo</w:t>
            </w:r>
          </w:p>
        </w:tc>
      </w:tr>
      <w:tr>
        <w:trPr>
          <w:trHeight w:val="540"/>
        </w:trPr>
        <w:tc>
          <w:tcPr>
            <w:tcW w:w="4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LTIP Strategic Element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13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rPr>
              <w:t>Year ended</w:t>
            </w: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1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8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rPr>
              <w:t>December 31,</w:t>
            </w: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13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140" w:type="dxa"/>
            <w:vAlign w:val="bottom"/>
            <w:gridSpan w:val="3"/>
          </w:tcPr>
          <w:p>
            <w:pPr>
              <w:jc w:val="center"/>
              <w:ind w:left="153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196"/>
        </w:trPr>
        <w:tc>
          <w:tcPr>
            <w:tcW w:w="138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6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48.9</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31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0.74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0.39</w:t>
            </w:r>
          </w:p>
        </w:tc>
        <w:tc>
          <w:tcPr>
            <w:tcW w:w="8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31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56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31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2.21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8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4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Black Scholes</w:t>
            </w:r>
          </w:p>
        </w:tc>
        <w:tc>
          <w:tcPr>
            <w:tcW w:w="1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Black Scholes</w:t>
            </w:r>
          </w:p>
        </w:tc>
      </w:tr>
      <w:tr>
        <w:trPr>
          <w:trHeight w:val="365"/>
        </w:trPr>
        <w:tc>
          <w:tcPr>
            <w:tcW w:w="13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720" w:type="dxa"/>
            <w:vAlign w:val="bottom"/>
            <w:gridSpan w:val="6"/>
          </w:tcPr>
          <w:p>
            <w:pPr>
              <w:ind w:left="580"/>
              <w:spacing w:after="0"/>
              <w:rPr>
                <w:sz w:val="20"/>
                <w:szCs w:val="20"/>
                <w:color w:val="auto"/>
              </w:rPr>
            </w:pPr>
            <w:r>
              <w:rPr>
                <w:rFonts w:ascii="Arial" w:cs="Arial" w:eastAsia="Arial" w:hAnsi="Arial"/>
                <w:sz w:val="18"/>
                <w:szCs w:val="18"/>
                <w:color w:val="auto"/>
              </w:rPr>
              <w:t>F-36</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340"/>
          </w:cols>
          <w:pgMar w:left="240" w:top="460" w:right="31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40" w:firstLine="456"/>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LTIP options the contractual life of the options has been used in calculating the expense for the year.</w:t>
      </w:r>
    </w:p>
    <w:p>
      <w:pPr>
        <w:spacing w:after="0" w:line="197" w:lineRule="exact"/>
        <w:rPr>
          <w:sz w:val="20"/>
          <w:szCs w:val="20"/>
          <w:color w:val="auto"/>
        </w:rPr>
      </w:pPr>
    </w:p>
    <w:p>
      <w:pPr>
        <w:ind w:right="80" w:firstLine="456"/>
        <w:spacing w:after="0" w:line="246" w:lineRule="auto"/>
        <w:rPr>
          <w:sz w:val="20"/>
          <w:szCs w:val="20"/>
          <w:color w:val="auto"/>
        </w:rPr>
      </w:pPr>
      <w:r>
        <w:rPr>
          <w:rFonts w:ascii="Arial" w:cs="Arial" w:eastAsia="Arial" w:hAnsi="Arial"/>
          <w:sz w:val="18"/>
          <w:szCs w:val="18"/>
          <w:color w:val="auto"/>
        </w:rPr>
        <w:t>Volatility is estimated by reference to the share price volatility of a group of comparable companies over a retrospective year equal to the expected life of the LTIP options.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Bonus Share Plan</w:t>
      </w:r>
    </w:p>
    <w:p>
      <w:pPr>
        <w:spacing w:after="0" w:line="126"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Under the Company’s Deferred Bonus Share Plan (DBSP), 30% of the annual bonus for the executive management team is payable in deferred shares, which are governed by the DBSP rules. At the date of grant of the awards, the monetary bonus amount will be divided by the closing share price to give the number of shares issued to the employee under the DBSP. The number of shares is fixed and not subject to adjustment between the issue date and vesting date. Under the DBSP, awards vest after three years from the grant date of the award. There are no further performance conditions attached to the award, nor any service conditions (including no requirement for continued employment once the awards have been made). The plan does allow for adjustment of awards in the event of a material misstatement of Group’s accounts or fraud or misconduct on the part of an individual. The plan also allows for adjustment of awards in the event there was an error in calculating the vesting of the awards.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the awards are issued at £nil cost they will be satisfied by the issue of shares from the EBT.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number of, and movements in, DBSP options during the year:</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Pr>
          <w:p>
            <w:pPr>
              <w:jc w:val="right"/>
              <w:ind w:right="14"/>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4080" w:type="dxa"/>
            <w:vAlign w:val="bottom"/>
          </w:tcPr>
          <w:p>
            <w:pPr>
              <w:spacing w:after="0"/>
              <w:rPr>
                <w:sz w:val="14"/>
                <w:szCs w:val="14"/>
                <w:color w:val="auto"/>
              </w:rPr>
            </w:pPr>
          </w:p>
        </w:tc>
        <w:tc>
          <w:tcPr>
            <w:tcW w:w="27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880" w:type="dxa"/>
            <w:vAlign w:val="bottom"/>
            <w:gridSpan w:val="3"/>
          </w:tcPr>
          <w:p>
            <w:pPr>
              <w:jc w:val="center"/>
              <w:ind w:left="739"/>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080" w:type="dxa"/>
            <w:vAlign w:val="bottom"/>
          </w:tcPr>
          <w:p>
            <w:pPr>
              <w:spacing w:after="0"/>
              <w:rPr>
                <w:sz w:val="15"/>
                <w:szCs w:val="15"/>
                <w:color w:val="auto"/>
              </w:rPr>
            </w:pPr>
          </w:p>
        </w:tc>
        <w:tc>
          <w:tcPr>
            <w:tcW w:w="272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820" w:type="dxa"/>
            <w:vAlign w:val="bottom"/>
            <w:gridSpan w:val="2"/>
          </w:tcPr>
          <w:p>
            <w:pPr>
              <w:jc w:val="center"/>
              <w:ind w:left="77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1</w:t>
            </w:r>
          </w:p>
        </w:tc>
        <w:tc>
          <w:tcPr>
            <w:tcW w:w="17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62,180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Awarded during the year</w:t>
            </w:r>
          </w:p>
        </w:tc>
        <w:tc>
          <w:tcPr>
            <w:tcW w:w="2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62,180</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100,820</w:t>
            </w:r>
          </w:p>
        </w:tc>
        <w:tc>
          <w:tcPr>
            <w:tcW w:w="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 during the year</w:t>
            </w:r>
          </w:p>
        </w:tc>
        <w:tc>
          <w:tcPr>
            <w:tcW w:w="17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Outstanding at December 31</w:t>
            </w:r>
          </w:p>
        </w:tc>
        <w:tc>
          <w:tcPr>
            <w:tcW w:w="2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62,180</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163,000</w:t>
            </w:r>
          </w:p>
        </w:tc>
        <w:tc>
          <w:tcPr>
            <w:tcW w:w="60" w:type="dxa"/>
            <w:vAlign w:val="bottom"/>
          </w:tcPr>
          <w:p>
            <w:pPr>
              <w:spacing w:after="0"/>
              <w:rPr>
                <w:sz w:val="17"/>
                <w:szCs w:val="17"/>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at December 31</w:t>
            </w:r>
          </w:p>
        </w:tc>
        <w:tc>
          <w:tcPr>
            <w:tcW w:w="17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right="440" w:firstLine="456"/>
        <w:spacing w:after="0" w:line="246" w:lineRule="auto"/>
        <w:rPr>
          <w:sz w:val="20"/>
          <w:szCs w:val="20"/>
          <w:color w:val="auto"/>
        </w:rPr>
      </w:pPr>
      <w:r>
        <w:rPr>
          <w:rFonts w:ascii="Arial" w:cs="Arial" w:eastAsia="Arial" w:hAnsi="Arial"/>
          <w:sz w:val="18"/>
          <w:szCs w:val="18"/>
          <w:color w:val="auto"/>
        </w:rPr>
        <w:t>The weighted average remaining contractual life for the DBSP options outstanding as at December 31, 2017 was 3.6 years (2016: 4 years).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fair value of deferred share bonus plan options granted during the year was £3.23 (2016: £2.80).</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Equity Consideration</w:t>
      </w:r>
    </w:p>
    <w:p>
      <w:pPr>
        <w:spacing w:after="0" w:line="126"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or the License Agreement, to obtain from AstraZeneca an exclusive worldwide, sub-licensable license under AstraZeneca’s intellectual property rights relating to AZD-9668, with an option to acquire such intellectual property rights following commencement of a pivotal trial and payment of related milestone payments, or the Option, together with the acquisition of certain related assets.</w:t>
      </w:r>
    </w:p>
    <w:p>
      <w:pPr>
        <w:spacing w:after="0" w:line="202" w:lineRule="exact"/>
        <w:rPr>
          <w:sz w:val="20"/>
          <w:szCs w:val="20"/>
          <w:color w:val="auto"/>
        </w:rPr>
      </w:pPr>
    </w:p>
    <w:p>
      <w:pPr>
        <w:ind w:right="660" w:firstLine="456"/>
        <w:spacing w:after="0" w:line="246" w:lineRule="auto"/>
        <w:rPr>
          <w:sz w:val="20"/>
          <w:szCs w:val="20"/>
          <w:color w:val="auto"/>
        </w:rPr>
      </w:pPr>
      <w:r>
        <w:rPr>
          <w:rFonts w:ascii="Arial" w:cs="Arial" w:eastAsia="Arial" w:hAnsi="Arial"/>
          <w:sz w:val="18"/>
          <w:szCs w:val="18"/>
          <w:color w:val="auto"/>
        </w:rPr>
        <w:t>Under the agreement with Astrazeneca, we may issue up to 1,349,693 ordinary shares which are dependent on achieving certain milestones.</w:t>
      </w:r>
    </w:p>
    <w:p>
      <w:pPr>
        <w:spacing w:after="0" w:line="197" w:lineRule="exact"/>
        <w:rPr>
          <w:sz w:val="20"/>
          <w:szCs w:val="20"/>
          <w:color w:val="auto"/>
        </w:rPr>
      </w:pPr>
    </w:p>
    <w:p>
      <w:pPr>
        <w:ind w:right="760" w:firstLine="456"/>
        <w:spacing w:after="0" w:line="246" w:lineRule="auto"/>
        <w:rPr>
          <w:sz w:val="20"/>
          <w:szCs w:val="20"/>
          <w:color w:val="auto"/>
        </w:rPr>
      </w:pPr>
      <w:r>
        <w:rPr>
          <w:rFonts w:ascii="Arial" w:cs="Arial" w:eastAsia="Arial" w:hAnsi="Arial"/>
          <w:sz w:val="18"/>
          <w:szCs w:val="18"/>
          <w:color w:val="auto"/>
        </w:rPr>
        <w:t>In respect of milestones that are probable, we have accounted for, but not yet issued, 429,448 ordinary shares which have been measured at fair value, being £3.10, giving a total of £1,331,288.</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60" w:right="2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Commitments and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commitments—Group as lessee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rentals payable under non-cancellable operating leases as at December 31, 2017 are as follows:</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900" w:type="dxa"/>
            <w:vAlign w:val="bottom"/>
          </w:tcPr>
          <w:p>
            <w:pPr>
              <w:spacing w:after="0"/>
              <w:rPr>
                <w:sz w:val="14"/>
                <w:szCs w:val="14"/>
                <w:color w:val="auto"/>
              </w:rPr>
            </w:pPr>
          </w:p>
        </w:tc>
        <w:tc>
          <w:tcPr>
            <w:tcW w:w="1060" w:type="dxa"/>
            <w:vAlign w:val="bottom"/>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1640" w:type="dxa"/>
            <w:vAlign w:val="bottom"/>
            <w:gridSpan w:val="2"/>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5900" w:type="dxa"/>
            <w:vAlign w:val="bottom"/>
          </w:tcPr>
          <w:p>
            <w:pPr>
              <w:spacing w:after="0"/>
              <w:rPr>
                <w:sz w:val="15"/>
                <w:szCs w:val="15"/>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w:t>
            </w:r>
          </w:p>
        </w:tc>
        <w:tc>
          <w:tcPr>
            <w:tcW w:w="1640" w:type="dxa"/>
            <w:vAlign w:val="bottom"/>
            <w:gridSpan w:val="2"/>
          </w:tcPr>
          <w:p>
            <w:pPr>
              <w:jc w:val="right"/>
              <w:ind w:right="41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Within one year</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325,920</w:t>
            </w:r>
          </w:p>
        </w:tc>
        <w:tc>
          <w:tcPr>
            <w:tcW w:w="5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743,858</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5900" w:type="dxa"/>
            <w:vAlign w:val="bottom"/>
          </w:tcPr>
          <w:p>
            <w:pPr>
              <w:spacing w:after="0" w:line="202" w:lineRule="exact"/>
              <w:rPr>
                <w:sz w:val="20"/>
                <w:szCs w:val="20"/>
                <w:color w:val="auto"/>
              </w:rPr>
            </w:pPr>
            <w:r>
              <w:rPr>
                <w:rFonts w:ascii="Arial" w:cs="Arial" w:eastAsia="Arial" w:hAnsi="Arial"/>
                <w:sz w:val="18"/>
                <w:szCs w:val="18"/>
                <w:color w:val="auto"/>
              </w:rPr>
              <w:t>After one year but not more than three years</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651,840</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535,203</w:t>
            </w:r>
          </w:p>
        </w:tc>
        <w:tc>
          <w:tcPr>
            <w:tcW w:w="8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After three years but not more than five years</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202,736</w:t>
            </w:r>
          </w:p>
        </w:tc>
        <w:tc>
          <w:tcPr>
            <w:tcW w:w="5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10"/>
        </w:trPr>
        <w:tc>
          <w:tcPr>
            <w:tcW w:w="5900" w:type="dxa"/>
            <w:vAlign w:val="bottom"/>
          </w:tcPr>
          <w:p>
            <w:pPr>
              <w:spacing w:after="0" w:line="202" w:lineRule="exact"/>
              <w:rPr>
                <w:sz w:val="20"/>
                <w:szCs w:val="20"/>
                <w:color w:val="auto"/>
              </w:rPr>
            </w:pPr>
            <w:r>
              <w:rPr>
                <w:rFonts w:ascii="Arial" w:cs="Arial" w:eastAsia="Arial" w:hAnsi="Arial"/>
                <w:sz w:val="18"/>
                <w:szCs w:val="18"/>
                <w:color w:val="auto"/>
              </w:rPr>
              <w:t>More than five years</w:t>
            </w:r>
          </w:p>
        </w:tc>
        <w:tc>
          <w:tcPr>
            <w:tcW w:w="106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80" w:type="dxa"/>
            <w:vAlign w:val="bottom"/>
            <w:tcBorders>
              <w:bottom w:val="single" w:sz="8" w:color="auto"/>
            </w:tcBorders>
          </w:tcPr>
          <w:p>
            <w:pPr>
              <w:ind w:left="80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3"/>
        </w:trPr>
        <w:tc>
          <w:tcPr>
            <w:tcW w:w="59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1,180,496</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1,279,061</w:t>
            </w:r>
          </w:p>
        </w:tc>
        <w:tc>
          <w:tcPr>
            <w:tcW w:w="80" w:type="dxa"/>
            <w:vAlign w:val="bottom"/>
            <w:shd w:val="clear" w:color="auto" w:fill="CCEEFF"/>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456"/>
        <w:spacing w:after="0"/>
        <w:rPr>
          <w:sz w:val="20"/>
          <w:szCs w:val="20"/>
          <w:color w:val="auto"/>
        </w:rPr>
      </w:pPr>
      <w:r>
        <w:rPr>
          <w:rFonts w:ascii="Arial" w:cs="Arial" w:eastAsia="Arial" w:hAnsi="Arial"/>
          <w:sz w:val="18"/>
          <w:szCs w:val="18"/>
          <w:color w:val="auto"/>
        </w:rPr>
        <w:t>The Group has entered into a lease for its premises at Fourth Floor, 1 Cavendish Place, London W1G 0QF. The term of the lease agreement is from August 17, 2015 through to August 16, 2025. The total lease expense for the year ended December 31, 2017 was £293,328 (2016:£293,328).</w:t>
      </w:r>
    </w:p>
    <w:p>
      <w:pPr>
        <w:spacing w:after="0" w:line="203"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premises comprise approximately 4,000 square feet. The principal rent for the premises is £162,960 per annum through December 16, 2016 and £325,920 per annum thereafter, subject to increase on August 17, 2020 based on the open market value of the premises (the “Principal Rent”). In addition to the Principal Rent, the Group is responsible for value added tax on the Principal Rent and certain insurance costs and service charges incurred by the landlord.</w:t>
      </w:r>
    </w:p>
    <w:p>
      <w:pPr>
        <w:spacing w:after="0" w:line="202" w:lineRule="exact"/>
        <w:rPr>
          <w:sz w:val="20"/>
          <w:szCs w:val="20"/>
          <w:color w:val="auto"/>
        </w:rPr>
      </w:pPr>
    </w:p>
    <w:p>
      <w:pPr>
        <w:ind w:right="40" w:firstLine="456"/>
        <w:spacing w:after="0"/>
        <w:rPr>
          <w:sz w:val="20"/>
          <w:szCs w:val="20"/>
          <w:color w:val="auto"/>
        </w:rPr>
      </w:pPr>
      <w:r>
        <w:rPr>
          <w:rFonts w:ascii="Arial" w:cs="Arial" w:eastAsia="Arial" w:hAnsi="Arial"/>
          <w:sz w:val="18"/>
          <w:szCs w:val="18"/>
          <w:color w:val="auto"/>
        </w:rPr>
        <w:t>The Group may break the lease agreement on August 16, 2020 by providing six months’ prior written notice to the landlord. If the Group does not exercise its break option, the landlord will decrease by 50% the Principal Rent for the period from August 16, 2020 through to April 15, 2021.</w:t>
      </w:r>
    </w:p>
    <w:p>
      <w:pPr>
        <w:spacing w:after="0" w:line="203" w:lineRule="exact"/>
        <w:rPr>
          <w:sz w:val="20"/>
          <w:szCs w:val="20"/>
          <w:color w:val="auto"/>
        </w:rPr>
      </w:pPr>
    </w:p>
    <w:p>
      <w:pPr>
        <w:ind w:right="120" w:firstLine="456"/>
        <w:spacing w:after="0" w:line="246" w:lineRule="auto"/>
        <w:rPr>
          <w:sz w:val="20"/>
          <w:szCs w:val="20"/>
          <w:color w:val="auto"/>
        </w:rPr>
      </w:pPr>
      <w:r>
        <w:rPr>
          <w:rFonts w:ascii="Arial" w:cs="Arial" w:eastAsia="Arial" w:hAnsi="Arial"/>
          <w:sz w:val="18"/>
          <w:szCs w:val="18"/>
          <w:color w:val="auto"/>
        </w:rPr>
        <w:t>The Group has entered into a lease for six High Resolution peripheral quantitative computed tomography (HRpQCT) scanners for use in its ongoing clinical studies.</w:t>
      </w:r>
    </w:p>
    <w:p>
      <w:pPr>
        <w:spacing w:after="0" w:line="197" w:lineRule="exact"/>
        <w:rPr>
          <w:sz w:val="20"/>
          <w:szCs w:val="20"/>
          <w:color w:val="auto"/>
        </w:rPr>
      </w:pPr>
    </w:p>
    <w:p>
      <w:pPr>
        <w:ind w:right="380" w:firstLine="456"/>
        <w:spacing w:after="0"/>
        <w:rPr>
          <w:sz w:val="20"/>
          <w:szCs w:val="20"/>
          <w:color w:val="auto"/>
        </w:rPr>
      </w:pPr>
      <w:r>
        <w:rPr>
          <w:rFonts w:ascii="Arial" w:cs="Arial" w:eastAsia="Arial" w:hAnsi="Arial"/>
          <w:sz w:val="18"/>
          <w:szCs w:val="18"/>
          <w:color w:val="auto"/>
        </w:rPr>
        <w:t>Each scanner has a lease term of 12 months from the date on which delivery of that scanner occurred. The Company has the right to extend the lease period for a further six months at any point during the lease term. This option may be exercised in respect of any of the individual scanners and does not have to be exercised in respect of all the scanners.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leases—Group as lessee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did not have any leasing arrangements classifying as finance leases at December 31, 2017.</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commitments</w:t>
      </w:r>
    </w:p>
    <w:p>
      <w:pPr>
        <w:spacing w:after="0" w:line="126"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Each of Mereo BioPharma 1 Ltd, Mereo BioPharma 2 Ltd and Mereo BioPharma 3 Ltd issued to Novartis loan notes (the Novartis notes) (which were assigned by Novartis to the Company in exchange for ordinary shares pursuant to the Subscription Agreement) and each of Mereo BioPharma 1 Ltd,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Mereo BioPharma 2 Ltd and Mereo BioPharma 3 Ltd agreed to make future payments to Novartis comprising amounts equal to ascending specified percentages of tiered annual worldwide net sales (beginning at high single digits and reaching into double digits at higher sales) by such subsidiary of products that include the assets acquired. The levels of ascending percentages of tiered annual worldwide net sales are the same for each of Mereo BioPharma 1, Mereo BioPharma 2 and Mereo BioPharma 3 under the respective Purchase Agreements.</w:t>
      </w:r>
    </w:p>
    <w:p>
      <w:pPr>
        <w:spacing w:after="0" w:line="202" w:lineRule="exact"/>
        <w:rPr>
          <w:sz w:val="20"/>
          <w:szCs w:val="20"/>
          <w:color w:val="auto"/>
        </w:rPr>
      </w:pPr>
    </w:p>
    <w:p>
      <w:pPr>
        <w:ind w:right="80" w:firstLine="456"/>
        <w:spacing w:after="0" w:line="237" w:lineRule="auto"/>
        <w:rPr>
          <w:sz w:val="20"/>
          <w:szCs w:val="20"/>
          <w:color w:val="auto"/>
        </w:rPr>
      </w:pPr>
      <w:r>
        <w:rPr>
          <w:rFonts w:ascii="Arial" w:cs="Arial" w:eastAsia="Arial" w:hAnsi="Arial"/>
          <w:sz w:val="18"/>
          <w:szCs w:val="18"/>
          <w:color w:val="auto"/>
        </w:rPr>
        <w:t>Each of Mereo BioPharma 1 Ltd, Mereo BioPharma 2 Ltd and Mereo BioPharma 3 Ltd further agreed that in the event it transfers, licenses, assigns or leases all or substantially all of its assets, it will pay Novartis a percentage of the proceeds of such transaction. The Company will retain the majority of the proceeds from such a transaction. Such percentage is the same for each of Mereo BioPharma 1 Ltd, Mereo BioPharma 2 Ltd and Mereo BioPharma 3 Ltd under the respective Purchase Agreements.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205" w:lineRule="exact"/>
        <w:rPr>
          <w:sz w:val="20"/>
          <w:szCs w:val="20"/>
          <w:color w:val="auto"/>
        </w:rPr>
      </w:pPr>
    </w:p>
    <w:p>
      <w:pPr>
        <w:ind w:right="20" w:firstLine="456"/>
        <w:spacing w:after="0" w:line="234"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or the License Agreement, to obtain from AstraZeneca an exclusive worldwide, sub-licensable license under AstraZeneca’s intellectual property rights relating to AZD-9668, with an option to acquire such intellectual property rights following commencement of a pivotal trial and payment of related milestone payments, or the Option, together with the acquisition of certain related assets. Upon entering into the License Agreement, we made a payment of $3.0 million and issued 490,798 ordinary shares to AstraZeneca, for an aggregate upfront payment equal to</w:t>
      </w:r>
    </w:p>
    <w:p>
      <w:pPr>
        <w:spacing w:after="0" w:line="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$5.0 million. In connection with certain development and regulatory milestones, we have agreed to make payments of up to $115.5 million in the aggregate and issue additional ordinary shares to AstraZeneca for licensed products containing AZD-9668. In addition, we have agreed to make payments to AstraZeneca based on specified commercial milestones of the product. In the event that we sub-license AZD-9668, we have also agreed to pay a specified percentage of sublicensing revenue to AstraZeneca. Otherwise, we have agreed to make royalty payments to AstraZeneca equal to ascending specified percentages of tiered annual worldwide net sales by us or our affiliates of licensed products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we may freely grant sub-licenses to affiliates upon notice to AstraZeneca and we must obtain AstraZeneca’s consent, not be unreasonably withheld, to grant sub-licenses to a third party. We have agreed to use commercially reasonable efforts to develop and commercialize at least one licensed product.</w:t>
      </w:r>
    </w:p>
    <w:p>
      <w:pPr>
        <w:spacing w:after="0" w:line="206"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The License Agreement will expire on the expiry of the last-to-expire royalty term with respect to all licensed products. Upon the expiration of the royalty term for a licensed product in a particular country, the licenses to us for such product in such country will become fully-paid and irrevocable. Prior to exercise of the Option, if at all, we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 inhibitors for the treatment of AATD. In addition, AstraZeneca agreed not to assert any AstraZeneca intellectual property rights that were included in the scope of the License Agreement against us.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Related party disclosures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transactions have been entered into with related parties for the year ended December 31, 2016 and 2017.</w:t>
      </w:r>
    </w:p>
    <w:p>
      <w:pPr>
        <w:spacing w:after="0" w:line="212" w:lineRule="exact"/>
        <w:rPr>
          <w:sz w:val="20"/>
          <w:szCs w:val="20"/>
          <w:color w:val="auto"/>
        </w:rPr>
      </w:pPr>
    </w:p>
    <w:p>
      <w:pPr>
        <w:ind w:right="140" w:firstLine="456"/>
        <w:spacing w:after="0" w:line="246" w:lineRule="auto"/>
        <w:rPr>
          <w:sz w:val="20"/>
          <w:szCs w:val="20"/>
          <w:color w:val="auto"/>
        </w:rPr>
      </w:pPr>
      <w:r>
        <w:rPr>
          <w:rFonts w:ascii="Arial" w:cs="Arial" w:eastAsia="Arial" w:hAnsi="Arial"/>
          <w:sz w:val="18"/>
          <w:szCs w:val="18"/>
          <w:color w:val="auto"/>
        </w:rPr>
        <w:t>Novartis Pharma AG (“Novartis”) holds shares in the Company at December 31, 2016. On June 3, 2016, the Group issued 3,463,563 £1 unsecured convertible loan notes (the Novartis Notes) to Novartis and received £3,463,563 from Novartis in consideration (Note 19).</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purchased goods and services from Novartis in the year as set out below:</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7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4900" w:type="dxa"/>
            <w:vAlign w:val="bottom"/>
          </w:tcPr>
          <w:p>
            <w:pPr>
              <w:spacing w:after="0"/>
              <w:rPr>
                <w:sz w:val="14"/>
                <w:szCs w:val="14"/>
                <w:color w:val="auto"/>
              </w:rPr>
            </w:pPr>
          </w:p>
        </w:tc>
        <w:tc>
          <w:tcPr>
            <w:tcW w:w="21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4"/>
                <w:szCs w:val="14"/>
                <w:color w:val="auto"/>
              </w:rPr>
            </w:pPr>
          </w:p>
        </w:tc>
        <w:tc>
          <w:tcPr>
            <w:tcW w:w="960" w:type="dxa"/>
            <w:vAlign w:val="bottom"/>
          </w:tcPr>
          <w:p>
            <w:pPr>
              <w:jc w:val="right"/>
              <w:ind w:right="24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4900" w:type="dxa"/>
            <w:vAlign w:val="bottom"/>
          </w:tcPr>
          <w:p>
            <w:pPr>
              <w:spacing w:after="0"/>
              <w:rPr>
                <w:sz w:val="15"/>
                <w:szCs w:val="15"/>
                <w:color w:val="auto"/>
              </w:rPr>
            </w:pPr>
          </w:p>
        </w:tc>
        <w:tc>
          <w:tcPr>
            <w:tcW w:w="21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5"/>
                <w:szCs w:val="15"/>
                <w:color w:val="auto"/>
              </w:rPr>
            </w:pPr>
          </w:p>
        </w:tc>
        <w:tc>
          <w:tcPr>
            <w:tcW w:w="960" w:type="dxa"/>
            <w:vAlign w:val="bottom"/>
          </w:tcPr>
          <w:p>
            <w:pPr>
              <w:jc w:val="right"/>
              <w:ind w:right="36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Manufacture and supply of clinical trial material</w:t>
            </w:r>
          </w:p>
        </w:tc>
        <w:tc>
          <w:tcPr>
            <w:tcW w:w="1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968,219</w:t>
            </w:r>
          </w:p>
        </w:tc>
        <w:tc>
          <w:tcPr>
            <w:tcW w:w="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4,610,106</w:t>
            </w:r>
          </w:p>
        </w:tc>
        <w:tc>
          <w:tcPr>
            <w:tcW w:w="80" w:type="dxa"/>
            <w:vAlign w:val="bottom"/>
            <w:tcBorders>
              <w:top w:val="single" w:sz="8" w:color="CCEEFF"/>
            </w:tcBorders>
            <w:shd w:val="clear" w:color="auto" w:fill="CCEEFF"/>
          </w:tcPr>
          <w:p>
            <w:pPr>
              <w:spacing w:after="0"/>
              <w:rPr>
                <w:sz w:val="17"/>
                <w:szCs w:val="17"/>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outstanding to be paid to Novartis at December 31, 2017 was £nil (2016: £35,249).</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purchases from related parties are made on terms equivalent to those that prevail in arm’s length transactions.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Standards issued but not yet effective</w:t>
      </w:r>
    </w:p>
    <w:p>
      <w:pPr>
        <w:spacing w:after="0" w:line="126" w:lineRule="exact"/>
        <w:rPr>
          <w:sz w:val="20"/>
          <w:szCs w:val="20"/>
          <w:color w:val="auto"/>
        </w:rPr>
      </w:pPr>
    </w:p>
    <w:p>
      <w:pPr>
        <w:ind w:right="260" w:firstLine="456"/>
        <w:spacing w:after="0" w:line="246" w:lineRule="auto"/>
        <w:rPr>
          <w:sz w:val="20"/>
          <w:szCs w:val="20"/>
          <w:color w:val="auto"/>
        </w:rPr>
      </w:pPr>
      <w:r>
        <w:rPr>
          <w:rFonts w:ascii="Arial" w:cs="Arial" w:eastAsia="Arial" w:hAnsi="Arial"/>
          <w:sz w:val="18"/>
          <w:szCs w:val="18"/>
          <w:color w:val="auto"/>
        </w:rPr>
        <w:t>The standards and interpretations that were issued, but not yet effective, up to the date of issuance of the Group’s financial statements are disclosed below. The Group intends to adopt these standards, if applicable, when they become effective.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IFRS 9 Financial Instruments</w:t>
      </w:r>
    </w:p>
    <w:p>
      <w:pPr>
        <w:spacing w:after="0" w:line="126"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IFRS 9 applies to reporting periods on or after January 1, 2018. The Group is currently assessing the impact of IFRS 9 and plans to adopt the new standard on the required effective date.</w:t>
      </w: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IFRS 15 Revenue from Contracts with Customers</w:t>
      </w:r>
    </w:p>
    <w:p>
      <w:pPr>
        <w:spacing w:after="0" w:line="126" w:lineRule="exact"/>
        <w:rPr>
          <w:sz w:val="20"/>
          <w:szCs w:val="20"/>
          <w:color w:val="auto"/>
        </w:rPr>
      </w:pPr>
    </w:p>
    <w:p>
      <w:pPr>
        <w:jc w:val="both"/>
        <w:ind w:right="220" w:firstLine="456"/>
        <w:spacing w:after="0" w:line="239" w:lineRule="auto"/>
        <w:rPr>
          <w:sz w:val="20"/>
          <w:szCs w:val="20"/>
          <w:color w:val="auto"/>
        </w:rPr>
      </w:pPr>
      <w:r>
        <w:rPr>
          <w:rFonts w:ascii="Arial" w:cs="Arial" w:eastAsia="Arial" w:hAnsi="Arial"/>
          <w:sz w:val="18"/>
          <w:szCs w:val="18"/>
          <w:color w:val="auto"/>
        </w:rPr>
        <w:t>IFRS 15 “Revenue from Contracts with Customers” (“IFRS 15”) was issued in May 2014 and establishes a new five-step model that will apply to revenue arising from contracts with customers. Under IFRS 15 revenue is recognized at an amount that reflects the consideration to which an entity expects to be entitled in exchange for transferring goods or services to a customer. The principles in IFRS 15 provide a more structured approach to measuring and recognising revenue.</w:t>
      </w:r>
    </w:p>
    <w:p>
      <w:pPr>
        <w:spacing w:after="0" w:line="202"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 new revenue standard is applicable to all entities and will supersede all current revenue recognition requirements under IFRS. Either a full or modified retrospective application is required for annual periods beginning on or after January 1, 2018 with early adoption permitted. As the Group is not currently, nor will it for the foreseeable future, generating revenues, IFRS 15 will be adopted when the Group has an arrangement within the scope of the standard.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16 Leases</w:t>
      </w:r>
    </w:p>
    <w:p>
      <w:pPr>
        <w:spacing w:after="0" w:line="126"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IFRS 16 “Leases” (“IFRS 16”) specifies how an IFRS reporter will recognise, measure, present and disclose leases. The standard provides a single lessee accounting model, requiring lessees to recognise assets and liabilities for all leases unless the lease term is twelve months or less or the underlying asset has a low value. Lessors continue to classify leases as operating or finance, with IFRS 16’s approach to lessor accounting substantially unchanged from its predecessor, IAS 17 “Leases”.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IFRS 16 was issued in January 2016 and applies to annual reporting periods beginning on or after January 1, 2019.</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is currently assessing the impact of IFRS 16 and plans to adopt the new standard on the required effective date.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standards</w:t>
      </w:r>
    </w:p>
    <w:p>
      <w:pPr>
        <w:spacing w:after="0" w:line="126" w:lineRule="exact"/>
        <w:rPr>
          <w:sz w:val="20"/>
          <w:szCs w:val="20"/>
          <w:color w:val="auto"/>
        </w:rPr>
      </w:pPr>
    </w:p>
    <w:p>
      <w:pPr>
        <w:ind w:right="280" w:firstLine="456"/>
        <w:spacing w:after="0" w:line="246" w:lineRule="auto"/>
        <w:rPr>
          <w:sz w:val="20"/>
          <w:szCs w:val="20"/>
          <w:color w:val="auto"/>
        </w:rPr>
      </w:pPr>
      <w:r>
        <w:rPr>
          <w:rFonts w:ascii="Arial" w:cs="Arial" w:eastAsia="Arial" w:hAnsi="Arial"/>
          <w:sz w:val="18"/>
          <w:szCs w:val="18"/>
          <w:color w:val="auto"/>
        </w:rPr>
        <w:t>The following standards and interpretations, applicable for annual periods beginning on or after January 1, 2017, are not expected to have any material impact on the results of the Group or the presentation of the financial statements:</w:t>
      </w:r>
    </w:p>
    <w:p>
      <w:pPr>
        <w:spacing w:after="0" w:line="102" w:lineRule="exact"/>
        <w:rPr>
          <w:sz w:val="20"/>
          <w:szCs w:val="20"/>
          <w:color w:val="auto"/>
        </w:rPr>
      </w:pPr>
    </w:p>
    <w:p>
      <w:pPr>
        <w:ind w:left="900" w:right="60" w:hanging="325"/>
        <w:spacing w:after="0" w:line="246"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IFRS 10 “Consolidated Financial Statements”—Amendments regarding the sale or contribution of assets between an investor and its associate or joint venture and amendments regarding the application of the consolidation exception</w:t>
      </w:r>
    </w:p>
    <w:p>
      <w:pPr>
        <w:spacing w:after="0" w:line="102"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IFRS 11 “Joint Arrangements”—Amendments regarding the accounting for acquisitions of an interest in a joint operation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IFRS 12 “Disclosure of Interests in Other Entities”—Amendments regarding the application of the consolidation exception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IFRS 14 “Regulatory Deferral Accounts”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IAS 1 “Presentation of Financial Statements”—Amendments resulting from the disclosure initiative</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IAS 7 “Statement of Cash Flows”—Amendments resulting from the disclosure initiative</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IAS 12 “Income Taxes”—Amendments to recognition of deferred tax assets for unrealised losses</w:t>
      </w:r>
    </w:p>
    <w:p>
      <w:pPr>
        <w:spacing w:after="0" w:line="117" w:lineRule="exact"/>
        <w:rPr>
          <w:rFonts w:ascii="Arial" w:cs="Arial" w:eastAsia="Arial" w:hAnsi="Arial"/>
          <w:sz w:val="18"/>
          <w:szCs w:val="18"/>
          <w:color w:val="auto"/>
        </w:rPr>
      </w:pPr>
    </w:p>
    <w:p>
      <w:pPr>
        <w:ind w:left="900" w:hanging="325"/>
        <w:spacing w:after="0" w:line="246"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IAS 16 “Property, Plant and Equipment” (“IAS 16”)—Amendments regarding the clarification of acceptable methods of depreciation and amortisation and amendments bringing bearer plants into the scope of IAS 16</w:t>
      </w:r>
    </w:p>
    <w:p>
      <w:pPr>
        <w:spacing w:after="0" w:line="102" w:lineRule="exact"/>
        <w:rPr>
          <w:rFonts w:ascii="Arial" w:cs="Arial" w:eastAsia="Arial" w:hAnsi="Arial"/>
          <w:sz w:val="18"/>
          <w:szCs w:val="18"/>
          <w:color w:val="auto"/>
        </w:rPr>
      </w:pPr>
    </w:p>
    <w:p>
      <w:pPr>
        <w:ind w:left="900" w:right="400" w:hanging="325"/>
        <w:spacing w:after="0" w:line="246"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IAS 27 “Separate Financial Statements (as amended in 2011)”—Amendments reinstating the equity method as an accounting option for investments in subsidiaries, joint ventures and associates in an entity’s separate financial statements</w:t>
      </w:r>
    </w:p>
    <w:p>
      <w:pPr>
        <w:spacing w:after="0" w:line="102"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IAS 28 “Investments in Associates and Joint Ventures”—Amendments regarding the application of the consolidation exception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IAS 38 “Intangible Assets”—Amendments regarding the clarification of acceptable methods of depreciation and amortisation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IAS 41 “Agriculture”—Amendments bringing bearer plants into the scope of IAS 16</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Amendments resulting from September 2014 Annual Improvements to IFRSs: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IFRS 2 “Classification and Measurement of Share-based Payment” Transactions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IFRS 5 “Non-current Assets Held for Sale and Discontinued Operations”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IFRS 7 “Financial Instruments: Disclosures”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IFRIC Interpretation 22 “Foreign Currency Transactions and Advance Consideration”</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IAS 19 “Employee Benefits”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IAS 34 “Interim Financial Reporting”</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80"/>
          </w:cols>
          <w:pgMar w:left="240" w:top="460" w:right="3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97700"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auto"/>
        </w:rPr>
        <w:t>Ordinary Shares</w:t>
      </w:r>
    </w:p>
    <w:p>
      <w:pPr>
        <w:spacing w:after="0" w:line="42" w:lineRule="exact"/>
        <w:rPr>
          <w:sz w:val="20"/>
          <w:szCs w:val="20"/>
          <w:color w:val="auto"/>
        </w:rPr>
      </w:pPr>
    </w:p>
    <w:p>
      <w:pPr>
        <w:ind w:left="3420"/>
        <w:spacing w:after="0"/>
        <w:rPr>
          <w:sz w:val="20"/>
          <w:szCs w:val="20"/>
          <w:color w:val="auto"/>
        </w:rPr>
      </w:pPr>
      <w:r>
        <w:rPr>
          <w:rFonts w:ascii="Arial" w:cs="Arial" w:eastAsia="Arial" w:hAnsi="Arial"/>
          <w:sz w:val="25"/>
          <w:szCs w:val="25"/>
          <w:b w:val="1"/>
          <w:bCs w:val="1"/>
          <w:color w:val="auto"/>
        </w:rPr>
        <w:t>(including Ordinary Shares in the form</w:t>
      </w:r>
    </w:p>
    <w:p>
      <w:pPr>
        <w:spacing w:after="0" w:line="10" w:lineRule="exact"/>
        <w:rPr>
          <w:sz w:val="20"/>
          <w:szCs w:val="20"/>
          <w:color w:val="auto"/>
        </w:rPr>
      </w:pPr>
    </w:p>
    <w:p>
      <w:pPr>
        <w:ind w:left="3800"/>
        <w:spacing w:after="0"/>
        <w:rPr>
          <w:sz w:val="20"/>
          <w:szCs w:val="20"/>
          <w:color w:val="auto"/>
        </w:rPr>
      </w:pPr>
      <w:r>
        <w:rPr>
          <w:rFonts w:ascii="Arial" w:cs="Arial" w:eastAsia="Arial" w:hAnsi="Arial"/>
          <w:sz w:val="25"/>
          <w:szCs w:val="25"/>
          <w:b w:val="1"/>
          <w:bCs w:val="1"/>
          <w:color w:val="auto"/>
        </w:rPr>
        <w:t>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2603500</wp:posOffset>
            </wp:positionV>
            <wp:extent cx="6997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657225</wp:posOffset>
            </wp:positionV>
            <wp:extent cx="2470150" cy="9004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4701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177165</wp:posOffset>
            </wp:positionV>
            <wp:extent cx="6997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spacing w:after="0"/>
        <w:tabs>
          <w:tab w:leader="none" w:pos="3380" w:val="left"/>
          <w:tab w:leader="none" w:pos="8380" w:val="left"/>
        </w:tabs>
        <w:rPr>
          <w:sz w:val="20"/>
          <w:szCs w:val="20"/>
          <w:color w:val="auto"/>
        </w:rPr>
      </w:pPr>
      <w:r>
        <w:rPr>
          <w:rFonts w:ascii="Arial" w:cs="Arial" w:eastAsia="Arial" w:hAnsi="Arial"/>
          <w:sz w:val="29"/>
          <w:szCs w:val="29"/>
          <w:b w:val="1"/>
          <w:bCs w:val="1"/>
          <w:color w:val="auto"/>
        </w:rPr>
        <w:t>Cowen</w:t>
      </w:r>
      <w:r>
        <w:rPr>
          <w:sz w:val="20"/>
          <w:szCs w:val="20"/>
          <w:color w:val="auto"/>
        </w:rPr>
        <w:tab/>
      </w:r>
      <w:r>
        <w:rPr>
          <w:rFonts w:ascii="Arial" w:cs="Arial" w:eastAsia="Arial" w:hAnsi="Arial"/>
          <w:sz w:val="29"/>
          <w:szCs w:val="29"/>
          <w:b w:val="1"/>
          <w:bCs w:val="1"/>
          <w:color w:val="auto"/>
        </w:rPr>
        <w:t>BMO Capital Markets</w:t>
      </w:r>
      <w:r>
        <w:rPr>
          <w:sz w:val="20"/>
          <w:szCs w:val="20"/>
          <w:color w:val="auto"/>
        </w:rPr>
        <w:tab/>
      </w:r>
      <w:r>
        <w:rPr>
          <w:rFonts w:ascii="Arial" w:cs="Arial" w:eastAsia="Arial" w:hAnsi="Arial"/>
          <w:sz w:val="28"/>
          <w:szCs w:val="28"/>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250825</wp:posOffset>
            </wp:positionV>
            <wp:extent cx="182689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199"/>
        <w:spacing w:after="0"/>
        <w:rPr>
          <w:sz w:val="20"/>
          <w:szCs w:val="20"/>
          <w:color w:val="auto"/>
        </w:rPr>
      </w:pPr>
      <w:r>
        <w:rPr>
          <w:rFonts w:ascii="Arial" w:cs="Arial" w:eastAsia="Arial" w:hAnsi="Arial"/>
          <w:sz w:val="23"/>
          <w:szCs w:val="23"/>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250190</wp:posOffset>
            </wp:positionV>
            <wp:extent cx="182689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23"/>
          <w:szCs w:val="23"/>
          <w:b w:val="1"/>
          <w:bCs w:val="1"/>
          <w:color w:val="auto"/>
        </w:rPr>
        <w:t>Cantor Fitzgerald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 2018</w:t>
      </w:r>
    </w:p>
    <w:p>
      <w:pPr>
        <w:spacing w:after="0" w:line="200" w:lineRule="exact"/>
        <w:rPr>
          <w:sz w:val="20"/>
          <w:szCs w:val="20"/>
          <w:color w:val="auto"/>
        </w:rPr>
      </w:pPr>
    </w:p>
    <w:p>
      <w:pPr>
        <w:spacing w:after="0" w:line="34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4"/>
          <w:szCs w:val="14"/>
          <w:color w:val="auto"/>
        </w:rPr>
        <w:t>Until</w:t>
      </w:r>
      <w:r>
        <w:rPr>
          <w:sz w:val="20"/>
          <w:szCs w:val="20"/>
          <w:color w:val="auto"/>
        </w:rPr>
        <w:tab/>
      </w:r>
      <w:r>
        <w:rPr>
          <w:rFonts w:ascii="Arial" w:cs="Arial" w:eastAsia="Arial" w:hAnsi="Arial"/>
          <w:sz w:val="14"/>
          <w:szCs w:val="14"/>
          <w:color w:val="auto"/>
        </w:rPr>
        <w:t>, 2018 (25 days after the date of this prospectus), all dealers that buy, sell or trade ADSs or ordinary shares, whether or not participating in the global offering,</w:t>
      </w:r>
    </w:p>
    <w:p>
      <w:pPr>
        <w:spacing w:after="0" w:line="1" w:lineRule="exact"/>
        <w:rPr>
          <w:sz w:val="20"/>
          <w:szCs w:val="20"/>
          <w:color w:val="auto"/>
        </w:rPr>
      </w:pPr>
    </w:p>
    <w:p>
      <w:pPr>
        <w:ind w:left="200" w:right="460"/>
        <w:spacing w:after="0" w:line="258" w:lineRule="auto"/>
        <w:rPr>
          <w:sz w:val="20"/>
          <w:szCs w:val="20"/>
          <w:color w:val="auto"/>
        </w:rPr>
      </w:pPr>
      <w:r>
        <w:rPr>
          <w:rFonts w:ascii="Arial" w:cs="Arial" w:eastAsia="Arial" w:hAnsi="Arial"/>
          <w:sz w:val="14"/>
          <w:szCs w:val="14"/>
          <w:color w:val="auto"/>
        </w:rPr>
        <w:t>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699770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ectPr>
          <w:pgSz w:w="11900" w:h="16838" w:orient="portrait"/>
          <w:cols w:equalWidth="0" w:num="1">
            <w:col w:w="11220"/>
          </w:cols>
          <w:pgMar w:left="240" w:top="460"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II—INFORMATION NOT REQUIRED IN THE PROSPECTUS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Members of the registrant’s board of directors have the benefit of the following indemnification provisions in the registrant’s Articles of</w:t>
      </w:r>
    </w:p>
    <w:p>
      <w:pPr>
        <w:ind w:left="200"/>
        <w:spacing w:after="0"/>
        <w:rPr>
          <w:sz w:val="20"/>
          <w:szCs w:val="20"/>
          <w:color w:val="auto"/>
        </w:rPr>
      </w:pPr>
      <w:r>
        <w:rPr>
          <w:rFonts w:ascii="Arial" w:cs="Arial" w:eastAsia="Arial" w:hAnsi="Arial"/>
          <w:sz w:val="18"/>
          <w:szCs w:val="18"/>
          <w:color w:val="auto"/>
        </w:rPr>
        <w:t>Association:</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Current and former members of the registrant’s board of directors may be indemnified for:</w:t>
      </w:r>
    </w:p>
    <w:p>
      <w:pPr>
        <w:spacing w:after="0" w:line="104" w:lineRule="exact"/>
        <w:rPr>
          <w:sz w:val="20"/>
          <w:szCs w:val="20"/>
          <w:color w:val="auto"/>
        </w:rPr>
      </w:pPr>
    </w:p>
    <w:p>
      <w:pPr>
        <w:ind w:left="540" w:right="140" w:firstLine="315"/>
        <w:spacing w:after="0" w:line="246" w:lineRule="auto"/>
        <w:tabs>
          <w:tab w:leader="none" w:pos="113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liability incurred by that director in connection with any negligence, default, breach of duty, or breach of trust in relation to the registrant or an associated company;</w:t>
      </w:r>
    </w:p>
    <w:p>
      <w:pPr>
        <w:spacing w:after="0" w:line="7" w:lineRule="exact"/>
        <w:rPr>
          <w:rFonts w:ascii="Arial" w:cs="Arial" w:eastAsia="Arial" w:hAnsi="Arial"/>
          <w:sz w:val="18"/>
          <w:szCs w:val="18"/>
          <w:color w:val="auto"/>
        </w:rPr>
      </w:pPr>
    </w:p>
    <w:p>
      <w:pPr>
        <w:ind w:left="540" w:right="140" w:firstLine="315"/>
        <w:spacing w:after="0" w:line="246" w:lineRule="auto"/>
        <w:tabs>
          <w:tab w:leader="none" w:pos="113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liability incurred by that director in connection with the activities of the registrant or an associated company in its capacity as a trustee of an occupational pension scheme; and</w:t>
      </w:r>
    </w:p>
    <w:p>
      <w:pPr>
        <w:spacing w:after="0" w:line="21" w:lineRule="exact"/>
        <w:rPr>
          <w:rFonts w:ascii="Arial" w:cs="Arial" w:eastAsia="Arial" w:hAnsi="Arial"/>
          <w:sz w:val="18"/>
          <w:szCs w:val="18"/>
          <w:color w:val="auto"/>
        </w:rPr>
      </w:pPr>
    </w:p>
    <w:p>
      <w:pPr>
        <w:ind w:left="1120" w:hanging="265"/>
        <w:spacing w:after="0"/>
        <w:tabs>
          <w:tab w:leader="none" w:pos="11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other liability incurred by that director as an officer of the registrant or an associated company.</w:t>
      </w:r>
    </w:p>
    <w:p>
      <w:pPr>
        <w:spacing w:after="0" w:line="212"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In addition, members of the registrant’s board of directors who have received payment from the registrant under these indemnification provisions must repay the amount they received in accordance with the Statutes or in any other circumstances that the registrant may prescribe or where the registrant has reserved the right to require repayment.</w:t>
      </w:r>
    </w:p>
    <w:p>
      <w:pPr>
        <w:spacing w:after="0" w:line="203"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The underwriting agreement the registrant will enter into in connection with the offering of ADSs being registered hereby provides that the underwriters will indemnify, under certain conditions, the registrant’s board of directors and its officers against certain liabilities arising in connection with the U.S. offering.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Issuance of Share Capital</w:t>
      </w:r>
    </w:p>
    <w:p>
      <w:pPr>
        <w:spacing w:after="0" w:line="225" w:lineRule="exact"/>
        <w:rPr>
          <w:sz w:val="20"/>
          <w:szCs w:val="20"/>
          <w:color w:val="auto"/>
        </w:rPr>
      </w:pPr>
    </w:p>
    <w:p>
      <w:pPr>
        <w:ind w:left="960" w:hanging="432"/>
        <w:spacing w:after="0"/>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March 10, 2015, the registrant issued an ordinary share of nominal value £1 to its founder for aggregate consideration of £1.</w:t>
      </w:r>
    </w:p>
    <w:p>
      <w:pPr>
        <w:spacing w:after="0" w:line="26" w:lineRule="exact"/>
        <w:rPr>
          <w:rFonts w:ascii="MS PGothic" w:cs="MS PGothic" w:eastAsia="MS PGothic" w:hAnsi="MS PGothic"/>
          <w:sz w:val="25"/>
          <w:szCs w:val="25"/>
          <w:color w:val="auto"/>
          <w:vertAlign w:val="superscript"/>
        </w:rPr>
      </w:pPr>
    </w:p>
    <w:p>
      <w:pPr>
        <w:ind w:left="960" w:right="960" w:hanging="432"/>
        <w:spacing w:after="0" w:line="218"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April 21, 2015, the registrant issued 4,999 ordinary shares of nominal value £1 each to its founders for aggregate consideration of £4,999.</w:t>
      </w:r>
    </w:p>
    <w:p>
      <w:pPr>
        <w:spacing w:after="0" w:line="27" w:lineRule="exact"/>
        <w:rPr>
          <w:rFonts w:ascii="MS PGothic" w:cs="MS PGothic" w:eastAsia="MS PGothic" w:hAnsi="MS PGothic"/>
          <w:sz w:val="25"/>
          <w:szCs w:val="25"/>
          <w:color w:val="auto"/>
          <w:vertAlign w:val="superscript"/>
        </w:rPr>
      </w:pPr>
    </w:p>
    <w:p>
      <w:pPr>
        <w:ind w:left="960" w:right="540" w:hanging="432"/>
        <w:spacing w:after="0" w:line="218"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July 29, 2015, the registrant effected subdivision of its 5,000 ordinary shares at a 1:1,000 ratio, resulting in there being 5,000,000 ordinary shares of nominal value £0.001 each.</w:t>
      </w:r>
    </w:p>
    <w:p>
      <w:pPr>
        <w:spacing w:after="0" w:line="27" w:lineRule="exact"/>
        <w:rPr>
          <w:rFonts w:ascii="MS PGothic" w:cs="MS PGothic" w:eastAsia="MS PGothic" w:hAnsi="MS PGothic"/>
          <w:sz w:val="25"/>
          <w:szCs w:val="25"/>
          <w:color w:val="auto"/>
          <w:vertAlign w:val="superscript"/>
        </w:rPr>
      </w:pPr>
    </w:p>
    <w:p>
      <w:pPr>
        <w:jc w:val="both"/>
        <w:ind w:left="960" w:hanging="432"/>
        <w:spacing w:after="0" w:line="218"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July 29, 2015, the registrant issued 14,740,296 ordinary shares of nominal value £0.001 each to new investors for aggregate consideration of £20.0 million in cash and the assignment to the registrant of loan notes in an aggregate amount of £25.8 million.</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23"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November 27, 2015, the registrant issued 39,480,592 ordinary shares of nominal value £0.001 each to existing investors in connection with a recapitalization of the registrant. Following such issuance, the ordinary shares of the registrant were consolidated at a 3:1 ratio, resulting in there being 19,740,296 ordinary shares of nominal value £0.003 per ordinary share.</w:t>
      </w:r>
    </w:p>
    <w:p>
      <w:pPr>
        <w:spacing w:after="0" w:line="28"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June 9, 2016, the registrant issued 44,600,502 ordinary shares of nominal value £0.003 each to new and existing investors for aggregate consideration of £84.0 million.</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April 3, 2017, the registrant issued 5,042,017 ordinary shares of nominal value £0.003 each to new and existing investors for aggregate consideration of £15.0 million.</w:t>
      </w:r>
    </w:p>
    <w:p>
      <w:pPr>
        <w:spacing w:after="0" w:line="27" w:lineRule="exact"/>
        <w:rPr>
          <w:rFonts w:ascii="MS PGothic" w:cs="MS PGothic" w:eastAsia="MS PGothic" w:hAnsi="MS PGothic"/>
          <w:sz w:val="25"/>
          <w:szCs w:val="25"/>
          <w:color w:val="auto"/>
          <w:vertAlign w:val="superscript"/>
        </w:rPr>
      </w:pPr>
    </w:p>
    <w:p>
      <w:pPr>
        <w:ind w:left="960" w:right="680" w:hanging="432"/>
        <w:spacing w:after="0" w:line="218"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April 26, 2017, the registrant issued 1,221,361 ordinary shares of nominal value £0.003 each upon the conversion of £1.4 million of unsecured convertible loan notes.</w:t>
      </w:r>
    </w:p>
    <w:p>
      <w:pPr>
        <w:spacing w:after="0" w:line="27" w:lineRule="exact"/>
        <w:rPr>
          <w:rFonts w:ascii="MS PGothic" w:cs="MS PGothic" w:eastAsia="MS PGothic" w:hAnsi="MS PGothic"/>
          <w:sz w:val="25"/>
          <w:szCs w:val="25"/>
          <w:color w:val="auto"/>
          <w:vertAlign w:val="superscript"/>
        </w:rPr>
      </w:pPr>
    </w:p>
    <w:p>
      <w:pPr>
        <w:ind w:left="960" w:right="820" w:hanging="432"/>
        <w:spacing w:after="0" w:line="218"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October 31, 2017, the registrant issued 490,798 ordinary shares of nominal value £0.003 each to a new investor in connection with a licensing agreement.</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80"/>
          </w:cols>
          <w:pgMar w:left="240" w:top="460" w:right="4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Issuance of Notes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June 3, 2016, the registrant issued 3,463,563 unsecured convertible loan notes for aggregate consideration of £3,463,563.</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Options</w:t>
      </w:r>
    </w:p>
    <w:p>
      <w:pPr>
        <w:spacing w:after="0" w:line="85"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From its inception in March 2015 through December 31, 2015, the registrant granted stock options to purchase an aggregate of 8,964,394 ordinary shares with exercise prices of £1.29 per ordinary share to certain employees, senior management, and directors in connection with services provided to the registrant by such parties.</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From January 1, 2016 through December 31, 2016, the registrant granted stock options to purchase an aggregate of 2,515,775 ordinary shares with exercise prices ranging from nil to £2.21 per ordinary share to certain employees, senior management, and directors in connection with services provided to the registrant by such parties.</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From January 1, 2017 through December 31, 2017, the registrant granted stock options to purchase an aggregate of 1,841,318 ordinary shares with exercise prices ranging from nil to £3.23 per ordinary share to certain employees, senior management, and directors in connection with services provided to the registrant by such parties.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Warrants</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August 21, 2017, the registrant issued warrants to purchase 363,156 ordinary shares at an exercise price of £3.029 each.</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December 29, 2017, the registrant issued warrants to purchase 333,334 ordinary shares at an exercise price of £3.300 each.</w:t>
      </w:r>
    </w:p>
    <w:p>
      <w:pPr>
        <w:spacing w:after="0" w:line="212"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All of the foregoing issuances of share capital, notes, options, and warrants were made outside of the United States pursuant to Regulation S or to U.S. entities pursuant to Section 4(a)(2) of the Securities Act of 1933, as amended, or the Securities Act.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Exhibits and financial statements</w:t>
      </w:r>
    </w:p>
    <w:p>
      <w:pPr>
        <w:spacing w:after="0" w:line="212" w:lineRule="exact"/>
        <w:rPr>
          <w:sz w:val="20"/>
          <w:szCs w:val="20"/>
          <w:color w:val="auto"/>
        </w:rPr>
      </w:pPr>
    </w:p>
    <w:p>
      <w:pPr>
        <w:ind w:left="200" w:right="100" w:firstLine="334"/>
        <w:spacing w:after="0" w:line="271" w:lineRule="auto"/>
        <w:tabs>
          <w:tab w:leader="none" w:pos="80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to this registration statement are listed in the Exhibit Index to this registration statement and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by reference.</w:t>
      </w:r>
    </w:p>
    <w:p>
      <w:pPr>
        <w:spacing w:after="0" w:line="153" w:lineRule="exact"/>
        <w:rPr>
          <w:rFonts w:ascii="Arial" w:cs="Arial" w:eastAsia="Arial" w:hAnsi="Arial"/>
          <w:sz w:val="18"/>
          <w:szCs w:val="18"/>
          <w:color w:val="auto"/>
        </w:rPr>
      </w:pPr>
    </w:p>
    <w:p>
      <w:pPr>
        <w:ind w:left="200" w:right="220" w:firstLine="334"/>
        <w:spacing w:after="0" w:line="271" w:lineRule="auto"/>
        <w:tabs>
          <w:tab w:leader="none" w:pos="80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our combined financial statements or the notes thereto.</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Undertakings</w:t>
      </w:r>
    </w:p>
    <w:p>
      <w:pPr>
        <w:spacing w:after="0" w:line="261" w:lineRule="exact"/>
        <w:rPr>
          <w:sz w:val="20"/>
          <w:szCs w:val="20"/>
          <w:color w:val="auto"/>
        </w:rPr>
      </w:pPr>
    </w:p>
    <w:p>
      <w:pPr>
        <w:ind w:left="960" w:right="360" w:hanging="432"/>
        <w:spacing w:after="0"/>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27" w:lineRule="exact"/>
        <w:rPr>
          <w:rFonts w:ascii="Arial" w:cs="Arial" w:eastAsia="Arial" w:hAnsi="Arial"/>
          <w:sz w:val="18"/>
          <w:szCs w:val="18"/>
          <w:color w:val="auto"/>
        </w:rPr>
      </w:pPr>
    </w:p>
    <w:p>
      <w:pPr>
        <w:ind w:left="960" w:hanging="432"/>
        <w:spacing w:after="0" w:line="237" w:lineRule="auto"/>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240" w:top="460"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0"/>
        <w:spacing w:after="0"/>
        <w:rPr>
          <w:sz w:val="20"/>
          <w:szCs w:val="20"/>
          <w:color w:val="auto"/>
        </w:rPr>
      </w:pPr>
      <w:r>
        <w:rPr>
          <w:rFonts w:ascii="Arial" w:cs="Arial" w:eastAsia="Arial" w:hAnsi="Arial"/>
          <w:sz w:val="18"/>
          <w:szCs w:val="18"/>
          <w:color w:val="auto"/>
        </w:rPr>
        <w:t>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7" w:lineRule="exact"/>
        <w:rPr>
          <w:sz w:val="20"/>
          <w:szCs w:val="20"/>
          <w:color w:val="auto"/>
        </w:rPr>
      </w:pPr>
    </w:p>
    <w:p>
      <w:pPr>
        <w:ind w:left="960" w:hanging="432"/>
        <w:spacing w:after="0"/>
        <w:tabs>
          <w:tab w:leader="none" w:pos="9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1400" w:hanging="426"/>
        <w:spacing w:after="0" w:line="239" w:lineRule="auto"/>
        <w:tabs>
          <w:tab w:leader="none" w:pos="14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6" w:lineRule="exact"/>
        <w:rPr>
          <w:rFonts w:ascii="Arial" w:cs="Arial" w:eastAsia="Arial" w:hAnsi="Arial"/>
          <w:sz w:val="18"/>
          <w:szCs w:val="18"/>
          <w:color w:val="auto"/>
        </w:rPr>
      </w:pPr>
    </w:p>
    <w:p>
      <w:pPr>
        <w:ind w:left="1400" w:hanging="426"/>
        <w:spacing w:after="0"/>
        <w:tabs>
          <w:tab w:leader="none" w:pos="14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24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80" w:type="dxa"/>
            <w:vAlign w:val="bottom"/>
            <w:gridSpan w:val="3"/>
          </w:tcPr>
          <w:p>
            <w:pPr>
              <w:ind w:left="3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0"/>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780" w:type="dxa"/>
            <w:vAlign w:val="bottom"/>
            <w:gridSpan w:val="3"/>
            <w:vMerge w:val="restart"/>
          </w:tcPr>
          <w:p>
            <w:pPr>
              <w:ind w:left="45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86"/>
              </w:rPr>
              <w:t>Number</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0" w:type="dxa"/>
            <w:vAlign w:val="bottom"/>
          </w:tcPr>
          <w:p>
            <w:pPr>
              <w:spacing w:after="0"/>
              <w:rPr>
                <w:sz w:val="24"/>
                <w:szCs w:val="24"/>
                <w:color w:val="auto"/>
              </w:rPr>
            </w:pPr>
          </w:p>
        </w:tc>
        <w:tc>
          <w:tcPr>
            <w:tcW w:w="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500" w:type="dxa"/>
            <w:vAlign w:val="bottom"/>
          </w:tcPr>
          <w:p>
            <w:pPr>
              <w:ind w:left="280"/>
              <w:spacing w:after="0"/>
              <w:rPr>
                <w:sz w:val="20"/>
                <w:szCs w:val="20"/>
                <w:color w:val="auto"/>
              </w:rPr>
            </w:pPr>
            <w:r>
              <w:rPr>
                <w:rFonts w:ascii="Arial" w:cs="Arial" w:eastAsia="Arial" w:hAnsi="Arial"/>
                <w:sz w:val="18"/>
                <w:szCs w:val="18"/>
                <w:color w:val="auto"/>
              </w:rPr>
              <w:t>Form of Underwriting Agreement</w:t>
            </w:r>
          </w:p>
        </w:tc>
        <w:tc>
          <w:tcPr>
            <w:tcW w:w="1300" w:type="dxa"/>
            <w:vAlign w:val="bottom"/>
            <w:tcBorders>
              <w:top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20" w:type="dxa"/>
            <w:vAlign w:val="bottom"/>
            <w:gridSpan w:val="3"/>
          </w:tcPr>
          <w:p>
            <w:pPr>
              <w:ind w:left="10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Articles of Association, as currently in effect</w:t>
            </w:r>
          </w:p>
        </w:tc>
        <w:tc>
          <w:tcPr>
            <w:tcW w:w="0" w:type="dxa"/>
            <w:vAlign w:val="bottom"/>
          </w:tcPr>
          <w:p>
            <w:pPr>
              <w:spacing w:after="0"/>
              <w:rPr>
                <w:sz w:val="1"/>
                <w:szCs w:val="1"/>
                <w:color w:val="auto"/>
              </w:rPr>
            </w:pPr>
          </w:p>
        </w:tc>
      </w:tr>
      <w:tr>
        <w:trPr>
          <w:trHeight w:val="311"/>
        </w:trPr>
        <w:tc>
          <w:tcPr>
            <w:tcW w:w="620" w:type="dxa"/>
            <w:vAlign w:val="bottom"/>
            <w:gridSpan w:val="3"/>
          </w:tcPr>
          <w:p>
            <w:pPr>
              <w:ind w:left="10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Form of Deposit Agreement</w:t>
            </w:r>
          </w:p>
        </w:tc>
        <w:tc>
          <w:tcPr>
            <w:tcW w:w="0" w:type="dxa"/>
            <w:vAlign w:val="bottom"/>
          </w:tcPr>
          <w:p>
            <w:pPr>
              <w:spacing w:after="0"/>
              <w:rPr>
                <w:sz w:val="1"/>
                <w:szCs w:val="1"/>
                <w:color w:val="auto"/>
              </w:rPr>
            </w:pPr>
          </w:p>
        </w:tc>
      </w:tr>
      <w:tr>
        <w:trPr>
          <w:trHeight w:val="311"/>
        </w:trPr>
        <w:tc>
          <w:tcPr>
            <w:tcW w:w="620" w:type="dxa"/>
            <w:vAlign w:val="bottom"/>
            <w:gridSpan w:val="3"/>
          </w:tcPr>
          <w:p>
            <w:pPr>
              <w:ind w:left="10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Form of American Depositary Receipt (included in Exhibit 4.1)</w:t>
            </w:r>
          </w:p>
        </w:tc>
        <w:tc>
          <w:tcPr>
            <w:tcW w:w="0" w:type="dxa"/>
            <w:vAlign w:val="bottom"/>
          </w:tcPr>
          <w:p>
            <w:pPr>
              <w:spacing w:after="0"/>
              <w:rPr>
                <w:sz w:val="1"/>
                <w:szCs w:val="1"/>
                <w:color w:val="auto"/>
              </w:rPr>
            </w:pPr>
          </w:p>
        </w:tc>
      </w:tr>
      <w:tr>
        <w:trPr>
          <w:trHeight w:val="311"/>
        </w:trPr>
        <w:tc>
          <w:tcPr>
            <w:tcW w:w="620" w:type="dxa"/>
            <w:vAlign w:val="bottom"/>
            <w:gridSpan w:val="3"/>
          </w:tcPr>
          <w:p>
            <w:pPr>
              <w:ind w:left="10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Form of Warrant Instrument</w:t>
            </w:r>
          </w:p>
        </w:tc>
        <w:tc>
          <w:tcPr>
            <w:tcW w:w="0" w:type="dxa"/>
            <w:vAlign w:val="bottom"/>
          </w:tcPr>
          <w:p>
            <w:pPr>
              <w:spacing w:after="0"/>
              <w:rPr>
                <w:sz w:val="1"/>
                <w:szCs w:val="1"/>
                <w:color w:val="auto"/>
              </w:rPr>
            </w:pPr>
          </w:p>
        </w:tc>
      </w:tr>
      <w:tr>
        <w:trPr>
          <w:trHeight w:val="311"/>
        </w:trPr>
        <w:tc>
          <w:tcPr>
            <w:tcW w:w="620" w:type="dxa"/>
            <w:vAlign w:val="bottom"/>
            <w:gridSpan w:val="3"/>
          </w:tcPr>
          <w:p>
            <w:pPr>
              <w:ind w:left="10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Opinion of Latham &amp; Watkins LLP</w:t>
            </w:r>
          </w:p>
        </w:tc>
        <w:tc>
          <w:tcPr>
            <w:tcW w:w="0" w:type="dxa"/>
            <w:vAlign w:val="bottom"/>
          </w:tcPr>
          <w:p>
            <w:pPr>
              <w:spacing w:after="0"/>
              <w:rPr>
                <w:sz w:val="1"/>
                <w:szCs w:val="1"/>
                <w:color w:val="auto"/>
              </w:rPr>
            </w:pPr>
          </w:p>
        </w:tc>
      </w:tr>
      <w:tr>
        <w:trPr>
          <w:trHeight w:val="311"/>
        </w:trPr>
        <w:tc>
          <w:tcPr>
            <w:tcW w:w="620" w:type="dxa"/>
            <w:vAlign w:val="bottom"/>
            <w:gridSpan w:val="3"/>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Underlease by and between the registrant and O&amp;H (Cavendish Place) Limited, dated August 17, 2015</w:t>
            </w:r>
          </w:p>
        </w:tc>
        <w:tc>
          <w:tcPr>
            <w:tcW w:w="0" w:type="dxa"/>
            <w:vAlign w:val="bottom"/>
          </w:tcPr>
          <w:p>
            <w:pPr>
              <w:spacing w:after="0"/>
              <w:rPr>
                <w:sz w:val="1"/>
                <w:szCs w:val="1"/>
                <w:color w:val="auto"/>
              </w:rPr>
            </w:pPr>
          </w:p>
        </w:tc>
      </w:tr>
      <w:tr>
        <w:trPr>
          <w:trHeight w:val="311"/>
        </w:trPr>
        <w:tc>
          <w:tcPr>
            <w:tcW w:w="620" w:type="dxa"/>
            <w:vAlign w:val="bottom"/>
            <w:gridSpan w:val="3"/>
          </w:tcPr>
          <w:p>
            <w:pPr>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Contract of Employment, dated July 29, 2015, between the registrant and Denise Scots-Knight</w:t>
            </w:r>
          </w:p>
        </w:tc>
        <w:tc>
          <w:tcPr>
            <w:tcW w:w="0" w:type="dxa"/>
            <w:vAlign w:val="bottom"/>
          </w:tcPr>
          <w:p>
            <w:pPr>
              <w:spacing w:after="0"/>
              <w:rPr>
                <w:sz w:val="1"/>
                <w:szCs w:val="1"/>
                <w:color w:val="auto"/>
              </w:rPr>
            </w:pPr>
          </w:p>
        </w:tc>
      </w:tr>
      <w:tr>
        <w:trPr>
          <w:trHeight w:val="296"/>
        </w:trPr>
        <w:tc>
          <w:tcPr>
            <w:tcW w:w="620" w:type="dxa"/>
            <w:vAlign w:val="bottom"/>
            <w:gridSpan w:val="3"/>
          </w:tcPr>
          <w:p>
            <w:pPr>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Contract of Employment, dated July 29, 2015, and Deed of Amendment, dated November 24, 2017, between the</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registrant and Alastair MacKinnon</w:t>
            </w:r>
          </w:p>
        </w:tc>
        <w:tc>
          <w:tcPr>
            <w:tcW w:w="0" w:type="dxa"/>
            <w:vAlign w:val="bottom"/>
          </w:tcPr>
          <w:p>
            <w:pPr>
              <w:spacing w:after="0"/>
              <w:rPr>
                <w:sz w:val="1"/>
                <w:szCs w:val="1"/>
                <w:color w:val="auto"/>
              </w:rPr>
            </w:pPr>
          </w:p>
        </w:tc>
      </w:tr>
      <w:tr>
        <w:trPr>
          <w:trHeight w:val="311"/>
        </w:trPr>
        <w:tc>
          <w:tcPr>
            <w:tcW w:w="620" w:type="dxa"/>
            <w:vAlign w:val="bottom"/>
            <w:gridSpan w:val="3"/>
          </w:tcPr>
          <w:p>
            <w:pPr>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Contract of Employment, dated July 29, 2015, between the registrant and Charles Sermon</w:t>
            </w:r>
          </w:p>
        </w:tc>
        <w:tc>
          <w:tcPr>
            <w:tcW w:w="0" w:type="dxa"/>
            <w:vAlign w:val="bottom"/>
          </w:tcPr>
          <w:p>
            <w:pPr>
              <w:spacing w:after="0"/>
              <w:rPr>
                <w:sz w:val="1"/>
                <w:szCs w:val="1"/>
                <w:color w:val="auto"/>
              </w:rPr>
            </w:pPr>
          </w:p>
        </w:tc>
      </w:tr>
      <w:tr>
        <w:trPr>
          <w:trHeight w:val="311"/>
        </w:trPr>
        <w:tc>
          <w:tcPr>
            <w:tcW w:w="620" w:type="dxa"/>
            <w:vAlign w:val="bottom"/>
            <w:gridSpan w:val="3"/>
          </w:tcPr>
          <w:p>
            <w:pPr>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Contract of Employment, dated November 7, 2016, between the registrant and Richard Jones</w:t>
            </w:r>
          </w:p>
        </w:tc>
        <w:tc>
          <w:tcPr>
            <w:tcW w:w="0" w:type="dxa"/>
            <w:vAlign w:val="bottom"/>
          </w:tcPr>
          <w:p>
            <w:pPr>
              <w:spacing w:after="0"/>
              <w:rPr>
                <w:sz w:val="1"/>
                <w:szCs w:val="1"/>
                <w:color w:val="auto"/>
              </w:rPr>
            </w:pPr>
          </w:p>
        </w:tc>
      </w:tr>
      <w:tr>
        <w:trPr>
          <w:trHeight w:val="296"/>
        </w:trPr>
        <w:tc>
          <w:tcPr>
            <w:tcW w:w="620" w:type="dxa"/>
            <w:vAlign w:val="bottom"/>
            <w:gridSpan w:val="3"/>
          </w:tcPr>
          <w:p>
            <w:pPr>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Consultancy Agreement, dated February 1, 2018, by and among the registrant, John Richard &amp; Associates, LLC, and</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John Richard</w:t>
            </w:r>
          </w:p>
        </w:tc>
        <w:tc>
          <w:tcPr>
            <w:tcW w:w="0" w:type="dxa"/>
            <w:vAlign w:val="bottom"/>
          </w:tcPr>
          <w:p>
            <w:pPr>
              <w:spacing w:after="0"/>
              <w:rPr>
                <w:sz w:val="1"/>
                <w:szCs w:val="1"/>
                <w:color w:val="auto"/>
              </w:rPr>
            </w:pPr>
          </w:p>
        </w:tc>
      </w:tr>
      <w:tr>
        <w:trPr>
          <w:trHeight w:val="311"/>
        </w:trPr>
        <w:tc>
          <w:tcPr>
            <w:tcW w:w="1000" w:type="dxa"/>
            <w:vAlign w:val="bottom"/>
            <w:gridSpan w:val="5"/>
          </w:tcPr>
          <w:p>
            <w:pPr>
              <w:spacing w:after="0"/>
              <w:rPr>
                <w:sz w:val="20"/>
                <w:szCs w:val="20"/>
                <w:color w:val="auto"/>
              </w:rPr>
            </w:pPr>
            <w:r>
              <w:rPr>
                <w:rFonts w:ascii="Arial" w:cs="Arial" w:eastAsia="Arial" w:hAnsi="Arial"/>
                <w:sz w:val="18"/>
                <w:szCs w:val="18"/>
                <w:color w:val="auto"/>
              </w:rPr>
              <w:t>10.6.1#**</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Contract of Employment, dated February 26, 2018, between the registrant and John Richard</w:t>
            </w:r>
          </w:p>
        </w:tc>
        <w:tc>
          <w:tcPr>
            <w:tcW w:w="0" w:type="dxa"/>
            <w:vAlign w:val="bottom"/>
          </w:tcPr>
          <w:p>
            <w:pPr>
              <w:spacing w:after="0"/>
              <w:rPr>
                <w:sz w:val="1"/>
                <w:szCs w:val="1"/>
                <w:color w:val="auto"/>
              </w:rPr>
            </w:pPr>
          </w:p>
        </w:tc>
      </w:tr>
      <w:tr>
        <w:trPr>
          <w:trHeight w:val="311"/>
        </w:trPr>
        <w:tc>
          <w:tcPr>
            <w:tcW w:w="620" w:type="dxa"/>
            <w:vAlign w:val="bottom"/>
            <w:gridSpan w:val="3"/>
          </w:tcPr>
          <w:p>
            <w:pPr>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Letter of Appointment, dated July 29, 2015, between the registrant and Dr. Peter Fellner</w:t>
            </w:r>
          </w:p>
        </w:tc>
        <w:tc>
          <w:tcPr>
            <w:tcW w:w="0" w:type="dxa"/>
            <w:vAlign w:val="bottom"/>
          </w:tcPr>
          <w:p>
            <w:pPr>
              <w:spacing w:after="0"/>
              <w:rPr>
                <w:sz w:val="1"/>
                <w:szCs w:val="1"/>
                <w:color w:val="auto"/>
              </w:rPr>
            </w:pPr>
          </w:p>
        </w:tc>
      </w:tr>
      <w:tr>
        <w:trPr>
          <w:trHeight w:val="311"/>
        </w:trPr>
        <w:tc>
          <w:tcPr>
            <w:tcW w:w="620" w:type="dxa"/>
            <w:vAlign w:val="bottom"/>
            <w:gridSpan w:val="3"/>
          </w:tcPr>
          <w:p>
            <w:pPr>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Letter of Appointment, dated July 29, 2015, between the registrant and Frank Armstrong</w:t>
            </w:r>
          </w:p>
        </w:tc>
        <w:tc>
          <w:tcPr>
            <w:tcW w:w="0" w:type="dxa"/>
            <w:vAlign w:val="bottom"/>
          </w:tcPr>
          <w:p>
            <w:pPr>
              <w:spacing w:after="0"/>
              <w:rPr>
                <w:sz w:val="1"/>
                <w:szCs w:val="1"/>
                <w:color w:val="auto"/>
              </w:rPr>
            </w:pPr>
          </w:p>
        </w:tc>
      </w:tr>
      <w:tr>
        <w:trPr>
          <w:trHeight w:val="311"/>
        </w:trPr>
        <w:tc>
          <w:tcPr>
            <w:tcW w:w="620" w:type="dxa"/>
            <w:vAlign w:val="bottom"/>
            <w:gridSpan w:val="3"/>
          </w:tcPr>
          <w:p>
            <w:pPr>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Letter of Appointment, dated July 29, 2015, between the registrant and Peter Bains</w:t>
            </w:r>
          </w:p>
        </w:tc>
        <w:tc>
          <w:tcPr>
            <w:tcW w:w="0" w:type="dxa"/>
            <w:vAlign w:val="bottom"/>
          </w:tcPr>
          <w:p>
            <w:pPr>
              <w:spacing w:after="0"/>
              <w:rPr>
                <w:sz w:val="1"/>
                <w:szCs w:val="1"/>
                <w:color w:val="auto"/>
              </w:rPr>
            </w:pPr>
          </w:p>
        </w:tc>
      </w:tr>
      <w:tr>
        <w:trPr>
          <w:trHeight w:val="311"/>
        </w:trPr>
        <w:tc>
          <w:tcPr>
            <w:tcW w:w="1000" w:type="dxa"/>
            <w:vAlign w:val="bottom"/>
            <w:gridSpan w:val="5"/>
          </w:tcPr>
          <w:p>
            <w:pPr>
              <w:spacing w:after="0"/>
              <w:rPr>
                <w:sz w:val="20"/>
                <w:szCs w:val="20"/>
                <w:color w:val="auto"/>
              </w:rPr>
            </w:pPr>
            <w:r>
              <w:rPr>
                <w:rFonts w:ascii="Arial" w:cs="Arial" w:eastAsia="Arial" w:hAnsi="Arial"/>
                <w:sz w:val="18"/>
                <w:szCs w:val="18"/>
                <w:color w:val="auto"/>
              </w:rPr>
              <w:t>10.10#**</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Letter of Appointment, dated October 28, 2015, between the registrant and Paul Blackburn</w:t>
            </w:r>
          </w:p>
        </w:tc>
        <w:tc>
          <w:tcPr>
            <w:tcW w:w="0" w:type="dxa"/>
            <w:vAlign w:val="bottom"/>
          </w:tcPr>
          <w:p>
            <w:pPr>
              <w:spacing w:after="0"/>
              <w:rPr>
                <w:sz w:val="1"/>
                <w:szCs w:val="1"/>
                <w:color w:val="auto"/>
              </w:rPr>
            </w:pPr>
          </w:p>
        </w:tc>
      </w:tr>
      <w:tr>
        <w:trPr>
          <w:trHeight w:val="311"/>
        </w:trPr>
        <w:tc>
          <w:tcPr>
            <w:tcW w:w="1000" w:type="dxa"/>
            <w:vAlign w:val="bottom"/>
            <w:gridSpan w:val="5"/>
          </w:tcPr>
          <w:p>
            <w:pPr>
              <w:spacing w:after="0"/>
              <w:rPr>
                <w:sz w:val="20"/>
                <w:szCs w:val="20"/>
                <w:color w:val="auto"/>
              </w:rPr>
            </w:pPr>
            <w:r>
              <w:rPr>
                <w:rFonts w:ascii="Arial" w:cs="Arial" w:eastAsia="Arial" w:hAnsi="Arial"/>
                <w:sz w:val="18"/>
                <w:szCs w:val="18"/>
                <w:color w:val="auto"/>
              </w:rPr>
              <w:t>10.11#**</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Letter of Appointment, dated July 29, 2015, between the registrant and Anders Ekblom</w:t>
            </w:r>
          </w:p>
        </w:tc>
        <w:tc>
          <w:tcPr>
            <w:tcW w:w="0" w:type="dxa"/>
            <w:vAlign w:val="bottom"/>
          </w:tcPr>
          <w:p>
            <w:pPr>
              <w:spacing w:after="0"/>
              <w:rPr>
                <w:sz w:val="1"/>
                <w:szCs w:val="1"/>
                <w:color w:val="auto"/>
              </w:rPr>
            </w:pPr>
          </w:p>
        </w:tc>
      </w:tr>
      <w:tr>
        <w:trPr>
          <w:trHeight w:val="311"/>
        </w:trPr>
        <w:tc>
          <w:tcPr>
            <w:tcW w:w="1000" w:type="dxa"/>
            <w:vAlign w:val="bottom"/>
            <w:gridSpan w:val="5"/>
          </w:tcPr>
          <w:p>
            <w:pPr>
              <w:spacing w:after="0"/>
              <w:rPr>
                <w:sz w:val="20"/>
                <w:szCs w:val="20"/>
                <w:color w:val="auto"/>
              </w:rPr>
            </w:pPr>
            <w:r>
              <w:rPr>
                <w:rFonts w:ascii="Arial" w:cs="Arial" w:eastAsia="Arial" w:hAnsi="Arial"/>
                <w:sz w:val="18"/>
                <w:szCs w:val="18"/>
                <w:color w:val="auto"/>
              </w:rPr>
              <w:t>10.12#**</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Letter of Appointment, dated July 29, 2015, between the registrant and Kunal Kashyap</w:t>
            </w:r>
          </w:p>
        </w:tc>
        <w:tc>
          <w:tcPr>
            <w:tcW w:w="0" w:type="dxa"/>
            <w:vAlign w:val="bottom"/>
          </w:tcPr>
          <w:p>
            <w:pPr>
              <w:spacing w:after="0"/>
              <w:rPr>
                <w:sz w:val="1"/>
                <w:szCs w:val="1"/>
                <w:color w:val="auto"/>
              </w:rPr>
            </w:pPr>
          </w:p>
        </w:tc>
      </w:tr>
      <w:tr>
        <w:trPr>
          <w:trHeight w:val="311"/>
        </w:trPr>
        <w:tc>
          <w:tcPr>
            <w:tcW w:w="1000" w:type="dxa"/>
            <w:vAlign w:val="bottom"/>
            <w:gridSpan w:val="5"/>
          </w:tcPr>
          <w:p>
            <w:pPr>
              <w:spacing w:after="0"/>
              <w:rPr>
                <w:sz w:val="20"/>
                <w:szCs w:val="20"/>
                <w:color w:val="auto"/>
              </w:rPr>
            </w:pPr>
            <w:r>
              <w:rPr>
                <w:rFonts w:ascii="Arial" w:cs="Arial" w:eastAsia="Arial" w:hAnsi="Arial"/>
                <w:sz w:val="18"/>
                <w:szCs w:val="18"/>
                <w:color w:val="auto"/>
              </w:rPr>
              <w:t>10.13#**</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w w:val="99"/>
              </w:rPr>
              <w:t>Rules of the Mereo BioPharma Group plc Share Option Scheme, as adopted March 4, 2016 and amended April 4, 2017</w:t>
            </w:r>
          </w:p>
        </w:tc>
        <w:tc>
          <w:tcPr>
            <w:tcW w:w="0" w:type="dxa"/>
            <w:vAlign w:val="bottom"/>
          </w:tcPr>
          <w:p>
            <w:pPr>
              <w:spacing w:after="0"/>
              <w:rPr>
                <w:sz w:val="1"/>
                <w:szCs w:val="1"/>
                <w:color w:val="auto"/>
              </w:rPr>
            </w:pPr>
          </w:p>
        </w:tc>
      </w:tr>
      <w:tr>
        <w:trPr>
          <w:trHeight w:val="311"/>
        </w:trPr>
        <w:tc>
          <w:tcPr>
            <w:tcW w:w="1000" w:type="dxa"/>
            <w:vAlign w:val="bottom"/>
            <w:gridSpan w:val="5"/>
          </w:tcPr>
          <w:p>
            <w:pPr>
              <w:spacing w:after="0"/>
              <w:rPr>
                <w:sz w:val="20"/>
                <w:szCs w:val="20"/>
                <w:color w:val="auto"/>
              </w:rPr>
            </w:pPr>
            <w:r>
              <w:rPr>
                <w:rFonts w:ascii="Arial" w:cs="Arial" w:eastAsia="Arial" w:hAnsi="Arial"/>
                <w:sz w:val="18"/>
                <w:szCs w:val="18"/>
                <w:color w:val="auto"/>
              </w:rPr>
              <w:t>10.14#**</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Scheme Rules of Mereo BioPharma Group Limited Share Option Scheme, as adopted July 8, 2015</w:t>
            </w:r>
          </w:p>
        </w:tc>
        <w:tc>
          <w:tcPr>
            <w:tcW w:w="0" w:type="dxa"/>
            <w:vAlign w:val="bottom"/>
          </w:tcPr>
          <w:p>
            <w:pPr>
              <w:spacing w:after="0"/>
              <w:rPr>
                <w:sz w:val="1"/>
                <w:szCs w:val="1"/>
                <w:color w:val="auto"/>
              </w:rPr>
            </w:pPr>
          </w:p>
        </w:tc>
      </w:tr>
      <w:tr>
        <w:trPr>
          <w:trHeight w:val="311"/>
        </w:trPr>
        <w:tc>
          <w:tcPr>
            <w:tcW w:w="1000" w:type="dxa"/>
            <w:vAlign w:val="bottom"/>
            <w:gridSpan w:val="5"/>
          </w:tcPr>
          <w:p>
            <w:pPr>
              <w:spacing w:after="0"/>
              <w:rPr>
                <w:sz w:val="20"/>
                <w:szCs w:val="20"/>
                <w:color w:val="auto"/>
              </w:rPr>
            </w:pPr>
            <w:r>
              <w:rPr>
                <w:rFonts w:ascii="Arial" w:cs="Arial" w:eastAsia="Arial" w:hAnsi="Arial"/>
                <w:sz w:val="18"/>
                <w:szCs w:val="18"/>
                <w:color w:val="auto"/>
              </w:rPr>
              <w:t>10.15#**</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Rules of the Mereo BioPharma Group plc Long Term Incentive Plan, as adopted June 9, 2016</w:t>
            </w:r>
          </w:p>
        </w:tc>
        <w:tc>
          <w:tcPr>
            <w:tcW w:w="0" w:type="dxa"/>
            <w:vAlign w:val="bottom"/>
          </w:tcPr>
          <w:p>
            <w:pPr>
              <w:spacing w:after="0"/>
              <w:rPr>
                <w:sz w:val="1"/>
                <w:szCs w:val="1"/>
                <w:color w:val="auto"/>
              </w:rPr>
            </w:pPr>
          </w:p>
        </w:tc>
      </w:tr>
      <w:tr>
        <w:trPr>
          <w:trHeight w:val="311"/>
        </w:trPr>
        <w:tc>
          <w:tcPr>
            <w:tcW w:w="1000" w:type="dxa"/>
            <w:vAlign w:val="bottom"/>
            <w:gridSpan w:val="5"/>
          </w:tcPr>
          <w:p>
            <w:pPr>
              <w:spacing w:after="0"/>
              <w:rPr>
                <w:sz w:val="20"/>
                <w:szCs w:val="20"/>
                <w:color w:val="auto"/>
              </w:rPr>
            </w:pPr>
            <w:r>
              <w:rPr>
                <w:rFonts w:ascii="Arial" w:cs="Arial" w:eastAsia="Arial" w:hAnsi="Arial"/>
                <w:sz w:val="18"/>
                <w:szCs w:val="18"/>
                <w:color w:val="auto"/>
              </w:rPr>
              <w:t>10.16#**</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Rules of the Mereo BioPharma Group plc Deferred Bonus Share Plan, as adopted June 9, 2016</w:t>
            </w:r>
          </w:p>
        </w:tc>
        <w:tc>
          <w:tcPr>
            <w:tcW w:w="0" w:type="dxa"/>
            <w:vAlign w:val="bottom"/>
          </w:tcPr>
          <w:p>
            <w:pPr>
              <w:spacing w:after="0"/>
              <w:rPr>
                <w:sz w:val="1"/>
                <w:szCs w:val="1"/>
                <w:color w:val="auto"/>
              </w:rPr>
            </w:pPr>
          </w:p>
        </w:tc>
      </w:tr>
      <w:tr>
        <w:trPr>
          <w:trHeight w:val="296"/>
        </w:trPr>
        <w:tc>
          <w:tcPr>
            <w:tcW w:w="1000" w:type="dxa"/>
            <w:vAlign w:val="bottom"/>
            <w:gridSpan w:val="5"/>
          </w:tcPr>
          <w:p>
            <w:pPr>
              <w:spacing w:after="0"/>
              <w:rPr>
                <w:sz w:val="20"/>
                <w:szCs w:val="20"/>
                <w:color w:val="auto"/>
              </w:rPr>
            </w:pPr>
            <w:r>
              <w:rPr>
                <w:rFonts w:ascii="Arial" w:cs="Arial" w:eastAsia="Arial" w:hAnsi="Arial"/>
                <w:sz w:val="18"/>
                <w:szCs w:val="18"/>
                <w:color w:val="auto"/>
              </w:rPr>
              <w:t>10.17†**</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BCT197 Asset Purchase Agreement, dated July 28, 2015, by and between Mereo BioPharma 1 Limited and Novartis</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Pharma AG</w:t>
            </w:r>
          </w:p>
        </w:tc>
        <w:tc>
          <w:tcPr>
            <w:tcW w:w="0" w:type="dxa"/>
            <w:vAlign w:val="bottom"/>
          </w:tcPr>
          <w:p>
            <w:pPr>
              <w:spacing w:after="0"/>
              <w:rPr>
                <w:sz w:val="1"/>
                <w:szCs w:val="1"/>
                <w:color w:val="auto"/>
              </w:rPr>
            </w:pPr>
          </w:p>
        </w:tc>
      </w:tr>
      <w:tr>
        <w:trPr>
          <w:trHeight w:val="296"/>
        </w:trPr>
        <w:tc>
          <w:tcPr>
            <w:tcW w:w="1000" w:type="dxa"/>
            <w:vAlign w:val="bottom"/>
            <w:gridSpan w:val="5"/>
          </w:tcPr>
          <w:p>
            <w:pPr>
              <w:spacing w:after="0"/>
              <w:rPr>
                <w:sz w:val="20"/>
                <w:szCs w:val="20"/>
                <w:color w:val="auto"/>
              </w:rPr>
            </w:pPr>
            <w:r>
              <w:rPr>
                <w:rFonts w:ascii="Arial" w:cs="Arial" w:eastAsia="Arial" w:hAnsi="Arial"/>
                <w:sz w:val="18"/>
                <w:szCs w:val="18"/>
                <w:color w:val="auto"/>
              </w:rPr>
              <w:t>10.18†**</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BGS649 Asset Purchase Agreement, dated July 28, 2015, by and between Mereo BioPharma 2 Limited and Novartis</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Pharma AG</w:t>
            </w:r>
          </w:p>
        </w:tc>
        <w:tc>
          <w:tcPr>
            <w:tcW w:w="0" w:type="dxa"/>
            <w:vAlign w:val="bottom"/>
          </w:tcPr>
          <w:p>
            <w:pPr>
              <w:spacing w:after="0"/>
              <w:rPr>
                <w:sz w:val="1"/>
                <w:szCs w:val="1"/>
                <w:color w:val="auto"/>
              </w:rPr>
            </w:pPr>
          </w:p>
        </w:tc>
      </w:tr>
      <w:tr>
        <w:trPr>
          <w:trHeight w:val="296"/>
        </w:trPr>
        <w:tc>
          <w:tcPr>
            <w:tcW w:w="1000" w:type="dxa"/>
            <w:vAlign w:val="bottom"/>
            <w:gridSpan w:val="5"/>
          </w:tcPr>
          <w:p>
            <w:pPr>
              <w:spacing w:after="0"/>
              <w:rPr>
                <w:sz w:val="20"/>
                <w:szCs w:val="20"/>
                <w:color w:val="auto"/>
              </w:rPr>
            </w:pPr>
            <w:r>
              <w:rPr>
                <w:rFonts w:ascii="Arial" w:cs="Arial" w:eastAsia="Arial" w:hAnsi="Arial"/>
                <w:sz w:val="18"/>
                <w:szCs w:val="18"/>
                <w:color w:val="auto"/>
              </w:rPr>
              <w:t>10.19†**</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BPS804 Asset Purchase Agreement, dated July 28, 2015, by and between Mereo BioPharma 3 Limited and Novartis</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Pharma AG</w:t>
            </w:r>
          </w:p>
        </w:tc>
        <w:tc>
          <w:tcPr>
            <w:tcW w:w="0" w:type="dxa"/>
            <w:vAlign w:val="bottom"/>
          </w:tcPr>
          <w:p>
            <w:pPr>
              <w:spacing w:after="0"/>
              <w:rPr>
                <w:sz w:val="1"/>
                <w:szCs w:val="1"/>
                <w:color w:val="auto"/>
              </w:rPr>
            </w:pPr>
          </w:p>
        </w:tc>
      </w:tr>
      <w:tr>
        <w:trPr>
          <w:trHeight w:val="311"/>
        </w:trPr>
        <w:tc>
          <w:tcPr>
            <w:tcW w:w="1000" w:type="dxa"/>
            <w:vAlign w:val="bottom"/>
            <w:gridSpan w:val="5"/>
          </w:tcPr>
          <w:p>
            <w:pPr>
              <w:spacing w:after="0"/>
              <w:rPr>
                <w:sz w:val="20"/>
                <w:szCs w:val="20"/>
                <w:color w:val="auto"/>
              </w:rPr>
            </w:pPr>
            <w:r>
              <w:rPr>
                <w:rFonts w:ascii="Arial" w:cs="Arial" w:eastAsia="Arial" w:hAnsi="Arial"/>
                <w:sz w:val="18"/>
                <w:szCs w:val="18"/>
                <w:color w:val="auto"/>
              </w:rPr>
              <w:t>10.20†**</w:t>
            </w:r>
          </w:p>
        </w:tc>
        <w:tc>
          <w:tcPr>
            <w:tcW w:w="9780" w:type="dxa"/>
            <w:vAlign w:val="bottom"/>
            <w:gridSpan w:val="3"/>
          </w:tcPr>
          <w:p>
            <w:pPr>
              <w:ind w:left="280"/>
              <w:spacing w:after="0"/>
              <w:rPr>
                <w:sz w:val="20"/>
                <w:szCs w:val="20"/>
                <w:color w:val="auto"/>
              </w:rPr>
            </w:pPr>
            <w:r>
              <w:rPr>
                <w:rFonts w:ascii="Arial" w:cs="Arial" w:eastAsia="Arial" w:hAnsi="Arial"/>
                <w:sz w:val="18"/>
                <w:szCs w:val="18"/>
                <w:color w:val="auto"/>
              </w:rPr>
              <w:t>Sublicense Agreement, dated July 29, 2015, by and between Mereo BioPharma 3 Limited and Novartis Pharma AG</w:t>
            </w:r>
          </w:p>
        </w:tc>
        <w:tc>
          <w:tcPr>
            <w:tcW w:w="0" w:type="dxa"/>
            <w:vAlign w:val="bottom"/>
          </w:tcPr>
          <w:p>
            <w:pPr>
              <w:spacing w:after="0"/>
              <w:rPr>
                <w:sz w:val="1"/>
                <w:szCs w:val="1"/>
                <w:color w:val="auto"/>
              </w:rPr>
            </w:pPr>
          </w:p>
        </w:tc>
      </w:tr>
    </w:tbl>
    <w:p>
      <w:pPr>
        <w:sectPr>
          <w:pgSz w:w="11900" w:h="16838" w:orient="portrait"/>
          <w:cols w:equalWidth="0" w:num="1">
            <w:col w:w="10980"/>
          </w:cols>
          <w:pgMar w:left="240" w:top="459" w:right="6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500" w:type="dxa"/>
            <w:vAlign w:val="bottom"/>
          </w:tcPr>
          <w:p>
            <w:pPr>
              <w:spacing w:after="0"/>
              <w:rPr>
                <w:sz w:val="14"/>
                <w:szCs w:val="14"/>
                <w:color w:val="auto"/>
              </w:rPr>
            </w:pPr>
          </w:p>
        </w:tc>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39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86"/>
              </w:rPr>
              <w:t>Number</w:t>
            </w:r>
          </w:p>
        </w:tc>
        <w:tc>
          <w:tcPr>
            <w:tcW w:w="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3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020" w:type="dxa"/>
            <w:vAlign w:val="bottom"/>
            <w:gridSpan w:val="5"/>
          </w:tcPr>
          <w:p>
            <w:pPr>
              <w:spacing w:after="0"/>
              <w:rPr>
                <w:sz w:val="20"/>
                <w:szCs w:val="20"/>
                <w:color w:val="auto"/>
              </w:rPr>
            </w:pPr>
            <w:r>
              <w:rPr>
                <w:rFonts w:ascii="Arial" w:cs="Arial" w:eastAsia="Arial" w:hAnsi="Arial"/>
                <w:sz w:val="18"/>
                <w:szCs w:val="18"/>
                <w:color w:val="auto"/>
              </w:rPr>
              <w:t>10.21†**</w:t>
            </w: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Exclusive License and Option Agreement, dated October 28, 2017, by and between Mereo BioPharma 4 Limited and</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AstraZeneca AB</w:t>
            </w:r>
          </w:p>
        </w:tc>
        <w:tc>
          <w:tcPr>
            <w:tcW w:w="0" w:type="dxa"/>
            <w:vAlign w:val="bottom"/>
          </w:tcPr>
          <w:p>
            <w:pPr>
              <w:spacing w:after="0"/>
              <w:rPr>
                <w:sz w:val="1"/>
                <w:szCs w:val="1"/>
                <w:color w:val="auto"/>
              </w:rPr>
            </w:pPr>
          </w:p>
        </w:tc>
      </w:tr>
      <w:tr>
        <w:trPr>
          <w:trHeight w:val="296"/>
        </w:trPr>
        <w:tc>
          <w:tcPr>
            <w:tcW w:w="600" w:type="dxa"/>
            <w:vAlign w:val="bottom"/>
            <w:gridSpan w:val="3"/>
          </w:tcPr>
          <w:p>
            <w:pPr>
              <w:spacing w:after="0"/>
              <w:rPr>
                <w:sz w:val="20"/>
                <w:szCs w:val="20"/>
                <w:color w:val="auto"/>
              </w:rPr>
            </w:pPr>
            <w:r>
              <w:rPr>
                <w:rFonts w:ascii="Arial" w:cs="Arial" w:eastAsia="Arial" w:hAnsi="Arial"/>
                <w:sz w:val="18"/>
                <w:szCs w:val="18"/>
                <w:color w:val="auto"/>
                <w:w w:val="98"/>
              </w:rPr>
              <w:t>10.22**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w w:val="99"/>
              </w:rPr>
              <w:t>Loan Agreement, dated August 7, 2017, by and among the registrant, as borrower, the guarantors party thereto, Silicon</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Valley Bank, as a lender, and Kreos Capital V (UK) Limited, as a lender, agent and security agent</w:t>
            </w:r>
          </w:p>
        </w:tc>
        <w:tc>
          <w:tcPr>
            <w:tcW w:w="0" w:type="dxa"/>
            <w:vAlign w:val="bottom"/>
          </w:tcPr>
          <w:p>
            <w:pPr>
              <w:spacing w:after="0"/>
              <w:rPr>
                <w:sz w:val="1"/>
                <w:szCs w:val="1"/>
                <w:color w:val="auto"/>
              </w:rPr>
            </w:pPr>
          </w:p>
        </w:tc>
      </w:tr>
      <w:tr>
        <w:trPr>
          <w:trHeight w:val="311"/>
        </w:trPr>
        <w:tc>
          <w:tcPr>
            <w:tcW w:w="640" w:type="dxa"/>
            <w:vAlign w:val="bottom"/>
            <w:gridSpan w:val="4"/>
          </w:tcPr>
          <w:p>
            <w:pPr>
              <w:spacing w:after="0"/>
              <w:rPr>
                <w:sz w:val="20"/>
                <w:szCs w:val="20"/>
                <w:color w:val="auto"/>
              </w:rPr>
            </w:pPr>
            <w:r>
              <w:rPr>
                <w:rFonts w:ascii="Arial" w:cs="Arial" w:eastAsia="Arial" w:hAnsi="Arial"/>
                <w:sz w:val="18"/>
                <w:szCs w:val="18"/>
                <w:color w:val="auto"/>
                <w:w w:val="99"/>
              </w:rPr>
              <w:t>10.23#*</w:t>
            </w: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Form of Deed of Indemnity for board members</w:t>
            </w:r>
          </w:p>
        </w:tc>
        <w:tc>
          <w:tcPr>
            <w:tcW w:w="0" w:type="dxa"/>
            <w:vAlign w:val="bottom"/>
          </w:tcPr>
          <w:p>
            <w:pPr>
              <w:spacing w:after="0"/>
              <w:rPr>
                <w:sz w:val="1"/>
                <w:szCs w:val="1"/>
                <w:color w:val="auto"/>
              </w:rPr>
            </w:pPr>
          </w:p>
        </w:tc>
      </w:tr>
      <w:tr>
        <w:trPr>
          <w:trHeight w:val="296"/>
        </w:trPr>
        <w:tc>
          <w:tcPr>
            <w:tcW w:w="600" w:type="dxa"/>
            <w:vAlign w:val="bottom"/>
            <w:gridSpan w:val="3"/>
          </w:tcPr>
          <w:p>
            <w:pPr>
              <w:spacing w:after="0"/>
              <w:rPr>
                <w:sz w:val="20"/>
                <w:szCs w:val="20"/>
                <w:color w:val="auto"/>
              </w:rPr>
            </w:pPr>
            <w:r>
              <w:rPr>
                <w:rFonts w:ascii="Arial" w:cs="Arial" w:eastAsia="Arial" w:hAnsi="Arial"/>
                <w:sz w:val="18"/>
                <w:szCs w:val="18"/>
                <w:color w:val="auto"/>
              </w:rPr>
              <w:t>10.24*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Convertible Loan Note Instrument relating to Mereo BioPharma Group plc, dated June 3, 2016, by the registrant,</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including Deeds of Amendment thereto, between the registrant and Novartis Pharma AG</w:t>
            </w:r>
          </w:p>
        </w:tc>
        <w:tc>
          <w:tcPr>
            <w:tcW w:w="0" w:type="dxa"/>
            <w:vAlign w:val="bottom"/>
          </w:tcPr>
          <w:p>
            <w:pPr>
              <w:spacing w:after="0"/>
              <w:rPr>
                <w:sz w:val="1"/>
                <w:szCs w:val="1"/>
                <w:color w:val="auto"/>
              </w:rPr>
            </w:pPr>
          </w:p>
        </w:tc>
      </w:tr>
      <w:tr>
        <w:trPr>
          <w:trHeight w:val="311"/>
        </w:trPr>
        <w:tc>
          <w:tcPr>
            <w:tcW w:w="600" w:type="dxa"/>
            <w:vAlign w:val="bottom"/>
            <w:gridSpan w:val="3"/>
          </w:tcPr>
          <w:p>
            <w:pPr>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11"/>
        </w:trPr>
        <w:tc>
          <w:tcPr>
            <w:tcW w:w="600" w:type="dxa"/>
            <w:vAlign w:val="bottom"/>
            <w:gridSpan w:val="3"/>
          </w:tcPr>
          <w:p>
            <w:pPr>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11"/>
        </w:trPr>
        <w:tc>
          <w:tcPr>
            <w:tcW w:w="600" w:type="dxa"/>
            <w:vAlign w:val="bottom"/>
            <w:gridSpan w:val="3"/>
          </w:tcPr>
          <w:p>
            <w:pPr>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Consent of Latham &amp; Watkins LLP (included in Exhibit 5.1)</w:t>
            </w:r>
          </w:p>
        </w:tc>
        <w:tc>
          <w:tcPr>
            <w:tcW w:w="0" w:type="dxa"/>
            <w:vAlign w:val="bottom"/>
          </w:tcPr>
          <w:p>
            <w:pPr>
              <w:spacing w:after="0"/>
              <w:rPr>
                <w:sz w:val="1"/>
                <w:szCs w:val="1"/>
                <w:color w:val="auto"/>
              </w:rPr>
            </w:pPr>
          </w:p>
        </w:tc>
      </w:tr>
      <w:tr>
        <w:trPr>
          <w:trHeight w:val="311"/>
        </w:trPr>
        <w:tc>
          <w:tcPr>
            <w:tcW w:w="600" w:type="dxa"/>
            <w:vAlign w:val="bottom"/>
            <w:gridSpan w:val="3"/>
          </w:tcPr>
          <w:p>
            <w:pPr>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Powers of Attorney (included on signature page to the registration statement)</w:t>
            </w:r>
          </w:p>
        </w:tc>
        <w:tc>
          <w:tcPr>
            <w:tcW w:w="0" w:type="dxa"/>
            <w:vAlign w:val="bottom"/>
          </w:tcPr>
          <w:p>
            <w:pPr>
              <w:spacing w:after="0"/>
              <w:rPr>
                <w:sz w:val="1"/>
                <w:szCs w:val="1"/>
                <w:color w:val="auto"/>
              </w:rPr>
            </w:pPr>
          </w:p>
        </w:tc>
      </w:tr>
      <w:tr>
        <w:trPr>
          <w:trHeight w:val="311"/>
        </w:trPr>
        <w:tc>
          <w:tcPr>
            <w:tcW w:w="600" w:type="dxa"/>
            <w:vAlign w:val="bottom"/>
            <w:gridSpan w:val="3"/>
          </w:tcPr>
          <w:p>
            <w:pPr>
              <w:spacing w:after="0"/>
              <w:rPr>
                <w:sz w:val="20"/>
                <w:szCs w:val="20"/>
                <w:color w:val="auto"/>
              </w:rPr>
            </w:pPr>
            <w:r>
              <w:rPr>
                <w:rFonts w:ascii="Arial" w:cs="Arial" w:eastAsia="Arial" w:hAnsi="Arial"/>
                <w:sz w:val="18"/>
                <w:szCs w:val="18"/>
                <w:color w:val="auto"/>
              </w:rPr>
              <w:t>99.1**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Request for Waiver from Requirements of Form 20-F, Item 8.A.4, dated January 18,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181800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200" w:right="8440" w:firstLine="4"/>
        <w:spacing w:after="0" w:line="298" w:lineRule="auto"/>
        <w:tabs>
          <w:tab w:leader="none" w:pos="52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To be filed by amendment. ** Previously filed.</w:t>
      </w:r>
    </w:p>
    <w:p>
      <w:pPr>
        <w:spacing w:after="0" w:line="1" w:lineRule="exact"/>
        <w:rPr>
          <w:sz w:val="20"/>
          <w:szCs w:val="20"/>
          <w:color w:val="auto"/>
        </w:rPr>
      </w:pPr>
    </w:p>
    <w:p>
      <w:pPr>
        <w:ind w:left="520" w:hanging="316"/>
        <w:spacing w:after="0" w:line="246" w:lineRule="auto"/>
        <w:tabs>
          <w:tab w:leader="none" w:pos="5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this exhibit has been filed separately with the SEC.</w:t>
      </w:r>
    </w:p>
    <w:p>
      <w:pPr>
        <w:spacing w:after="0" w:line="21" w:lineRule="exact"/>
        <w:rPr>
          <w:sz w:val="20"/>
          <w:szCs w:val="20"/>
          <w:color w:val="auto"/>
        </w:rPr>
      </w:pPr>
    </w:p>
    <w:p>
      <w:pPr>
        <w:ind w:left="520" w:hanging="316"/>
        <w:spacing w:after="0"/>
        <w:tabs>
          <w:tab w:leader="none" w:pos="5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Indicates senior management contract or compensatory plan.</w:t>
      </w:r>
    </w:p>
    <w:p>
      <w:pPr>
        <w:sectPr>
          <w:pgSz w:w="11900" w:h="16838" w:orient="portrait"/>
          <w:cols w:equalWidth="0" w:num="1">
            <w:col w:w="11080"/>
          </w:cols>
          <w:pgMar w:left="240" w:top="460" w:right="5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342" w:lineRule="exact"/>
        <w:rPr>
          <w:sz w:val="20"/>
          <w:szCs w:val="20"/>
          <w:color w:val="auto"/>
        </w:rPr>
      </w:pPr>
    </w:p>
    <w:p>
      <w:pPr>
        <w:ind w:left="200" w:right="20" w:firstLine="331"/>
        <w:spacing w:after="0" w:line="23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6560" w:type="dxa"/>
            <w:vAlign w:val="bottom"/>
          </w:tcPr>
          <w:p>
            <w:pPr>
              <w:spacing w:after="0"/>
              <w:rPr>
                <w:sz w:val="20"/>
                <w:szCs w:val="20"/>
                <w:color w:val="auto"/>
              </w:rPr>
            </w:pPr>
            <w:r>
              <w:rPr>
                <w:rFonts w:ascii="Arial" w:cs="Arial" w:eastAsia="Arial" w:hAnsi="Arial"/>
                <w:sz w:val="18"/>
                <w:szCs w:val="18"/>
                <w:color w:val="auto"/>
              </w:rPr>
              <w:t>by the undersigned, thereunto duly authorized, in London, the United Kingdom on</w:t>
            </w:r>
          </w:p>
        </w:tc>
        <w:tc>
          <w:tcPr>
            <w:tcW w:w="4480" w:type="dxa"/>
            <w:vAlign w:val="bottom"/>
            <w:gridSpan w:val="3"/>
          </w:tcPr>
          <w:p>
            <w:pPr>
              <w:ind w:left="780"/>
              <w:spacing w:after="0"/>
              <w:rPr>
                <w:sz w:val="20"/>
                <w:szCs w:val="20"/>
                <w:color w:val="auto"/>
              </w:rPr>
            </w:pPr>
            <w:r>
              <w:rPr>
                <w:rFonts w:ascii="Arial" w:cs="Arial" w:eastAsia="Arial" w:hAnsi="Arial"/>
                <w:sz w:val="18"/>
                <w:szCs w:val="18"/>
                <w:color w:val="auto"/>
              </w:rPr>
              <w:t>, 2018.</w:t>
            </w:r>
          </w:p>
        </w:tc>
      </w:tr>
      <w:tr>
        <w:trPr>
          <w:trHeight w:val="446"/>
        </w:trPr>
        <w:tc>
          <w:tcPr>
            <w:tcW w:w="6560" w:type="dxa"/>
            <w:vAlign w:val="bottom"/>
          </w:tcPr>
          <w:p>
            <w:pPr>
              <w:spacing w:after="0"/>
              <w:rPr>
                <w:sz w:val="24"/>
                <w:szCs w:val="24"/>
                <w:color w:val="auto"/>
              </w:rPr>
            </w:pPr>
          </w:p>
        </w:tc>
        <w:tc>
          <w:tcPr>
            <w:tcW w:w="4480" w:type="dxa"/>
            <w:vAlign w:val="bottom"/>
            <w:gridSpan w:val="3"/>
          </w:tcPr>
          <w:p>
            <w:pPr>
              <w:ind w:left="60"/>
              <w:spacing w:after="0"/>
              <w:rPr>
                <w:sz w:val="20"/>
                <w:szCs w:val="20"/>
                <w:color w:val="auto"/>
              </w:rPr>
            </w:pPr>
            <w:r>
              <w:rPr>
                <w:rFonts w:ascii="Arial" w:cs="Arial" w:eastAsia="Arial" w:hAnsi="Arial"/>
                <w:sz w:val="18"/>
                <w:szCs w:val="18"/>
                <w:color w:val="auto"/>
              </w:rPr>
              <w:t>MEREO BIOPHARMA GROUP PLC</w:t>
            </w:r>
          </w:p>
        </w:tc>
      </w:tr>
      <w:tr>
        <w:trPr>
          <w:trHeight w:val="405"/>
        </w:trPr>
        <w:tc>
          <w:tcPr>
            <w:tcW w:w="6560" w:type="dxa"/>
            <w:vAlign w:val="bottom"/>
          </w:tcPr>
          <w:p>
            <w:pPr>
              <w:spacing w:after="0"/>
              <w:rPr>
                <w:sz w:val="24"/>
                <w:szCs w:val="24"/>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rPr>
              <w:t>By:</w:t>
            </w:r>
          </w:p>
        </w:tc>
        <w:tc>
          <w:tcPr>
            <w:tcW w:w="6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09"/>
        </w:trPr>
        <w:tc>
          <w:tcPr>
            <w:tcW w:w="6560" w:type="dxa"/>
            <w:vAlign w:val="bottom"/>
          </w:tcPr>
          <w:p>
            <w:pPr>
              <w:spacing w:after="0"/>
              <w:rPr>
                <w:sz w:val="18"/>
                <w:szCs w:val="18"/>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Name:</w:t>
            </w:r>
          </w:p>
        </w:tc>
        <w:tc>
          <w:tcPr>
            <w:tcW w:w="3420" w:type="dxa"/>
            <w:vAlign w:val="bottom"/>
          </w:tcPr>
          <w:p>
            <w:pPr>
              <w:ind w:left="120"/>
              <w:spacing w:after="0"/>
              <w:rPr>
                <w:sz w:val="20"/>
                <w:szCs w:val="20"/>
                <w:color w:val="auto"/>
              </w:rPr>
            </w:pPr>
            <w:r>
              <w:rPr>
                <w:rFonts w:ascii="Arial" w:cs="Arial" w:eastAsia="Arial" w:hAnsi="Arial"/>
                <w:sz w:val="18"/>
                <w:szCs w:val="18"/>
                <w:color w:val="auto"/>
              </w:rPr>
              <w:t>Denise Scots-Knight, Ph.D.</w:t>
            </w:r>
          </w:p>
        </w:tc>
      </w:tr>
      <w:tr>
        <w:trPr>
          <w:trHeight w:val="217"/>
        </w:trPr>
        <w:tc>
          <w:tcPr>
            <w:tcW w:w="6560" w:type="dxa"/>
            <w:vAlign w:val="bottom"/>
          </w:tcPr>
          <w:p>
            <w:pPr>
              <w:spacing w:after="0"/>
              <w:rPr>
                <w:sz w:val="18"/>
                <w:szCs w:val="18"/>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Title:</w:t>
            </w:r>
          </w:p>
        </w:tc>
        <w:tc>
          <w:tcPr>
            <w:tcW w:w="34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Denise Scots-Knight and Richard Jones and each of them, individually, as his or her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Securities Act of 1933, as amended,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w:t>
      </w:r>
    </w:p>
    <w:tbl>
      <w:tblPr>
        <w:tblLayout w:type="fixed"/>
        <w:tblInd w:w="200" w:type="dxa"/>
        <w:tblCellMar>
          <w:top w:w="0" w:type="dxa"/>
          <w:left w:w="0" w:type="dxa"/>
          <w:bottom w:w="0" w:type="dxa"/>
          <w:right w:w="0" w:type="dxa"/>
        </w:tblCellMar>
      </w:tblPr>
      <w:tr>
        <w:trPr>
          <w:trHeight w:val="217"/>
        </w:trPr>
        <w:tc>
          <w:tcPr>
            <w:tcW w:w="1320" w:type="dxa"/>
            <w:vAlign w:val="bottom"/>
            <w:gridSpan w:val="2"/>
          </w:tcPr>
          <w:p>
            <w:pPr>
              <w:spacing w:after="0"/>
              <w:rPr>
                <w:sz w:val="20"/>
                <w:szCs w:val="20"/>
                <w:color w:val="auto"/>
              </w:rPr>
            </w:pPr>
            <w:r>
              <w:rPr>
                <w:rFonts w:ascii="Arial" w:cs="Arial" w:eastAsia="Arial" w:hAnsi="Arial"/>
                <w:sz w:val="18"/>
                <w:szCs w:val="18"/>
                <w:color w:val="auto"/>
              </w:rPr>
              <w:t>persons on</w:t>
            </w:r>
          </w:p>
        </w:tc>
        <w:tc>
          <w:tcPr>
            <w:tcW w:w="4300" w:type="dxa"/>
            <w:vAlign w:val="bottom"/>
            <w:gridSpan w:val="3"/>
          </w:tcPr>
          <w:p>
            <w:pPr>
              <w:ind w:left="420"/>
              <w:spacing w:after="0"/>
              <w:rPr>
                <w:sz w:val="20"/>
                <w:szCs w:val="20"/>
                <w:color w:val="auto"/>
              </w:rPr>
            </w:pPr>
            <w:r>
              <w:rPr>
                <w:rFonts w:ascii="Arial" w:cs="Arial" w:eastAsia="Arial" w:hAnsi="Arial"/>
                <w:sz w:val="18"/>
                <w:szCs w:val="18"/>
                <w:color w:val="auto"/>
              </w:rPr>
              <w:t>, 2018 in the capacities indicated:</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05"/>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2280" w:type="dxa"/>
            <w:vAlign w:val="bottom"/>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4"/>
                <w:szCs w:val="14"/>
                <w:b w:val="1"/>
                <w:bCs w:val="1"/>
                <w:color w:val="auto"/>
              </w:rPr>
              <w:t>Title</w:t>
            </w:r>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84"/>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71"/>
              <w:spacing w:after="0"/>
              <w:rPr>
                <w:sz w:val="20"/>
                <w:szCs w:val="20"/>
                <w:color w:val="auto"/>
              </w:rPr>
            </w:pPr>
            <w:r>
              <w:rPr>
                <w:rFonts w:ascii="Arial" w:cs="Arial" w:eastAsia="Arial" w:hAnsi="Arial"/>
                <w:sz w:val="18"/>
                <w:szCs w:val="18"/>
                <w:color w:val="auto"/>
                <w:w w:val="99"/>
              </w:rPr>
              <w:t>Chief Executive Officer and Member of the Board</w:t>
            </w:r>
          </w:p>
        </w:tc>
      </w:tr>
      <w:tr>
        <w:trPr>
          <w:trHeight w:val="211"/>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40"/>
              <w:spacing w:after="0"/>
              <w:rPr>
                <w:sz w:val="20"/>
                <w:szCs w:val="20"/>
                <w:color w:val="auto"/>
              </w:rPr>
            </w:pPr>
            <w:r>
              <w:rPr>
                <w:rFonts w:ascii="Arial" w:cs="Arial" w:eastAsia="Arial" w:hAnsi="Arial"/>
                <w:sz w:val="18"/>
                <w:szCs w:val="18"/>
                <w:color w:val="auto"/>
                <w:w w:val="99"/>
              </w:rPr>
              <w:t>Denise Scots-Knight, Ph.D.</w:t>
            </w:r>
          </w:p>
        </w:tc>
        <w:tc>
          <w:tcPr>
            <w:tcW w:w="4580" w:type="dxa"/>
            <w:vAlign w:val="bottom"/>
            <w:gridSpan w:val="3"/>
          </w:tcPr>
          <w:p>
            <w:pPr>
              <w:jc w:val="center"/>
              <w:ind w:left="351"/>
              <w:spacing w:after="0" w:line="197" w:lineRule="exact"/>
              <w:rPr>
                <w:sz w:val="20"/>
                <w:szCs w:val="20"/>
                <w:color w:val="auto"/>
              </w:rPr>
            </w:pPr>
            <w:r>
              <w:rPr>
                <w:rFonts w:ascii="Arial" w:cs="Arial" w:eastAsia="Arial" w:hAnsi="Arial"/>
                <w:sz w:val="18"/>
                <w:szCs w:val="18"/>
                <w:color w:val="auto"/>
                <w:w w:val="99"/>
              </w:rPr>
              <w:t>(Principal Executive Officer)</w:t>
            </w:r>
          </w:p>
        </w:tc>
      </w:tr>
      <w:tr>
        <w:trPr>
          <w:trHeight w:val="417"/>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w w:val="99"/>
              </w:rPr>
              <w:t>Chief Financial Officer and Member of the Board</w:t>
            </w:r>
          </w:p>
        </w:tc>
      </w:tr>
      <w:tr>
        <w:trPr>
          <w:trHeight w:val="183"/>
        </w:trPr>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300" w:type="dxa"/>
            <w:vAlign w:val="bottom"/>
            <w:gridSpan w:val="3"/>
          </w:tcPr>
          <w:p>
            <w:pPr>
              <w:jc w:val="center"/>
              <w:ind w:right="660"/>
              <w:spacing w:after="0" w:line="182" w:lineRule="exact"/>
              <w:rPr>
                <w:sz w:val="20"/>
                <w:szCs w:val="20"/>
                <w:color w:val="auto"/>
              </w:rPr>
            </w:pPr>
            <w:r>
              <w:rPr>
                <w:rFonts w:ascii="Arial" w:cs="Arial" w:eastAsia="Arial" w:hAnsi="Arial"/>
                <w:sz w:val="18"/>
                <w:szCs w:val="18"/>
                <w:color w:val="auto"/>
              </w:rPr>
              <w:t>Richard Jones</w:t>
            </w:r>
          </w:p>
        </w:tc>
        <w:tc>
          <w:tcPr>
            <w:tcW w:w="4580" w:type="dxa"/>
            <w:vAlign w:val="bottom"/>
            <w:gridSpan w:val="3"/>
          </w:tcPr>
          <w:p>
            <w:pPr>
              <w:jc w:val="center"/>
              <w:ind w:left="351"/>
              <w:spacing w:after="0" w:line="182" w:lineRule="exact"/>
              <w:rPr>
                <w:sz w:val="20"/>
                <w:szCs w:val="20"/>
                <w:color w:val="auto"/>
              </w:rPr>
            </w:pPr>
            <w:r>
              <w:rPr>
                <w:rFonts w:ascii="Arial" w:cs="Arial" w:eastAsia="Arial" w:hAnsi="Arial"/>
                <w:sz w:val="18"/>
                <w:szCs w:val="18"/>
                <w:color w:val="auto"/>
              </w:rPr>
              <w:t>(Principal Financial Officer and Principal Accounting</w:t>
            </w:r>
          </w:p>
        </w:tc>
      </w:tr>
      <w:tr>
        <w:trPr>
          <w:trHeight w:val="217"/>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w w:val="98"/>
              </w:rPr>
              <w:t>Officer)</w:t>
            </w:r>
          </w:p>
        </w:tc>
      </w:tr>
      <w:tr>
        <w:trPr>
          <w:trHeight w:val="405"/>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Chairman of the Board</w:t>
            </w:r>
          </w:p>
        </w:tc>
      </w:tr>
      <w:tr>
        <w:trPr>
          <w:trHeight w:val="210"/>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60"/>
              <w:spacing w:after="0"/>
              <w:rPr>
                <w:sz w:val="20"/>
                <w:szCs w:val="20"/>
                <w:color w:val="auto"/>
              </w:rPr>
            </w:pPr>
            <w:r>
              <w:rPr>
                <w:rFonts w:ascii="Arial" w:cs="Arial" w:eastAsia="Arial" w:hAnsi="Arial"/>
                <w:sz w:val="18"/>
                <w:szCs w:val="18"/>
                <w:color w:val="auto"/>
                <w:w w:val="98"/>
              </w:rPr>
              <w:t>Peter Fellner, Ph.D.</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40"/>
              <w:spacing w:after="0"/>
              <w:rPr>
                <w:sz w:val="20"/>
                <w:szCs w:val="20"/>
                <w:color w:val="auto"/>
              </w:rPr>
            </w:pPr>
            <w:r>
              <w:rPr>
                <w:rFonts w:ascii="Arial" w:cs="Arial" w:eastAsia="Arial" w:hAnsi="Arial"/>
                <w:sz w:val="18"/>
                <w:szCs w:val="18"/>
                <w:color w:val="auto"/>
                <w:w w:val="99"/>
              </w:rPr>
              <w:t>Frank Armstrong, MBChB</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60"/>
              <w:spacing w:after="0"/>
              <w:rPr>
                <w:sz w:val="20"/>
                <w:szCs w:val="20"/>
                <w:color w:val="auto"/>
              </w:rPr>
            </w:pPr>
            <w:r>
              <w:rPr>
                <w:rFonts w:ascii="Arial" w:cs="Arial" w:eastAsia="Arial" w:hAnsi="Arial"/>
                <w:sz w:val="18"/>
                <w:szCs w:val="18"/>
                <w:color w:val="auto"/>
                <w:w w:val="98"/>
              </w:rPr>
              <w:t>Peter Bains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Paul Blackburn</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Anders Ekblom, M.D., Ph.D.</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Kunal Kashyap</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bl>
    <w:p>
      <w:pPr>
        <w:sectPr>
          <w:pgSz w:w="11900" w:h="16838" w:orient="portrait"/>
          <w:cols w:equalWidth="0" w:num="1">
            <w:col w:w="11240"/>
          </w:cols>
          <w:pgMar w:left="240" w:top="460" w:right="41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w:t>
      </w:r>
    </w:p>
    <w:tbl>
      <w:tblPr>
        <w:tblLayout w:type="fixed"/>
        <w:tblInd w:w="200" w:type="dxa"/>
        <w:tblCellMar>
          <w:top w:w="0" w:type="dxa"/>
          <w:left w:w="0" w:type="dxa"/>
          <w:bottom w:w="0" w:type="dxa"/>
          <w:right w:w="0" w:type="dxa"/>
        </w:tblCellMar>
      </w:tblPr>
      <w:tr>
        <w:trPr>
          <w:trHeight w:val="217"/>
        </w:trPr>
        <w:tc>
          <w:tcPr>
            <w:tcW w:w="6960" w:type="dxa"/>
            <w:vAlign w:val="bottom"/>
          </w:tcPr>
          <w:p>
            <w:pPr>
              <w:spacing w:after="0"/>
              <w:rPr>
                <w:sz w:val="20"/>
                <w:szCs w:val="20"/>
                <w:color w:val="auto"/>
              </w:rPr>
            </w:pPr>
            <w:r>
              <w:rPr>
                <w:rFonts w:ascii="Arial" w:cs="Arial" w:eastAsia="Arial" w:hAnsi="Arial"/>
                <w:sz w:val="18"/>
                <w:szCs w:val="18"/>
                <w:color w:val="auto"/>
              </w:rPr>
              <w:t>United States of Mereo BioPharma Group plc has signed this registration statement on</w:t>
            </w:r>
          </w:p>
        </w:tc>
        <w:tc>
          <w:tcPr>
            <w:tcW w:w="4080" w:type="dxa"/>
            <w:vAlign w:val="bottom"/>
            <w:gridSpan w:val="2"/>
          </w:tcPr>
          <w:p>
            <w:pPr>
              <w:jc w:val="right"/>
              <w:ind w:right="2740"/>
              <w:spacing w:after="0"/>
              <w:rPr>
                <w:sz w:val="20"/>
                <w:szCs w:val="20"/>
                <w:color w:val="auto"/>
              </w:rPr>
            </w:pPr>
            <w:r>
              <w:rPr>
                <w:rFonts w:ascii="Arial" w:cs="Arial" w:eastAsia="Arial" w:hAnsi="Arial"/>
                <w:sz w:val="18"/>
                <w:szCs w:val="18"/>
                <w:color w:val="auto"/>
              </w:rPr>
              <w:t>, 2018.</w:t>
            </w:r>
          </w:p>
        </w:tc>
      </w:tr>
      <w:tr>
        <w:trPr>
          <w:trHeight w:val="432"/>
        </w:trPr>
        <w:tc>
          <w:tcPr>
            <w:tcW w:w="6960" w:type="dxa"/>
            <w:vAlign w:val="bottom"/>
          </w:tcPr>
          <w:p>
            <w:pPr>
              <w:ind w:left="66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r>
        <w:trPr>
          <w:trHeight w:val="209"/>
        </w:trPr>
        <w:tc>
          <w:tcPr>
            <w:tcW w:w="6960" w:type="dxa"/>
            <w:vAlign w:val="bottom"/>
          </w:tcPr>
          <w:p>
            <w:pPr>
              <w:spacing w:after="0"/>
              <w:rPr>
                <w:sz w:val="18"/>
                <w:szCs w:val="18"/>
                <w:color w:val="auto"/>
              </w:rPr>
            </w:pPr>
          </w:p>
        </w:tc>
        <w:tc>
          <w:tcPr>
            <w:tcW w:w="4080" w:type="dxa"/>
            <w:vAlign w:val="bottom"/>
            <w:gridSpan w:val="2"/>
          </w:tcPr>
          <w:p>
            <w:pPr>
              <w:ind w:left="60"/>
              <w:spacing w:after="0"/>
              <w:rPr>
                <w:sz w:val="20"/>
                <w:szCs w:val="20"/>
                <w:color w:val="auto"/>
              </w:rPr>
            </w:pPr>
            <w:r>
              <w:rPr>
                <w:rFonts w:ascii="Arial" w:cs="Arial" w:eastAsia="Arial" w:hAnsi="Arial"/>
                <w:sz w:val="18"/>
                <w:szCs w:val="18"/>
                <w:color w:val="auto"/>
              </w:rPr>
              <w:t>Name:</w:t>
            </w:r>
          </w:p>
        </w:tc>
      </w:tr>
      <w:tr>
        <w:trPr>
          <w:trHeight w:val="217"/>
        </w:trPr>
        <w:tc>
          <w:tcPr>
            <w:tcW w:w="6960" w:type="dxa"/>
            <w:vAlign w:val="bottom"/>
          </w:tcPr>
          <w:p>
            <w:pPr>
              <w:spacing w:after="0"/>
              <w:rPr>
                <w:sz w:val="18"/>
                <w:szCs w:val="18"/>
                <w:color w:val="auto"/>
              </w:rPr>
            </w:pPr>
          </w:p>
        </w:tc>
        <w:tc>
          <w:tcPr>
            <w:tcW w:w="4080" w:type="dxa"/>
            <w:vAlign w:val="bottom"/>
            <w:gridSpan w:val="2"/>
          </w:tcPr>
          <w:p>
            <w:pPr>
              <w:ind w:left="60"/>
              <w:spacing w:after="0"/>
              <w:rPr>
                <w:sz w:val="20"/>
                <w:szCs w:val="20"/>
                <w:color w:val="auto"/>
              </w:rPr>
            </w:pPr>
            <w:r>
              <w:rPr>
                <w:rFonts w:ascii="Arial" w:cs="Arial" w:eastAsia="Arial" w:hAnsi="Arial"/>
                <w:sz w:val="18"/>
                <w:szCs w:val="18"/>
                <w:color w:val="auto"/>
              </w:rPr>
              <w:t>Title:</w:t>
            </w:r>
          </w:p>
        </w:tc>
      </w:tr>
    </w:tbl>
    <w:p>
      <w:pPr>
        <w:spacing w:after="0" w:line="1" w:lineRule="exact"/>
        <w:rPr>
          <w:sz w:val="20"/>
          <w:szCs w:val="20"/>
          <w:color w:val="auto"/>
        </w:rPr>
      </w:pP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1)"/>
      <w:numFmt w:val="decimal"/>
      <w:start w:val="2"/>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1"/>
      <w:numFmt w:val="upperLetter"/>
      <w:start w:val="34"/>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1)"/>
      <w:numFmt w:val="decimal"/>
      <w:start w:val="3"/>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
      <w:numFmt w:val="bullet"/>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
      <w:numFmt w:val="bullet"/>
      <w:start w:val="1"/>
    </w:lvl>
  </w:abstractNum>
  <w:abstractNum w:abstractNumId="34">
    <w:nsid w:val="6A3DD3E8"/>
    <w:multiLevelType w:val="hybridMultilevel"/>
    <w:lvl w:ilvl="0">
      <w:lvlJc w:val="left"/>
      <w:lvlText w:val="∎"/>
      <w:numFmt w:val="bullet"/>
      <w:start w:val="1"/>
    </w:lvl>
  </w:abstractNum>
  <w:abstractNum w:abstractNumId="35">
    <w:nsid w:val="71C91298"/>
    <w:multiLevelType w:val="hybridMultilevel"/>
    <w:lvl w:ilvl="0">
      <w:lvlJc w:val="left"/>
      <w:lvlText w:val="(%1)"/>
      <w:numFmt w:val="lowerRoman"/>
      <w:start w:val="1"/>
    </w:lvl>
  </w:abstractNum>
  <w:abstractNum w:abstractNumId="36">
    <w:nsid w:val="9DAF632"/>
    <w:multiLevelType w:val="hybridMultilevel"/>
    <w:lvl w:ilvl="0">
      <w:lvlJc w:val="left"/>
      <w:lvlText w:val="∎"/>
      <w:numFmt w:val="bullet"/>
      <w:start w:val="1"/>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1)"/>
      <w:numFmt w:val="decimal"/>
      <w:start w:val="1"/>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
      <w:numFmt w:val="bullet"/>
      <w:start w:val="1"/>
    </w:lvl>
  </w:abstractNum>
  <w:abstractNum w:abstractNumId="44">
    <w:nsid w:val="1D9F6E5F"/>
    <w:multiLevelType w:val="hybridMultilevel"/>
    <w:lvl w:ilvl="0">
      <w:lvlJc w:val="left"/>
      <w:lvlText w:val="£"/>
      <w:numFmt w:val="bullet"/>
      <w:start w:val="1"/>
    </w:lvl>
    <w:lvl w:ilvl="1">
      <w:lvlJc w:val="left"/>
      <w:lvlText w:val=","/>
      <w:numFmt w:val="bullet"/>
      <w:start w:val="1"/>
    </w:lvl>
  </w:abstractNum>
  <w:abstractNum w:abstractNumId="45">
    <w:nsid w:val="97E1B4E"/>
    <w:multiLevelType w:val="hybridMultilevel"/>
    <w:lvl w:ilvl="0">
      <w:lvlJc w:val="left"/>
      <w:lvlText w:val="∎"/>
      <w:numFmt w:val="bullet"/>
      <w:start w:val="1"/>
    </w:lvl>
  </w:abstractNum>
  <w:abstractNum w:abstractNumId="46">
    <w:nsid w:val="51088277"/>
    <w:multiLevelType w:val="hybridMultilevel"/>
    <w:lvl w:ilvl="0">
      <w:lvlJc w:val="left"/>
      <w:lvlText w:val="(%1)"/>
      <w:numFmt w:val="decimal"/>
      <w:start w:val="1"/>
    </w:lvl>
  </w:abstractNum>
  <w:abstractNum w:abstractNumId="47">
    <w:nsid w:val="1CA0C5FA"/>
    <w:multiLevelType w:val="hybridMultilevel"/>
    <w:lvl w:ilvl="0">
      <w:lvlJc w:val="left"/>
      <w:lvlText w:val="%1."/>
      <w:numFmt w:val="decimal"/>
      <w:start w:val="197"/>
    </w:lvl>
  </w:abstractNum>
  <w:abstractNum w:abstractNumId="48">
    <w:nsid w:val="53584BCB"/>
    <w:multiLevelType w:val="hybridMultilevel"/>
    <w:lvl w:ilvl="0">
      <w:lvlJc w:val="left"/>
      <w:lvlText w:val="∎"/>
      <w:numFmt w:val="bullet"/>
      <w:start w:val="1"/>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
      <w:numFmt w:val="bullet"/>
      <w:start w:val="1"/>
    </w:lvl>
  </w:abstractNum>
  <w:abstractNum w:abstractNumId="51">
    <w:nsid w:val="23D86AAC"/>
    <w:multiLevelType w:val="hybridMultilevel"/>
    <w:lvl w:ilvl="0">
      <w:lvlJc w:val="left"/>
      <w:lvlText w:val="∎"/>
      <w:numFmt w:val="bullet"/>
      <w:start w:val="1"/>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1)"/>
      <w:numFmt w:val="decimal"/>
      <w:start w:val="1"/>
    </w:lvl>
  </w:abstractNum>
  <w:abstractNum w:abstractNumId="54">
    <w:nsid w:val="E7FFA2B"/>
    <w:multiLevelType w:val="hybridMultilevel"/>
    <w:lvl w:ilvl="0">
      <w:lvlJc w:val="left"/>
      <w:lvlText w:val="∎"/>
      <w:numFmt w:val="bullet"/>
      <w:start w:val="1"/>
    </w:lvl>
    <w:lvl w:ilvl="1">
      <w:lvlJc w:val="left"/>
      <w:lvlText w:val="∎"/>
      <w:numFmt w:val="bullet"/>
      <w:start w:val="1"/>
    </w:lvl>
  </w:abstractNum>
  <w:abstractNum w:abstractNumId="55">
    <w:nsid w:val="3C5991AA"/>
    <w:multiLevelType w:val="hybridMultilevel"/>
    <w:lvl w:ilvl="0">
      <w:lvlJc w:val="left"/>
      <w:lvlText w:val="∎"/>
      <w:numFmt w:val="bullet"/>
      <w:start w:val="1"/>
    </w:lvl>
  </w:abstractNum>
  <w:abstractNum w:abstractNumId="56">
    <w:nsid w:val="4BD8591A"/>
    <w:multiLevelType w:val="hybridMultilevel"/>
    <w:lvl w:ilvl="0">
      <w:lvlJc w:val="left"/>
      <w:lvlText w:val="∎"/>
      <w:numFmt w:val="bullet"/>
      <w:start w:val="1"/>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lvl w:ilvl="1">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
      <w:numFmt w:val="bullet"/>
      <w:start w:val="1"/>
    </w:lvl>
  </w:abstractNum>
  <w:abstractNum w:abstractNumId="64">
    <w:nsid w:val="4C9B0904"/>
    <w:multiLevelType w:val="hybridMultilevel"/>
    <w:lvl w:ilvl="0">
      <w:lvlJc w:val="left"/>
      <w:lvlText w:val="*"/>
      <w:numFmt w:val="bullet"/>
      <w:start w:val="1"/>
    </w:lvl>
  </w:abstractNum>
  <w:abstractNum w:abstractNumId="65">
    <w:nsid w:val="6AA7B75C"/>
    <w:multiLevelType w:val="hybridMultilevel"/>
    <w:lvl w:ilvl="0">
      <w:lvlJc w:val="left"/>
      <w:lvlText w:val="∎"/>
      <w:numFmt w:val="bullet"/>
      <w:start w:val="1"/>
    </w:lvl>
  </w:abstractNum>
  <w:abstractNum w:abstractNumId="66">
    <w:nsid w:val="1DF029D3"/>
    <w:multiLevelType w:val="hybridMultilevel"/>
    <w:lvl w:ilvl="0">
      <w:lvlJc w:val="left"/>
      <w:lvlText w:val="∎"/>
      <w:numFmt w:val="bullet"/>
      <w:start w:val="1"/>
    </w:lvl>
  </w:abstractNum>
  <w:abstractNum w:abstractNumId="67">
    <w:nsid w:val="5675FF36"/>
    <w:multiLevelType w:val="hybridMultilevel"/>
    <w:lvl w:ilvl="0">
      <w:lvlJc w:val="left"/>
      <w:lvlText w:val="∎"/>
      <w:numFmt w:val="bullet"/>
      <w:start w:val="1"/>
    </w:lvl>
  </w:abstractNum>
  <w:abstractNum w:abstractNumId="68">
    <w:nsid w:val="3DD15094"/>
    <w:multiLevelType w:val="hybridMultilevel"/>
    <w:lvl w:ilvl="0">
      <w:lvlJc w:val="left"/>
      <w:lvlText w:val="%1"/>
      <w:numFmt w:val="upperLetter"/>
      <w:start w:val="34"/>
    </w:lvl>
  </w:abstractNum>
  <w:abstractNum w:abstractNumId="69">
    <w:nsid w:val="3DB012B3"/>
    <w:multiLevelType w:val="hybridMultilevel"/>
    <w:lvl w:ilvl="0">
      <w:lvlJc w:val="left"/>
      <w:lvlText w:val="*"/>
      <w:numFmt w:val="bullet"/>
      <w:start w:val="1"/>
    </w:lvl>
  </w:abstractNum>
  <w:abstractNum w:abstractNumId="70">
    <w:nsid w:val="2708C9AF"/>
    <w:multiLevelType w:val="hybridMultilevel"/>
    <w:lvl w:ilvl="0">
      <w:lvlJc w:val="left"/>
      <w:lvlText w:val="*"/>
      <w:numFmt w:val="bullet"/>
      <w:start w:val="1"/>
    </w:lvl>
  </w:abstractNum>
  <w:abstractNum w:abstractNumId="71">
    <w:nsid w:val="5B25ACE2"/>
    <w:multiLevelType w:val="hybridMultilevel"/>
    <w:lvl w:ilvl="0">
      <w:lvlJc w:val="left"/>
      <w:lvlText w:val="**"/>
      <w:numFmt w:val="bullet"/>
      <w:start w:val="1"/>
    </w:lvl>
  </w:abstractNum>
  <w:abstractNum w:abstractNumId="72">
    <w:nsid w:val="175DFCF0"/>
    <w:multiLevelType w:val="hybridMultilevel"/>
    <w:lvl w:ilvl="0">
      <w:lvlJc w:val="left"/>
      <w:lvlText w:val="***"/>
      <w:numFmt w:val="bullet"/>
      <w:start w:val="1"/>
    </w:lvl>
  </w:abstractNum>
  <w:abstractNum w:abstractNumId="73">
    <w:nsid w:val="4F97E3E4"/>
    <w:multiLevelType w:val="hybridMultilevel"/>
    <w:lvl w:ilvl="0">
      <w:lvlJc w:val="left"/>
      <w:lvlText w:val="****"/>
      <w:numFmt w:val="bullet"/>
      <w:start w:val="1"/>
    </w:lvl>
  </w:abstractNum>
  <w:abstractNum w:abstractNumId="74">
    <w:nsid w:val="53B0A9E"/>
    <w:multiLevelType w:val="hybridMultilevel"/>
    <w:lvl w:ilvl="0">
      <w:lvlJc w:val="left"/>
      <w:lvlText w:val="*"/>
      <w:numFmt w:val="bullet"/>
      <w:start w:val="1"/>
    </w:lvl>
  </w:abstractNum>
  <w:abstractNum w:abstractNumId="75">
    <w:nsid w:val="34FD6B4F"/>
    <w:multiLevelType w:val="hybridMultilevel"/>
    <w:lvl w:ilvl="0">
      <w:lvlJc w:val="left"/>
      <w:lvlText w:val="**"/>
      <w:numFmt w:val="bullet"/>
      <w:start w:val="1"/>
    </w:lvl>
  </w:abstractNum>
  <w:abstractNum w:abstractNumId="76">
    <w:nsid w:val="5915FF32"/>
    <w:multiLevelType w:val="hybridMultilevel"/>
    <w:lvl w:ilvl="0">
      <w:lvlJc w:val="left"/>
      <w:lvlText w:val="***"/>
      <w:numFmt w:val="bullet"/>
      <w:start w:val="1"/>
    </w:lvl>
  </w:abstractNum>
  <w:abstractNum w:abstractNumId="77">
    <w:nsid w:val="56438D15"/>
    <w:multiLevelType w:val="hybridMultilevel"/>
    <w:lvl w:ilvl="0">
      <w:lvlJc w:val="left"/>
      <w:lvlText w:val="****"/>
      <w:numFmt w:val="bullet"/>
      <w:start w:val="1"/>
    </w:lvl>
  </w:abstractNum>
  <w:abstractNum w:abstractNumId="78">
    <w:nsid w:val="519E3149"/>
    <w:multiLevelType w:val="hybridMultilevel"/>
    <w:lvl w:ilvl="0">
      <w:lvlJc w:val="left"/>
      <w:lvlText w:val="*"/>
      <w:numFmt w:val="bullet"/>
      <w:start w:val="1"/>
    </w:lvl>
  </w:abstractNum>
  <w:abstractNum w:abstractNumId="79">
    <w:nsid w:val="2C6E4AFD"/>
    <w:multiLevelType w:val="hybridMultilevel"/>
    <w:lvl w:ilvl="0">
      <w:lvlJc w:val="left"/>
      <w:lvlText w:val="**"/>
      <w:numFmt w:val="bullet"/>
      <w:start w:val="1"/>
    </w:lvl>
  </w:abstractNum>
  <w:abstractNum w:abstractNumId="80">
    <w:nsid w:val="17A1B582"/>
    <w:multiLevelType w:val="hybridMultilevel"/>
    <w:lvl w:ilvl="0">
      <w:lvlJc w:val="left"/>
      <w:lvlText w:val="***"/>
      <w:numFmt w:val="bullet"/>
      <w:start w:val="1"/>
    </w:lvl>
  </w:abstractNum>
  <w:abstractNum w:abstractNumId="81">
    <w:nsid w:val="4DF72E4E"/>
    <w:multiLevelType w:val="hybridMultilevel"/>
    <w:lvl w:ilvl="0">
      <w:lvlJc w:val="left"/>
      <w:lvlText w:val="****"/>
      <w:numFmt w:val="bullet"/>
      <w:start w:val="1"/>
    </w:lvl>
  </w:abstractNum>
  <w:abstractNum w:abstractNumId="82">
    <w:nsid w:val="5046B5A9"/>
    <w:multiLevelType w:val="hybridMultilevel"/>
    <w:lvl w:ilvl="0">
      <w:lvlJc w:val="left"/>
      <w:lvlText w:val="∎"/>
      <w:numFmt w:val="bullet"/>
      <w:start w:val="1"/>
    </w:lvl>
  </w:abstractNum>
  <w:abstractNum w:abstractNumId="83">
    <w:nsid w:val="5D888A08"/>
    <w:multiLevelType w:val="hybridMultilevel"/>
    <w:lvl w:ilvl="0">
      <w:lvlJc w:val="left"/>
      <w:lvlText w:val="∎"/>
      <w:numFmt w:val="bullet"/>
      <w:start w:val="1"/>
    </w:lvl>
  </w:abstractNum>
  <w:abstractNum w:abstractNumId="84">
    <w:nsid w:val="2A082C70"/>
    <w:multiLevelType w:val="hybridMultilevel"/>
    <w:lvl w:ilvl="0">
      <w:lvlJc w:val="left"/>
      <w:lvlText w:val="∎"/>
      <w:numFmt w:val="bullet"/>
      <w:start w:val="1"/>
    </w:lvl>
  </w:abstractNum>
  <w:abstractNum w:abstractNumId="85">
    <w:nsid w:val="5EC6AFD4"/>
    <w:multiLevelType w:val="hybridMultilevel"/>
    <w:lvl w:ilvl="0">
      <w:lvlJc w:val="left"/>
      <w:lvlText w:val="∎"/>
      <w:numFmt w:val="bullet"/>
      <w:start w:val="1"/>
    </w:lvl>
  </w:abstractNum>
  <w:abstractNum w:abstractNumId="86">
    <w:nsid w:val="19E21BB2"/>
    <w:multiLevelType w:val="hybridMultilevel"/>
    <w:lvl w:ilvl="0">
      <w:lvlJc w:val="left"/>
      <w:lvlText w:val="∎"/>
      <w:numFmt w:val="bullet"/>
      <w:start w:val="1"/>
    </w:lvl>
  </w:abstractNum>
  <w:abstractNum w:abstractNumId="87">
    <w:nsid w:val="75E0858A"/>
    <w:multiLevelType w:val="hybridMultilevel"/>
    <w:lvl w:ilvl="0">
      <w:lvlJc w:val="left"/>
      <w:lvlText w:val="∎"/>
      <w:numFmt w:val="bullet"/>
      <w:start w:val="1"/>
    </w:lvl>
  </w:abstractNum>
  <w:abstractNum w:abstractNumId="88">
    <w:nsid w:val="57A61A29"/>
    <w:multiLevelType w:val="hybridMultilevel"/>
    <w:lvl w:ilvl="0">
      <w:lvlJc w:val="left"/>
      <w:lvlText w:val="∎"/>
      <w:numFmt w:val="bullet"/>
      <w:start w:val="1"/>
    </w:lvl>
  </w:abstractNum>
  <w:abstractNum w:abstractNumId="89">
    <w:nsid w:val="5399C654"/>
    <w:multiLevelType w:val="hybridMultilevel"/>
    <w:lvl w:ilvl="0">
      <w:lvlJc w:val="left"/>
      <w:lvlText w:val="∎"/>
      <w:numFmt w:val="bullet"/>
      <w:start w:val="1"/>
    </w:lvl>
  </w:abstractNum>
  <w:abstractNum w:abstractNumId="90">
    <w:nsid w:val="20EE1348"/>
    <w:multiLevelType w:val="hybridMultilevel"/>
    <w:lvl w:ilvl="0">
      <w:lvlJc w:val="left"/>
      <w:lvlText w:val="∎"/>
      <w:numFmt w:val="bullet"/>
      <w:start w:val="1"/>
    </w:lvl>
  </w:abstractNum>
  <w:abstractNum w:abstractNumId="91">
    <w:nsid w:val="4427069A"/>
    <w:multiLevelType w:val="hybridMultilevel"/>
    <w:lvl w:ilvl="0">
      <w:lvlJc w:val="left"/>
      <w:lvlText w:val="∎"/>
      <w:numFmt w:val="bullet"/>
      <w:start w:val="1"/>
    </w:lvl>
  </w:abstractNum>
  <w:abstractNum w:abstractNumId="92">
    <w:nsid w:val="B37E80A"/>
    <w:multiLevelType w:val="hybridMultilevel"/>
    <w:lvl w:ilvl="0">
      <w:lvlJc w:val="left"/>
      <w:lvlText w:val="∎"/>
      <w:numFmt w:val="bullet"/>
      <w:start w:val="1"/>
    </w:lvl>
  </w:abstractNum>
  <w:abstractNum w:abstractNumId="93">
    <w:nsid w:val="2157F6BC"/>
    <w:multiLevelType w:val="hybridMultilevel"/>
    <w:lvl w:ilvl="0">
      <w:lvlJc w:val="left"/>
      <w:lvlText w:val="∎"/>
      <w:numFmt w:val="bullet"/>
      <w:start w:val="1"/>
    </w:lvl>
  </w:abstractNum>
  <w:abstractNum w:abstractNumId="94">
    <w:nsid w:val="704E1DD5"/>
    <w:multiLevelType w:val="hybridMultilevel"/>
    <w:lvl w:ilvl="0">
      <w:lvlJc w:val="left"/>
      <w:lvlText w:val="∎"/>
      <w:numFmt w:val="bullet"/>
      <w:start w:val="1"/>
    </w:lvl>
  </w:abstractNum>
  <w:abstractNum w:abstractNumId="95">
    <w:nsid w:val="57D2F10E"/>
    <w:multiLevelType w:val="hybridMultilevel"/>
    <w:lvl w:ilvl="0">
      <w:lvlJc w:val="left"/>
      <w:lvlText w:val="∎"/>
      <w:numFmt w:val="bullet"/>
      <w:start w:val="1"/>
    </w:lvl>
  </w:abstractNum>
  <w:abstractNum w:abstractNumId="96">
    <w:nsid w:val="BFFAE18"/>
    <w:multiLevelType w:val="hybridMultilevel"/>
    <w:lvl w:ilvl="0">
      <w:lvlJc w:val="left"/>
      <w:lvlText w:val="∎"/>
      <w:numFmt w:val="bullet"/>
      <w:start w:val="1"/>
    </w:lvl>
  </w:abstractNum>
  <w:abstractNum w:abstractNumId="97">
    <w:nsid w:val="E3E47A8"/>
    <w:multiLevelType w:val="hybridMultilevel"/>
    <w:lvl w:ilvl="0">
      <w:lvlJc w:val="left"/>
      <w:lvlText w:val="(%1)"/>
      <w:numFmt w:val="decimal"/>
      <w:start w:val="1"/>
    </w:lvl>
  </w:abstractNum>
  <w:abstractNum w:abstractNumId="98">
    <w:nsid w:val="2E48F044"/>
    <w:multiLevelType w:val="hybridMultilevel"/>
    <w:lvl w:ilvl="0">
      <w:lvlJc w:val="left"/>
      <w:lvlText w:val="(%1)"/>
      <w:numFmt w:val="lowerRoman"/>
      <w:start w:val="1"/>
    </w:lvl>
  </w:abstractNum>
  <w:abstractNum w:abstractNumId="99">
    <w:nsid w:val="49D0FEAC"/>
    <w:multiLevelType w:val="hybridMultilevel"/>
    <w:lvl w:ilvl="0">
      <w:lvlJc w:val="left"/>
      <w:lvlText w:val="(%1)"/>
      <w:numFmt w:val="lowerRoman"/>
      <w:start w:val="2"/>
    </w:lvl>
  </w:abstractNum>
  <w:abstractNum w:abstractNumId="100">
    <w:nsid w:val="4BEE5A5B"/>
    <w:multiLevelType w:val="hybridMultilevel"/>
    <w:lvl w:ilvl="0">
      <w:lvlJc w:val="left"/>
      <w:lvlText w:val="∎"/>
      <w:numFmt w:val="bullet"/>
      <w:start w:val="1"/>
    </w:lvl>
  </w:abstractNum>
  <w:abstractNum w:abstractNumId="101">
    <w:nsid w:val="5551B9F3"/>
    <w:multiLevelType w:val="hybridMultilevel"/>
    <w:lvl w:ilvl="0">
      <w:lvlJc w:val="left"/>
      <w:lvlText w:val="*"/>
      <w:numFmt w:val="bullet"/>
      <w:start w:val="1"/>
    </w:lvl>
  </w:abstractNum>
  <w:abstractNum w:abstractNumId="102">
    <w:nsid w:val="24F6AB8E"/>
    <w:multiLevelType w:val="hybridMultilevel"/>
    <w:lvl w:ilvl="0">
      <w:lvlJc w:val="left"/>
      <w:lvlText w:val="∎"/>
      <w:numFmt w:val="bullet"/>
      <w:start w:val="1"/>
    </w:lvl>
  </w:abstractNum>
  <w:abstractNum w:abstractNumId="103">
    <w:nsid w:val="634C574C"/>
    <w:multiLevelType w:val="hybridMultilevel"/>
    <w:lvl w:ilvl="0">
      <w:lvlJc w:val="left"/>
      <w:lvlText w:val="∎"/>
      <w:numFmt w:val="bullet"/>
      <w:start w:val="1"/>
    </w:lvl>
  </w:abstractNum>
  <w:abstractNum w:abstractNumId="104">
    <w:nsid w:val="24E99DD7"/>
    <w:multiLevelType w:val="hybridMultilevel"/>
    <w:lvl w:ilvl="0">
      <w:lvlJc w:val="left"/>
      <w:lvlText w:val="∎"/>
      <w:numFmt w:val="bullet"/>
      <w:start w:val="1"/>
    </w:lvl>
  </w:abstractNum>
  <w:abstractNum w:abstractNumId="105">
    <w:nsid w:val="2A31B62D"/>
    <w:multiLevelType w:val="hybridMultilevel"/>
    <w:lvl w:ilvl="0">
      <w:lvlJc w:val="left"/>
      <w:lvlText w:val="∎"/>
      <w:numFmt w:val="bullet"/>
      <w:start w:val="1"/>
    </w:lvl>
  </w:abstractNum>
  <w:abstractNum w:abstractNumId="106">
    <w:nsid w:val="1849C29B"/>
    <w:multiLevelType w:val="hybridMultilevel"/>
    <w:lvl w:ilvl="0">
      <w:lvlJc w:val="left"/>
      <w:lvlText w:val="∎"/>
      <w:numFmt w:val="bullet"/>
      <w:start w:val="1"/>
    </w:lvl>
  </w:abstractNum>
  <w:abstractNum w:abstractNumId="107">
    <w:nsid w:val="7DFF9D09"/>
    <w:multiLevelType w:val="hybridMultilevel"/>
    <w:lvl w:ilvl="0">
      <w:lvlJc w:val="left"/>
      <w:lvlText w:val="∎"/>
      <w:numFmt w:val="bullet"/>
      <w:start w:val="1"/>
    </w:lvl>
    <w:lvl w:ilvl="1">
      <w:lvlJc w:val="left"/>
      <w:lvlText w:val="∎"/>
      <w:numFmt w:val="bullet"/>
      <w:start w:val="1"/>
    </w:lvl>
  </w:abstractNum>
  <w:abstractNum w:abstractNumId="108">
    <w:nsid w:val="754342"/>
    <w:multiLevelType w:val="hybridMultilevel"/>
    <w:lvl w:ilvl="0">
      <w:lvlJc w:val="left"/>
      <w:lvlText w:val="∎"/>
      <w:numFmt w:val="bullet"/>
      <w:start w:val="1"/>
    </w:lvl>
  </w:abstractNum>
  <w:abstractNum w:abstractNumId="109">
    <w:nsid w:val="69E7F3E5"/>
    <w:multiLevelType w:val="hybridMultilevel"/>
    <w:lvl w:ilvl="0">
      <w:lvlJc w:val="left"/>
      <w:lvlText w:val="∎"/>
      <w:numFmt w:val="bullet"/>
      <w:start w:val="1"/>
    </w:lvl>
  </w:abstractNum>
  <w:abstractNum w:abstractNumId="110">
    <w:nsid w:val="2A6DE806"/>
    <w:multiLevelType w:val="hybridMultilevel"/>
    <w:lvl w:ilvl="0">
      <w:lvlJc w:val="left"/>
      <w:lvlText w:val="∎"/>
      <w:numFmt w:val="bullet"/>
      <w:start w:val="1"/>
    </w:lvl>
  </w:abstractNum>
  <w:abstractNum w:abstractNumId="111">
    <w:nsid w:val="1816F8C4"/>
    <w:multiLevelType w:val="hybridMultilevel"/>
    <w:lvl w:ilvl="0">
      <w:lvlJc w:val="left"/>
      <w:lvlText w:val="∎"/>
      <w:numFmt w:val="bullet"/>
      <w:start w:val="1"/>
    </w:lvl>
  </w:abstractNum>
  <w:abstractNum w:abstractNumId="112">
    <w:nsid w:val="37DF2233"/>
    <w:multiLevelType w:val="hybridMultilevel"/>
    <w:lvl w:ilvl="0">
      <w:lvlJc w:val="left"/>
      <w:lvlText w:val="∎"/>
      <w:numFmt w:val="bullet"/>
      <w:start w:val="1"/>
    </w:lvl>
    <w:lvl w:ilvl="1">
      <w:lvlJc w:val="left"/>
      <w:lvlText w:val="∎"/>
      <w:numFmt w:val="bullet"/>
      <w:start w:val="1"/>
    </w:lvl>
  </w:abstractNum>
  <w:abstractNum w:abstractNumId="113">
    <w:nsid w:val="7AB49DAF"/>
    <w:multiLevelType w:val="hybridMultilevel"/>
    <w:lvl w:ilvl="0">
      <w:lvlJc w:val="left"/>
      <w:lvlText w:val="∎"/>
      <w:numFmt w:val="bullet"/>
      <w:start w:val="1"/>
    </w:lvl>
  </w:abstractNum>
  <w:abstractNum w:abstractNumId="114">
    <w:nsid w:val="759F82CD"/>
    <w:multiLevelType w:val="hybridMultilevel"/>
    <w:lvl w:ilvl="0">
      <w:lvlJc w:val="left"/>
      <w:lvlText w:val="∎"/>
      <w:numFmt w:val="bullet"/>
      <w:start w:val="1"/>
    </w:lvl>
    <w:lvl w:ilvl="1">
      <w:lvlJc w:val="left"/>
      <w:lvlText w:val="∎"/>
      <w:numFmt w:val="bullet"/>
      <w:start w:val="1"/>
    </w:lvl>
  </w:abstractNum>
  <w:abstractNum w:abstractNumId="115">
    <w:nsid w:val="61E74EA3"/>
    <w:multiLevelType w:val="hybridMultilevel"/>
    <w:lvl w:ilvl="0">
      <w:lvlJc w:val="left"/>
      <w:lvlText w:val="∎"/>
      <w:numFmt w:val="bullet"/>
      <w:start w:val="1"/>
    </w:lvl>
  </w:abstractNum>
  <w:abstractNum w:abstractNumId="116">
    <w:nsid w:val="597B4D84"/>
    <w:multiLevelType w:val="hybridMultilevel"/>
    <w:lvl w:ilvl="0">
      <w:lvlJc w:val="left"/>
      <w:lvlText w:val="∎"/>
      <w:numFmt w:val="bullet"/>
      <w:start w:val="1"/>
    </w:lvl>
  </w:abstractNum>
  <w:abstractNum w:abstractNumId="117">
    <w:nsid w:val="F819E7F"/>
    <w:multiLevelType w:val="hybridMultilevel"/>
    <w:lvl w:ilvl="0">
      <w:lvlJc w:val="left"/>
      <w:lvlText w:val="∎"/>
      <w:numFmt w:val="bullet"/>
      <w:start w:val="1"/>
    </w:lvl>
  </w:abstractNum>
  <w:abstractNum w:abstractNumId="118">
    <w:nsid w:val="57C7D42D"/>
    <w:multiLevelType w:val="hybridMultilevel"/>
    <w:lvl w:ilvl="0">
      <w:lvlJc w:val="left"/>
      <w:lvlText w:val="∎"/>
      <w:numFmt w:val="bullet"/>
      <w:start w:val="1"/>
    </w:lvl>
  </w:abstractNum>
  <w:abstractNum w:abstractNumId="119">
    <w:nsid w:val="312167AD"/>
    <w:multiLevelType w:val="hybridMultilevel"/>
    <w:lvl w:ilvl="0">
      <w:lvlJc w:val="left"/>
      <w:lvlText w:val="∎"/>
      <w:numFmt w:val="bullet"/>
      <w:start w:val="1"/>
    </w:lvl>
  </w:abstractNum>
  <w:abstractNum w:abstractNumId="120">
    <w:nsid w:val="631B64D4"/>
    <w:multiLevelType w:val="hybridMultilevel"/>
    <w:lvl w:ilvl="0">
      <w:lvlJc w:val="left"/>
      <w:lvlText w:val="∎"/>
      <w:numFmt w:val="bullet"/>
      <w:start w:val="1"/>
    </w:lvl>
  </w:abstractNum>
  <w:abstractNum w:abstractNumId="121">
    <w:nsid w:val="78B5E776"/>
    <w:multiLevelType w:val="hybridMultilevel"/>
    <w:lvl w:ilvl="0">
      <w:lvlJc w:val="left"/>
      <w:lvlText w:val="∎"/>
      <w:numFmt w:val="bullet"/>
      <w:start w:val="1"/>
    </w:lvl>
  </w:abstractNum>
  <w:abstractNum w:abstractNumId="122">
    <w:nsid w:val="75486E47"/>
    <w:multiLevelType w:val="hybridMultilevel"/>
    <w:lvl w:ilvl="0">
      <w:lvlJc w:val="left"/>
      <w:lvlText w:val="∎"/>
      <w:numFmt w:val="bullet"/>
      <w:start w:val="1"/>
    </w:lvl>
  </w:abstractNum>
  <w:abstractNum w:abstractNumId="123">
    <w:nsid w:val="6E534CDE"/>
    <w:multiLevelType w:val="hybridMultilevel"/>
    <w:lvl w:ilvl="0">
      <w:lvlJc w:val="left"/>
      <w:lvlText w:val="∎"/>
      <w:numFmt w:val="bullet"/>
      <w:start w:val="1"/>
    </w:lvl>
  </w:abstractNum>
  <w:abstractNum w:abstractNumId="124">
    <w:nsid w:val="1A0DDE32"/>
    <w:multiLevelType w:val="hybridMultilevel"/>
    <w:lvl w:ilvl="0">
      <w:lvlJc w:val="left"/>
      <w:lvlText w:val="∎"/>
      <w:numFmt w:val="bullet"/>
      <w:start w:val="1"/>
    </w:lvl>
  </w:abstractNum>
  <w:abstractNum w:abstractNumId="125">
    <w:nsid w:val="65968C1C"/>
    <w:multiLevelType w:val="hybridMultilevel"/>
    <w:lvl w:ilvl="0">
      <w:lvlJc w:val="left"/>
      <w:lvlText w:val="∎"/>
      <w:numFmt w:val="bullet"/>
      <w:start w:val="1"/>
    </w:lvl>
  </w:abstractNum>
  <w:abstractNum w:abstractNumId="126">
    <w:nsid w:val="46263DEC"/>
    <w:multiLevelType w:val="hybridMultilevel"/>
    <w:lvl w:ilvl="0">
      <w:lvlJc w:val="left"/>
      <w:lvlText w:val="∎"/>
      <w:numFmt w:val="bullet"/>
      <w:start w:val="1"/>
    </w:lvl>
  </w:abstractNum>
  <w:abstractNum w:abstractNumId="127">
    <w:nsid w:val="260D8C4A"/>
    <w:multiLevelType w:val="hybridMultilevel"/>
    <w:lvl w:ilvl="0">
      <w:lvlJc w:val="left"/>
      <w:lvlText w:val="∎"/>
      <w:numFmt w:val="bullet"/>
      <w:start w:val="1"/>
    </w:lvl>
  </w:abstractNum>
  <w:abstractNum w:abstractNumId="128">
    <w:nsid w:val="73D4D3C4"/>
    <w:multiLevelType w:val="hybridMultilevel"/>
    <w:lvl w:ilvl="0">
      <w:lvlJc w:val="left"/>
      <w:lvlText w:val="∎"/>
      <w:numFmt w:val="bullet"/>
      <w:start w:val="1"/>
    </w:lvl>
  </w:abstractNum>
  <w:abstractNum w:abstractNumId="129">
    <w:nsid w:val="746F2E30"/>
    <w:multiLevelType w:val="hybridMultilevel"/>
    <w:lvl w:ilvl="0">
      <w:lvlJc w:val="left"/>
      <w:lvlText w:val="(%1)"/>
      <w:numFmt w:val="decimal"/>
      <w:start w:val="1"/>
    </w:lvl>
  </w:abstractNum>
  <w:abstractNum w:abstractNumId="130">
    <w:nsid w:val="6FDE8AF6"/>
    <w:multiLevelType w:val="hybridMultilevel"/>
    <w:lvl w:ilvl="0">
      <w:lvlJc w:val="left"/>
      <w:lvlText w:val="(%1)"/>
      <w:numFmt w:val="decimal"/>
      <w:start w:val="2"/>
    </w:lvl>
  </w:abstractNum>
  <w:abstractNum w:abstractNumId="131">
    <w:nsid w:val="3FC32E20"/>
    <w:multiLevelType w:val="hybridMultilevel"/>
    <w:lvl w:ilvl="0">
      <w:lvlJc w:val="left"/>
      <w:lvlText w:val="∎"/>
      <w:numFmt w:val="bullet"/>
      <w:start w:val="1"/>
    </w:lvl>
  </w:abstractNum>
  <w:abstractNum w:abstractNumId="132">
    <w:nsid w:val="49C0E823"/>
    <w:multiLevelType w:val="hybridMultilevel"/>
    <w:lvl w:ilvl="0">
      <w:lvlJc w:val="left"/>
      <w:lvlText w:val="∎"/>
      <w:numFmt w:val="bullet"/>
      <w:start w:val="1"/>
    </w:lvl>
  </w:abstractNum>
  <w:abstractNum w:abstractNumId="133">
    <w:nsid w:val="14D53685"/>
    <w:multiLevelType w:val="hybridMultilevel"/>
    <w:lvl w:ilvl="0">
      <w:lvlJc w:val="left"/>
      <w:lvlText w:val="∎"/>
      <w:numFmt w:val="bullet"/>
      <w:start w:val="1"/>
    </w:lvl>
  </w:abstractNum>
  <w:abstractNum w:abstractNumId="134">
    <w:nsid w:val="230F856C"/>
    <w:multiLevelType w:val="hybridMultilevel"/>
    <w:lvl w:ilvl="0">
      <w:lvlJc w:val="left"/>
      <w:lvlText w:val="∎"/>
      <w:numFmt w:val="bullet"/>
      <w:start w:val="1"/>
    </w:lvl>
  </w:abstractNum>
  <w:abstractNum w:abstractNumId="135">
    <w:nsid w:val="6EAA85FB"/>
    <w:multiLevelType w:val="hybridMultilevel"/>
    <w:lvl w:ilvl="0">
      <w:lvlJc w:val="left"/>
      <w:lvlText w:val="∎"/>
      <w:numFmt w:val="bullet"/>
      <w:start w:val="1"/>
    </w:lvl>
  </w:abstractNum>
  <w:abstractNum w:abstractNumId="136">
    <w:nsid w:val="3F06ECB2"/>
    <w:multiLevelType w:val="hybridMultilevel"/>
    <w:lvl w:ilvl="0">
      <w:lvlJc w:val="left"/>
      <w:lvlText w:val="$"/>
      <w:numFmt w:val="bullet"/>
      <w:start w:val="1"/>
    </w:lvl>
  </w:abstractNum>
  <w:abstractNum w:abstractNumId="137">
    <w:nsid w:val="3B594807"/>
    <w:multiLevelType w:val="hybridMultilevel"/>
    <w:lvl w:ilvl="0">
      <w:lvlJc w:val="left"/>
      <w:lvlText w:val="$"/>
      <w:numFmt w:val="bullet"/>
      <w:start w:val="1"/>
    </w:lvl>
  </w:abstractNum>
  <w:abstractNum w:abstractNumId="138">
    <w:nsid w:val="6CAA2304"/>
    <w:multiLevelType w:val="hybridMultilevel"/>
    <w:lvl w:ilvl="0">
      <w:lvlJc w:val="left"/>
      <w:lvlText w:val="∎"/>
      <w:numFmt w:val="bullet"/>
      <w:start w:val="1"/>
    </w:lvl>
  </w:abstractNum>
  <w:abstractNum w:abstractNumId="139">
    <w:nsid w:val="3F7C2FF4"/>
    <w:multiLevelType w:val="hybridMultilevel"/>
    <w:lvl w:ilvl="0">
      <w:lvlJc w:val="left"/>
      <w:lvlText w:val="∎"/>
      <w:numFmt w:val="bullet"/>
      <w:start w:val="1"/>
    </w:lvl>
  </w:abstractNum>
  <w:abstractNum w:abstractNumId="140">
    <w:nsid w:val="25413BEC"/>
    <w:multiLevelType w:val="hybridMultilevel"/>
    <w:lvl w:ilvl="0">
      <w:lvlJc w:val="left"/>
      <w:lvlText w:val="∎"/>
      <w:numFmt w:val="bullet"/>
      <w:start w:val="1"/>
    </w:lvl>
  </w:abstractNum>
  <w:abstractNum w:abstractNumId="141">
    <w:nsid w:val="17180B0B"/>
    <w:multiLevelType w:val="hybridMultilevel"/>
    <w:lvl w:ilvl="0">
      <w:lvlJc w:val="left"/>
      <w:lvlText w:val="(%1)"/>
      <w:numFmt w:val="lowerLetter"/>
      <w:start w:val="5"/>
    </w:lvl>
  </w:abstractNum>
  <w:abstractNum w:abstractNumId="142">
    <w:nsid w:val="579328B9"/>
    <w:multiLevelType w:val="hybridMultilevel"/>
    <w:lvl w:ilvl="0">
      <w:lvlJc w:val="left"/>
      <w:lvlText w:val="∎"/>
      <w:numFmt w:val="bullet"/>
      <w:start w:val="1"/>
    </w:lvl>
  </w:abstractNum>
  <w:abstractNum w:abstractNumId="143">
    <w:nsid w:val="5D205E20"/>
    <w:multiLevelType w:val="hybridMultilevel"/>
    <w:lvl w:ilvl="0">
      <w:lvlJc w:val="left"/>
      <w:lvlText w:val="∎"/>
      <w:numFmt w:val="bullet"/>
      <w:start w:val="1"/>
    </w:lvl>
  </w:abstractNum>
  <w:abstractNum w:abstractNumId="144">
    <w:nsid w:val="11CCA8BA"/>
    <w:multiLevelType w:val="hybridMultilevel"/>
    <w:lvl w:ilvl="0">
      <w:lvlJc w:val="left"/>
      <w:lvlText w:val="(%1)"/>
      <w:numFmt w:val="lowerLetter"/>
      <w:start w:val="2"/>
    </w:lvl>
  </w:abstractNum>
  <w:abstractNum w:abstractNumId="145">
    <w:nsid w:val="4D32AB86"/>
    <w:multiLevelType w:val="hybridMultilevel"/>
    <w:lvl w:ilvl="0">
      <w:lvlJc w:val="left"/>
      <w:lvlText w:val="(%1)"/>
      <w:numFmt w:val="lowerLetter"/>
      <w:start w:val="1"/>
    </w:lvl>
  </w:abstractNum>
  <w:abstractNum w:abstractNumId="146">
    <w:nsid w:val="3F07ACC3"/>
    <w:multiLevelType w:val="hybridMultilevel"/>
    <w:lvl w:ilvl="0">
      <w:lvlJc w:val="left"/>
      <w:lvlText w:val="(%1)"/>
      <w:numFmt w:val="decimal"/>
      <w:start w:val="1"/>
    </w:lvl>
  </w:abstractNum>
  <w:abstractNum w:abstractNumId="147">
    <w:nsid w:val="6B47F63E"/>
    <w:multiLevelType w:val="hybridMultilevel"/>
    <w:lvl w:ilvl="0">
      <w:lvlJc w:val="left"/>
      <w:lvlText w:val="∎"/>
      <w:numFmt w:val="bullet"/>
      <w:start w:val="1"/>
    </w:lvl>
  </w:abstractNum>
  <w:abstractNum w:abstractNumId="148">
    <w:nsid w:val="5CB44A05"/>
    <w:multiLevelType w:val="hybridMultilevel"/>
    <w:lvl w:ilvl="0">
      <w:lvlJc w:val="left"/>
      <w:lvlText w:val="∎"/>
      <w:numFmt w:val="bullet"/>
      <w:start w:val="1"/>
    </w:lvl>
  </w:abstractNum>
  <w:abstractNum w:abstractNumId="149">
    <w:nsid w:val="16CF80F1"/>
    <w:multiLevelType w:val="hybridMultilevel"/>
    <w:lvl w:ilvl="0">
      <w:lvlJc w:val="left"/>
      <w:lvlText w:val="∎"/>
      <w:numFmt w:val="bullet"/>
      <w:start w:val="1"/>
    </w:lvl>
  </w:abstractNum>
  <w:abstractNum w:abstractNumId="150">
    <w:nsid w:val="1C695DEC"/>
    <w:multiLevelType w:val="hybridMultilevel"/>
    <w:lvl w:ilvl="0">
      <w:lvlJc w:val="left"/>
      <w:lvlText w:val="%1."/>
      <w:numFmt w:val="decimal"/>
      <w:start w:val="2"/>
    </w:lvl>
  </w:abstractNum>
  <w:abstractNum w:abstractNumId="151">
    <w:nsid w:val="3FCFAED9"/>
    <w:multiLevelType w:val="hybridMultilevel"/>
    <w:lvl w:ilvl="0">
      <w:lvlJc w:val="left"/>
      <w:lvlText w:val="•"/>
      <w:numFmt w:val="bullet"/>
      <w:start w:val="1"/>
    </w:lvl>
  </w:abstractNum>
  <w:abstractNum w:abstractNumId="152">
    <w:nsid w:val="F856867"/>
    <w:multiLevelType w:val="hybridMultilevel"/>
    <w:lvl w:ilvl="0">
      <w:lvlJc w:val="left"/>
      <w:lvlText w:val="•"/>
      <w:numFmt w:val="bullet"/>
      <w:start w:val="1"/>
    </w:lvl>
  </w:abstractNum>
  <w:abstractNum w:abstractNumId="153">
    <w:nsid w:val="11B1CC33"/>
    <w:multiLevelType w:val="hybridMultilevel"/>
    <w:lvl w:ilvl="0">
      <w:lvlJc w:val="left"/>
      <w:lvlText w:val="%1."/>
      <w:numFmt w:val="decimal"/>
      <w:start w:val="5"/>
    </w:lvl>
  </w:abstractNum>
  <w:abstractNum w:abstractNumId="154">
    <w:nsid w:val="2E22FBB7"/>
    <w:multiLevelType w:val="hybridMultilevel"/>
    <w:lvl w:ilvl="0">
      <w:lvlJc w:val="left"/>
      <w:lvlText w:val="•"/>
      <w:numFmt w:val="bullet"/>
      <w:start w:val="1"/>
    </w:lvl>
  </w:abstractNum>
  <w:abstractNum w:abstractNumId="155">
    <w:nsid w:val="29934699"/>
    <w:multiLevelType w:val="hybridMultilevel"/>
    <w:lvl w:ilvl="0">
      <w:lvlJc w:val="left"/>
      <w:lvlText w:val="•"/>
      <w:numFmt w:val="bullet"/>
      <w:start w:val="1"/>
    </w:lvl>
    <w:lvl w:ilvl="1">
      <w:lvlJc w:val="left"/>
      <w:lvlText w:val="•"/>
      <w:numFmt w:val="bullet"/>
      <w:start w:val="1"/>
    </w:lvl>
  </w:abstractNum>
  <w:abstractNum w:abstractNumId="156">
    <w:nsid w:val="77485850"/>
    <w:multiLevelType w:val="hybridMultilevel"/>
    <w:lvl w:ilvl="0">
      <w:lvlJc w:val="left"/>
      <w:lvlText w:val="•"/>
      <w:numFmt w:val="bullet"/>
      <w:start w:val="1"/>
    </w:lvl>
  </w:abstractNum>
  <w:abstractNum w:abstractNumId="157">
    <w:nsid w:val="744939A3"/>
    <w:multiLevelType w:val="hybridMultilevel"/>
    <w:lvl w:ilvl="0">
      <w:lvlJc w:val="left"/>
      <w:lvlText w:val="•"/>
      <w:numFmt w:val="bullet"/>
      <w:start w:val="1"/>
    </w:lvl>
  </w:abstractNum>
  <w:abstractNum w:abstractNumId="158">
    <w:nsid w:val="4FA0D2E3"/>
    <w:multiLevelType w:val="hybridMultilevel"/>
    <w:lvl w:ilvl="0">
      <w:lvlJc w:val="left"/>
      <w:lvlText w:val="%1."/>
      <w:numFmt w:val="decimal"/>
      <w:start w:val="19"/>
    </w:lvl>
  </w:abstractNum>
  <w:abstractNum w:abstractNumId="159">
    <w:nsid w:val="6B1D2C14"/>
    <w:multiLevelType w:val="hybridMultilevel"/>
    <w:lvl w:ilvl="0">
      <w:lvlJc w:val="left"/>
      <w:lvlText w:val="%1."/>
      <w:numFmt w:val="decimal"/>
      <w:start w:val="21"/>
    </w:lvl>
    <w:lvl w:ilvl="1">
      <w:lvlJc w:val="left"/>
      <w:lvlText w:val="•"/>
      <w:numFmt w:val="bullet"/>
      <w:start w:val="1"/>
    </w:lvl>
  </w:abstractNum>
  <w:abstractNum w:abstractNumId="160">
    <w:nsid w:val="68B867D3"/>
    <w:multiLevelType w:val="hybridMultilevel"/>
    <w:lvl w:ilvl="0">
      <w:lvlJc w:val="left"/>
      <w:lvlText w:val="%1."/>
      <w:numFmt w:val="decimal"/>
      <w:start w:val="23"/>
    </w:lvl>
  </w:abstractNum>
  <w:abstractNum w:abstractNumId="161">
    <w:nsid w:val="3F7F5DD9"/>
    <w:multiLevelType w:val="hybridMultilevel"/>
    <w:lvl w:ilvl="0">
      <w:lvlJc w:val="left"/>
      <w:lvlText w:val="23.%1."/>
      <w:numFmt w:val="decimal"/>
      <w:start w:val="1"/>
    </w:lvl>
  </w:abstractNum>
  <w:abstractNum w:abstractNumId="162">
    <w:nsid w:val="2AE05A34"/>
    <w:multiLevelType w:val="hybridMultilevel"/>
    <w:lvl w:ilvl="0">
      <w:lvlJc w:val="left"/>
      <w:lvlText w:val="•"/>
      <w:numFmt w:val="bullet"/>
      <w:start w:val="1"/>
    </w:lvl>
  </w:abstractNum>
  <w:abstractNum w:abstractNumId="163">
    <w:nsid w:val="32794FF7"/>
    <w:multiLevelType w:val="hybridMultilevel"/>
    <w:lvl w:ilvl="0">
      <w:lvlJc w:val="left"/>
      <w:lvlText w:val="•"/>
      <w:numFmt w:val="bullet"/>
      <w:start w:val="1"/>
    </w:lvl>
  </w:abstractNum>
  <w:abstractNum w:abstractNumId="164">
    <w:nsid w:val="5454945E"/>
    <w:multiLevelType w:val="hybridMultilevel"/>
    <w:lvl w:ilvl="0">
      <w:lvlJc w:val="left"/>
      <w:lvlText w:val="•"/>
      <w:numFmt w:val="bullet"/>
      <w:start w:val="1"/>
    </w:lvl>
  </w:abstractNum>
  <w:abstractNum w:abstractNumId="165">
    <w:nsid w:val="4DEFDFA0"/>
    <w:multiLevelType w:val="hybridMultilevel"/>
    <w:lvl w:ilvl="0">
      <w:lvlJc w:val="left"/>
      <w:lvlText w:val="(%1)"/>
      <w:numFmt w:val="lowerLetter"/>
      <w:start w:val="1"/>
    </w:lvl>
  </w:abstractNum>
  <w:abstractNum w:abstractNumId="166">
    <w:nsid w:val="2123D5F2"/>
    <w:multiLevelType w:val="hybridMultilevel"/>
    <w:lvl w:ilvl="0">
      <w:lvlJc w:val="left"/>
      <w:lvlText w:val="∎"/>
      <w:numFmt w:val="bullet"/>
      <w:start w:val="1"/>
    </w:lvl>
  </w:abstractNum>
  <w:abstractNum w:abstractNumId="167">
    <w:nsid w:val="135B8110"/>
    <w:multiLevelType w:val="hybridMultilevel"/>
    <w:lvl w:ilvl="0">
      <w:lvlJc w:val="left"/>
      <w:lvlText w:val="(%1)"/>
      <w:numFmt w:val="lowerLetter"/>
      <w:start w:val="1"/>
    </w:lvl>
  </w:abstractNum>
  <w:abstractNum w:abstractNumId="168">
    <w:nsid w:val="94927A8"/>
    <w:multiLevelType w:val="hybridMultilevel"/>
    <w:lvl w:ilvl="0">
      <w:lvlJc w:val="left"/>
      <w:lvlText w:val="(%1)"/>
      <w:numFmt w:val="lowerLetter"/>
      <w:start w:val="1"/>
    </w:lvl>
  </w:abstractNum>
  <w:abstractNum w:abstractNumId="169">
    <w:nsid w:val="DCDF8F6"/>
    <w:multiLevelType w:val="hybridMultilevel"/>
    <w:lvl w:ilvl="0">
      <w:lvlJc w:val="left"/>
      <w:lvlText w:val="(%1)"/>
      <w:numFmt w:val="lowerLetter"/>
      <w:start w:val="3"/>
    </w:lvl>
    <w:lvl w:ilvl="1">
      <w:lvlJc w:val="left"/>
      <w:lvlText w:val="(%2)"/>
      <w:numFmt w:val="decimal"/>
      <w:start w:val="1"/>
    </w:lvl>
  </w:abstractNum>
  <w:abstractNum w:abstractNumId="170">
    <w:nsid w:val="52D7B105"/>
    <w:multiLevelType w:val="hybridMultilevel"/>
    <w:lvl w:ilvl="0">
      <w:lvlJc w:val="left"/>
      <w:lvlText w:val="*"/>
      <w:numFmt w:val="bullet"/>
      <w:start w:val="1"/>
    </w:lvl>
  </w:abstractNum>
  <w:abstractNum w:abstractNumId="171">
    <w:nsid w:val="2E8A6394"/>
    <w:multiLevelType w:val="hybridMultilevel"/>
    <w:lvl w:ilvl="0">
      <w:lvlJc w:val="left"/>
      <w:lvlText w:val="†"/>
      <w:numFmt w:val="bullet"/>
      <w:start w:val="1"/>
    </w:lvl>
  </w:abstractNum>
  <w:abstractNum w:abstractNumId="172">
    <w:nsid w:val="24E604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2019-12-08T17:09:27Z</dcterms:created>
  <dcterms:modified xsi:type="dcterms:W3CDTF">2019-12-08T17:09:27Z</dcterms:modified>
</cp:coreProperties>
</file>