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Filed by Mereo BioPharma Group plc pursuant to Rule 425 under the Securities Act of 1933, as amended Subject Companies: Mereo BioPharma Group plc and OncoMed Pharmaceuticals, Inc. Date: December 6,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2018. This filing relates to a proposed merger of Mereo BioPharma Group plc with OncoMed Pharmaceuticals, Inc. (Subject Company Commission File No.: 001-35993)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-118745</wp:posOffset>
            </wp:positionH>
            <wp:positionV relativeFrom="paragraph">
              <wp:posOffset>377190</wp:posOffset>
            </wp:positionV>
            <wp:extent cx="7332980" cy="41275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2980" cy="412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400" w:top="209" w:right="19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2019-12-06T23:52:48Z</dcterms:created>
  <dcterms:modified xsi:type="dcterms:W3CDTF">2019-12-06T23:52:48Z</dcterms:modified>
</cp:coreProperties>
</file>