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354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3540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Scots-Knight Denise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0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gridSpan w:val="3"/>
          </w:tcPr>
          <w:p>
            <w:pPr>
              <w:ind w:left="260"/>
              <w:spacing w:after="0"/>
              <w:rPr>
                <w:sz w:val="20"/>
                <w:szCs w:val="20"/>
                <w:color w:val="auto"/>
              </w:rPr>
            </w:pPr>
            <w:r>
              <w:rPr>
                <w:rFonts w:ascii="Arial" w:cs="Arial" w:eastAsia="Arial" w:hAnsi="Arial"/>
                <w:sz w:val="15"/>
                <w:szCs w:val="15"/>
                <w:b w:val="1"/>
                <w:bCs w:val="1"/>
                <w:color w:val="auto"/>
                <w:w w:val="99"/>
              </w:rPr>
              <w:t>3. Ownership</w:t>
            </w:r>
          </w:p>
        </w:tc>
        <w:tc>
          <w:tcPr>
            <w:tcW w:w="3000" w:type="dxa"/>
            <w:vAlign w:val="bottom"/>
            <w:gridSpan w:val="4"/>
          </w:tcPr>
          <w:p>
            <w:pPr>
              <w:ind w:left="22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Beneficially Owned (Instr.</w:t>
            </w:r>
          </w:p>
        </w:tc>
        <w:tc>
          <w:tcPr>
            <w:tcW w:w="122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16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40" w:type="dxa"/>
            <w:vAlign w:val="bottom"/>
            <w:gridSpan w:val="4"/>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gridSpan w:val="3"/>
          </w:tcPr>
          <w:p>
            <w:pPr>
              <w:ind w:left="260"/>
              <w:spacing w:after="0"/>
              <w:rPr>
                <w:sz w:val="20"/>
                <w:szCs w:val="20"/>
                <w:color w:val="auto"/>
              </w:rPr>
            </w:pPr>
            <w:r>
              <w:rPr>
                <w:rFonts w:ascii="Arial" w:cs="Arial" w:eastAsia="Arial" w:hAnsi="Arial"/>
                <w:sz w:val="15"/>
                <w:szCs w:val="15"/>
                <w:b w:val="1"/>
                <w:bCs w:val="1"/>
                <w:color w:val="auto"/>
              </w:rPr>
              <w:t>(I) (Instr. 5)</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American Depositary Shares representing Ordinary</w:t>
            </w:r>
          </w:p>
        </w:tc>
        <w:tc>
          <w:tcPr>
            <w:tcW w:w="1900" w:type="dxa"/>
            <w:vAlign w:val="bottom"/>
            <w:vMerge w:val="restart"/>
          </w:tcPr>
          <w:p>
            <w:pPr>
              <w:jc w:val="right"/>
              <w:ind w:right="454"/>
              <w:spacing w:after="0"/>
              <w:rPr>
                <w:sz w:val="20"/>
                <w:szCs w:val="20"/>
                <w:color w:val="auto"/>
              </w:rPr>
            </w:pPr>
            <w:r>
              <w:rPr>
                <w:rFonts w:ascii="Times New Roman" w:cs="Times New Roman" w:eastAsia="Times New Roman" w:hAnsi="Times New Roman"/>
                <w:sz w:val="20"/>
                <w:szCs w:val="20"/>
                <w:color w:val="0000FF"/>
              </w:rPr>
              <w:t>559,213</w:t>
            </w: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(1)(8)</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vMerge w:val="continue"/>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American Depositary Shares representing Ordinary</w:t>
            </w:r>
          </w:p>
        </w:tc>
        <w:tc>
          <w:tcPr>
            <w:tcW w:w="1900" w:type="dxa"/>
            <w:vAlign w:val="bottom"/>
            <w:vMerge w:val="restart"/>
          </w:tcPr>
          <w:p>
            <w:pPr>
              <w:jc w:val="right"/>
              <w:ind w:right="554"/>
              <w:spacing w:after="0"/>
              <w:rPr>
                <w:sz w:val="20"/>
                <w:szCs w:val="20"/>
                <w:color w:val="auto"/>
              </w:rPr>
            </w:pPr>
            <w:r>
              <w:rPr>
                <w:rFonts w:ascii="Times New Roman" w:cs="Times New Roman" w:eastAsia="Times New Roman" w:hAnsi="Times New Roman"/>
                <w:sz w:val="20"/>
                <w:szCs w:val="20"/>
                <w:color w:val="0000FF"/>
              </w:rPr>
              <w:t>1,200</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39"/>
                <w:szCs w:val="39"/>
                <w:color w:val="0000FF"/>
                <w:w w:val="76"/>
                <w:vertAlign w:val="subscript"/>
              </w:rPr>
              <w:t>D</w:t>
            </w:r>
            <w:r>
              <w:rPr>
                <w:rFonts w:ascii="Times New Roman" w:cs="Times New Roman" w:eastAsia="Times New Roman" w:hAnsi="Times New Roman"/>
                <w:sz w:val="13"/>
                <w:szCs w:val="13"/>
                <w:color w:val="008000"/>
                <w:w w:val="76"/>
              </w:rPr>
              <w:t>(9)</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vMerge w:val="continue"/>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98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6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vMerge w:val="continue"/>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09/25/2025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308,949</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8.63</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05/20/2029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87,500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vMerge w:val="restart"/>
          </w:tcPr>
          <w:p>
            <w:pPr>
              <w:jc w:val="center"/>
              <w:ind w:right="256"/>
              <w:spacing w:after="0"/>
              <w:rPr>
                <w:sz w:val="20"/>
                <w:szCs w:val="20"/>
                <w:color w:val="auto"/>
              </w:rPr>
            </w:pPr>
            <w:r>
              <w:rPr>
                <w:rFonts w:ascii="Times New Roman" w:cs="Times New Roman" w:eastAsia="Times New Roman" w:hAnsi="Times New Roman"/>
                <w:sz w:val="20"/>
                <w:szCs w:val="20"/>
                <w:color w:val="0000FF"/>
                <w:w w:val="95"/>
              </w:rPr>
              <w:t>5.4</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07/23/2029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87,500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vMerge w:val="restart"/>
          </w:tcPr>
          <w:p>
            <w:pPr>
              <w:jc w:val="center"/>
              <w:ind w:right="276"/>
              <w:spacing w:after="0"/>
              <w:rPr>
                <w:sz w:val="20"/>
                <w:szCs w:val="20"/>
                <w:color w:val="auto"/>
              </w:rPr>
            </w:pPr>
            <w:r>
              <w:rPr>
                <w:rFonts w:ascii="Times New Roman" w:cs="Times New Roman" w:eastAsia="Times New Roman" w:hAnsi="Times New Roman"/>
                <w:sz w:val="20"/>
                <w:szCs w:val="20"/>
                <w:color w:val="0000FF"/>
                <w:w w:val="99"/>
              </w:rPr>
              <w:t>3</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02/20/2030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175,000</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1.84</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02/01/2031</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520,000</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01/14/2032</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1,100,000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vMerge w:val="restart"/>
          </w:tcPr>
          <w:p>
            <w:pPr>
              <w:jc w:val="center"/>
              <w:ind w:right="256"/>
              <w:spacing w:after="0"/>
              <w:rPr>
                <w:sz w:val="20"/>
                <w:szCs w:val="20"/>
                <w:color w:val="auto"/>
              </w:rPr>
            </w:pPr>
            <w:r>
              <w:rPr>
                <w:rFonts w:ascii="Times New Roman" w:cs="Times New Roman" w:eastAsia="Times New Roman" w:hAnsi="Times New Roman"/>
                <w:sz w:val="20"/>
                <w:szCs w:val="20"/>
                <w:color w:val="0000FF"/>
                <w:w w:val="95"/>
              </w:rPr>
              <w:t>1.4</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900" w:type="dxa"/>
            <w:vAlign w:val="bottom"/>
          </w:tcPr>
          <w:p>
            <w:pPr>
              <w:jc w:val="center"/>
              <w:spacing w:after="0" w:line="53" w:lineRule="exact"/>
              <w:rPr>
                <w:sz w:val="20"/>
                <w:szCs w:val="20"/>
                <w:color w:val="auto"/>
              </w:rPr>
            </w:pPr>
            <w:r>
              <w:rPr>
                <w:rFonts w:ascii="Times New Roman" w:cs="Times New Roman" w:eastAsia="Times New Roman" w:hAnsi="Times New Roman"/>
                <w:sz w:val="6"/>
                <w:szCs w:val="6"/>
                <w:color w:val="0000FF"/>
              </w:rPr>
              <w:t>Depositary Shares</w:t>
            </w:r>
            <w:r>
              <w:rPr>
                <w:rFonts w:ascii="Times New Roman" w:cs="Times New Roman" w:eastAsia="Times New Roman" w:hAnsi="Times New Roman"/>
                <w:sz w:val="6"/>
                <w:szCs w:val="6"/>
                <w:color w:val="008000"/>
                <w:vertAlign w:val="superscript"/>
              </w:rPr>
              <w:t>(1)</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9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3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01/25/2033</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1,150,000</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1.01</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900" w:type="dxa"/>
            <w:vAlign w:val="bottom"/>
          </w:tcPr>
          <w:p>
            <w:pPr>
              <w:jc w:val="center"/>
              <w:spacing w:after="0" w:line="53" w:lineRule="exact"/>
              <w:rPr>
                <w:sz w:val="20"/>
                <w:szCs w:val="20"/>
                <w:color w:val="auto"/>
              </w:rPr>
            </w:pPr>
            <w:r>
              <w:rPr>
                <w:rFonts w:ascii="Times New Roman" w:cs="Times New Roman" w:eastAsia="Times New Roman" w:hAnsi="Times New Roman"/>
                <w:sz w:val="6"/>
                <w:szCs w:val="6"/>
                <w:color w:val="0000FF"/>
              </w:rPr>
              <w:t>Depositary Shares</w:t>
            </w:r>
            <w:r>
              <w:rPr>
                <w:rFonts w:ascii="Times New Roman" w:cs="Times New Roman" w:eastAsia="Times New Roman" w:hAnsi="Times New Roman"/>
                <w:sz w:val="6"/>
                <w:szCs w:val="6"/>
                <w:color w:val="008000"/>
                <w:vertAlign w:val="superscript"/>
              </w:rPr>
              <w:t>(1)</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9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3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Based Restricted</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01/25/2025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470,150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vMerge w:val="restart"/>
          </w:tcPr>
          <w:p>
            <w:pPr>
              <w:jc w:val="center"/>
              <w:ind w:right="276"/>
              <w:spacing w:after="0"/>
              <w:rPr>
                <w:sz w:val="20"/>
                <w:szCs w:val="20"/>
                <w:color w:val="auto"/>
              </w:rPr>
            </w:pPr>
            <w:r>
              <w:rPr>
                <w:rFonts w:ascii="Times New Roman" w:cs="Times New Roman" w:eastAsia="Times New Roman" w:hAnsi="Times New Roman"/>
                <w:sz w:val="13"/>
                <w:szCs w:val="13"/>
                <w:color w:val="008000"/>
                <w:w w:val="92"/>
              </w:rPr>
              <w:t>(7)</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Unit</w:t>
            </w: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Depositary Shares</w:t>
            </w:r>
            <w:r>
              <w:rPr>
                <w:rFonts w:ascii="Times New Roman" w:cs="Times New Roman" w:eastAsia="Times New Roman" w:hAnsi="Times New Roman"/>
                <w:sz w:val="25"/>
                <w:szCs w:val="25"/>
                <w:color w:val="008000"/>
                <w:w w:val="94"/>
                <w:vertAlign w:val="superscript"/>
              </w:rPr>
              <w:t>(1)</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6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February 20, 2021,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February 1, 2022,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January 14, 2023,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will vest and become exercisable on January 25, 2024,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 based restricted stock unit ("PSU") represents the conditional right to receive one ADS and shall vest upon satisfaction of four escalating ADS price threshold values over a two year performance period. The number included in column 3 of Table II reflects the number of PSUs eligible for vesting. If a minimum ADS price threshold is not met, such PSUs may vest at zero ADSs.</w:t>
      </w:r>
    </w:p>
    <w:p>
      <w:pPr>
        <w:spacing w:after="0" w:line="29"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Reporting Person also beneficially owns 4 ordinary shares, nominal value of GBP 0.003 per share, of the Issuer.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1,200 ADSs jointly owned by Reporting Person and her spouse.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125" w:right="53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Denise Scots-Knight</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Denise Scots-Knight</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3" w:name="page4"/>
    <w:bookmarkEnd w:id="3"/>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97000"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2024-01-02T15:18:46Z</dcterms:created>
  <dcterms:modified xsi:type="dcterms:W3CDTF">2024-01-02T15:18:46Z</dcterms:modified>
</cp:coreProperties>
</file>