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SCHEDULE 13G</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(Amendment No. 2)*</w:t>
      </w:r>
    </w:p>
    <w:p>
      <w:pPr>
        <w:spacing w:after="0" w:line="202"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Ordinary Shares, nominal value £0.003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ind w:left="4940"/>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20"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Check the appropriate box to designate the rule pursuant to which this Schedule is filed:</w:t>
      </w:r>
    </w:p>
    <w:p>
      <w:pPr>
        <w:spacing w:after="0" w:line="225"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Rule 13d-1(b)</w:t>
      </w:r>
    </w:p>
    <w:p>
      <w:pPr>
        <w:spacing w:after="0" w:line="225" w:lineRule="exact"/>
        <w:rPr>
          <w:sz w:val="24"/>
          <w:szCs w:val="24"/>
          <w:color w:val="auto"/>
        </w:rPr>
      </w:pPr>
    </w:p>
    <w:p>
      <w:pPr>
        <w:ind w:left="980" w:hanging="324"/>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Rule 13d-1(c)</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Rule 13d-1(d)</w:t>
      </w:r>
    </w:p>
    <w:p>
      <w:pPr>
        <w:spacing w:after="0" w:line="225" w:lineRule="exact"/>
        <w:rPr>
          <w:sz w:val="24"/>
          <w:szCs w:val="24"/>
          <w:color w:val="auto"/>
        </w:rPr>
      </w:pPr>
    </w:p>
    <w:p>
      <w:pPr>
        <w:ind w:firstLine="648"/>
        <w:spacing w:after="0" w:line="347" w:lineRule="auto"/>
        <w:rPr>
          <w:sz w:val="20"/>
          <w:szCs w:val="20"/>
          <w:color w:val="auto"/>
        </w:rPr>
      </w:pPr>
      <w:r>
        <w:rPr>
          <w:rFonts w:ascii="Arial" w:cs="Arial" w:eastAsia="Arial" w:hAnsi="Arial"/>
          <w:sz w:val="16"/>
          <w:szCs w:val="16"/>
          <w:b w:val="1"/>
          <w:bCs w:val="1"/>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16" w:lineRule="exact"/>
        <w:rPr>
          <w:sz w:val="24"/>
          <w:szCs w:val="24"/>
          <w:color w:val="auto"/>
        </w:rPr>
      </w:pPr>
    </w:p>
    <w:p>
      <w:pPr>
        <w:jc w:val="both"/>
        <w:ind w:right="420" w:firstLine="648"/>
        <w:spacing w:after="0" w:line="266" w:lineRule="auto"/>
        <w:rPr>
          <w:sz w:val="20"/>
          <w:szCs w:val="20"/>
          <w:color w:val="auto"/>
        </w:rPr>
      </w:pPr>
      <w:r>
        <w:rPr>
          <w:rFonts w:ascii="Arial" w:cs="Arial" w:eastAsia="Arial" w:hAnsi="Arial"/>
          <w:sz w:val="18"/>
          <w:szCs w:val="18"/>
          <w:b w:val="1"/>
          <w:bCs w:val="1"/>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176"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**This CUSIP applies to the American Depositary Shares, each representing five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702"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589492107</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80" w:type="dxa"/>
            <w:vAlign w:val="bottom"/>
            <w:tcBorders>
              <w:top w:val="single" w:sz="8" w:color="auto"/>
              <w:left w:val="single" w:sz="8" w:color="auto"/>
            </w:tcBorders>
            <w:vMerge w:val="restart"/>
          </w:tcPr>
          <w:p>
            <w:pPr>
              <w:jc w:val="center"/>
              <w:ind w:left="30"/>
              <w:spacing w:after="0"/>
              <w:rPr>
                <w:sz w:val="20"/>
                <w:szCs w:val="20"/>
                <w:color w:val="auto"/>
              </w:rPr>
            </w:pPr>
            <w:r>
              <w:rPr>
                <w:rFonts w:ascii="Arial" w:cs="Arial" w:eastAsia="Arial" w:hAnsi="Arial"/>
                <w:sz w:val="18"/>
                <w:szCs w:val="18"/>
                <w:b w:val="1"/>
                <w:bCs w:val="1"/>
                <w:color w:val="auto"/>
                <w:w w:val="79"/>
              </w:rPr>
              <w:t>1</w:t>
            </w:r>
          </w:p>
        </w:tc>
        <w:tc>
          <w:tcPr>
            <w:tcW w:w="120" w:type="dxa"/>
            <w:vAlign w:val="bottom"/>
            <w:tcBorders>
              <w:top w:val="single" w:sz="8" w:color="auto"/>
              <w:right w:val="single" w:sz="8" w:color="auto"/>
            </w:tcBorders>
          </w:tcPr>
          <w:p>
            <w:pPr>
              <w:spacing w:after="0"/>
              <w:rPr>
                <w:sz w:val="21"/>
                <w:szCs w:val="21"/>
                <w:color w:val="auto"/>
              </w:rPr>
            </w:pPr>
          </w:p>
        </w:tc>
        <w:tc>
          <w:tcPr>
            <w:tcW w:w="85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1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80" w:type="dxa"/>
            <w:vAlign w:val="bottom"/>
            <w:tcBorders>
              <w:left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900" w:type="dxa"/>
            <w:vAlign w:val="bottom"/>
            <w:vMerge w:val="restart"/>
          </w:tcPr>
          <w:p>
            <w:pPr>
              <w:ind w:left="20"/>
              <w:spacing w:after="0"/>
              <w:rPr>
                <w:sz w:val="20"/>
                <w:szCs w:val="20"/>
                <w:color w:val="auto"/>
              </w:rPr>
            </w:pPr>
            <w:r>
              <w:rPr>
                <w:rFonts w:ascii="Arial" w:cs="Arial" w:eastAsia="Arial" w:hAnsi="Arial"/>
                <w:sz w:val="18"/>
                <w:szCs w:val="18"/>
                <w:color w:val="auto"/>
                <w:w w:val="94"/>
              </w:rPr>
              <w:t>Baker Bros. Advisors LP</w:t>
            </w:r>
          </w:p>
        </w:tc>
        <w:tc>
          <w:tcPr>
            <w:tcW w:w="56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80" w:type="dxa"/>
            <w:vAlign w:val="bottom"/>
            <w:tcBorders>
              <w:left w:val="single" w:sz="8" w:color="auto"/>
            </w:tcBorders>
            <w:vMerge w:val="restart"/>
          </w:tcPr>
          <w:p>
            <w:pPr>
              <w:jc w:val="center"/>
              <w:ind w:left="30"/>
              <w:spacing w:after="0"/>
              <w:rPr>
                <w:sz w:val="20"/>
                <w:szCs w:val="20"/>
                <w:color w:val="auto"/>
              </w:rPr>
            </w:pPr>
            <w:r>
              <w:rPr>
                <w:rFonts w:ascii="Arial" w:cs="Arial" w:eastAsia="Arial" w:hAnsi="Arial"/>
                <w:sz w:val="18"/>
                <w:szCs w:val="18"/>
                <w:b w:val="1"/>
                <w:bCs w:val="1"/>
                <w:color w:val="auto"/>
                <w:w w:val="79"/>
              </w:rPr>
              <w:t>2</w:t>
            </w:r>
          </w:p>
        </w:tc>
        <w:tc>
          <w:tcPr>
            <w:tcW w:w="120" w:type="dxa"/>
            <w:vAlign w:val="bottom"/>
            <w:tcBorders>
              <w:right w:val="single" w:sz="8" w:color="auto"/>
            </w:tcBorders>
          </w:tcPr>
          <w:p>
            <w:pPr>
              <w:spacing w:after="0"/>
              <w:rPr>
                <w:sz w:val="14"/>
                <w:szCs w:val="14"/>
                <w:color w:val="auto"/>
              </w:rPr>
            </w:pPr>
          </w:p>
        </w:tc>
        <w:tc>
          <w:tcPr>
            <w:tcW w:w="8500" w:type="dxa"/>
            <w:vAlign w:val="bottom"/>
            <w:gridSpan w:val="3"/>
          </w:tcPr>
          <w:p>
            <w:pPr>
              <w:ind w:left="20"/>
              <w:spacing w:after="0" w:line="163"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2140" w:type="dxa"/>
            <w:vAlign w:val="bottom"/>
            <w:tcBorders>
              <w:right w:val="single" w:sz="8" w:color="auto"/>
            </w:tcBorders>
          </w:tcPr>
          <w:p>
            <w:pPr>
              <w:ind w:left="1040"/>
              <w:spacing w:after="0" w:line="163" w:lineRule="exact"/>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155"/>
        </w:trPr>
        <w:tc>
          <w:tcPr>
            <w:tcW w:w="480" w:type="dxa"/>
            <w:vAlign w:val="bottom"/>
            <w:tcBorders>
              <w:left w:val="single" w:sz="8" w:color="auto"/>
            </w:tcBorders>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2140" w:type="dxa"/>
            <w:vAlign w:val="bottom"/>
            <w:tcBorders>
              <w:right w:val="single" w:sz="8" w:color="auto"/>
            </w:tcBorders>
            <w:vMerge w:val="restart"/>
          </w:tcPr>
          <w:p>
            <w:pPr>
              <w:ind w:left="1040"/>
              <w:spacing w:after="0" w:line="207" w:lineRule="exact"/>
              <w:rPr>
                <w:sz w:val="20"/>
                <w:szCs w:val="20"/>
                <w:color w:val="auto"/>
              </w:rPr>
            </w:pP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4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vMerge w:val="restart"/>
          </w:tcPr>
          <w:p>
            <w:pPr>
              <w:jc w:val="center"/>
              <w:ind w:left="30"/>
              <w:spacing w:after="0"/>
              <w:rPr>
                <w:sz w:val="20"/>
                <w:szCs w:val="20"/>
                <w:color w:val="auto"/>
              </w:rPr>
            </w:pPr>
            <w:r>
              <w:rPr>
                <w:rFonts w:ascii="Arial" w:cs="Arial" w:eastAsia="Arial" w:hAnsi="Arial"/>
                <w:sz w:val="18"/>
                <w:szCs w:val="18"/>
                <w:b w:val="1"/>
                <w:bCs w:val="1"/>
                <w:color w:val="auto"/>
                <w:w w:val="79"/>
              </w:rPr>
              <w:t>3</w:t>
            </w:r>
          </w:p>
        </w:tc>
        <w:tc>
          <w:tcPr>
            <w:tcW w:w="120" w:type="dxa"/>
            <w:vAlign w:val="bottom"/>
            <w:tcBorders>
              <w:right w:val="single" w:sz="8" w:color="auto"/>
            </w:tcBorders>
          </w:tcPr>
          <w:p>
            <w:pPr>
              <w:spacing w:after="0"/>
              <w:rPr>
                <w:sz w:val="19"/>
                <w:szCs w:val="19"/>
                <w:color w:val="auto"/>
              </w:rPr>
            </w:pPr>
          </w:p>
        </w:tc>
        <w:tc>
          <w:tcPr>
            <w:tcW w:w="1900" w:type="dxa"/>
            <w:vAlign w:val="bottom"/>
          </w:tcPr>
          <w:p>
            <w:pPr>
              <w:ind w:left="20"/>
              <w:spacing w:after="0"/>
              <w:rPr>
                <w:sz w:val="20"/>
                <w:szCs w:val="20"/>
                <w:color w:val="auto"/>
              </w:rPr>
            </w:pPr>
            <w:r>
              <w:rPr>
                <w:rFonts w:ascii="Arial" w:cs="Arial" w:eastAsia="Arial" w:hAnsi="Arial"/>
                <w:sz w:val="18"/>
                <w:szCs w:val="18"/>
                <w:b w:val="1"/>
                <w:bCs w:val="1"/>
                <w:color w:val="auto"/>
              </w:rPr>
              <w:t>SEC USE ONLY</w:t>
            </w:r>
          </w:p>
        </w:tc>
        <w:tc>
          <w:tcPr>
            <w:tcW w:w="56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480" w:type="dxa"/>
            <w:vAlign w:val="bottom"/>
            <w:tcBorders>
              <w:left w:val="single" w:sz="8" w:color="auto"/>
            </w:tcBorders>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9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40" w:type="dxa"/>
            <w:vAlign w:val="bottom"/>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4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vMerge w:val="restart"/>
          </w:tcPr>
          <w:p>
            <w:pPr>
              <w:jc w:val="center"/>
              <w:ind w:left="30"/>
              <w:spacing w:after="0"/>
              <w:rPr>
                <w:sz w:val="20"/>
                <w:szCs w:val="20"/>
                <w:color w:val="auto"/>
              </w:rPr>
            </w:pPr>
            <w:r>
              <w:rPr>
                <w:rFonts w:ascii="Arial" w:cs="Arial" w:eastAsia="Arial" w:hAnsi="Arial"/>
                <w:sz w:val="18"/>
                <w:szCs w:val="18"/>
                <w:b w:val="1"/>
                <w:bCs w:val="1"/>
                <w:color w:val="auto"/>
                <w:w w:val="79"/>
              </w:rPr>
              <w:t>4</w:t>
            </w:r>
          </w:p>
        </w:tc>
        <w:tc>
          <w:tcPr>
            <w:tcW w:w="120" w:type="dxa"/>
            <w:vAlign w:val="bottom"/>
            <w:tcBorders>
              <w:right w:val="single" w:sz="8" w:color="auto"/>
            </w:tcBorders>
          </w:tcPr>
          <w:p>
            <w:pPr>
              <w:spacing w:after="0"/>
              <w:rPr>
                <w:sz w:val="19"/>
                <w:szCs w:val="19"/>
                <w:color w:val="auto"/>
              </w:rPr>
            </w:pPr>
          </w:p>
        </w:tc>
        <w:tc>
          <w:tcPr>
            <w:tcW w:w="850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0" w:type="dxa"/>
            <w:vAlign w:val="bottom"/>
            <w:tcBorders>
              <w:left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900" w:type="dxa"/>
            <w:vAlign w:val="bottom"/>
            <w:vMerge w:val="restart"/>
          </w:tcPr>
          <w:p>
            <w:pPr>
              <w:ind w:left="20"/>
              <w:spacing w:after="0"/>
              <w:rPr>
                <w:sz w:val="20"/>
                <w:szCs w:val="20"/>
                <w:color w:val="auto"/>
              </w:rPr>
            </w:pPr>
            <w:r>
              <w:rPr>
                <w:rFonts w:ascii="Arial" w:cs="Arial" w:eastAsia="Arial" w:hAnsi="Arial"/>
                <w:sz w:val="18"/>
                <w:szCs w:val="18"/>
                <w:color w:val="auto"/>
              </w:rPr>
              <w:t>Delaware</w:t>
            </w:r>
          </w:p>
        </w:tc>
        <w:tc>
          <w:tcPr>
            <w:tcW w:w="56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56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5</w:t>
            </w:r>
          </w:p>
        </w:tc>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SOLE VOTING POWER</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b w:val="1"/>
                <w:bCs w:val="1"/>
                <w:color w:val="auto"/>
              </w:rPr>
              <w:t>NUMBER OF</w:t>
            </w:r>
          </w:p>
        </w:tc>
        <w:tc>
          <w:tcPr>
            <w:tcW w:w="560" w:type="dxa"/>
            <w:vAlign w:val="bottom"/>
            <w:tcBorders>
              <w:right w:val="single" w:sz="8" w:color="auto"/>
            </w:tcBorders>
            <w:vMerge w:val="continue"/>
          </w:tcPr>
          <w:p>
            <w:pPr>
              <w:spacing w:after="0"/>
              <w:rPr>
                <w:sz w:val="17"/>
                <w:szCs w:val="17"/>
                <w:color w:val="auto"/>
              </w:rPr>
            </w:pPr>
          </w:p>
        </w:tc>
        <w:tc>
          <w:tcPr>
            <w:tcW w:w="6040" w:type="dxa"/>
            <w:vAlign w:val="bottom"/>
            <w:vMerge w:val="restart"/>
          </w:tcPr>
          <w:p>
            <w:pPr>
              <w:ind w:left="360"/>
              <w:spacing w:after="0"/>
              <w:rPr>
                <w:sz w:val="20"/>
                <w:szCs w:val="20"/>
                <w:color w:val="auto"/>
              </w:rPr>
            </w:pPr>
            <w:r>
              <w:rPr>
                <w:rFonts w:ascii="Arial" w:cs="Arial" w:eastAsia="Arial" w:hAnsi="Arial"/>
                <w:sz w:val="18"/>
                <w:szCs w:val="18"/>
                <w:color w:val="auto"/>
              </w:rPr>
              <w:t>69,359,359 (1)</w:t>
            </w: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Borders>
              <w:right w:val="single" w:sz="8" w:color="auto"/>
            </w:tcBorders>
            <w:vMerge w:val="continue"/>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6040" w:type="dxa"/>
            <w:vAlign w:val="bottom"/>
            <w:tcBorders>
              <w:bottom w:val="single" w:sz="8" w:color="auto"/>
            </w:tcBorders>
            <w:vMerge w:val="continue"/>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8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Borders>
              <w:right w:val="single" w:sz="8" w:color="auto"/>
            </w:tcBorders>
          </w:tcPr>
          <w:p>
            <w:pPr>
              <w:jc w:val="center"/>
              <w:ind w:right="510"/>
              <w:spacing w:after="0" w:line="191" w:lineRule="exact"/>
              <w:rPr>
                <w:sz w:val="20"/>
                <w:szCs w:val="20"/>
                <w:color w:val="auto"/>
              </w:rPr>
            </w:pPr>
            <w:r>
              <w:rPr>
                <w:rFonts w:ascii="Arial" w:cs="Arial" w:eastAsia="Arial" w:hAnsi="Arial"/>
                <w:sz w:val="18"/>
                <w:szCs w:val="18"/>
                <w:b w:val="1"/>
                <w:bCs w:val="1"/>
                <w:color w:val="auto"/>
                <w:w w:val="93"/>
              </w:rPr>
              <w:t>SHARES</w:t>
            </w:r>
          </w:p>
        </w:tc>
        <w:tc>
          <w:tcPr>
            <w:tcW w:w="560" w:type="dxa"/>
            <w:vAlign w:val="bottom"/>
            <w:tcBorders>
              <w:right w:val="single" w:sz="8" w:color="auto"/>
            </w:tcBorders>
          </w:tcPr>
          <w:p>
            <w:pPr>
              <w:spacing w:after="0"/>
              <w:rPr>
                <w:sz w:val="16"/>
                <w:szCs w:val="16"/>
                <w:color w:val="auto"/>
              </w:rPr>
            </w:pPr>
          </w:p>
        </w:tc>
        <w:tc>
          <w:tcPr>
            <w:tcW w:w="6040" w:type="dxa"/>
            <w:vAlign w:val="bottom"/>
          </w:tcPr>
          <w:p>
            <w:pPr>
              <w:ind w:left="40"/>
              <w:spacing w:after="0" w:line="191" w:lineRule="exact"/>
              <w:rPr>
                <w:sz w:val="20"/>
                <w:szCs w:val="20"/>
                <w:color w:val="auto"/>
              </w:rPr>
            </w:pPr>
            <w:r>
              <w:rPr>
                <w:rFonts w:ascii="Arial" w:cs="Arial" w:eastAsia="Arial" w:hAnsi="Arial"/>
                <w:sz w:val="18"/>
                <w:szCs w:val="18"/>
                <w:b w:val="1"/>
                <w:bCs w:val="1"/>
                <w:color w:val="auto"/>
              </w:rPr>
              <w:t>SHARED VOTING POWER</w:t>
            </w:r>
          </w:p>
        </w:tc>
        <w:tc>
          <w:tcPr>
            <w:tcW w:w="2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02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b w:val="1"/>
                <w:bCs w:val="1"/>
                <w:color w:val="auto"/>
              </w:rPr>
              <w:t>BENEFICIALLY</w:t>
            </w:r>
          </w:p>
        </w:tc>
        <w:tc>
          <w:tcPr>
            <w:tcW w:w="5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6</w:t>
            </w:r>
          </w:p>
        </w:tc>
        <w:tc>
          <w:tcPr>
            <w:tcW w:w="604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8"/>
              </w:rPr>
              <w:t>OWNED BY</w:t>
            </w:r>
          </w:p>
        </w:tc>
        <w:tc>
          <w:tcPr>
            <w:tcW w:w="560" w:type="dxa"/>
            <w:vAlign w:val="bottom"/>
            <w:tcBorders>
              <w:bottom w:val="single" w:sz="8" w:color="auto"/>
              <w:right w:val="single" w:sz="8" w:color="auto"/>
            </w:tcBorders>
          </w:tcPr>
          <w:p>
            <w:pPr>
              <w:spacing w:after="0"/>
              <w:rPr>
                <w:sz w:val="20"/>
                <w:szCs w:val="20"/>
                <w:color w:val="auto"/>
              </w:rPr>
            </w:pPr>
          </w:p>
        </w:tc>
        <w:tc>
          <w:tcPr>
            <w:tcW w:w="60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-0-</w:t>
            </w:r>
          </w:p>
        </w:tc>
        <w:tc>
          <w:tcPr>
            <w:tcW w:w="2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Borders>
              <w:right w:val="single" w:sz="8" w:color="auto"/>
            </w:tcBorders>
          </w:tcPr>
          <w:p>
            <w:pPr>
              <w:jc w:val="center"/>
              <w:ind w:right="490"/>
              <w:spacing w:after="0" w:line="177" w:lineRule="exact"/>
              <w:rPr>
                <w:sz w:val="20"/>
                <w:szCs w:val="20"/>
                <w:color w:val="auto"/>
              </w:rPr>
            </w:pPr>
            <w:r>
              <w:rPr>
                <w:rFonts w:ascii="Arial" w:cs="Arial" w:eastAsia="Arial" w:hAnsi="Arial"/>
                <w:sz w:val="18"/>
                <w:szCs w:val="18"/>
                <w:b w:val="1"/>
                <w:bCs w:val="1"/>
                <w:color w:val="auto"/>
              </w:rPr>
              <w:t>EACH</w:t>
            </w:r>
          </w:p>
        </w:tc>
        <w:tc>
          <w:tcPr>
            <w:tcW w:w="560" w:type="dxa"/>
            <w:vAlign w:val="bottom"/>
            <w:tcBorders>
              <w:right w:val="single" w:sz="8" w:color="auto"/>
            </w:tcBorders>
          </w:tcPr>
          <w:p>
            <w:pPr>
              <w:spacing w:after="0"/>
              <w:rPr>
                <w:sz w:val="15"/>
                <w:szCs w:val="15"/>
                <w:color w:val="auto"/>
              </w:rPr>
            </w:pPr>
          </w:p>
        </w:tc>
        <w:tc>
          <w:tcPr>
            <w:tcW w:w="6040" w:type="dxa"/>
            <w:vAlign w:val="bottom"/>
          </w:tcPr>
          <w:p>
            <w:pPr>
              <w:ind w:left="40"/>
              <w:spacing w:after="0" w:line="177" w:lineRule="exact"/>
              <w:rPr>
                <w:sz w:val="20"/>
                <w:szCs w:val="20"/>
                <w:color w:val="auto"/>
              </w:rPr>
            </w:pPr>
            <w:r>
              <w:rPr>
                <w:rFonts w:ascii="Arial" w:cs="Arial" w:eastAsia="Arial" w:hAnsi="Arial"/>
                <w:sz w:val="18"/>
                <w:szCs w:val="18"/>
                <w:b w:val="1"/>
                <w:bCs w:val="1"/>
                <w:color w:val="auto"/>
              </w:rPr>
              <w:t>SOLE DISPOSITIVE POWER</w:t>
            </w: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rPr>
              <w:t>REPORTING</w:t>
            </w:r>
          </w:p>
        </w:tc>
        <w:tc>
          <w:tcPr>
            <w:tcW w:w="5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7</w:t>
            </w:r>
          </w:p>
        </w:tc>
        <w:tc>
          <w:tcPr>
            <w:tcW w:w="604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7"/>
              </w:rPr>
              <w:t>PERSON</w:t>
            </w:r>
          </w:p>
        </w:tc>
        <w:tc>
          <w:tcPr>
            <w:tcW w:w="560" w:type="dxa"/>
            <w:vAlign w:val="bottom"/>
            <w:tcBorders>
              <w:right w:val="single" w:sz="8" w:color="auto"/>
            </w:tcBorders>
          </w:tcPr>
          <w:p>
            <w:pPr>
              <w:spacing w:after="0"/>
              <w:rPr>
                <w:sz w:val="18"/>
                <w:szCs w:val="18"/>
                <w:color w:val="auto"/>
              </w:rPr>
            </w:pPr>
          </w:p>
        </w:tc>
        <w:tc>
          <w:tcPr>
            <w:tcW w:w="6040" w:type="dxa"/>
            <w:vAlign w:val="bottom"/>
          </w:tcPr>
          <w:p>
            <w:pPr>
              <w:ind w:left="360"/>
              <w:spacing w:after="0"/>
              <w:rPr>
                <w:sz w:val="20"/>
                <w:szCs w:val="20"/>
                <w:color w:val="auto"/>
              </w:rPr>
            </w:pPr>
            <w:r>
              <w:rPr>
                <w:rFonts w:ascii="Arial" w:cs="Arial" w:eastAsia="Arial" w:hAnsi="Arial"/>
                <w:sz w:val="18"/>
                <w:szCs w:val="18"/>
                <w:color w:val="auto"/>
              </w:rPr>
              <w:t>69,359,359 (1)</w:t>
            </w:r>
          </w:p>
        </w:tc>
        <w:tc>
          <w:tcPr>
            <w:tcW w:w="2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48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b w:val="1"/>
                <w:bCs w:val="1"/>
                <w:color w:val="auto"/>
              </w:rPr>
              <w:t>WITH</w:t>
            </w:r>
          </w:p>
        </w:tc>
        <w:tc>
          <w:tcPr>
            <w:tcW w:w="560" w:type="dxa"/>
            <w:vAlign w:val="bottom"/>
            <w:tcBorders>
              <w:bottom w:val="single" w:sz="8" w:color="auto"/>
              <w:right w:val="single" w:sz="8" w:color="auto"/>
            </w:tcBorders>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Borders>
              <w:right w:val="single" w:sz="8" w:color="auto"/>
            </w:tcBorders>
            <w:vMerge w:val="continue"/>
          </w:tcPr>
          <w:p>
            <w:pPr>
              <w:spacing w:after="0"/>
              <w:rPr>
                <w:sz w:val="19"/>
                <w:szCs w:val="19"/>
                <w:color w:val="auto"/>
              </w:rPr>
            </w:pPr>
          </w:p>
        </w:tc>
        <w:tc>
          <w:tcPr>
            <w:tcW w:w="56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8</w:t>
            </w:r>
          </w:p>
        </w:tc>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SHARED DISPOSITIVE POWER</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vMerge w:val="continue"/>
          </w:tcPr>
          <w:p>
            <w:pPr>
              <w:spacing w:after="0"/>
              <w:rPr>
                <w:sz w:val="17"/>
                <w:szCs w:val="17"/>
                <w:color w:val="auto"/>
              </w:rPr>
            </w:pPr>
          </w:p>
        </w:tc>
        <w:tc>
          <w:tcPr>
            <w:tcW w:w="6040" w:type="dxa"/>
            <w:vAlign w:val="bottom"/>
            <w:vMerge w:val="restart"/>
          </w:tcPr>
          <w:p>
            <w:pPr>
              <w:ind w:left="680"/>
              <w:spacing w:after="0"/>
              <w:rPr>
                <w:sz w:val="20"/>
                <w:szCs w:val="20"/>
                <w:color w:val="auto"/>
              </w:rPr>
            </w:pPr>
            <w:r>
              <w:rPr>
                <w:rFonts w:ascii="Arial" w:cs="Arial" w:eastAsia="Arial" w:hAnsi="Arial"/>
                <w:sz w:val="18"/>
                <w:szCs w:val="18"/>
                <w:color w:val="auto"/>
              </w:rPr>
              <w:t>-0-</w:t>
            </w: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6040" w:type="dxa"/>
            <w:vAlign w:val="bottom"/>
            <w:tcBorders>
              <w:bottom w:val="single" w:sz="8" w:color="auto"/>
            </w:tcBorders>
            <w:vMerge w:val="continue"/>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vMerge w:val="restart"/>
          </w:tcPr>
          <w:p>
            <w:pPr>
              <w:jc w:val="center"/>
              <w:ind w:left="30"/>
              <w:spacing w:after="0"/>
              <w:rPr>
                <w:sz w:val="20"/>
                <w:szCs w:val="20"/>
                <w:color w:val="auto"/>
              </w:rPr>
            </w:pPr>
            <w:r>
              <w:rPr>
                <w:rFonts w:ascii="Arial" w:cs="Arial" w:eastAsia="Arial" w:hAnsi="Arial"/>
                <w:sz w:val="18"/>
                <w:szCs w:val="18"/>
                <w:b w:val="1"/>
                <w:bCs w:val="1"/>
                <w:color w:val="auto"/>
                <w:w w:val="79"/>
              </w:rPr>
              <w:t>9</w:t>
            </w:r>
          </w:p>
        </w:tc>
        <w:tc>
          <w:tcPr>
            <w:tcW w:w="120" w:type="dxa"/>
            <w:vAlign w:val="bottom"/>
            <w:tcBorders>
              <w:right w:val="single" w:sz="8" w:color="auto"/>
            </w:tcBorders>
          </w:tcPr>
          <w:p>
            <w:pPr>
              <w:spacing w:after="0"/>
              <w:rPr>
                <w:sz w:val="19"/>
                <w:szCs w:val="19"/>
                <w:color w:val="auto"/>
              </w:rPr>
            </w:pPr>
          </w:p>
        </w:tc>
        <w:tc>
          <w:tcPr>
            <w:tcW w:w="850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0" w:type="dxa"/>
            <w:vAlign w:val="bottom"/>
            <w:tcBorders>
              <w:left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900" w:type="dxa"/>
            <w:vAlign w:val="bottom"/>
            <w:vMerge w:val="restart"/>
          </w:tcPr>
          <w:p>
            <w:pPr>
              <w:ind w:left="20"/>
              <w:spacing w:after="0"/>
              <w:rPr>
                <w:sz w:val="20"/>
                <w:szCs w:val="20"/>
                <w:color w:val="auto"/>
              </w:rPr>
            </w:pPr>
            <w:r>
              <w:rPr>
                <w:rFonts w:ascii="Arial" w:cs="Arial" w:eastAsia="Arial" w:hAnsi="Arial"/>
                <w:sz w:val="18"/>
                <w:szCs w:val="18"/>
                <w:color w:val="auto"/>
              </w:rPr>
              <w:t>69,359,359 (1)</w:t>
            </w:r>
          </w:p>
        </w:tc>
        <w:tc>
          <w:tcPr>
            <w:tcW w:w="56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80" w:type="dxa"/>
            <w:vAlign w:val="bottom"/>
            <w:tcBorders>
              <w:lef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50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2140" w:type="dxa"/>
            <w:vAlign w:val="bottom"/>
            <w:tcBorders>
              <w:right w:val="single" w:sz="8" w:color="auto"/>
            </w:tcBorders>
          </w:tcPr>
          <w:p>
            <w:pPr>
              <w:ind w:left="10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6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10</w:t>
            </w:r>
          </w:p>
        </w:tc>
        <w:tc>
          <w:tcPr>
            <w:tcW w:w="1900" w:type="dxa"/>
            <w:vAlign w:val="bottom"/>
          </w:tcPr>
          <w:p>
            <w:pPr>
              <w:ind w:left="20"/>
              <w:spacing w:after="0"/>
              <w:rPr>
                <w:sz w:val="20"/>
                <w:szCs w:val="20"/>
                <w:color w:val="auto"/>
              </w:rPr>
            </w:pPr>
            <w:r>
              <w:rPr>
                <w:rFonts w:ascii="Arial" w:cs="Arial" w:eastAsia="Arial" w:hAnsi="Arial"/>
                <w:sz w:val="18"/>
                <w:szCs w:val="18"/>
                <w:b w:val="1"/>
                <w:bCs w:val="1"/>
                <w:color w:val="auto"/>
              </w:rPr>
              <w:t>(See Instructions)</w:t>
            </w:r>
          </w:p>
        </w:tc>
        <w:tc>
          <w:tcPr>
            <w:tcW w:w="56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8500" w:type="dxa"/>
            <w:vAlign w:val="bottom"/>
            <w:tcBorders>
              <w:bottom w:val="single" w:sz="8" w:color="auto"/>
            </w:tcBorders>
            <w:gridSpan w:val="3"/>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vMerge w:val="restart"/>
          </w:tcPr>
          <w:p>
            <w:pPr>
              <w:jc w:val="center"/>
              <w:ind w:left="30"/>
              <w:spacing w:after="0"/>
              <w:rPr>
                <w:sz w:val="20"/>
                <w:szCs w:val="20"/>
                <w:color w:val="auto"/>
              </w:rPr>
            </w:pPr>
            <w:r>
              <w:rPr>
                <w:rFonts w:ascii="Arial" w:cs="Arial" w:eastAsia="Arial" w:hAnsi="Arial"/>
                <w:sz w:val="18"/>
                <w:szCs w:val="18"/>
                <w:b w:val="1"/>
                <w:bCs w:val="1"/>
                <w:color w:val="auto"/>
                <w:w w:val="79"/>
              </w:rPr>
              <w:t>11</w:t>
            </w:r>
          </w:p>
        </w:tc>
        <w:tc>
          <w:tcPr>
            <w:tcW w:w="120" w:type="dxa"/>
            <w:vAlign w:val="bottom"/>
            <w:tcBorders>
              <w:right w:val="single" w:sz="8" w:color="auto"/>
            </w:tcBorders>
          </w:tcPr>
          <w:p>
            <w:pPr>
              <w:spacing w:after="0"/>
              <w:rPr>
                <w:sz w:val="19"/>
                <w:szCs w:val="19"/>
                <w:color w:val="auto"/>
              </w:rPr>
            </w:pPr>
          </w:p>
        </w:tc>
        <w:tc>
          <w:tcPr>
            <w:tcW w:w="850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0" w:type="dxa"/>
            <w:vAlign w:val="bottom"/>
            <w:tcBorders>
              <w:left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900" w:type="dxa"/>
            <w:vAlign w:val="bottom"/>
            <w:vMerge w:val="restart"/>
          </w:tcPr>
          <w:p>
            <w:pPr>
              <w:ind w:left="20"/>
              <w:spacing w:after="0"/>
              <w:rPr>
                <w:sz w:val="20"/>
                <w:szCs w:val="20"/>
                <w:color w:val="auto"/>
              </w:rPr>
            </w:pPr>
            <w:r>
              <w:rPr>
                <w:rFonts w:ascii="Arial" w:cs="Arial" w:eastAsia="Arial" w:hAnsi="Arial"/>
                <w:sz w:val="18"/>
                <w:szCs w:val="18"/>
                <w:color w:val="auto"/>
              </w:rPr>
              <w:t>9.99% (1)(2)</w:t>
            </w:r>
          </w:p>
        </w:tc>
        <w:tc>
          <w:tcPr>
            <w:tcW w:w="56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vMerge w:val="restart"/>
          </w:tcPr>
          <w:p>
            <w:pPr>
              <w:jc w:val="center"/>
              <w:ind w:left="10"/>
              <w:spacing w:after="0"/>
              <w:rPr>
                <w:sz w:val="20"/>
                <w:szCs w:val="20"/>
                <w:color w:val="auto"/>
              </w:rPr>
            </w:pPr>
            <w:r>
              <w:rPr>
                <w:rFonts w:ascii="Arial" w:cs="Arial" w:eastAsia="Arial" w:hAnsi="Arial"/>
                <w:sz w:val="18"/>
                <w:szCs w:val="18"/>
                <w:b w:val="1"/>
                <w:bCs w:val="1"/>
                <w:color w:val="auto"/>
                <w:w w:val="89"/>
              </w:rPr>
              <w:t>12</w:t>
            </w:r>
          </w:p>
        </w:tc>
        <w:tc>
          <w:tcPr>
            <w:tcW w:w="120" w:type="dxa"/>
            <w:vAlign w:val="bottom"/>
            <w:tcBorders>
              <w:right w:val="single" w:sz="8" w:color="auto"/>
            </w:tcBorders>
          </w:tcPr>
          <w:p>
            <w:pPr>
              <w:spacing w:after="0"/>
              <w:rPr>
                <w:sz w:val="19"/>
                <w:szCs w:val="19"/>
                <w:color w:val="auto"/>
              </w:rPr>
            </w:pPr>
          </w:p>
        </w:tc>
        <w:tc>
          <w:tcPr>
            <w:tcW w:w="850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0" w:type="dxa"/>
            <w:vAlign w:val="bottom"/>
            <w:tcBorders>
              <w:left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900" w:type="dxa"/>
            <w:vAlign w:val="bottom"/>
            <w:vMerge w:val="restart"/>
          </w:tcPr>
          <w:p>
            <w:pPr>
              <w:ind w:left="20"/>
              <w:spacing w:after="0"/>
              <w:rPr>
                <w:sz w:val="20"/>
                <w:szCs w:val="20"/>
                <w:color w:val="auto"/>
              </w:rPr>
            </w:pPr>
            <w:r>
              <w:rPr>
                <w:rFonts w:ascii="Arial" w:cs="Arial" w:eastAsia="Arial" w:hAnsi="Arial"/>
                <w:sz w:val="18"/>
                <w:szCs w:val="18"/>
                <w:color w:val="auto"/>
              </w:rPr>
              <w:t>IA, PN</w:t>
            </w:r>
          </w:p>
        </w:tc>
        <w:tc>
          <w:tcPr>
            <w:tcW w:w="56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80" w:right="60" w:hanging="324"/>
        <w:spacing w:after="0" w:line="25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33,809,589 Ordinary Shares (“Ordinary Shares”) of Mereo BioPharma Group plc (the “Issuer”) that are represented by 6,761,917 American Depositary Shares (“ADS”) issuable upon the exercise of June 2023 Warrants (as defined in Item 4 and subject to the limitations as described therein) and 35,549,770 Ordinary Shares represented by 7,109,954 ADS that may be acquired upon conversion of Tranche 1 Notes (as defined in Item 4 and subject to the limitations as described therein), directly held by the Funds (as defined below in Item 4). Each ADS represents 5 Ordinary Shares of the Issuer.</w:t>
      </w:r>
    </w:p>
    <w:p>
      <w:pPr>
        <w:spacing w:after="0" w:line="187" w:lineRule="exact"/>
        <w:rPr>
          <w:rFonts w:ascii="Arial" w:cs="Arial" w:eastAsia="Arial" w:hAnsi="Arial"/>
          <w:sz w:val="18"/>
          <w:szCs w:val="18"/>
          <w:color w:val="auto"/>
        </w:rPr>
      </w:pPr>
    </w:p>
    <w:p>
      <w:pPr>
        <w:ind w:left="980" w:right="180" w:hanging="324"/>
        <w:spacing w:after="0" w:line="301"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624,928,519 Ordinary Shares of the Issuer outstanding as of July 8, 2022, as obtained in an email received from the Issuer on January 30, 2023, plus 33,809,589 Ordinary Shares that are represented by 6,761,917 ADS issuable upon the exercise of the June 2023 Warrants (as defined in Item 4 and subject to the limitations as described therein) and 35,549,770 Ordinary Shares represented by 7,109,954 ADS that may be acquired upon conversion of Tranche 1 Notes (as defined in Item 4 and subject to the limitations as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589492107</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80" w:type="dxa"/>
            <w:vAlign w:val="bottom"/>
            <w:tcBorders>
              <w:top w:val="single" w:sz="8" w:color="auto"/>
              <w:left w:val="single" w:sz="8" w:color="auto"/>
            </w:tcBorders>
            <w:vMerge w:val="restart"/>
          </w:tcPr>
          <w:p>
            <w:pPr>
              <w:jc w:val="center"/>
              <w:ind w:left="30"/>
              <w:spacing w:after="0"/>
              <w:rPr>
                <w:sz w:val="20"/>
                <w:szCs w:val="20"/>
                <w:color w:val="auto"/>
              </w:rPr>
            </w:pPr>
            <w:r>
              <w:rPr>
                <w:rFonts w:ascii="Arial" w:cs="Arial" w:eastAsia="Arial" w:hAnsi="Arial"/>
                <w:sz w:val="18"/>
                <w:szCs w:val="18"/>
                <w:b w:val="1"/>
                <w:bCs w:val="1"/>
                <w:color w:val="auto"/>
                <w:w w:val="79"/>
              </w:rPr>
              <w:t>1</w:t>
            </w:r>
          </w:p>
        </w:tc>
        <w:tc>
          <w:tcPr>
            <w:tcW w:w="120" w:type="dxa"/>
            <w:vAlign w:val="bottom"/>
            <w:tcBorders>
              <w:top w:val="single" w:sz="8" w:color="auto"/>
              <w:right w:val="single" w:sz="8" w:color="auto"/>
            </w:tcBorders>
          </w:tcPr>
          <w:p>
            <w:pPr>
              <w:spacing w:after="0"/>
              <w:rPr>
                <w:sz w:val="21"/>
                <w:szCs w:val="21"/>
                <w:color w:val="auto"/>
              </w:rPr>
            </w:pPr>
          </w:p>
        </w:tc>
        <w:tc>
          <w:tcPr>
            <w:tcW w:w="85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1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80" w:type="dxa"/>
            <w:vAlign w:val="bottom"/>
            <w:tcBorders>
              <w:left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500" w:type="dxa"/>
            <w:vAlign w:val="bottom"/>
            <w:gridSpan w:val="3"/>
            <w:vMerge w:val="restart"/>
          </w:tcPr>
          <w:p>
            <w:pPr>
              <w:ind w:left="20"/>
              <w:spacing w:after="0"/>
              <w:rPr>
                <w:sz w:val="20"/>
                <w:szCs w:val="20"/>
                <w:color w:val="auto"/>
              </w:rPr>
            </w:pPr>
            <w:r>
              <w:rPr>
                <w:rFonts w:ascii="Arial" w:cs="Arial" w:eastAsia="Arial" w:hAnsi="Arial"/>
                <w:sz w:val="18"/>
                <w:szCs w:val="18"/>
                <w:color w:val="auto"/>
              </w:rPr>
              <w:t>Baker Bros. Advisors (GP) LLC</w:t>
            </w: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8500" w:type="dxa"/>
            <w:vAlign w:val="bottom"/>
            <w:tcBorders>
              <w:bottom w:val="single" w:sz="8" w:color="auto"/>
            </w:tcBorders>
            <w:gridSpan w:val="3"/>
            <w:vMerge w:val="continue"/>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80" w:type="dxa"/>
            <w:vAlign w:val="bottom"/>
            <w:tcBorders>
              <w:left w:val="single" w:sz="8" w:color="auto"/>
            </w:tcBorders>
            <w:vMerge w:val="restart"/>
          </w:tcPr>
          <w:p>
            <w:pPr>
              <w:jc w:val="center"/>
              <w:ind w:left="30"/>
              <w:spacing w:after="0"/>
              <w:rPr>
                <w:sz w:val="20"/>
                <w:szCs w:val="20"/>
                <w:color w:val="auto"/>
              </w:rPr>
            </w:pPr>
            <w:r>
              <w:rPr>
                <w:rFonts w:ascii="Arial" w:cs="Arial" w:eastAsia="Arial" w:hAnsi="Arial"/>
                <w:sz w:val="18"/>
                <w:szCs w:val="18"/>
                <w:b w:val="1"/>
                <w:bCs w:val="1"/>
                <w:color w:val="auto"/>
                <w:w w:val="79"/>
              </w:rPr>
              <w:t>2</w:t>
            </w:r>
          </w:p>
        </w:tc>
        <w:tc>
          <w:tcPr>
            <w:tcW w:w="120" w:type="dxa"/>
            <w:vAlign w:val="bottom"/>
            <w:tcBorders>
              <w:right w:val="single" w:sz="8" w:color="auto"/>
            </w:tcBorders>
          </w:tcPr>
          <w:p>
            <w:pPr>
              <w:spacing w:after="0"/>
              <w:rPr>
                <w:sz w:val="14"/>
                <w:szCs w:val="14"/>
                <w:color w:val="auto"/>
              </w:rPr>
            </w:pPr>
          </w:p>
        </w:tc>
        <w:tc>
          <w:tcPr>
            <w:tcW w:w="8500" w:type="dxa"/>
            <w:vAlign w:val="bottom"/>
            <w:gridSpan w:val="3"/>
          </w:tcPr>
          <w:p>
            <w:pPr>
              <w:ind w:left="20"/>
              <w:spacing w:after="0" w:line="163"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2140" w:type="dxa"/>
            <w:vAlign w:val="bottom"/>
            <w:tcBorders>
              <w:right w:val="single" w:sz="8" w:color="auto"/>
            </w:tcBorders>
          </w:tcPr>
          <w:p>
            <w:pPr>
              <w:ind w:left="1040"/>
              <w:spacing w:after="0" w:line="163" w:lineRule="exact"/>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155"/>
        </w:trPr>
        <w:tc>
          <w:tcPr>
            <w:tcW w:w="480" w:type="dxa"/>
            <w:vAlign w:val="bottom"/>
            <w:tcBorders>
              <w:left w:val="single" w:sz="8" w:color="auto"/>
            </w:tcBorders>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2140" w:type="dxa"/>
            <w:vAlign w:val="bottom"/>
            <w:tcBorders>
              <w:right w:val="single" w:sz="8" w:color="auto"/>
            </w:tcBorders>
            <w:vMerge w:val="restart"/>
          </w:tcPr>
          <w:p>
            <w:pPr>
              <w:ind w:left="1040"/>
              <w:spacing w:after="0" w:line="207" w:lineRule="exact"/>
              <w:rPr>
                <w:sz w:val="20"/>
                <w:szCs w:val="20"/>
                <w:color w:val="auto"/>
              </w:rPr>
            </w:pP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4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vMerge w:val="restart"/>
          </w:tcPr>
          <w:p>
            <w:pPr>
              <w:jc w:val="center"/>
              <w:ind w:left="30"/>
              <w:spacing w:after="0"/>
              <w:rPr>
                <w:sz w:val="20"/>
                <w:szCs w:val="20"/>
                <w:color w:val="auto"/>
              </w:rPr>
            </w:pPr>
            <w:r>
              <w:rPr>
                <w:rFonts w:ascii="Arial" w:cs="Arial" w:eastAsia="Arial" w:hAnsi="Arial"/>
                <w:sz w:val="18"/>
                <w:szCs w:val="18"/>
                <w:b w:val="1"/>
                <w:bCs w:val="1"/>
                <w:color w:val="auto"/>
                <w:w w:val="79"/>
              </w:rPr>
              <w:t>3</w:t>
            </w:r>
          </w:p>
        </w:tc>
        <w:tc>
          <w:tcPr>
            <w:tcW w:w="120" w:type="dxa"/>
            <w:vAlign w:val="bottom"/>
            <w:tcBorders>
              <w:right w:val="single" w:sz="8" w:color="auto"/>
            </w:tcBorders>
          </w:tcPr>
          <w:p>
            <w:pPr>
              <w:spacing w:after="0"/>
              <w:rPr>
                <w:sz w:val="19"/>
                <w:szCs w:val="19"/>
                <w:color w:val="auto"/>
              </w:rPr>
            </w:pPr>
          </w:p>
        </w:tc>
        <w:tc>
          <w:tcPr>
            <w:tcW w:w="1900" w:type="dxa"/>
            <w:vAlign w:val="bottom"/>
          </w:tcPr>
          <w:p>
            <w:pPr>
              <w:ind w:left="20"/>
              <w:spacing w:after="0"/>
              <w:rPr>
                <w:sz w:val="20"/>
                <w:szCs w:val="20"/>
                <w:color w:val="auto"/>
              </w:rPr>
            </w:pPr>
            <w:r>
              <w:rPr>
                <w:rFonts w:ascii="Arial" w:cs="Arial" w:eastAsia="Arial" w:hAnsi="Arial"/>
                <w:sz w:val="18"/>
                <w:szCs w:val="18"/>
                <w:b w:val="1"/>
                <w:bCs w:val="1"/>
                <w:color w:val="auto"/>
              </w:rPr>
              <w:t>SEC USE ONLY</w:t>
            </w:r>
          </w:p>
        </w:tc>
        <w:tc>
          <w:tcPr>
            <w:tcW w:w="56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480" w:type="dxa"/>
            <w:vAlign w:val="bottom"/>
            <w:tcBorders>
              <w:left w:val="single" w:sz="8" w:color="auto"/>
            </w:tcBorders>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9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40" w:type="dxa"/>
            <w:vAlign w:val="bottom"/>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4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vMerge w:val="restart"/>
          </w:tcPr>
          <w:p>
            <w:pPr>
              <w:jc w:val="center"/>
              <w:ind w:left="30"/>
              <w:spacing w:after="0"/>
              <w:rPr>
                <w:sz w:val="20"/>
                <w:szCs w:val="20"/>
                <w:color w:val="auto"/>
              </w:rPr>
            </w:pPr>
            <w:r>
              <w:rPr>
                <w:rFonts w:ascii="Arial" w:cs="Arial" w:eastAsia="Arial" w:hAnsi="Arial"/>
                <w:sz w:val="18"/>
                <w:szCs w:val="18"/>
                <w:b w:val="1"/>
                <w:bCs w:val="1"/>
                <w:color w:val="auto"/>
                <w:w w:val="79"/>
              </w:rPr>
              <w:t>4</w:t>
            </w:r>
          </w:p>
        </w:tc>
        <w:tc>
          <w:tcPr>
            <w:tcW w:w="120" w:type="dxa"/>
            <w:vAlign w:val="bottom"/>
            <w:tcBorders>
              <w:right w:val="single" w:sz="8" w:color="auto"/>
            </w:tcBorders>
          </w:tcPr>
          <w:p>
            <w:pPr>
              <w:spacing w:after="0"/>
              <w:rPr>
                <w:sz w:val="19"/>
                <w:szCs w:val="19"/>
                <w:color w:val="auto"/>
              </w:rPr>
            </w:pPr>
          </w:p>
        </w:tc>
        <w:tc>
          <w:tcPr>
            <w:tcW w:w="850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0" w:type="dxa"/>
            <w:vAlign w:val="bottom"/>
            <w:tcBorders>
              <w:left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900" w:type="dxa"/>
            <w:vAlign w:val="bottom"/>
            <w:vMerge w:val="restart"/>
          </w:tcPr>
          <w:p>
            <w:pPr>
              <w:ind w:left="20"/>
              <w:spacing w:after="0"/>
              <w:rPr>
                <w:sz w:val="20"/>
                <w:szCs w:val="20"/>
                <w:color w:val="auto"/>
              </w:rPr>
            </w:pPr>
            <w:r>
              <w:rPr>
                <w:rFonts w:ascii="Arial" w:cs="Arial" w:eastAsia="Arial" w:hAnsi="Arial"/>
                <w:sz w:val="18"/>
                <w:szCs w:val="18"/>
                <w:color w:val="auto"/>
              </w:rPr>
              <w:t>Delaware</w:t>
            </w:r>
          </w:p>
        </w:tc>
        <w:tc>
          <w:tcPr>
            <w:tcW w:w="56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56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5</w:t>
            </w:r>
          </w:p>
        </w:tc>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SOLE VOTING POWER</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b w:val="1"/>
                <w:bCs w:val="1"/>
                <w:color w:val="auto"/>
              </w:rPr>
              <w:t>NUMBER OF</w:t>
            </w:r>
          </w:p>
        </w:tc>
        <w:tc>
          <w:tcPr>
            <w:tcW w:w="560" w:type="dxa"/>
            <w:vAlign w:val="bottom"/>
            <w:tcBorders>
              <w:right w:val="single" w:sz="8" w:color="auto"/>
            </w:tcBorders>
            <w:vMerge w:val="continue"/>
          </w:tcPr>
          <w:p>
            <w:pPr>
              <w:spacing w:after="0"/>
              <w:rPr>
                <w:sz w:val="17"/>
                <w:szCs w:val="17"/>
                <w:color w:val="auto"/>
              </w:rPr>
            </w:pPr>
          </w:p>
        </w:tc>
        <w:tc>
          <w:tcPr>
            <w:tcW w:w="6040" w:type="dxa"/>
            <w:vAlign w:val="bottom"/>
            <w:vMerge w:val="restart"/>
          </w:tcPr>
          <w:p>
            <w:pPr>
              <w:ind w:left="360"/>
              <w:spacing w:after="0"/>
              <w:rPr>
                <w:sz w:val="20"/>
                <w:szCs w:val="20"/>
                <w:color w:val="auto"/>
              </w:rPr>
            </w:pPr>
            <w:r>
              <w:rPr>
                <w:rFonts w:ascii="Arial" w:cs="Arial" w:eastAsia="Arial" w:hAnsi="Arial"/>
                <w:sz w:val="18"/>
                <w:szCs w:val="18"/>
                <w:color w:val="auto"/>
              </w:rPr>
              <w:t>69,359,359 (1)</w:t>
            </w: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Borders>
              <w:right w:val="single" w:sz="8" w:color="auto"/>
            </w:tcBorders>
            <w:vMerge w:val="continue"/>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6040" w:type="dxa"/>
            <w:vAlign w:val="bottom"/>
            <w:tcBorders>
              <w:bottom w:val="single" w:sz="8" w:color="auto"/>
            </w:tcBorders>
            <w:vMerge w:val="continue"/>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8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Borders>
              <w:right w:val="single" w:sz="8" w:color="auto"/>
            </w:tcBorders>
          </w:tcPr>
          <w:p>
            <w:pPr>
              <w:jc w:val="center"/>
              <w:ind w:right="510"/>
              <w:spacing w:after="0" w:line="191" w:lineRule="exact"/>
              <w:rPr>
                <w:sz w:val="20"/>
                <w:szCs w:val="20"/>
                <w:color w:val="auto"/>
              </w:rPr>
            </w:pPr>
            <w:r>
              <w:rPr>
                <w:rFonts w:ascii="Arial" w:cs="Arial" w:eastAsia="Arial" w:hAnsi="Arial"/>
                <w:sz w:val="18"/>
                <w:szCs w:val="18"/>
                <w:b w:val="1"/>
                <w:bCs w:val="1"/>
                <w:color w:val="auto"/>
                <w:w w:val="93"/>
              </w:rPr>
              <w:t>SHARES</w:t>
            </w:r>
          </w:p>
        </w:tc>
        <w:tc>
          <w:tcPr>
            <w:tcW w:w="560" w:type="dxa"/>
            <w:vAlign w:val="bottom"/>
            <w:tcBorders>
              <w:right w:val="single" w:sz="8" w:color="auto"/>
            </w:tcBorders>
          </w:tcPr>
          <w:p>
            <w:pPr>
              <w:spacing w:after="0"/>
              <w:rPr>
                <w:sz w:val="16"/>
                <w:szCs w:val="16"/>
                <w:color w:val="auto"/>
              </w:rPr>
            </w:pPr>
          </w:p>
        </w:tc>
        <w:tc>
          <w:tcPr>
            <w:tcW w:w="6040" w:type="dxa"/>
            <w:vAlign w:val="bottom"/>
          </w:tcPr>
          <w:p>
            <w:pPr>
              <w:ind w:left="40"/>
              <w:spacing w:after="0" w:line="191" w:lineRule="exact"/>
              <w:rPr>
                <w:sz w:val="20"/>
                <w:szCs w:val="20"/>
                <w:color w:val="auto"/>
              </w:rPr>
            </w:pPr>
            <w:r>
              <w:rPr>
                <w:rFonts w:ascii="Arial" w:cs="Arial" w:eastAsia="Arial" w:hAnsi="Arial"/>
                <w:sz w:val="18"/>
                <w:szCs w:val="18"/>
                <w:b w:val="1"/>
                <w:bCs w:val="1"/>
                <w:color w:val="auto"/>
              </w:rPr>
              <w:t>SHARED VOTING POWER</w:t>
            </w:r>
          </w:p>
        </w:tc>
        <w:tc>
          <w:tcPr>
            <w:tcW w:w="2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02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b w:val="1"/>
                <w:bCs w:val="1"/>
                <w:color w:val="auto"/>
              </w:rPr>
              <w:t>BENEFICIALLY</w:t>
            </w:r>
          </w:p>
        </w:tc>
        <w:tc>
          <w:tcPr>
            <w:tcW w:w="5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6</w:t>
            </w:r>
          </w:p>
        </w:tc>
        <w:tc>
          <w:tcPr>
            <w:tcW w:w="604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8"/>
              </w:rPr>
              <w:t>OWNED BY</w:t>
            </w:r>
          </w:p>
        </w:tc>
        <w:tc>
          <w:tcPr>
            <w:tcW w:w="560" w:type="dxa"/>
            <w:vAlign w:val="bottom"/>
            <w:tcBorders>
              <w:bottom w:val="single" w:sz="8" w:color="auto"/>
              <w:right w:val="single" w:sz="8" w:color="auto"/>
            </w:tcBorders>
          </w:tcPr>
          <w:p>
            <w:pPr>
              <w:spacing w:after="0"/>
              <w:rPr>
                <w:sz w:val="20"/>
                <w:szCs w:val="20"/>
                <w:color w:val="auto"/>
              </w:rPr>
            </w:pPr>
          </w:p>
        </w:tc>
        <w:tc>
          <w:tcPr>
            <w:tcW w:w="60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-0-</w:t>
            </w:r>
          </w:p>
        </w:tc>
        <w:tc>
          <w:tcPr>
            <w:tcW w:w="2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Borders>
              <w:right w:val="single" w:sz="8" w:color="auto"/>
            </w:tcBorders>
          </w:tcPr>
          <w:p>
            <w:pPr>
              <w:jc w:val="center"/>
              <w:ind w:right="490"/>
              <w:spacing w:after="0" w:line="177" w:lineRule="exact"/>
              <w:rPr>
                <w:sz w:val="20"/>
                <w:szCs w:val="20"/>
                <w:color w:val="auto"/>
              </w:rPr>
            </w:pPr>
            <w:r>
              <w:rPr>
                <w:rFonts w:ascii="Arial" w:cs="Arial" w:eastAsia="Arial" w:hAnsi="Arial"/>
                <w:sz w:val="18"/>
                <w:szCs w:val="18"/>
                <w:b w:val="1"/>
                <w:bCs w:val="1"/>
                <w:color w:val="auto"/>
              </w:rPr>
              <w:t>EACH</w:t>
            </w:r>
          </w:p>
        </w:tc>
        <w:tc>
          <w:tcPr>
            <w:tcW w:w="560" w:type="dxa"/>
            <w:vAlign w:val="bottom"/>
            <w:tcBorders>
              <w:right w:val="single" w:sz="8" w:color="auto"/>
            </w:tcBorders>
          </w:tcPr>
          <w:p>
            <w:pPr>
              <w:spacing w:after="0"/>
              <w:rPr>
                <w:sz w:val="15"/>
                <w:szCs w:val="15"/>
                <w:color w:val="auto"/>
              </w:rPr>
            </w:pPr>
          </w:p>
        </w:tc>
        <w:tc>
          <w:tcPr>
            <w:tcW w:w="6040" w:type="dxa"/>
            <w:vAlign w:val="bottom"/>
          </w:tcPr>
          <w:p>
            <w:pPr>
              <w:ind w:left="40"/>
              <w:spacing w:after="0" w:line="177" w:lineRule="exact"/>
              <w:rPr>
                <w:sz w:val="20"/>
                <w:szCs w:val="20"/>
                <w:color w:val="auto"/>
              </w:rPr>
            </w:pPr>
            <w:r>
              <w:rPr>
                <w:rFonts w:ascii="Arial" w:cs="Arial" w:eastAsia="Arial" w:hAnsi="Arial"/>
                <w:sz w:val="18"/>
                <w:szCs w:val="18"/>
                <w:b w:val="1"/>
                <w:bCs w:val="1"/>
                <w:color w:val="auto"/>
              </w:rPr>
              <w:t>SOLE DISPOSITIVE POWER</w:t>
            </w: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rPr>
              <w:t>REPORTING</w:t>
            </w:r>
          </w:p>
        </w:tc>
        <w:tc>
          <w:tcPr>
            <w:tcW w:w="5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7</w:t>
            </w:r>
          </w:p>
        </w:tc>
        <w:tc>
          <w:tcPr>
            <w:tcW w:w="604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7"/>
              </w:rPr>
              <w:t>PERSON</w:t>
            </w:r>
          </w:p>
        </w:tc>
        <w:tc>
          <w:tcPr>
            <w:tcW w:w="560" w:type="dxa"/>
            <w:vAlign w:val="bottom"/>
            <w:tcBorders>
              <w:right w:val="single" w:sz="8" w:color="auto"/>
            </w:tcBorders>
          </w:tcPr>
          <w:p>
            <w:pPr>
              <w:spacing w:after="0"/>
              <w:rPr>
                <w:sz w:val="18"/>
                <w:szCs w:val="18"/>
                <w:color w:val="auto"/>
              </w:rPr>
            </w:pPr>
          </w:p>
        </w:tc>
        <w:tc>
          <w:tcPr>
            <w:tcW w:w="6040" w:type="dxa"/>
            <w:vAlign w:val="bottom"/>
          </w:tcPr>
          <w:p>
            <w:pPr>
              <w:ind w:left="360"/>
              <w:spacing w:after="0"/>
              <w:rPr>
                <w:sz w:val="20"/>
                <w:szCs w:val="20"/>
                <w:color w:val="auto"/>
              </w:rPr>
            </w:pPr>
            <w:r>
              <w:rPr>
                <w:rFonts w:ascii="Arial" w:cs="Arial" w:eastAsia="Arial" w:hAnsi="Arial"/>
                <w:sz w:val="18"/>
                <w:szCs w:val="18"/>
                <w:color w:val="auto"/>
              </w:rPr>
              <w:t>69,359,359 (1)</w:t>
            </w:r>
          </w:p>
        </w:tc>
        <w:tc>
          <w:tcPr>
            <w:tcW w:w="2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48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b w:val="1"/>
                <w:bCs w:val="1"/>
                <w:color w:val="auto"/>
              </w:rPr>
              <w:t>WITH</w:t>
            </w:r>
          </w:p>
        </w:tc>
        <w:tc>
          <w:tcPr>
            <w:tcW w:w="560" w:type="dxa"/>
            <w:vAlign w:val="bottom"/>
            <w:tcBorders>
              <w:bottom w:val="single" w:sz="8" w:color="auto"/>
              <w:right w:val="single" w:sz="8" w:color="auto"/>
            </w:tcBorders>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Borders>
              <w:right w:val="single" w:sz="8" w:color="auto"/>
            </w:tcBorders>
            <w:vMerge w:val="continue"/>
          </w:tcPr>
          <w:p>
            <w:pPr>
              <w:spacing w:after="0"/>
              <w:rPr>
                <w:sz w:val="19"/>
                <w:szCs w:val="19"/>
                <w:color w:val="auto"/>
              </w:rPr>
            </w:pPr>
          </w:p>
        </w:tc>
        <w:tc>
          <w:tcPr>
            <w:tcW w:w="56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8</w:t>
            </w:r>
          </w:p>
        </w:tc>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SHARED DISPOSITIVE POWER</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vMerge w:val="continue"/>
          </w:tcPr>
          <w:p>
            <w:pPr>
              <w:spacing w:after="0"/>
              <w:rPr>
                <w:sz w:val="17"/>
                <w:szCs w:val="17"/>
                <w:color w:val="auto"/>
              </w:rPr>
            </w:pPr>
          </w:p>
        </w:tc>
        <w:tc>
          <w:tcPr>
            <w:tcW w:w="6040" w:type="dxa"/>
            <w:vAlign w:val="bottom"/>
            <w:vMerge w:val="restart"/>
          </w:tcPr>
          <w:p>
            <w:pPr>
              <w:ind w:left="680"/>
              <w:spacing w:after="0"/>
              <w:rPr>
                <w:sz w:val="20"/>
                <w:szCs w:val="20"/>
                <w:color w:val="auto"/>
              </w:rPr>
            </w:pPr>
            <w:r>
              <w:rPr>
                <w:rFonts w:ascii="Arial" w:cs="Arial" w:eastAsia="Arial" w:hAnsi="Arial"/>
                <w:sz w:val="18"/>
                <w:szCs w:val="18"/>
                <w:color w:val="auto"/>
              </w:rPr>
              <w:t>-0-</w:t>
            </w: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6040" w:type="dxa"/>
            <w:vAlign w:val="bottom"/>
            <w:tcBorders>
              <w:bottom w:val="single" w:sz="8" w:color="auto"/>
            </w:tcBorders>
            <w:vMerge w:val="continue"/>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vMerge w:val="restart"/>
          </w:tcPr>
          <w:p>
            <w:pPr>
              <w:jc w:val="center"/>
              <w:ind w:left="30"/>
              <w:spacing w:after="0"/>
              <w:rPr>
                <w:sz w:val="20"/>
                <w:szCs w:val="20"/>
                <w:color w:val="auto"/>
              </w:rPr>
            </w:pPr>
            <w:r>
              <w:rPr>
                <w:rFonts w:ascii="Arial" w:cs="Arial" w:eastAsia="Arial" w:hAnsi="Arial"/>
                <w:sz w:val="18"/>
                <w:szCs w:val="18"/>
                <w:b w:val="1"/>
                <w:bCs w:val="1"/>
                <w:color w:val="auto"/>
                <w:w w:val="79"/>
              </w:rPr>
              <w:t>9</w:t>
            </w:r>
          </w:p>
        </w:tc>
        <w:tc>
          <w:tcPr>
            <w:tcW w:w="120" w:type="dxa"/>
            <w:vAlign w:val="bottom"/>
            <w:tcBorders>
              <w:right w:val="single" w:sz="8" w:color="auto"/>
            </w:tcBorders>
          </w:tcPr>
          <w:p>
            <w:pPr>
              <w:spacing w:after="0"/>
              <w:rPr>
                <w:sz w:val="19"/>
                <w:szCs w:val="19"/>
                <w:color w:val="auto"/>
              </w:rPr>
            </w:pPr>
          </w:p>
        </w:tc>
        <w:tc>
          <w:tcPr>
            <w:tcW w:w="850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0" w:type="dxa"/>
            <w:vAlign w:val="bottom"/>
            <w:tcBorders>
              <w:left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900" w:type="dxa"/>
            <w:vAlign w:val="bottom"/>
            <w:vMerge w:val="restart"/>
          </w:tcPr>
          <w:p>
            <w:pPr>
              <w:ind w:left="20"/>
              <w:spacing w:after="0"/>
              <w:rPr>
                <w:sz w:val="20"/>
                <w:szCs w:val="20"/>
                <w:color w:val="auto"/>
              </w:rPr>
            </w:pPr>
            <w:r>
              <w:rPr>
                <w:rFonts w:ascii="Arial" w:cs="Arial" w:eastAsia="Arial" w:hAnsi="Arial"/>
                <w:sz w:val="18"/>
                <w:szCs w:val="18"/>
                <w:color w:val="auto"/>
              </w:rPr>
              <w:t>69,359,359 (1)</w:t>
            </w:r>
          </w:p>
        </w:tc>
        <w:tc>
          <w:tcPr>
            <w:tcW w:w="56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80" w:type="dxa"/>
            <w:vAlign w:val="bottom"/>
            <w:tcBorders>
              <w:lef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50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2140" w:type="dxa"/>
            <w:vAlign w:val="bottom"/>
            <w:tcBorders>
              <w:right w:val="single" w:sz="8" w:color="auto"/>
            </w:tcBorders>
          </w:tcPr>
          <w:p>
            <w:pPr>
              <w:ind w:left="10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6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10</w:t>
            </w:r>
          </w:p>
        </w:tc>
        <w:tc>
          <w:tcPr>
            <w:tcW w:w="1900" w:type="dxa"/>
            <w:vAlign w:val="bottom"/>
          </w:tcPr>
          <w:p>
            <w:pPr>
              <w:ind w:left="20"/>
              <w:spacing w:after="0"/>
              <w:rPr>
                <w:sz w:val="20"/>
                <w:szCs w:val="20"/>
                <w:color w:val="auto"/>
              </w:rPr>
            </w:pPr>
            <w:r>
              <w:rPr>
                <w:rFonts w:ascii="Arial" w:cs="Arial" w:eastAsia="Arial" w:hAnsi="Arial"/>
                <w:sz w:val="18"/>
                <w:szCs w:val="18"/>
                <w:b w:val="1"/>
                <w:bCs w:val="1"/>
                <w:color w:val="auto"/>
              </w:rPr>
              <w:t>(See Instructions)</w:t>
            </w:r>
          </w:p>
        </w:tc>
        <w:tc>
          <w:tcPr>
            <w:tcW w:w="56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8500" w:type="dxa"/>
            <w:vAlign w:val="bottom"/>
            <w:tcBorders>
              <w:bottom w:val="single" w:sz="8" w:color="auto"/>
            </w:tcBorders>
            <w:gridSpan w:val="3"/>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vMerge w:val="restart"/>
          </w:tcPr>
          <w:p>
            <w:pPr>
              <w:jc w:val="center"/>
              <w:ind w:left="30"/>
              <w:spacing w:after="0"/>
              <w:rPr>
                <w:sz w:val="20"/>
                <w:szCs w:val="20"/>
                <w:color w:val="auto"/>
              </w:rPr>
            </w:pPr>
            <w:r>
              <w:rPr>
                <w:rFonts w:ascii="Arial" w:cs="Arial" w:eastAsia="Arial" w:hAnsi="Arial"/>
                <w:sz w:val="18"/>
                <w:szCs w:val="18"/>
                <w:b w:val="1"/>
                <w:bCs w:val="1"/>
                <w:color w:val="auto"/>
                <w:w w:val="79"/>
              </w:rPr>
              <w:t>11</w:t>
            </w:r>
          </w:p>
        </w:tc>
        <w:tc>
          <w:tcPr>
            <w:tcW w:w="120" w:type="dxa"/>
            <w:vAlign w:val="bottom"/>
            <w:tcBorders>
              <w:right w:val="single" w:sz="8" w:color="auto"/>
            </w:tcBorders>
          </w:tcPr>
          <w:p>
            <w:pPr>
              <w:spacing w:after="0"/>
              <w:rPr>
                <w:sz w:val="19"/>
                <w:szCs w:val="19"/>
                <w:color w:val="auto"/>
              </w:rPr>
            </w:pPr>
          </w:p>
        </w:tc>
        <w:tc>
          <w:tcPr>
            <w:tcW w:w="850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0" w:type="dxa"/>
            <w:vAlign w:val="bottom"/>
            <w:tcBorders>
              <w:left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900" w:type="dxa"/>
            <w:vAlign w:val="bottom"/>
            <w:vMerge w:val="restart"/>
          </w:tcPr>
          <w:p>
            <w:pPr>
              <w:ind w:left="20"/>
              <w:spacing w:after="0"/>
              <w:rPr>
                <w:sz w:val="20"/>
                <w:szCs w:val="20"/>
                <w:color w:val="auto"/>
              </w:rPr>
            </w:pPr>
            <w:r>
              <w:rPr>
                <w:rFonts w:ascii="Arial" w:cs="Arial" w:eastAsia="Arial" w:hAnsi="Arial"/>
                <w:sz w:val="18"/>
                <w:szCs w:val="18"/>
                <w:color w:val="auto"/>
              </w:rPr>
              <w:t>9.99% (1)(2)</w:t>
            </w:r>
          </w:p>
        </w:tc>
        <w:tc>
          <w:tcPr>
            <w:tcW w:w="56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vMerge w:val="restart"/>
          </w:tcPr>
          <w:p>
            <w:pPr>
              <w:jc w:val="center"/>
              <w:ind w:left="10"/>
              <w:spacing w:after="0"/>
              <w:rPr>
                <w:sz w:val="20"/>
                <w:szCs w:val="20"/>
                <w:color w:val="auto"/>
              </w:rPr>
            </w:pPr>
            <w:r>
              <w:rPr>
                <w:rFonts w:ascii="Arial" w:cs="Arial" w:eastAsia="Arial" w:hAnsi="Arial"/>
                <w:sz w:val="18"/>
                <w:szCs w:val="18"/>
                <w:b w:val="1"/>
                <w:bCs w:val="1"/>
                <w:color w:val="auto"/>
                <w:w w:val="89"/>
              </w:rPr>
              <w:t>12</w:t>
            </w:r>
          </w:p>
        </w:tc>
        <w:tc>
          <w:tcPr>
            <w:tcW w:w="120" w:type="dxa"/>
            <w:vAlign w:val="bottom"/>
            <w:tcBorders>
              <w:right w:val="single" w:sz="8" w:color="auto"/>
            </w:tcBorders>
          </w:tcPr>
          <w:p>
            <w:pPr>
              <w:spacing w:after="0"/>
              <w:rPr>
                <w:sz w:val="19"/>
                <w:szCs w:val="19"/>
                <w:color w:val="auto"/>
              </w:rPr>
            </w:pPr>
          </w:p>
        </w:tc>
        <w:tc>
          <w:tcPr>
            <w:tcW w:w="850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0" w:type="dxa"/>
            <w:vAlign w:val="bottom"/>
            <w:tcBorders>
              <w:left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900" w:type="dxa"/>
            <w:vAlign w:val="bottom"/>
            <w:vMerge w:val="restart"/>
          </w:tcPr>
          <w:p>
            <w:pPr>
              <w:ind w:left="20"/>
              <w:spacing w:after="0"/>
              <w:rPr>
                <w:sz w:val="20"/>
                <w:szCs w:val="20"/>
                <w:color w:val="auto"/>
              </w:rPr>
            </w:pPr>
            <w:r>
              <w:rPr>
                <w:rFonts w:ascii="Arial" w:cs="Arial" w:eastAsia="Arial" w:hAnsi="Arial"/>
                <w:sz w:val="18"/>
                <w:szCs w:val="18"/>
                <w:color w:val="auto"/>
              </w:rPr>
              <w:t>HC, OO</w:t>
            </w:r>
          </w:p>
        </w:tc>
        <w:tc>
          <w:tcPr>
            <w:tcW w:w="56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80" w:right="160" w:hanging="324"/>
        <w:spacing w:after="0" w:line="279"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Includes 33,809,589 Ordinary Shares of the Issuer that are represented by 6,761,917 ADS issuable upon the exercise of June 2023 Warrants (as defined in Item 4 and subject to the limitations as described therein) and 35,549,770 Ordinary Shares represented by 7,109,954 ADS that may be acquired upon conversion of Tranche 1 Notes (as defined in Item 4 and subject to the limitations as described therein), directly held by the Funds (as defined below in Item 4) . Each ADS represents 5 Ordinary Shares of the Issuer.</w:t>
      </w:r>
    </w:p>
    <w:p>
      <w:pPr>
        <w:spacing w:after="0" w:line="171" w:lineRule="exact"/>
        <w:rPr>
          <w:rFonts w:ascii="Arial" w:cs="Arial" w:eastAsia="Arial" w:hAnsi="Arial"/>
          <w:sz w:val="17"/>
          <w:szCs w:val="17"/>
          <w:color w:val="auto"/>
        </w:rPr>
      </w:pPr>
    </w:p>
    <w:p>
      <w:pPr>
        <w:ind w:left="980" w:right="180" w:hanging="324"/>
        <w:spacing w:after="0" w:line="301"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624,928,519 Ordinary Shares of the Issuer outstanding as of July 8, 2022, as obtained in an email received from the Issuer on January 30, 2023, plus 33,809,589 Ordinary Shares that are represented by 6,761,917 ADS issuable upon the exercise of the June 2023 Warrants (as defined in Item 4 and subject to the limitations as described therein) and 35,549,770 Ordinary Shares represented by 7,109,954 ADS that may be acquired upon conversion of Tranche 1 Notes (as defined in Item 4 and subject to the limitations as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589492107</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80" w:type="dxa"/>
            <w:vAlign w:val="bottom"/>
            <w:tcBorders>
              <w:top w:val="single" w:sz="8" w:color="auto"/>
              <w:left w:val="single" w:sz="8" w:color="auto"/>
            </w:tcBorders>
            <w:vMerge w:val="restart"/>
          </w:tcPr>
          <w:p>
            <w:pPr>
              <w:jc w:val="center"/>
              <w:ind w:left="30"/>
              <w:spacing w:after="0"/>
              <w:rPr>
                <w:sz w:val="20"/>
                <w:szCs w:val="20"/>
                <w:color w:val="auto"/>
              </w:rPr>
            </w:pPr>
            <w:r>
              <w:rPr>
                <w:rFonts w:ascii="Arial" w:cs="Arial" w:eastAsia="Arial" w:hAnsi="Arial"/>
                <w:sz w:val="18"/>
                <w:szCs w:val="18"/>
                <w:b w:val="1"/>
                <w:bCs w:val="1"/>
                <w:color w:val="auto"/>
                <w:w w:val="79"/>
              </w:rPr>
              <w:t>1</w:t>
            </w:r>
          </w:p>
        </w:tc>
        <w:tc>
          <w:tcPr>
            <w:tcW w:w="120" w:type="dxa"/>
            <w:vAlign w:val="bottom"/>
            <w:tcBorders>
              <w:top w:val="single" w:sz="8" w:color="auto"/>
              <w:right w:val="single" w:sz="8" w:color="auto"/>
            </w:tcBorders>
          </w:tcPr>
          <w:p>
            <w:pPr>
              <w:spacing w:after="0"/>
              <w:rPr>
                <w:sz w:val="21"/>
                <w:szCs w:val="21"/>
                <w:color w:val="auto"/>
              </w:rPr>
            </w:pPr>
          </w:p>
        </w:tc>
        <w:tc>
          <w:tcPr>
            <w:tcW w:w="85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1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80" w:type="dxa"/>
            <w:vAlign w:val="bottom"/>
            <w:tcBorders>
              <w:left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900" w:type="dxa"/>
            <w:vAlign w:val="bottom"/>
            <w:vMerge w:val="restart"/>
          </w:tcPr>
          <w:p>
            <w:pPr>
              <w:ind w:left="20"/>
              <w:spacing w:after="0"/>
              <w:rPr>
                <w:sz w:val="20"/>
                <w:szCs w:val="20"/>
                <w:color w:val="auto"/>
              </w:rPr>
            </w:pPr>
            <w:r>
              <w:rPr>
                <w:rFonts w:ascii="Arial" w:cs="Arial" w:eastAsia="Arial" w:hAnsi="Arial"/>
                <w:sz w:val="18"/>
                <w:szCs w:val="18"/>
                <w:color w:val="auto"/>
              </w:rPr>
              <w:t>Felix J. Baker</w:t>
            </w:r>
          </w:p>
        </w:tc>
        <w:tc>
          <w:tcPr>
            <w:tcW w:w="56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80" w:type="dxa"/>
            <w:vAlign w:val="bottom"/>
            <w:tcBorders>
              <w:left w:val="single" w:sz="8" w:color="auto"/>
            </w:tcBorders>
            <w:vMerge w:val="restart"/>
          </w:tcPr>
          <w:p>
            <w:pPr>
              <w:jc w:val="center"/>
              <w:ind w:left="30"/>
              <w:spacing w:after="0"/>
              <w:rPr>
                <w:sz w:val="20"/>
                <w:szCs w:val="20"/>
                <w:color w:val="auto"/>
              </w:rPr>
            </w:pPr>
            <w:r>
              <w:rPr>
                <w:rFonts w:ascii="Arial" w:cs="Arial" w:eastAsia="Arial" w:hAnsi="Arial"/>
                <w:sz w:val="18"/>
                <w:szCs w:val="18"/>
                <w:b w:val="1"/>
                <w:bCs w:val="1"/>
                <w:color w:val="auto"/>
                <w:w w:val="79"/>
              </w:rPr>
              <w:t>2</w:t>
            </w:r>
          </w:p>
        </w:tc>
        <w:tc>
          <w:tcPr>
            <w:tcW w:w="120" w:type="dxa"/>
            <w:vAlign w:val="bottom"/>
            <w:tcBorders>
              <w:right w:val="single" w:sz="8" w:color="auto"/>
            </w:tcBorders>
          </w:tcPr>
          <w:p>
            <w:pPr>
              <w:spacing w:after="0"/>
              <w:rPr>
                <w:sz w:val="14"/>
                <w:szCs w:val="14"/>
                <w:color w:val="auto"/>
              </w:rPr>
            </w:pPr>
          </w:p>
        </w:tc>
        <w:tc>
          <w:tcPr>
            <w:tcW w:w="8500" w:type="dxa"/>
            <w:vAlign w:val="bottom"/>
            <w:gridSpan w:val="3"/>
          </w:tcPr>
          <w:p>
            <w:pPr>
              <w:ind w:left="20"/>
              <w:spacing w:after="0" w:line="163"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2140" w:type="dxa"/>
            <w:vAlign w:val="bottom"/>
            <w:tcBorders>
              <w:right w:val="single" w:sz="8" w:color="auto"/>
            </w:tcBorders>
          </w:tcPr>
          <w:p>
            <w:pPr>
              <w:ind w:left="1040"/>
              <w:spacing w:after="0" w:line="163" w:lineRule="exact"/>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155"/>
        </w:trPr>
        <w:tc>
          <w:tcPr>
            <w:tcW w:w="480" w:type="dxa"/>
            <w:vAlign w:val="bottom"/>
            <w:tcBorders>
              <w:left w:val="single" w:sz="8" w:color="auto"/>
            </w:tcBorders>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2140" w:type="dxa"/>
            <w:vAlign w:val="bottom"/>
            <w:tcBorders>
              <w:right w:val="single" w:sz="8" w:color="auto"/>
            </w:tcBorders>
            <w:vMerge w:val="restart"/>
          </w:tcPr>
          <w:p>
            <w:pPr>
              <w:ind w:left="1040"/>
              <w:spacing w:after="0" w:line="207" w:lineRule="exact"/>
              <w:rPr>
                <w:sz w:val="20"/>
                <w:szCs w:val="20"/>
                <w:color w:val="auto"/>
              </w:rPr>
            </w:pP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4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vMerge w:val="restart"/>
          </w:tcPr>
          <w:p>
            <w:pPr>
              <w:jc w:val="center"/>
              <w:ind w:left="30"/>
              <w:spacing w:after="0"/>
              <w:rPr>
                <w:sz w:val="20"/>
                <w:szCs w:val="20"/>
                <w:color w:val="auto"/>
              </w:rPr>
            </w:pPr>
            <w:r>
              <w:rPr>
                <w:rFonts w:ascii="Arial" w:cs="Arial" w:eastAsia="Arial" w:hAnsi="Arial"/>
                <w:sz w:val="18"/>
                <w:szCs w:val="18"/>
                <w:b w:val="1"/>
                <w:bCs w:val="1"/>
                <w:color w:val="auto"/>
                <w:w w:val="79"/>
              </w:rPr>
              <w:t>3</w:t>
            </w:r>
          </w:p>
        </w:tc>
        <w:tc>
          <w:tcPr>
            <w:tcW w:w="120" w:type="dxa"/>
            <w:vAlign w:val="bottom"/>
            <w:tcBorders>
              <w:right w:val="single" w:sz="8" w:color="auto"/>
            </w:tcBorders>
          </w:tcPr>
          <w:p>
            <w:pPr>
              <w:spacing w:after="0"/>
              <w:rPr>
                <w:sz w:val="19"/>
                <w:szCs w:val="19"/>
                <w:color w:val="auto"/>
              </w:rPr>
            </w:pPr>
          </w:p>
        </w:tc>
        <w:tc>
          <w:tcPr>
            <w:tcW w:w="1900" w:type="dxa"/>
            <w:vAlign w:val="bottom"/>
          </w:tcPr>
          <w:p>
            <w:pPr>
              <w:ind w:left="20"/>
              <w:spacing w:after="0"/>
              <w:rPr>
                <w:sz w:val="20"/>
                <w:szCs w:val="20"/>
                <w:color w:val="auto"/>
              </w:rPr>
            </w:pPr>
            <w:r>
              <w:rPr>
                <w:rFonts w:ascii="Arial" w:cs="Arial" w:eastAsia="Arial" w:hAnsi="Arial"/>
                <w:sz w:val="18"/>
                <w:szCs w:val="18"/>
                <w:b w:val="1"/>
                <w:bCs w:val="1"/>
                <w:color w:val="auto"/>
              </w:rPr>
              <w:t>SEC USE ONLY</w:t>
            </w:r>
          </w:p>
        </w:tc>
        <w:tc>
          <w:tcPr>
            <w:tcW w:w="56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480" w:type="dxa"/>
            <w:vAlign w:val="bottom"/>
            <w:tcBorders>
              <w:left w:val="single" w:sz="8" w:color="auto"/>
            </w:tcBorders>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9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40" w:type="dxa"/>
            <w:vAlign w:val="bottom"/>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4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vMerge w:val="restart"/>
          </w:tcPr>
          <w:p>
            <w:pPr>
              <w:jc w:val="center"/>
              <w:ind w:left="30"/>
              <w:spacing w:after="0"/>
              <w:rPr>
                <w:sz w:val="20"/>
                <w:szCs w:val="20"/>
                <w:color w:val="auto"/>
              </w:rPr>
            </w:pPr>
            <w:r>
              <w:rPr>
                <w:rFonts w:ascii="Arial" w:cs="Arial" w:eastAsia="Arial" w:hAnsi="Arial"/>
                <w:sz w:val="18"/>
                <w:szCs w:val="18"/>
                <w:b w:val="1"/>
                <w:bCs w:val="1"/>
                <w:color w:val="auto"/>
                <w:w w:val="79"/>
              </w:rPr>
              <w:t>4</w:t>
            </w:r>
          </w:p>
        </w:tc>
        <w:tc>
          <w:tcPr>
            <w:tcW w:w="120" w:type="dxa"/>
            <w:vAlign w:val="bottom"/>
            <w:tcBorders>
              <w:right w:val="single" w:sz="8" w:color="auto"/>
            </w:tcBorders>
          </w:tcPr>
          <w:p>
            <w:pPr>
              <w:spacing w:after="0"/>
              <w:rPr>
                <w:sz w:val="19"/>
                <w:szCs w:val="19"/>
                <w:color w:val="auto"/>
              </w:rPr>
            </w:pPr>
          </w:p>
        </w:tc>
        <w:tc>
          <w:tcPr>
            <w:tcW w:w="850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0" w:type="dxa"/>
            <w:vAlign w:val="bottom"/>
            <w:tcBorders>
              <w:left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900" w:type="dxa"/>
            <w:vAlign w:val="bottom"/>
            <w:vMerge w:val="restart"/>
          </w:tcPr>
          <w:p>
            <w:pPr>
              <w:ind w:left="20"/>
              <w:spacing w:after="0"/>
              <w:rPr>
                <w:sz w:val="20"/>
                <w:szCs w:val="20"/>
                <w:color w:val="auto"/>
              </w:rPr>
            </w:pPr>
            <w:r>
              <w:rPr>
                <w:rFonts w:ascii="Arial" w:cs="Arial" w:eastAsia="Arial" w:hAnsi="Arial"/>
                <w:sz w:val="18"/>
                <w:szCs w:val="18"/>
                <w:color w:val="auto"/>
              </w:rPr>
              <w:t>United States</w:t>
            </w:r>
          </w:p>
        </w:tc>
        <w:tc>
          <w:tcPr>
            <w:tcW w:w="56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56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5</w:t>
            </w:r>
          </w:p>
        </w:tc>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SOLE VOTING POWER</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b w:val="1"/>
                <w:bCs w:val="1"/>
                <w:color w:val="auto"/>
              </w:rPr>
              <w:t>NUMBER OF</w:t>
            </w:r>
          </w:p>
        </w:tc>
        <w:tc>
          <w:tcPr>
            <w:tcW w:w="560" w:type="dxa"/>
            <w:vAlign w:val="bottom"/>
            <w:tcBorders>
              <w:right w:val="single" w:sz="8" w:color="auto"/>
            </w:tcBorders>
            <w:vMerge w:val="continue"/>
          </w:tcPr>
          <w:p>
            <w:pPr>
              <w:spacing w:after="0"/>
              <w:rPr>
                <w:sz w:val="17"/>
                <w:szCs w:val="17"/>
                <w:color w:val="auto"/>
              </w:rPr>
            </w:pPr>
          </w:p>
        </w:tc>
        <w:tc>
          <w:tcPr>
            <w:tcW w:w="6040" w:type="dxa"/>
            <w:vAlign w:val="bottom"/>
            <w:vMerge w:val="restart"/>
          </w:tcPr>
          <w:p>
            <w:pPr>
              <w:ind w:left="360"/>
              <w:spacing w:after="0"/>
              <w:rPr>
                <w:sz w:val="20"/>
                <w:szCs w:val="20"/>
                <w:color w:val="auto"/>
              </w:rPr>
            </w:pPr>
            <w:r>
              <w:rPr>
                <w:rFonts w:ascii="Arial" w:cs="Arial" w:eastAsia="Arial" w:hAnsi="Arial"/>
                <w:sz w:val="18"/>
                <w:szCs w:val="18"/>
                <w:color w:val="auto"/>
              </w:rPr>
              <w:t>69,359,359 (1)</w:t>
            </w: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Borders>
              <w:right w:val="single" w:sz="8" w:color="auto"/>
            </w:tcBorders>
            <w:vMerge w:val="continue"/>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6040" w:type="dxa"/>
            <w:vAlign w:val="bottom"/>
            <w:tcBorders>
              <w:bottom w:val="single" w:sz="8" w:color="auto"/>
            </w:tcBorders>
            <w:vMerge w:val="continue"/>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8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Borders>
              <w:right w:val="single" w:sz="8" w:color="auto"/>
            </w:tcBorders>
          </w:tcPr>
          <w:p>
            <w:pPr>
              <w:jc w:val="center"/>
              <w:ind w:right="510"/>
              <w:spacing w:after="0" w:line="191" w:lineRule="exact"/>
              <w:rPr>
                <w:sz w:val="20"/>
                <w:szCs w:val="20"/>
                <w:color w:val="auto"/>
              </w:rPr>
            </w:pPr>
            <w:r>
              <w:rPr>
                <w:rFonts w:ascii="Arial" w:cs="Arial" w:eastAsia="Arial" w:hAnsi="Arial"/>
                <w:sz w:val="18"/>
                <w:szCs w:val="18"/>
                <w:b w:val="1"/>
                <w:bCs w:val="1"/>
                <w:color w:val="auto"/>
                <w:w w:val="93"/>
              </w:rPr>
              <w:t>SHARES</w:t>
            </w:r>
          </w:p>
        </w:tc>
        <w:tc>
          <w:tcPr>
            <w:tcW w:w="560" w:type="dxa"/>
            <w:vAlign w:val="bottom"/>
            <w:tcBorders>
              <w:right w:val="single" w:sz="8" w:color="auto"/>
            </w:tcBorders>
          </w:tcPr>
          <w:p>
            <w:pPr>
              <w:spacing w:after="0"/>
              <w:rPr>
                <w:sz w:val="16"/>
                <w:szCs w:val="16"/>
                <w:color w:val="auto"/>
              </w:rPr>
            </w:pPr>
          </w:p>
        </w:tc>
        <w:tc>
          <w:tcPr>
            <w:tcW w:w="6040" w:type="dxa"/>
            <w:vAlign w:val="bottom"/>
          </w:tcPr>
          <w:p>
            <w:pPr>
              <w:ind w:left="40"/>
              <w:spacing w:after="0" w:line="191" w:lineRule="exact"/>
              <w:rPr>
                <w:sz w:val="20"/>
                <w:szCs w:val="20"/>
                <w:color w:val="auto"/>
              </w:rPr>
            </w:pPr>
            <w:r>
              <w:rPr>
                <w:rFonts w:ascii="Arial" w:cs="Arial" w:eastAsia="Arial" w:hAnsi="Arial"/>
                <w:sz w:val="18"/>
                <w:szCs w:val="18"/>
                <w:b w:val="1"/>
                <w:bCs w:val="1"/>
                <w:color w:val="auto"/>
              </w:rPr>
              <w:t>SHARED VOTING POWER</w:t>
            </w:r>
          </w:p>
        </w:tc>
        <w:tc>
          <w:tcPr>
            <w:tcW w:w="2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02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b w:val="1"/>
                <w:bCs w:val="1"/>
                <w:color w:val="auto"/>
              </w:rPr>
              <w:t>BENEFICIALLY</w:t>
            </w:r>
          </w:p>
        </w:tc>
        <w:tc>
          <w:tcPr>
            <w:tcW w:w="5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6</w:t>
            </w:r>
          </w:p>
        </w:tc>
        <w:tc>
          <w:tcPr>
            <w:tcW w:w="604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8"/>
              </w:rPr>
              <w:t>OWNED BY</w:t>
            </w:r>
          </w:p>
        </w:tc>
        <w:tc>
          <w:tcPr>
            <w:tcW w:w="560" w:type="dxa"/>
            <w:vAlign w:val="bottom"/>
            <w:tcBorders>
              <w:bottom w:val="single" w:sz="8" w:color="auto"/>
              <w:right w:val="single" w:sz="8" w:color="auto"/>
            </w:tcBorders>
          </w:tcPr>
          <w:p>
            <w:pPr>
              <w:spacing w:after="0"/>
              <w:rPr>
                <w:sz w:val="20"/>
                <w:szCs w:val="20"/>
                <w:color w:val="auto"/>
              </w:rPr>
            </w:pPr>
          </w:p>
        </w:tc>
        <w:tc>
          <w:tcPr>
            <w:tcW w:w="60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-0-</w:t>
            </w:r>
          </w:p>
        </w:tc>
        <w:tc>
          <w:tcPr>
            <w:tcW w:w="2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Borders>
              <w:right w:val="single" w:sz="8" w:color="auto"/>
            </w:tcBorders>
          </w:tcPr>
          <w:p>
            <w:pPr>
              <w:jc w:val="center"/>
              <w:ind w:right="490"/>
              <w:spacing w:after="0" w:line="177" w:lineRule="exact"/>
              <w:rPr>
                <w:sz w:val="20"/>
                <w:szCs w:val="20"/>
                <w:color w:val="auto"/>
              </w:rPr>
            </w:pPr>
            <w:r>
              <w:rPr>
                <w:rFonts w:ascii="Arial" w:cs="Arial" w:eastAsia="Arial" w:hAnsi="Arial"/>
                <w:sz w:val="18"/>
                <w:szCs w:val="18"/>
                <w:b w:val="1"/>
                <w:bCs w:val="1"/>
                <w:color w:val="auto"/>
              </w:rPr>
              <w:t>EACH</w:t>
            </w:r>
          </w:p>
        </w:tc>
        <w:tc>
          <w:tcPr>
            <w:tcW w:w="560" w:type="dxa"/>
            <w:vAlign w:val="bottom"/>
            <w:tcBorders>
              <w:right w:val="single" w:sz="8" w:color="auto"/>
            </w:tcBorders>
          </w:tcPr>
          <w:p>
            <w:pPr>
              <w:spacing w:after="0"/>
              <w:rPr>
                <w:sz w:val="15"/>
                <w:szCs w:val="15"/>
                <w:color w:val="auto"/>
              </w:rPr>
            </w:pPr>
          </w:p>
        </w:tc>
        <w:tc>
          <w:tcPr>
            <w:tcW w:w="6040" w:type="dxa"/>
            <w:vAlign w:val="bottom"/>
          </w:tcPr>
          <w:p>
            <w:pPr>
              <w:ind w:left="40"/>
              <w:spacing w:after="0" w:line="177" w:lineRule="exact"/>
              <w:rPr>
                <w:sz w:val="20"/>
                <w:szCs w:val="20"/>
                <w:color w:val="auto"/>
              </w:rPr>
            </w:pPr>
            <w:r>
              <w:rPr>
                <w:rFonts w:ascii="Arial" w:cs="Arial" w:eastAsia="Arial" w:hAnsi="Arial"/>
                <w:sz w:val="18"/>
                <w:szCs w:val="18"/>
                <w:b w:val="1"/>
                <w:bCs w:val="1"/>
                <w:color w:val="auto"/>
              </w:rPr>
              <w:t>SOLE DISPOSITIVE POWER</w:t>
            </w: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rPr>
              <w:t>REPORTING</w:t>
            </w:r>
          </w:p>
        </w:tc>
        <w:tc>
          <w:tcPr>
            <w:tcW w:w="5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7</w:t>
            </w:r>
          </w:p>
        </w:tc>
        <w:tc>
          <w:tcPr>
            <w:tcW w:w="604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7"/>
              </w:rPr>
              <w:t>PERSON</w:t>
            </w:r>
          </w:p>
        </w:tc>
        <w:tc>
          <w:tcPr>
            <w:tcW w:w="560" w:type="dxa"/>
            <w:vAlign w:val="bottom"/>
            <w:tcBorders>
              <w:right w:val="single" w:sz="8" w:color="auto"/>
            </w:tcBorders>
          </w:tcPr>
          <w:p>
            <w:pPr>
              <w:spacing w:after="0"/>
              <w:rPr>
                <w:sz w:val="18"/>
                <w:szCs w:val="18"/>
                <w:color w:val="auto"/>
              </w:rPr>
            </w:pPr>
          </w:p>
        </w:tc>
        <w:tc>
          <w:tcPr>
            <w:tcW w:w="6040" w:type="dxa"/>
            <w:vAlign w:val="bottom"/>
          </w:tcPr>
          <w:p>
            <w:pPr>
              <w:ind w:left="360"/>
              <w:spacing w:after="0"/>
              <w:rPr>
                <w:sz w:val="20"/>
                <w:szCs w:val="20"/>
                <w:color w:val="auto"/>
              </w:rPr>
            </w:pPr>
            <w:r>
              <w:rPr>
                <w:rFonts w:ascii="Arial" w:cs="Arial" w:eastAsia="Arial" w:hAnsi="Arial"/>
                <w:sz w:val="18"/>
                <w:szCs w:val="18"/>
                <w:color w:val="auto"/>
              </w:rPr>
              <w:t>69,359,359 (1)</w:t>
            </w:r>
          </w:p>
        </w:tc>
        <w:tc>
          <w:tcPr>
            <w:tcW w:w="2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48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b w:val="1"/>
                <w:bCs w:val="1"/>
                <w:color w:val="auto"/>
              </w:rPr>
              <w:t>WITH</w:t>
            </w:r>
          </w:p>
        </w:tc>
        <w:tc>
          <w:tcPr>
            <w:tcW w:w="560" w:type="dxa"/>
            <w:vAlign w:val="bottom"/>
            <w:tcBorders>
              <w:bottom w:val="single" w:sz="8" w:color="auto"/>
              <w:right w:val="single" w:sz="8" w:color="auto"/>
            </w:tcBorders>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Borders>
              <w:right w:val="single" w:sz="8" w:color="auto"/>
            </w:tcBorders>
            <w:vMerge w:val="continue"/>
          </w:tcPr>
          <w:p>
            <w:pPr>
              <w:spacing w:after="0"/>
              <w:rPr>
                <w:sz w:val="19"/>
                <w:szCs w:val="19"/>
                <w:color w:val="auto"/>
              </w:rPr>
            </w:pPr>
          </w:p>
        </w:tc>
        <w:tc>
          <w:tcPr>
            <w:tcW w:w="56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8</w:t>
            </w:r>
          </w:p>
        </w:tc>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SHARED DISPOSITIVE POWER</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vMerge w:val="continue"/>
          </w:tcPr>
          <w:p>
            <w:pPr>
              <w:spacing w:after="0"/>
              <w:rPr>
                <w:sz w:val="17"/>
                <w:szCs w:val="17"/>
                <w:color w:val="auto"/>
              </w:rPr>
            </w:pPr>
          </w:p>
        </w:tc>
        <w:tc>
          <w:tcPr>
            <w:tcW w:w="6040" w:type="dxa"/>
            <w:vAlign w:val="bottom"/>
            <w:vMerge w:val="restart"/>
          </w:tcPr>
          <w:p>
            <w:pPr>
              <w:ind w:left="680"/>
              <w:spacing w:after="0"/>
              <w:rPr>
                <w:sz w:val="20"/>
                <w:szCs w:val="20"/>
                <w:color w:val="auto"/>
              </w:rPr>
            </w:pPr>
            <w:r>
              <w:rPr>
                <w:rFonts w:ascii="Arial" w:cs="Arial" w:eastAsia="Arial" w:hAnsi="Arial"/>
                <w:sz w:val="18"/>
                <w:szCs w:val="18"/>
                <w:color w:val="auto"/>
              </w:rPr>
              <w:t>-0-</w:t>
            </w: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6040" w:type="dxa"/>
            <w:vAlign w:val="bottom"/>
            <w:tcBorders>
              <w:bottom w:val="single" w:sz="8" w:color="auto"/>
            </w:tcBorders>
            <w:vMerge w:val="continue"/>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vMerge w:val="restart"/>
          </w:tcPr>
          <w:p>
            <w:pPr>
              <w:jc w:val="center"/>
              <w:ind w:left="30"/>
              <w:spacing w:after="0"/>
              <w:rPr>
                <w:sz w:val="20"/>
                <w:szCs w:val="20"/>
                <w:color w:val="auto"/>
              </w:rPr>
            </w:pPr>
            <w:r>
              <w:rPr>
                <w:rFonts w:ascii="Arial" w:cs="Arial" w:eastAsia="Arial" w:hAnsi="Arial"/>
                <w:sz w:val="18"/>
                <w:szCs w:val="18"/>
                <w:b w:val="1"/>
                <w:bCs w:val="1"/>
                <w:color w:val="auto"/>
                <w:w w:val="79"/>
              </w:rPr>
              <w:t>9</w:t>
            </w:r>
          </w:p>
        </w:tc>
        <w:tc>
          <w:tcPr>
            <w:tcW w:w="120" w:type="dxa"/>
            <w:vAlign w:val="bottom"/>
            <w:tcBorders>
              <w:right w:val="single" w:sz="8" w:color="auto"/>
            </w:tcBorders>
          </w:tcPr>
          <w:p>
            <w:pPr>
              <w:spacing w:after="0"/>
              <w:rPr>
                <w:sz w:val="19"/>
                <w:szCs w:val="19"/>
                <w:color w:val="auto"/>
              </w:rPr>
            </w:pPr>
          </w:p>
        </w:tc>
        <w:tc>
          <w:tcPr>
            <w:tcW w:w="850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0" w:type="dxa"/>
            <w:vAlign w:val="bottom"/>
            <w:tcBorders>
              <w:left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900" w:type="dxa"/>
            <w:vAlign w:val="bottom"/>
            <w:vMerge w:val="restart"/>
          </w:tcPr>
          <w:p>
            <w:pPr>
              <w:ind w:left="20"/>
              <w:spacing w:after="0"/>
              <w:rPr>
                <w:sz w:val="20"/>
                <w:szCs w:val="20"/>
                <w:color w:val="auto"/>
              </w:rPr>
            </w:pPr>
            <w:r>
              <w:rPr>
                <w:rFonts w:ascii="Arial" w:cs="Arial" w:eastAsia="Arial" w:hAnsi="Arial"/>
                <w:sz w:val="18"/>
                <w:szCs w:val="18"/>
                <w:color w:val="auto"/>
              </w:rPr>
              <w:t>69,359,359 (1)</w:t>
            </w:r>
          </w:p>
        </w:tc>
        <w:tc>
          <w:tcPr>
            <w:tcW w:w="56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80" w:type="dxa"/>
            <w:vAlign w:val="bottom"/>
            <w:tcBorders>
              <w:lef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50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2140" w:type="dxa"/>
            <w:vAlign w:val="bottom"/>
            <w:tcBorders>
              <w:right w:val="single" w:sz="8" w:color="auto"/>
            </w:tcBorders>
          </w:tcPr>
          <w:p>
            <w:pPr>
              <w:ind w:left="10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6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10</w:t>
            </w:r>
          </w:p>
        </w:tc>
        <w:tc>
          <w:tcPr>
            <w:tcW w:w="1900" w:type="dxa"/>
            <w:vAlign w:val="bottom"/>
          </w:tcPr>
          <w:p>
            <w:pPr>
              <w:ind w:left="20"/>
              <w:spacing w:after="0"/>
              <w:rPr>
                <w:sz w:val="20"/>
                <w:szCs w:val="20"/>
                <w:color w:val="auto"/>
              </w:rPr>
            </w:pPr>
            <w:r>
              <w:rPr>
                <w:rFonts w:ascii="Arial" w:cs="Arial" w:eastAsia="Arial" w:hAnsi="Arial"/>
                <w:sz w:val="18"/>
                <w:szCs w:val="18"/>
                <w:b w:val="1"/>
                <w:bCs w:val="1"/>
                <w:color w:val="auto"/>
              </w:rPr>
              <w:t>(See Instructions)</w:t>
            </w:r>
          </w:p>
        </w:tc>
        <w:tc>
          <w:tcPr>
            <w:tcW w:w="56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8500" w:type="dxa"/>
            <w:vAlign w:val="bottom"/>
            <w:tcBorders>
              <w:bottom w:val="single" w:sz="8" w:color="auto"/>
            </w:tcBorders>
            <w:gridSpan w:val="3"/>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vMerge w:val="restart"/>
          </w:tcPr>
          <w:p>
            <w:pPr>
              <w:jc w:val="center"/>
              <w:ind w:left="30"/>
              <w:spacing w:after="0"/>
              <w:rPr>
                <w:sz w:val="20"/>
                <w:szCs w:val="20"/>
                <w:color w:val="auto"/>
              </w:rPr>
            </w:pPr>
            <w:r>
              <w:rPr>
                <w:rFonts w:ascii="Arial" w:cs="Arial" w:eastAsia="Arial" w:hAnsi="Arial"/>
                <w:sz w:val="18"/>
                <w:szCs w:val="18"/>
                <w:b w:val="1"/>
                <w:bCs w:val="1"/>
                <w:color w:val="auto"/>
                <w:w w:val="79"/>
              </w:rPr>
              <w:t>11</w:t>
            </w:r>
          </w:p>
        </w:tc>
        <w:tc>
          <w:tcPr>
            <w:tcW w:w="120" w:type="dxa"/>
            <w:vAlign w:val="bottom"/>
            <w:tcBorders>
              <w:right w:val="single" w:sz="8" w:color="auto"/>
            </w:tcBorders>
          </w:tcPr>
          <w:p>
            <w:pPr>
              <w:spacing w:after="0"/>
              <w:rPr>
                <w:sz w:val="19"/>
                <w:szCs w:val="19"/>
                <w:color w:val="auto"/>
              </w:rPr>
            </w:pPr>
          </w:p>
        </w:tc>
        <w:tc>
          <w:tcPr>
            <w:tcW w:w="850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0" w:type="dxa"/>
            <w:vAlign w:val="bottom"/>
            <w:tcBorders>
              <w:left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900" w:type="dxa"/>
            <w:vAlign w:val="bottom"/>
            <w:vMerge w:val="restart"/>
          </w:tcPr>
          <w:p>
            <w:pPr>
              <w:ind w:left="20"/>
              <w:spacing w:after="0"/>
              <w:rPr>
                <w:sz w:val="20"/>
                <w:szCs w:val="20"/>
                <w:color w:val="auto"/>
              </w:rPr>
            </w:pPr>
            <w:r>
              <w:rPr>
                <w:rFonts w:ascii="Arial" w:cs="Arial" w:eastAsia="Arial" w:hAnsi="Arial"/>
                <w:sz w:val="18"/>
                <w:szCs w:val="18"/>
                <w:color w:val="auto"/>
              </w:rPr>
              <w:t>9.99% (1)(2)</w:t>
            </w:r>
          </w:p>
        </w:tc>
        <w:tc>
          <w:tcPr>
            <w:tcW w:w="56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vMerge w:val="restart"/>
          </w:tcPr>
          <w:p>
            <w:pPr>
              <w:jc w:val="center"/>
              <w:ind w:left="10"/>
              <w:spacing w:after="0"/>
              <w:rPr>
                <w:sz w:val="20"/>
                <w:szCs w:val="20"/>
                <w:color w:val="auto"/>
              </w:rPr>
            </w:pPr>
            <w:r>
              <w:rPr>
                <w:rFonts w:ascii="Arial" w:cs="Arial" w:eastAsia="Arial" w:hAnsi="Arial"/>
                <w:sz w:val="18"/>
                <w:szCs w:val="18"/>
                <w:b w:val="1"/>
                <w:bCs w:val="1"/>
                <w:color w:val="auto"/>
                <w:w w:val="89"/>
              </w:rPr>
              <w:t>12</w:t>
            </w:r>
          </w:p>
        </w:tc>
        <w:tc>
          <w:tcPr>
            <w:tcW w:w="120" w:type="dxa"/>
            <w:vAlign w:val="bottom"/>
            <w:tcBorders>
              <w:right w:val="single" w:sz="8" w:color="auto"/>
            </w:tcBorders>
          </w:tcPr>
          <w:p>
            <w:pPr>
              <w:spacing w:after="0"/>
              <w:rPr>
                <w:sz w:val="19"/>
                <w:szCs w:val="19"/>
                <w:color w:val="auto"/>
              </w:rPr>
            </w:pPr>
          </w:p>
        </w:tc>
        <w:tc>
          <w:tcPr>
            <w:tcW w:w="850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0" w:type="dxa"/>
            <w:vAlign w:val="bottom"/>
            <w:tcBorders>
              <w:left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900" w:type="dxa"/>
            <w:vAlign w:val="bottom"/>
            <w:vMerge w:val="restart"/>
          </w:tcPr>
          <w:p>
            <w:pPr>
              <w:ind w:left="20"/>
              <w:spacing w:after="0"/>
              <w:rPr>
                <w:sz w:val="20"/>
                <w:szCs w:val="20"/>
                <w:color w:val="auto"/>
              </w:rPr>
            </w:pPr>
            <w:r>
              <w:rPr>
                <w:rFonts w:ascii="Arial" w:cs="Arial" w:eastAsia="Arial" w:hAnsi="Arial"/>
                <w:sz w:val="18"/>
                <w:szCs w:val="18"/>
                <w:color w:val="auto"/>
              </w:rPr>
              <w:t>IN, HC</w:t>
            </w:r>
          </w:p>
        </w:tc>
        <w:tc>
          <w:tcPr>
            <w:tcW w:w="56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right="160" w:hanging="324"/>
        <w:spacing w:after="0" w:line="279"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Includes 33,809,589 Ordinary Shares of the Issuer that are represented by 6,761,917 ADS issuable upon the exercise of June 2023 Warrants (as defined in Item 4 and subject to the limitations as described therein) and 35,549,770 Ordinary Shares represented by 7,109,954 ADS that may be acquired upon conversion of Tranche 1 Notes (as defined in Item 4 and subject to the limitations as described therein), directly held by the Funds (as defined below in Item 4). Each ADS represents 5 Ordinary Shares of the Issuer.</w:t>
      </w:r>
    </w:p>
    <w:p>
      <w:pPr>
        <w:spacing w:after="0" w:line="171" w:lineRule="exact"/>
        <w:rPr>
          <w:rFonts w:ascii="Arial" w:cs="Arial" w:eastAsia="Arial" w:hAnsi="Arial"/>
          <w:sz w:val="17"/>
          <w:szCs w:val="17"/>
          <w:color w:val="auto"/>
        </w:rPr>
      </w:pPr>
    </w:p>
    <w:p>
      <w:pPr>
        <w:ind w:left="980" w:right="180" w:hanging="324"/>
        <w:spacing w:after="0" w:line="301"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624,928,519 Ordinary Shares of the Issuer outstanding as of July 8, 2022, as obtained in an email received from the Issuer on January 30, 2023, plus 33,809,589 Ordinary Shares that are represented by 6,761,917 ADS issuable upon the exercise of the June 2023 Warrants (as defined in Item 4 and subject to the limitations as described therein) and 35,549,770 Ordinary Shares represented by 7,109,954 ADS that may be acquired upon conversion of Tranche 1 Notes (as defined in Item 4 and subject to the limitations as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589492107</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80" w:type="dxa"/>
            <w:vAlign w:val="bottom"/>
            <w:tcBorders>
              <w:top w:val="single" w:sz="8" w:color="auto"/>
              <w:left w:val="single" w:sz="8" w:color="auto"/>
            </w:tcBorders>
            <w:vMerge w:val="restart"/>
          </w:tcPr>
          <w:p>
            <w:pPr>
              <w:jc w:val="center"/>
              <w:ind w:left="30"/>
              <w:spacing w:after="0"/>
              <w:rPr>
                <w:sz w:val="20"/>
                <w:szCs w:val="20"/>
                <w:color w:val="auto"/>
              </w:rPr>
            </w:pPr>
            <w:r>
              <w:rPr>
                <w:rFonts w:ascii="Arial" w:cs="Arial" w:eastAsia="Arial" w:hAnsi="Arial"/>
                <w:sz w:val="18"/>
                <w:szCs w:val="18"/>
                <w:b w:val="1"/>
                <w:bCs w:val="1"/>
                <w:color w:val="auto"/>
                <w:w w:val="79"/>
              </w:rPr>
              <w:t>1</w:t>
            </w:r>
          </w:p>
        </w:tc>
        <w:tc>
          <w:tcPr>
            <w:tcW w:w="120" w:type="dxa"/>
            <w:vAlign w:val="bottom"/>
            <w:tcBorders>
              <w:top w:val="single" w:sz="8" w:color="auto"/>
              <w:right w:val="single" w:sz="8" w:color="auto"/>
            </w:tcBorders>
          </w:tcPr>
          <w:p>
            <w:pPr>
              <w:spacing w:after="0"/>
              <w:rPr>
                <w:sz w:val="21"/>
                <w:szCs w:val="21"/>
                <w:color w:val="auto"/>
              </w:rPr>
            </w:pPr>
          </w:p>
        </w:tc>
        <w:tc>
          <w:tcPr>
            <w:tcW w:w="85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1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80" w:type="dxa"/>
            <w:vAlign w:val="bottom"/>
            <w:tcBorders>
              <w:left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900" w:type="dxa"/>
            <w:vAlign w:val="bottom"/>
            <w:vMerge w:val="restart"/>
          </w:tcPr>
          <w:p>
            <w:pPr>
              <w:ind w:left="20"/>
              <w:spacing w:after="0"/>
              <w:rPr>
                <w:sz w:val="20"/>
                <w:szCs w:val="20"/>
                <w:color w:val="auto"/>
              </w:rPr>
            </w:pPr>
            <w:r>
              <w:rPr>
                <w:rFonts w:ascii="Arial" w:cs="Arial" w:eastAsia="Arial" w:hAnsi="Arial"/>
                <w:sz w:val="18"/>
                <w:szCs w:val="18"/>
                <w:color w:val="auto"/>
              </w:rPr>
              <w:t>Julian C. Baker</w:t>
            </w:r>
          </w:p>
        </w:tc>
        <w:tc>
          <w:tcPr>
            <w:tcW w:w="56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80" w:type="dxa"/>
            <w:vAlign w:val="bottom"/>
            <w:tcBorders>
              <w:left w:val="single" w:sz="8" w:color="auto"/>
            </w:tcBorders>
            <w:vMerge w:val="restart"/>
          </w:tcPr>
          <w:p>
            <w:pPr>
              <w:jc w:val="center"/>
              <w:ind w:left="30"/>
              <w:spacing w:after="0"/>
              <w:rPr>
                <w:sz w:val="20"/>
                <w:szCs w:val="20"/>
                <w:color w:val="auto"/>
              </w:rPr>
            </w:pPr>
            <w:r>
              <w:rPr>
                <w:rFonts w:ascii="Arial" w:cs="Arial" w:eastAsia="Arial" w:hAnsi="Arial"/>
                <w:sz w:val="18"/>
                <w:szCs w:val="18"/>
                <w:b w:val="1"/>
                <w:bCs w:val="1"/>
                <w:color w:val="auto"/>
                <w:w w:val="79"/>
              </w:rPr>
              <w:t>2</w:t>
            </w:r>
          </w:p>
        </w:tc>
        <w:tc>
          <w:tcPr>
            <w:tcW w:w="120" w:type="dxa"/>
            <w:vAlign w:val="bottom"/>
            <w:tcBorders>
              <w:right w:val="single" w:sz="8" w:color="auto"/>
            </w:tcBorders>
          </w:tcPr>
          <w:p>
            <w:pPr>
              <w:spacing w:after="0"/>
              <w:rPr>
                <w:sz w:val="14"/>
                <w:szCs w:val="14"/>
                <w:color w:val="auto"/>
              </w:rPr>
            </w:pPr>
          </w:p>
        </w:tc>
        <w:tc>
          <w:tcPr>
            <w:tcW w:w="8500" w:type="dxa"/>
            <w:vAlign w:val="bottom"/>
            <w:gridSpan w:val="3"/>
          </w:tcPr>
          <w:p>
            <w:pPr>
              <w:ind w:left="20"/>
              <w:spacing w:after="0" w:line="163"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2140" w:type="dxa"/>
            <w:vAlign w:val="bottom"/>
            <w:tcBorders>
              <w:right w:val="single" w:sz="8" w:color="auto"/>
            </w:tcBorders>
          </w:tcPr>
          <w:p>
            <w:pPr>
              <w:ind w:left="1040"/>
              <w:spacing w:after="0" w:line="163" w:lineRule="exact"/>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155"/>
        </w:trPr>
        <w:tc>
          <w:tcPr>
            <w:tcW w:w="480" w:type="dxa"/>
            <w:vAlign w:val="bottom"/>
            <w:tcBorders>
              <w:left w:val="single" w:sz="8" w:color="auto"/>
            </w:tcBorders>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2140" w:type="dxa"/>
            <w:vAlign w:val="bottom"/>
            <w:tcBorders>
              <w:right w:val="single" w:sz="8" w:color="auto"/>
            </w:tcBorders>
            <w:vMerge w:val="restart"/>
          </w:tcPr>
          <w:p>
            <w:pPr>
              <w:ind w:left="1040"/>
              <w:spacing w:after="0" w:line="207" w:lineRule="exact"/>
              <w:rPr>
                <w:sz w:val="20"/>
                <w:szCs w:val="20"/>
                <w:color w:val="auto"/>
              </w:rPr>
            </w:pP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4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vMerge w:val="restart"/>
          </w:tcPr>
          <w:p>
            <w:pPr>
              <w:jc w:val="center"/>
              <w:ind w:left="30"/>
              <w:spacing w:after="0"/>
              <w:rPr>
                <w:sz w:val="20"/>
                <w:szCs w:val="20"/>
                <w:color w:val="auto"/>
              </w:rPr>
            </w:pPr>
            <w:r>
              <w:rPr>
                <w:rFonts w:ascii="Arial" w:cs="Arial" w:eastAsia="Arial" w:hAnsi="Arial"/>
                <w:sz w:val="18"/>
                <w:szCs w:val="18"/>
                <w:b w:val="1"/>
                <w:bCs w:val="1"/>
                <w:color w:val="auto"/>
                <w:w w:val="79"/>
              </w:rPr>
              <w:t>3</w:t>
            </w:r>
          </w:p>
        </w:tc>
        <w:tc>
          <w:tcPr>
            <w:tcW w:w="120" w:type="dxa"/>
            <w:vAlign w:val="bottom"/>
            <w:tcBorders>
              <w:right w:val="single" w:sz="8" w:color="auto"/>
            </w:tcBorders>
          </w:tcPr>
          <w:p>
            <w:pPr>
              <w:spacing w:after="0"/>
              <w:rPr>
                <w:sz w:val="19"/>
                <w:szCs w:val="19"/>
                <w:color w:val="auto"/>
              </w:rPr>
            </w:pPr>
          </w:p>
        </w:tc>
        <w:tc>
          <w:tcPr>
            <w:tcW w:w="1900" w:type="dxa"/>
            <w:vAlign w:val="bottom"/>
          </w:tcPr>
          <w:p>
            <w:pPr>
              <w:ind w:left="20"/>
              <w:spacing w:after="0"/>
              <w:rPr>
                <w:sz w:val="20"/>
                <w:szCs w:val="20"/>
                <w:color w:val="auto"/>
              </w:rPr>
            </w:pPr>
            <w:r>
              <w:rPr>
                <w:rFonts w:ascii="Arial" w:cs="Arial" w:eastAsia="Arial" w:hAnsi="Arial"/>
                <w:sz w:val="18"/>
                <w:szCs w:val="18"/>
                <w:b w:val="1"/>
                <w:bCs w:val="1"/>
                <w:color w:val="auto"/>
              </w:rPr>
              <w:t>SEC USE ONLY</w:t>
            </w:r>
          </w:p>
        </w:tc>
        <w:tc>
          <w:tcPr>
            <w:tcW w:w="56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480" w:type="dxa"/>
            <w:vAlign w:val="bottom"/>
            <w:tcBorders>
              <w:left w:val="single" w:sz="8" w:color="auto"/>
            </w:tcBorders>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9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40" w:type="dxa"/>
            <w:vAlign w:val="bottom"/>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4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vMerge w:val="restart"/>
          </w:tcPr>
          <w:p>
            <w:pPr>
              <w:jc w:val="center"/>
              <w:ind w:left="30"/>
              <w:spacing w:after="0"/>
              <w:rPr>
                <w:sz w:val="20"/>
                <w:szCs w:val="20"/>
                <w:color w:val="auto"/>
              </w:rPr>
            </w:pPr>
            <w:r>
              <w:rPr>
                <w:rFonts w:ascii="Arial" w:cs="Arial" w:eastAsia="Arial" w:hAnsi="Arial"/>
                <w:sz w:val="18"/>
                <w:szCs w:val="18"/>
                <w:b w:val="1"/>
                <w:bCs w:val="1"/>
                <w:color w:val="auto"/>
                <w:w w:val="79"/>
              </w:rPr>
              <w:t>4</w:t>
            </w:r>
          </w:p>
        </w:tc>
        <w:tc>
          <w:tcPr>
            <w:tcW w:w="120" w:type="dxa"/>
            <w:vAlign w:val="bottom"/>
            <w:tcBorders>
              <w:right w:val="single" w:sz="8" w:color="auto"/>
            </w:tcBorders>
          </w:tcPr>
          <w:p>
            <w:pPr>
              <w:spacing w:after="0"/>
              <w:rPr>
                <w:sz w:val="19"/>
                <w:szCs w:val="19"/>
                <w:color w:val="auto"/>
              </w:rPr>
            </w:pPr>
          </w:p>
        </w:tc>
        <w:tc>
          <w:tcPr>
            <w:tcW w:w="850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0" w:type="dxa"/>
            <w:vAlign w:val="bottom"/>
            <w:tcBorders>
              <w:left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900" w:type="dxa"/>
            <w:vAlign w:val="bottom"/>
            <w:vMerge w:val="restart"/>
          </w:tcPr>
          <w:p>
            <w:pPr>
              <w:ind w:left="20"/>
              <w:spacing w:after="0"/>
              <w:rPr>
                <w:sz w:val="20"/>
                <w:szCs w:val="20"/>
                <w:color w:val="auto"/>
              </w:rPr>
            </w:pPr>
            <w:r>
              <w:rPr>
                <w:rFonts w:ascii="Arial" w:cs="Arial" w:eastAsia="Arial" w:hAnsi="Arial"/>
                <w:sz w:val="18"/>
                <w:szCs w:val="18"/>
                <w:color w:val="auto"/>
              </w:rPr>
              <w:t>United States</w:t>
            </w:r>
          </w:p>
        </w:tc>
        <w:tc>
          <w:tcPr>
            <w:tcW w:w="56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56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5</w:t>
            </w:r>
          </w:p>
        </w:tc>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SOLE VOTING POWER</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b w:val="1"/>
                <w:bCs w:val="1"/>
                <w:color w:val="auto"/>
              </w:rPr>
              <w:t>NUMBER OF</w:t>
            </w:r>
          </w:p>
        </w:tc>
        <w:tc>
          <w:tcPr>
            <w:tcW w:w="560" w:type="dxa"/>
            <w:vAlign w:val="bottom"/>
            <w:tcBorders>
              <w:right w:val="single" w:sz="8" w:color="auto"/>
            </w:tcBorders>
            <w:vMerge w:val="continue"/>
          </w:tcPr>
          <w:p>
            <w:pPr>
              <w:spacing w:after="0"/>
              <w:rPr>
                <w:sz w:val="17"/>
                <w:szCs w:val="17"/>
                <w:color w:val="auto"/>
              </w:rPr>
            </w:pPr>
          </w:p>
        </w:tc>
        <w:tc>
          <w:tcPr>
            <w:tcW w:w="6040" w:type="dxa"/>
            <w:vAlign w:val="bottom"/>
            <w:vMerge w:val="restart"/>
          </w:tcPr>
          <w:p>
            <w:pPr>
              <w:ind w:left="360"/>
              <w:spacing w:after="0"/>
              <w:rPr>
                <w:sz w:val="20"/>
                <w:szCs w:val="20"/>
                <w:color w:val="auto"/>
              </w:rPr>
            </w:pPr>
            <w:r>
              <w:rPr>
                <w:rFonts w:ascii="Arial" w:cs="Arial" w:eastAsia="Arial" w:hAnsi="Arial"/>
                <w:sz w:val="18"/>
                <w:szCs w:val="18"/>
                <w:color w:val="auto"/>
              </w:rPr>
              <w:t>69,359,359 (1)</w:t>
            </w: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Borders>
              <w:right w:val="single" w:sz="8" w:color="auto"/>
            </w:tcBorders>
            <w:vMerge w:val="continue"/>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6040" w:type="dxa"/>
            <w:vAlign w:val="bottom"/>
            <w:tcBorders>
              <w:bottom w:val="single" w:sz="8" w:color="auto"/>
            </w:tcBorders>
            <w:vMerge w:val="continue"/>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8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Borders>
              <w:right w:val="single" w:sz="8" w:color="auto"/>
            </w:tcBorders>
          </w:tcPr>
          <w:p>
            <w:pPr>
              <w:jc w:val="center"/>
              <w:ind w:right="510"/>
              <w:spacing w:after="0" w:line="191" w:lineRule="exact"/>
              <w:rPr>
                <w:sz w:val="20"/>
                <w:szCs w:val="20"/>
                <w:color w:val="auto"/>
              </w:rPr>
            </w:pPr>
            <w:r>
              <w:rPr>
                <w:rFonts w:ascii="Arial" w:cs="Arial" w:eastAsia="Arial" w:hAnsi="Arial"/>
                <w:sz w:val="18"/>
                <w:szCs w:val="18"/>
                <w:b w:val="1"/>
                <w:bCs w:val="1"/>
                <w:color w:val="auto"/>
                <w:w w:val="93"/>
              </w:rPr>
              <w:t>SHARES</w:t>
            </w:r>
          </w:p>
        </w:tc>
        <w:tc>
          <w:tcPr>
            <w:tcW w:w="560" w:type="dxa"/>
            <w:vAlign w:val="bottom"/>
            <w:tcBorders>
              <w:right w:val="single" w:sz="8" w:color="auto"/>
            </w:tcBorders>
          </w:tcPr>
          <w:p>
            <w:pPr>
              <w:spacing w:after="0"/>
              <w:rPr>
                <w:sz w:val="16"/>
                <w:szCs w:val="16"/>
                <w:color w:val="auto"/>
              </w:rPr>
            </w:pPr>
          </w:p>
        </w:tc>
        <w:tc>
          <w:tcPr>
            <w:tcW w:w="6040" w:type="dxa"/>
            <w:vAlign w:val="bottom"/>
          </w:tcPr>
          <w:p>
            <w:pPr>
              <w:ind w:left="40"/>
              <w:spacing w:after="0" w:line="191" w:lineRule="exact"/>
              <w:rPr>
                <w:sz w:val="20"/>
                <w:szCs w:val="20"/>
                <w:color w:val="auto"/>
              </w:rPr>
            </w:pPr>
            <w:r>
              <w:rPr>
                <w:rFonts w:ascii="Arial" w:cs="Arial" w:eastAsia="Arial" w:hAnsi="Arial"/>
                <w:sz w:val="18"/>
                <w:szCs w:val="18"/>
                <w:b w:val="1"/>
                <w:bCs w:val="1"/>
                <w:color w:val="auto"/>
              </w:rPr>
              <w:t>SHARED VOTING POWER</w:t>
            </w:r>
          </w:p>
        </w:tc>
        <w:tc>
          <w:tcPr>
            <w:tcW w:w="2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02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b w:val="1"/>
                <w:bCs w:val="1"/>
                <w:color w:val="auto"/>
              </w:rPr>
              <w:t>BENEFICIALLY</w:t>
            </w:r>
          </w:p>
        </w:tc>
        <w:tc>
          <w:tcPr>
            <w:tcW w:w="5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6</w:t>
            </w:r>
          </w:p>
        </w:tc>
        <w:tc>
          <w:tcPr>
            <w:tcW w:w="604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8"/>
              </w:rPr>
              <w:t>OWNED BY</w:t>
            </w:r>
          </w:p>
        </w:tc>
        <w:tc>
          <w:tcPr>
            <w:tcW w:w="560" w:type="dxa"/>
            <w:vAlign w:val="bottom"/>
            <w:tcBorders>
              <w:bottom w:val="single" w:sz="8" w:color="auto"/>
              <w:right w:val="single" w:sz="8" w:color="auto"/>
            </w:tcBorders>
          </w:tcPr>
          <w:p>
            <w:pPr>
              <w:spacing w:after="0"/>
              <w:rPr>
                <w:sz w:val="20"/>
                <w:szCs w:val="20"/>
                <w:color w:val="auto"/>
              </w:rPr>
            </w:pPr>
          </w:p>
        </w:tc>
        <w:tc>
          <w:tcPr>
            <w:tcW w:w="60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-0-</w:t>
            </w:r>
          </w:p>
        </w:tc>
        <w:tc>
          <w:tcPr>
            <w:tcW w:w="2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Borders>
              <w:right w:val="single" w:sz="8" w:color="auto"/>
            </w:tcBorders>
          </w:tcPr>
          <w:p>
            <w:pPr>
              <w:jc w:val="center"/>
              <w:ind w:right="490"/>
              <w:spacing w:after="0" w:line="177" w:lineRule="exact"/>
              <w:rPr>
                <w:sz w:val="20"/>
                <w:szCs w:val="20"/>
                <w:color w:val="auto"/>
              </w:rPr>
            </w:pPr>
            <w:r>
              <w:rPr>
                <w:rFonts w:ascii="Arial" w:cs="Arial" w:eastAsia="Arial" w:hAnsi="Arial"/>
                <w:sz w:val="18"/>
                <w:szCs w:val="18"/>
                <w:b w:val="1"/>
                <w:bCs w:val="1"/>
                <w:color w:val="auto"/>
              </w:rPr>
              <w:t>EACH</w:t>
            </w:r>
          </w:p>
        </w:tc>
        <w:tc>
          <w:tcPr>
            <w:tcW w:w="560" w:type="dxa"/>
            <w:vAlign w:val="bottom"/>
            <w:tcBorders>
              <w:right w:val="single" w:sz="8" w:color="auto"/>
            </w:tcBorders>
          </w:tcPr>
          <w:p>
            <w:pPr>
              <w:spacing w:after="0"/>
              <w:rPr>
                <w:sz w:val="15"/>
                <w:szCs w:val="15"/>
                <w:color w:val="auto"/>
              </w:rPr>
            </w:pPr>
          </w:p>
        </w:tc>
        <w:tc>
          <w:tcPr>
            <w:tcW w:w="6040" w:type="dxa"/>
            <w:vAlign w:val="bottom"/>
          </w:tcPr>
          <w:p>
            <w:pPr>
              <w:ind w:left="40"/>
              <w:spacing w:after="0" w:line="177" w:lineRule="exact"/>
              <w:rPr>
                <w:sz w:val="20"/>
                <w:szCs w:val="20"/>
                <w:color w:val="auto"/>
              </w:rPr>
            </w:pPr>
            <w:r>
              <w:rPr>
                <w:rFonts w:ascii="Arial" w:cs="Arial" w:eastAsia="Arial" w:hAnsi="Arial"/>
                <w:sz w:val="18"/>
                <w:szCs w:val="18"/>
                <w:b w:val="1"/>
                <w:bCs w:val="1"/>
                <w:color w:val="auto"/>
              </w:rPr>
              <w:t>SOLE DISPOSITIVE POWER</w:t>
            </w: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rPr>
              <w:t>REPORTING</w:t>
            </w:r>
          </w:p>
        </w:tc>
        <w:tc>
          <w:tcPr>
            <w:tcW w:w="5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7</w:t>
            </w:r>
          </w:p>
        </w:tc>
        <w:tc>
          <w:tcPr>
            <w:tcW w:w="604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7"/>
              </w:rPr>
              <w:t>PERSON</w:t>
            </w:r>
          </w:p>
        </w:tc>
        <w:tc>
          <w:tcPr>
            <w:tcW w:w="560" w:type="dxa"/>
            <w:vAlign w:val="bottom"/>
            <w:tcBorders>
              <w:right w:val="single" w:sz="8" w:color="auto"/>
            </w:tcBorders>
          </w:tcPr>
          <w:p>
            <w:pPr>
              <w:spacing w:after="0"/>
              <w:rPr>
                <w:sz w:val="18"/>
                <w:szCs w:val="18"/>
                <w:color w:val="auto"/>
              </w:rPr>
            </w:pPr>
          </w:p>
        </w:tc>
        <w:tc>
          <w:tcPr>
            <w:tcW w:w="6040" w:type="dxa"/>
            <w:vAlign w:val="bottom"/>
          </w:tcPr>
          <w:p>
            <w:pPr>
              <w:ind w:left="360"/>
              <w:spacing w:after="0"/>
              <w:rPr>
                <w:sz w:val="20"/>
                <w:szCs w:val="20"/>
                <w:color w:val="auto"/>
              </w:rPr>
            </w:pPr>
            <w:r>
              <w:rPr>
                <w:rFonts w:ascii="Arial" w:cs="Arial" w:eastAsia="Arial" w:hAnsi="Arial"/>
                <w:sz w:val="18"/>
                <w:szCs w:val="18"/>
                <w:color w:val="auto"/>
              </w:rPr>
              <w:t>69,359,359 (1)</w:t>
            </w:r>
          </w:p>
        </w:tc>
        <w:tc>
          <w:tcPr>
            <w:tcW w:w="2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48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b w:val="1"/>
                <w:bCs w:val="1"/>
                <w:color w:val="auto"/>
              </w:rPr>
              <w:t>WITH</w:t>
            </w:r>
          </w:p>
        </w:tc>
        <w:tc>
          <w:tcPr>
            <w:tcW w:w="560" w:type="dxa"/>
            <w:vAlign w:val="bottom"/>
            <w:tcBorders>
              <w:bottom w:val="single" w:sz="8" w:color="auto"/>
              <w:right w:val="single" w:sz="8" w:color="auto"/>
            </w:tcBorders>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Borders>
              <w:right w:val="single" w:sz="8" w:color="auto"/>
            </w:tcBorders>
            <w:vMerge w:val="continue"/>
          </w:tcPr>
          <w:p>
            <w:pPr>
              <w:spacing w:after="0"/>
              <w:rPr>
                <w:sz w:val="19"/>
                <w:szCs w:val="19"/>
                <w:color w:val="auto"/>
              </w:rPr>
            </w:pPr>
          </w:p>
        </w:tc>
        <w:tc>
          <w:tcPr>
            <w:tcW w:w="56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8</w:t>
            </w:r>
          </w:p>
        </w:tc>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SHARED DISPOSITIVE POWER</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vMerge w:val="continue"/>
          </w:tcPr>
          <w:p>
            <w:pPr>
              <w:spacing w:after="0"/>
              <w:rPr>
                <w:sz w:val="17"/>
                <w:szCs w:val="17"/>
                <w:color w:val="auto"/>
              </w:rPr>
            </w:pPr>
          </w:p>
        </w:tc>
        <w:tc>
          <w:tcPr>
            <w:tcW w:w="6040" w:type="dxa"/>
            <w:vAlign w:val="bottom"/>
            <w:vMerge w:val="restart"/>
          </w:tcPr>
          <w:p>
            <w:pPr>
              <w:ind w:left="680"/>
              <w:spacing w:after="0"/>
              <w:rPr>
                <w:sz w:val="20"/>
                <w:szCs w:val="20"/>
                <w:color w:val="auto"/>
              </w:rPr>
            </w:pPr>
            <w:r>
              <w:rPr>
                <w:rFonts w:ascii="Arial" w:cs="Arial" w:eastAsia="Arial" w:hAnsi="Arial"/>
                <w:sz w:val="18"/>
                <w:szCs w:val="18"/>
                <w:color w:val="auto"/>
              </w:rPr>
              <w:t>-0-</w:t>
            </w: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6040" w:type="dxa"/>
            <w:vAlign w:val="bottom"/>
            <w:tcBorders>
              <w:bottom w:val="single" w:sz="8" w:color="auto"/>
            </w:tcBorders>
            <w:vMerge w:val="continue"/>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vMerge w:val="restart"/>
          </w:tcPr>
          <w:p>
            <w:pPr>
              <w:jc w:val="center"/>
              <w:ind w:left="30"/>
              <w:spacing w:after="0"/>
              <w:rPr>
                <w:sz w:val="20"/>
                <w:szCs w:val="20"/>
                <w:color w:val="auto"/>
              </w:rPr>
            </w:pPr>
            <w:r>
              <w:rPr>
                <w:rFonts w:ascii="Arial" w:cs="Arial" w:eastAsia="Arial" w:hAnsi="Arial"/>
                <w:sz w:val="18"/>
                <w:szCs w:val="18"/>
                <w:b w:val="1"/>
                <w:bCs w:val="1"/>
                <w:color w:val="auto"/>
                <w:w w:val="79"/>
              </w:rPr>
              <w:t>9</w:t>
            </w:r>
          </w:p>
        </w:tc>
        <w:tc>
          <w:tcPr>
            <w:tcW w:w="120" w:type="dxa"/>
            <w:vAlign w:val="bottom"/>
            <w:tcBorders>
              <w:right w:val="single" w:sz="8" w:color="auto"/>
            </w:tcBorders>
          </w:tcPr>
          <w:p>
            <w:pPr>
              <w:spacing w:after="0"/>
              <w:rPr>
                <w:sz w:val="19"/>
                <w:szCs w:val="19"/>
                <w:color w:val="auto"/>
              </w:rPr>
            </w:pPr>
          </w:p>
        </w:tc>
        <w:tc>
          <w:tcPr>
            <w:tcW w:w="850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0" w:type="dxa"/>
            <w:vAlign w:val="bottom"/>
            <w:tcBorders>
              <w:left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900" w:type="dxa"/>
            <w:vAlign w:val="bottom"/>
            <w:vMerge w:val="restart"/>
          </w:tcPr>
          <w:p>
            <w:pPr>
              <w:ind w:left="20"/>
              <w:spacing w:after="0"/>
              <w:rPr>
                <w:sz w:val="20"/>
                <w:szCs w:val="20"/>
                <w:color w:val="auto"/>
              </w:rPr>
            </w:pPr>
            <w:r>
              <w:rPr>
                <w:rFonts w:ascii="Arial" w:cs="Arial" w:eastAsia="Arial" w:hAnsi="Arial"/>
                <w:sz w:val="18"/>
                <w:szCs w:val="18"/>
                <w:color w:val="auto"/>
              </w:rPr>
              <w:t>69,359,359 (1)</w:t>
            </w:r>
          </w:p>
        </w:tc>
        <w:tc>
          <w:tcPr>
            <w:tcW w:w="56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80" w:type="dxa"/>
            <w:vAlign w:val="bottom"/>
            <w:tcBorders>
              <w:lef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50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2140" w:type="dxa"/>
            <w:vAlign w:val="bottom"/>
            <w:tcBorders>
              <w:right w:val="single" w:sz="8" w:color="auto"/>
            </w:tcBorders>
          </w:tcPr>
          <w:p>
            <w:pPr>
              <w:ind w:left="10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6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10</w:t>
            </w:r>
          </w:p>
        </w:tc>
        <w:tc>
          <w:tcPr>
            <w:tcW w:w="1900" w:type="dxa"/>
            <w:vAlign w:val="bottom"/>
          </w:tcPr>
          <w:p>
            <w:pPr>
              <w:ind w:left="20"/>
              <w:spacing w:after="0"/>
              <w:rPr>
                <w:sz w:val="20"/>
                <w:szCs w:val="20"/>
                <w:color w:val="auto"/>
              </w:rPr>
            </w:pPr>
            <w:r>
              <w:rPr>
                <w:rFonts w:ascii="Arial" w:cs="Arial" w:eastAsia="Arial" w:hAnsi="Arial"/>
                <w:sz w:val="18"/>
                <w:szCs w:val="18"/>
                <w:b w:val="1"/>
                <w:bCs w:val="1"/>
                <w:color w:val="auto"/>
              </w:rPr>
              <w:t>(See Instructions)</w:t>
            </w:r>
          </w:p>
        </w:tc>
        <w:tc>
          <w:tcPr>
            <w:tcW w:w="56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8500" w:type="dxa"/>
            <w:vAlign w:val="bottom"/>
            <w:tcBorders>
              <w:bottom w:val="single" w:sz="8" w:color="auto"/>
            </w:tcBorders>
            <w:gridSpan w:val="3"/>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vMerge w:val="restart"/>
          </w:tcPr>
          <w:p>
            <w:pPr>
              <w:jc w:val="center"/>
              <w:ind w:left="30"/>
              <w:spacing w:after="0"/>
              <w:rPr>
                <w:sz w:val="20"/>
                <w:szCs w:val="20"/>
                <w:color w:val="auto"/>
              </w:rPr>
            </w:pPr>
            <w:r>
              <w:rPr>
                <w:rFonts w:ascii="Arial" w:cs="Arial" w:eastAsia="Arial" w:hAnsi="Arial"/>
                <w:sz w:val="18"/>
                <w:szCs w:val="18"/>
                <w:b w:val="1"/>
                <w:bCs w:val="1"/>
                <w:color w:val="auto"/>
                <w:w w:val="79"/>
              </w:rPr>
              <w:t>11</w:t>
            </w:r>
          </w:p>
        </w:tc>
        <w:tc>
          <w:tcPr>
            <w:tcW w:w="120" w:type="dxa"/>
            <w:vAlign w:val="bottom"/>
            <w:tcBorders>
              <w:right w:val="single" w:sz="8" w:color="auto"/>
            </w:tcBorders>
          </w:tcPr>
          <w:p>
            <w:pPr>
              <w:spacing w:after="0"/>
              <w:rPr>
                <w:sz w:val="19"/>
                <w:szCs w:val="19"/>
                <w:color w:val="auto"/>
              </w:rPr>
            </w:pPr>
          </w:p>
        </w:tc>
        <w:tc>
          <w:tcPr>
            <w:tcW w:w="850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0" w:type="dxa"/>
            <w:vAlign w:val="bottom"/>
            <w:tcBorders>
              <w:left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900" w:type="dxa"/>
            <w:vAlign w:val="bottom"/>
            <w:vMerge w:val="restart"/>
          </w:tcPr>
          <w:p>
            <w:pPr>
              <w:ind w:left="20"/>
              <w:spacing w:after="0"/>
              <w:rPr>
                <w:sz w:val="20"/>
                <w:szCs w:val="20"/>
                <w:color w:val="auto"/>
              </w:rPr>
            </w:pPr>
            <w:r>
              <w:rPr>
                <w:rFonts w:ascii="Arial" w:cs="Arial" w:eastAsia="Arial" w:hAnsi="Arial"/>
                <w:sz w:val="18"/>
                <w:szCs w:val="18"/>
                <w:color w:val="auto"/>
              </w:rPr>
              <w:t>9.99% (1)(2)</w:t>
            </w:r>
          </w:p>
        </w:tc>
        <w:tc>
          <w:tcPr>
            <w:tcW w:w="56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vMerge w:val="restart"/>
          </w:tcPr>
          <w:p>
            <w:pPr>
              <w:jc w:val="center"/>
              <w:ind w:left="10"/>
              <w:spacing w:after="0"/>
              <w:rPr>
                <w:sz w:val="20"/>
                <w:szCs w:val="20"/>
                <w:color w:val="auto"/>
              </w:rPr>
            </w:pPr>
            <w:r>
              <w:rPr>
                <w:rFonts w:ascii="Arial" w:cs="Arial" w:eastAsia="Arial" w:hAnsi="Arial"/>
                <w:sz w:val="18"/>
                <w:szCs w:val="18"/>
                <w:b w:val="1"/>
                <w:bCs w:val="1"/>
                <w:color w:val="auto"/>
                <w:w w:val="89"/>
              </w:rPr>
              <w:t>12</w:t>
            </w:r>
          </w:p>
        </w:tc>
        <w:tc>
          <w:tcPr>
            <w:tcW w:w="120" w:type="dxa"/>
            <w:vAlign w:val="bottom"/>
            <w:tcBorders>
              <w:right w:val="single" w:sz="8" w:color="auto"/>
            </w:tcBorders>
          </w:tcPr>
          <w:p>
            <w:pPr>
              <w:spacing w:after="0"/>
              <w:rPr>
                <w:sz w:val="19"/>
                <w:szCs w:val="19"/>
                <w:color w:val="auto"/>
              </w:rPr>
            </w:pPr>
          </w:p>
        </w:tc>
        <w:tc>
          <w:tcPr>
            <w:tcW w:w="850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0" w:type="dxa"/>
            <w:vAlign w:val="bottom"/>
            <w:tcBorders>
              <w:left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900" w:type="dxa"/>
            <w:vAlign w:val="bottom"/>
            <w:vMerge w:val="restart"/>
          </w:tcPr>
          <w:p>
            <w:pPr>
              <w:ind w:left="20"/>
              <w:spacing w:after="0"/>
              <w:rPr>
                <w:sz w:val="20"/>
                <w:szCs w:val="20"/>
                <w:color w:val="auto"/>
              </w:rPr>
            </w:pPr>
            <w:r>
              <w:rPr>
                <w:rFonts w:ascii="Arial" w:cs="Arial" w:eastAsia="Arial" w:hAnsi="Arial"/>
                <w:sz w:val="18"/>
                <w:szCs w:val="18"/>
                <w:color w:val="auto"/>
              </w:rPr>
              <w:t>IN, HC</w:t>
            </w:r>
          </w:p>
        </w:tc>
        <w:tc>
          <w:tcPr>
            <w:tcW w:w="56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80" w:right="160" w:hanging="324"/>
        <w:spacing w:after="0" w:line="279"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33,809,589 Ordinary Shares of the Issuer that are represented by 6,761,917 ADS issuable upon the exercise of June 2023 Warrants (as defined in Item 4 and subject to the limitations as described therein) and 35,549,770 Ordinary Shares represented by 7,109,954 ADS that may be acquired upon conversion of Tranche 1 Notes (as defined in Item 4 and subject to the limitations as described therein), directly held by the Funds (as defined below in Item 4) . Each ADS represents 5 Ordinary Shares of the Issuer.</w:t>
      </w:r>
    </w:p>
    <w:p>
      <w:pPr>
        <w:spacing w:after="0" w:line="171" w:lineRule="exact"/>
        <w:rPr>
          <w:rFonts w:ascii="Arial" w:cs="Arial" w:eastAsia="Arial" w:hAnsi="Arial"/>
          <w:sz w:val="17"/>
          <w:szCs w:val="17"/>
          <w:color w:val="auto"/>
        </w:rPr>
      </w:pPr>
    </w:p>
    <w:p>
      <w:pPr>
        <w:ind w:left="980" w:right="180" w:hanging="324"/>
        <w:spacing w:after="0" w:line="301"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624,928,519 Ordinary Shares of the Issuer outstanding as of July 8, 2022, as obtained in an email received from the Issuer on January 30, 2023, plus 33,809,589 Ordinary Shares that are represented by 6,761,917 ADS issuable upon the exercise of the June 2023 Warrants (as defined in Item 4 and subject to the limitations as described therein) and 35,549,770 Ordinary Shares represented by 7,109,954 ADS that may be acquired upon conversion of Tranche 1 Notes (as defined in Item 4 and subject to the limitations as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Amendment No. 2 to Schedule 13G</w:t>
      </w:r>
    </w:p>
    <w:p>
      <w:pPr>
        <w:spacing w:after="0" w:line="22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This Amendment No. 2 to Schedule 13G amends and restates the previously filed Schedule 13G filed by Baker Bros. Advisors LP (the “Adviser”), Baker Bros. Advisors (GP) LLC (the “Adviser GP”), Julian C. Baker and Felix J. Baker (collectively, the “Reporting Persons”). Except as supplemented herein, such statements, as heretofore amended and supplemented, remain in full force and effect.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Name of Issuer:</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Mereo BioPharma Group plc (the “Issuer”)</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595"/>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One Cavendish Place,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r>
      <w:tr>
        <w:trPr>
          <w:trHeight w:val="309"/>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London, W1G 0QF United Kingdom</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Name of Person Filing:</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This Amendment No. 2 is being filed jointly by the Reporting Persons.</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The business address of each of the Reporting Persons is:</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 Baker Bros. Advisors LP</w:t>
            </w:r>
          </w:p>
        </w:tc>
      </w:tr>
      <w:tr>
        <w:trPr>
          <w:trHeight w:val="595"/>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860 Washington Street,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w:t>
            </w:r>
          </w:p>
        </w:tc>
      </w:tr>
      <w:tr>
        <w:trPr>
          <w:trHeight w:val="309"/>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New York, NY 10014</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(212) 339-5690</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Citizenship:</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4"/>
              </w:rPr>
              <w:t>The Adviser is a limited partnership organized under the laws of the State of Delaware. The Adviser GP is a limited liability company</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2"/>
              </w:rPr>
              <w:t>organized under the laws of the State of Delaware. The citizenship of each of Julian C. Baker and Felix J. Baker is the United States of</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America.</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Title of Class of Securities:</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Ordinary Shares, nominal value £0.003 per share (“Ordinary Shares”).</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CUSIP Number:</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589492107</w:t>
            </w:r>
          </w:p>
        </w:tc>
      </w:tr>
      <w:tr>
        <w:trPr>
          <w:trHeight w:val="675"/>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(c), check whether the person filing is a:</w:t>
      </w:r>
    </w:p>
    <w:p>
      <w:pPr>
        <w:spacing w:after="0" w:line="223" w:lineRule="exact"/>
        <w:rPr>
          <w:sz w:val="20"/>
          <w:szCs w:val="20"/>
          <w:color w:val="auto"/>
        </w:rPr>
      </w:pPr>
    </w:p>
    <w:p>
      <w:pPr>
        <w:ind w:left="1660" w:hanging="383"/>
        <w:spacing w:after="0" w:line="207" w:lineRule="exact"/>
        <w:tabs>
          <w:tab w:leader="none" w:pos="1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79" w:lineRule="exact"/>
        <w:rPr>
          <w:rFonts w:ascii="Arial" w:cs="Arial" w:eastAsia="Arial" w:hAnsi="Arial"/>
          <w:sz w:val="18"/>
          <w:szCs w:val="18"/>
          <w:color w:val="auto"/>
        </w:rPr>
      </w:pPr>
    </w:p>
    <w:p>
      <w:pPr>
        <w:ind w:left="1660" w:hanging="383"/>
        <w:spacing w:after="0" w:line="207" w:lineRule="exact"/>
        <w:tabs>
          <w:tab w:leader="none" w:pos="1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79" w:lineRule="exact"/>
        <w:rPr>
          <w:rFonts w:ascii="Arial" w:cs="Arial" w:eastAsia="Arial" w:hAnsi="Arial"/>
          <w:sz w:val="18"/>
          <w:szCs w:val="18"/>
          <w:color w:val="auto"/>
        </w:rPr>
      </w:pPr>
    </w:p>
    <w:p>
      <w:pPr>
        <w:ind w:left="1660" w:hanging="383"/>
        <w:spacing w:after="0" w:line="207" w:lineRule="exact"/>
        <w:tabs>
          <w:tab w:leader="none" w:pos="1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279" w:lineRule="exact"/>
        <w:rPr>
          <w:rFonts w:ascii="Arial" w:cs="Arial" w:eastAsia="Arial" w:hAnsi="Arial"/>
          <w:sz w:val="18"/>
          <w:szCs w:val="18"/>
          <w:color w:val="auto"/>
        </w:rPr>
      </w:pPr>
    </w:p>
    <w:p>
      <w:pPr>
        <w:ind w:left="1660" w:hanging="383"/>
        <w:spacing w:after="0" w:line="207" w:lineRule="exact"/>
        <w:tabs>
          <w:tab w:leader="none" w:pos="1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79" w:lineRule="exact"/>
        <w:rPr>
          <w:rFonts w:ascii="Arial" w:cs="Arial" w:eastAsia="Arial" w:hAnsi="Arial"/>
          <w:sz w:val="18"/>
          <w:szCs w:val="18"/>
          <w:color w:val="auto"/>
        </w:rPr>
      </w:pPr>
    </w:p>
    <w:p>
      <w:pPr>
        <w:ind w:left="1660" w:hanging="383"/>
        <w:spacing w:after="0" w:line="207" w:lineRule="exact"/>
        <w:tabs>
          <w:tab w:leader="none" w:pos="1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79" w:lineRule="exact"/>
        <w:rPr>
          <w:rFonts w:ascii="Arial" w:cs="Arial" w:eastAsia="Arial" w:hAnsi="Arial"/>
          <w:sz w:val="18"/>
          <w:szCs w:val="18"/>
          <w:color w:val="auto"/>
        </w:rPr>
      </w:pPr>
    </w:p>
    <w:p>
      <w:pPr>
        <w:ind w:left="1660" w:hanging="383"/>
        <w:spacing w:after="0" w:line="207" w:lineRule="exact"/>
        <w:tabs>
          <w:tab w:leader="none" w:pos="1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79" w:lineRule="exact"/>
        <w:rPr>
          <w:rFonts w:ascii="Arial" w:cs="Arial" w:eastAsia="Arial" w:hAnsi="Arial"/>
          <w:sz w:val="18"/>
          <w:szCs w:val="18"/>
          <w:color w:val="auto"/>
        </w:rPr>
      </w:pPr>
    </w:p>
    <w:p>
      <w:pPr>
        <w:ind w:left="1660" w:hanging="383"/>
        <w:spacing w:after="0" w:line="207" w:lineRule="exact"/>
        <w:tabs>
          <w:tab w:leader="none" w:pos="1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79" w:lineRule="exact"/>
        <w:rPr>
          <w:rFonts w:ascii="Arial" w:cs="Arial" w:eastAsia="Arial" w:hAnsi="Arial"/>
          <w:sz w:val="18"/>
          <w:szCs w:val="18"/>
          <w:color w:val="auto"/>
        </w:rPr>
      </w:pPr>
    </w:p>
    <w:p>
      <w:pPr>
        <w:ind w:left="1660" w:hanging="383"/>
        <w:spacing w:after="0" w:line="207" w:lineRule="exact"/>
        <w:tabs>
          <w:tab w:leader="none" w:pos="1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52" w:lineRule="exact"/>
        <w:rPr>
          <w:rFonts w:ascii="Arial" w:cs="Arial" w:eastAsia="Arial" w:hAnsi="Arial"/>
          <w:sz w:val="18"/>
          <w:szCs w:val="18"/>
          <w:color w:val="auto"/>
        </w:rPr>
      </w:pPr>
    </w:p>
    <w:p>
      <w:pPr>
        <w:ind w:left="1960" w:right="40" w:hanging="683"/>
        <w:spacing w:after="0" w:line="239" w:lineRule="exact"/>
        <w:tabs>
          <w:tab w:leader="none" w:pos="1667"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w:t>
      </w:r>
    </w:p>
    <w:p>
      <w:pPr>
        <w:spacing w:after="0" w:line="224" w:lineRule="exact"/>
        <w:rPr>
          <w:rFonts w:ascii="Arial" w:cs="Arial" w:eastAsia="Arial" w:hAnsi="Arial"/>
          <w:sz w:val="18"/>
          <w:szCs w:val="18"/>
          <w:color w:val="auto"/>
        </w:rPr>
      </w:pPr>
    </w:p>
    <w:p>
      <w:pPr>
        <w:ind w:left="1660" w:hanging="383"/>
        <w:spacing w:after="0" w:line="207" w:lineRule="exact"/>
        <w:tabs>
          <w:tab w:leader="none" w:pos="1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13d-1(b)(1)(ii)(J).</w:t>
      </w:r>
    </w:p>
    <w:p>
      <w:pPr>
        <w:spacing w:after="0" w:line="2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Items 5 through 9 and 11 of each of the cover pages to this Amendment No. 2 are incorporated herein by reference.</w:t>
      </w:r>
    </w:p>
    <w:p>
      <w:pPr>
        <w:spacing w:after="0" w:line="225" w:lineRule="exact"/>
        <w:rPr>
          <w:sz w:val="20"/>
          <w:szCs w:val="20"/>
          <w:color w:val="auto"/>
        </w:rPr>
      </w:pPr>
    </w:p>
    <w:p>
      <w:pPr>
        <w:ind w:left="1300"/>
        <w:spacing w:after="0" w:line="291" w:lineRule="auto"/>
        <w:rPr>
          <w:sz w:val="20"/>
          <w:szCs w:val="20"/>
          <w:color w:val="auto"/>
        </w:rPr>
      </w:pPr>
      <w:r>
        <w:rPr>
          <w:rFonts w:ascii="Arial" w:cs="Arial" w:eastAsia="Arial" w:hAnsi="Arial"/>
          <w:sz w:val="16"/>
          <w:szCs w:val="16"/>
          <w:color w:val="auto"/>
        </w:rPr>
        <w:t>Set forth below is the aggregate number of Ordinary Shares represented by American Depositary Shares (“ADS”) directly held by each of Baker Brothers Life Sciences, L.P. (“Life Sciences”) and 667, L.P. (“667”, and together with Life Sciences, the “Funds”) which may be deemed to be indirectly beneficially owned by the Reporting Persons, as well as Ordinary Shares represented by ADS that may be acquired upon exercise of warrants with an exercise price of 34.8 pence per Ordinary Share that expire June 30, 2023 (“June 2023 Warrants”), subject to the limitations on exercise described below, and Ordinary Shares represented by ADS that may be acquired upon conversion of 6% convertible notes with a conversion price of 17.4 pence per Ordinary Share due June 30, 2023 (“Tranche 1 Notes”), subject to the limitations on conversion described below. Each ADS represents 5 Ordinary Shares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180" w:right="20"/>
        <w:spacing w:after="0" w:line="296" w:lineRule="auto"/>
        <w:rPr>
          <w:sz w:val="20"/>
          <w:szCs w:val="20"/>
          <w:color w:val="auto"/>
        </w:rPr>
      </w:pPr>
      <w:r>
        <w:rPr>
          <w:rFonts w:ascii="Arial" w:cs="Arial" w:eastAsia="Arial" w:hAnsi="Arial"/>
          <w:sz w:val="16"/>
          <w:szCs w:val="16"/>
          <w:color w:val="auto"/>
        </w:rPr>
        <w:t>The information set forth below is based on 624,928,519 Ordinary Shares outstanding as of July 8, 2022, as obtained in an email received from the Issuer on January 30, 2023, plus 33,809,589 Ordinary Shares represented by 6,761,917 ADS issuable upon the exercise of the June 2023 Warrants, subject to the limitations on exercise described below and 35,549,770 Ordinary Shares represented by 7,109,954 ADS that may be acquired upon conversion of Tranche 1 Notes, subject to the limitations on conversion described below. Such percentage figures are calculated in accordance with Rule 13d-3 under the Securities Exchange Act of 1934, as amended.</w:t>
      </w:r>
    </w:p>
    <w:p>
      <w:pPr>
        <w:spacing w:after="0" w:line="16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Number of Ordinary Shares</w:t>
            </w:r>
          </w:p>
        </w:tc>
        <w:tc>
          <w:tcPr>
            <w:tcW w:w="1440" w:type="dxa"/>
            <w:vAlign w:val="bottom"/>
            <w:gridSpan w:val="2"/>
          </w:tcPr>
          <w:p>
            <w:pPr>
              <w:jc w:val="center"/>
              <w:ind w:right="90"/>
              <w:spacing w:after="0"/>
              <w:rPr>
                <w:sz w:val="20"/>
                <w:szCs w:val="20"/>
                <w:color w:val="auto"/>
              </w:rPr>
            </w:pPr>
            <w:r>
              <w:rPr>
                <w:rFonts w:ascii="Arial" w:cs="Arial" w:eastAsia="Arial" w:hAnsi="Arial"/>
                <w:sz w:val="18"/>
                <w:szCs w:val="18"/>
                <w:color w:val="auto"/>
                <w:w w:val="90"/>
              </w:rPr>
              <w:t>Percent of</w:t>
            </w:r>
          </w:p>
        </w:tc>
      </w:tr>
      <w:tr>
        <w:trPr>
          <w:trHeight w:val="216"/>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we own or have the right to</w:t>
            </w:r>
          </w:p>
        </w:tc>
        <w:tc>
          <w:tcPr>
            <w:tcW w:w="1440" w:type="dxa"/>
            <w:vAlign w:val="bottom"/>
            <w:gridSpan w:val="2"/>
          </w:tcPr>
          <w:p>
            <w:pPr>
              <w:jc w:val="center"/>
              <w:ind w:right="130"/>
              <w:spacing w:after="0"/>
              <w:rPr>
                <w:sz w:val="20"/>
                <w:szCs w:val="20"/>
                <w:color w:val="auto"/>
              </w:rPr>
            </w:pPr>
            <w:r>
              <w:rPr>
                <w:rFonts w:ascii="Arial" w:cs="Arial" w:eastAsia="Arial" w:hAnsi="Arial"/>
                <w:sz w:val="18"/>
                <w:szCs w:val="18"/>
                <w:color w:val="auto"/>
                <w:w w:val="84"/>
              </w:rPr>
              <w:t>Class</w:t>
            </w:r>
          </w:p>
        </w:tc>
      </w:tr>
      <w:tr>
        <w:trPr>
          <w:trHeight w:val="230"/>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180" w:type="dxa"/>
            <w:vAlign w:val="bottom"/>
            <w:tcBorders>
              <w:bottom w:val="single" w:sz="8" w:color="CCEEFF"/>
            </w:tcBorders>
          </w:tcPr>
          <w:p>
            <w:pPr>
              <w:spacing w:after="0"/>
              <w:rPr>
                <w:sz w:val="20"/>
                <w:szCs w:val="20"/>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acquire within 60 days</w:t>
            </w:r>
          </w:p>
        </w:tc>
        <w:tc>
          <w:tcPr>
            <w:tcW w:w="28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160" w:type="dxa"/>
            <w:vAlign w:val="bottom"/>
            <w:tcBorders>
              <w:bottom w:val="single" w:sz="8" w:color="CCEEFF"/>
            </w:tcBorders>
          </w:tcPr>
          <w:p>
            <w:pPr>
              <w:spacing w:after="0"/>
              <w:rPr>
                <w:sz w:val="20"/>
                <w:szCs w:val="20"/>
                <w:color w:val="auto"/>
              </w:rPr>
            </w:pPr>
          </w:p>
        </w:tc>
      </w:tr>
      <w:tr>
        <w:trPr>
          <w:trHeight w:val="20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667, L.P.</w:t>
            </w:r>
          </w:p>
        </w:tc>
        <w:tc>
          <w:tcPr>
            <w:tcW w:w="18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5,034,379</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0.73%</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Baker Brothers Life Sciences, L.P.</w:t>
            </w:r>
          </w:p>
        </w:tc>
        <w:tc>
          <w:tcPr>
            <w:tcW w:w="2880" w:type="dxa"/>
            <w:vAlign w:val="bottom"/>
            <w:gridSpan w:val="2"/>
          </w:tcPr>
          <w:p>
            <w:pPr>
              <w:jc w:val="right"/>
              <w:ind w:right="280"/>
              <w:spacing w:after="0"/>
              <w:rPr>
                <w:sz w:val="20"/>
                <w:szCs w:val="20"/>
                <w:color w:val="auto"/>
              </w:rPr>
            </w:pPr>
            <w:r>
              <w:rPr>
                <w:rFonts w:ascii="Arial" w:cs="Arial" w:eastAsia="Arial" w:hAnsi="Arial"/>
                <w:sz w:val="18"/>
                <w:szCs w:val="18"/>
                <w:color w:val="auto"/>
              </w:rPr>
              <w:t>64,324,980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9.26%</w:t>
            </w:r>
          </w:p>
        </w:tc>
      </w:tr>
      <w:tr>
        <w:trPr>
          <w:trHeight w:val="223"/>
        </w:trPr>
        <w:tc>
          <w:tcPr>
            <w:tcW w:w="5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69,359,359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right="140"/>
        <w:spacing w:after="0" w:line="271" w:lineRule="auto"/>
        <w:rPr>
          <w:sz w:val="20"/>
          <w:szCs w:val="20"/>
          <w:color w:val="auto"/>
        </w:rPr>
      </w:pPr>
      <w:r>
        <w:rPr>
          <w:rFonts w:ascii="Arial" w:cs="Arial" w:eastAsia="Arial" w:hAnsi="Arial"/>
          <w:sz w:val="17"/>
          <w:szCs w:val="17"/>
          <w:color w:val="auto"/>
        </w:rPr>
        <w:t>The June 2023 Warrants are only exercisable to the extent that upon giving effect or immediately prior to such exercise the holders thereof, their affiliates and any persons who are members of a Section 13(d) group with the holders or its affiliates would beneficially own in the aggregate, for purposes of Section 13(d) of the Exchange Act, no more than 9.99% of the outstanding Ordinary Shares after conversion (“Warrants Beneficial Ownership Limitation”). By written notice to the Issuer, the Funds may from time to time increase or decrease the Warrants Beneficial Ownership Limitation applicable to that Fund to any other percentage not in excess of 19.99%. Any such increase will not be effective until the 61st day after such notice is delivered to the Issuer. As a result of this restriction, the number of Ordinary Shares that may be issued upon exercise of the June 2023 Warrants by the above holders may change depending upon changes in the outstanding Ordinary Shares.</w:t>
      </w:r>
    </w:p>
    <w:p>
      <w:pPr>
        <w:spacing w:after="0" w:line="178" w:lineRule="exact"/>
        <w:rPr>
          <w:sz w:val="20"/>
          <w:szCs w:val="20"/>
          <w:color w:val="auto"/>
        </w:rPr>
      </w:pPr>
    </w:p>
    <w:p>
      <w:pPr>
        <w:ind w:left="180" w:right="140"/>
        <w:spacing w:after="0" w:line="269" w:lineRule="auto"/>
        <w:rPr>
          <w:sz w:val="20"/>
          <w:szCs w:val="20"/>
          <w:color w:val="auto"/>
        </w:rPr>
      </w:pPr>
      <w:r>
        <w:rPr>
          <w:rFonts w:ascii="Arial" w:cs="Arial" w:eastAsia="Arial" w:hAnsi="Arial"/>
          <w:sz w:val="17"/>
          <w:szCs w:val="17"/>
          <w:color w:val="auto"/>
        </w:rPr>
        <w:t>The Tranche 1 Notes are only convertible to the extent that upon giving effect or immediately prior to such conversion the holders thereof, their affiliates and any persons who are members of a Section 13(d) group with the holders or its affiliates would beneficially own in the aggregate, for purposes of Section 13(d) of the Exchange Act, no more than 9.99% of the outstanding Ordinary Shares after conversion (“Notes Beneficial Ownership Limitation”, and together with the Warrants Beneficial Ownership Limitation, the “Beneficial Ownership Limitations”). By written notice to the Issuer, the Funds may from time to time increase or decrease the Notes Beneficial Ownership Limitation applicable to that Fund to any other percentage not in excess of 19.99%. Any such increase will not be effective until the 61st day after such notice is delivered to the Issuer. As a result of this restriction, the number of Ordinary Shares that may be issued upon exercise of the Tranche 1 Notes by the above holders may change depending upon changes in the outstanding Ordinary Shares. The above allocation of Ordinary Shares beneficially owned through ownership of the Tranche 1 Notes and June 2023 Warrants is determined on an aggregate basis due to the Beneficial Ownership Limitations and has been apportioned among those derivative instruments and the Funds pursuant to internal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415925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1"/>
              </w:rPr>
              <w:t>Pursuant to the management agreements, as amended, among the Adviser, the Funds and their respective general partners, the Funds’</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1"/>
              </w:rPr>
              <w:t>respective general partners relinquished to the Adviser all discretion and authority with respect to the investment and voting power of the</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7"/>
              </w:rPr>
              <w:t>securities held by the Funds and thus the Adviser has complete and unlimited discretion and authority with respect to the Funds’</w:t>
            </w:r>
          </w:p>
        </w:tc>
      </w:tr>
      <w:tr>
        <w:trPr>
          <w:trHeight w:val="230"/>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investments and voting power over investments.</w:t>
            </w:r>
          </w:p>
        </w:tc>
      </w:tr>
      <w:tr>
        <w:trPr>
          <w:trHeight w:val="418"/>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3"/>
              </w:rPr>
              <w:t>The Adviser GP, Felix J. Baker and Julian C. Baker as managing members of the Adviser GP, and the Adviser may be deemed to be</w:t>
            </w:r>
          </w:p>
        </w:tc>
      </w:tr>
      <w:tr>
        <w:trPr>
          <w:trHeight w:val="230"/>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beneficial owners of securities of the Issuer directly held by the Funds.</w:t>
            </w: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385"/>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3"/>
              </w:rPr>
              <w:t>If this statement is being filed to report the fact that as of the date hereof the reporting person has ceased to be the beneficial owner of</w:t>
            </w:r>
          </w:p>
        </w:tc>
      </w:tr>
      <w:tr>
        <w:trPr>
          <w:trHeight w:val="283"/>
        </w:trPr>
        <w:tc>
          <w:tcPr>
            <w:tcW w:w="940" w:type="dxa"/>
            <w:vAlign w:val="bottom"/>
          </w:tcPr>
          <w:p>
            <w:pPr>
              <w:spacing w:after="0"/>
              <w:rPr>
                <w:sz w:val="24"/>
                <w:szCs w:val="24"/>
                <w:color w:val="auto"/>
              </w:rPr>
            </w:pPr>
          </w:p>
        </w:tc>
        <w:tc>
          <w:tcPr>
            <w:tcW w:w="10300" w:type="dxa"/>
            <w:vAlign w:val="bottom"/>
          </w:tcPr>
          <w:p>
            <w:pPr>
              <w:ind w:left="360"/>
              <w:spacing w:after="0" w:line="207" w:lineRule="exact"/>
              <w:rPr>
                <w:sz w:val="20"/>
                <w:szCs w:val="20"/>
                <w:color w:val="auto"/>
              </w:rPr>
            </w:pPr>
            <w:r>
              <w:rPr>
                <w:rFonts w:ascii="Arial" w:cs="Arial" w:eastAsia="Arial" w:hAnsi="Arial"/>
                <w:sz w:val="18"/>
                <w:szCs w:val="18"/>
                <w:color w:val="auto"/>
              </w:rPr>
              <w:t xml:space="preserve">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 N/A</w:t>
            </w:r>
          </w:p>
        </w:tc>
      </w:tr>
      <w:tr>
        <w:trPr>
          <w:trHeight w:val="412"/>
        </w:trPr>
        <w:tc>
          <w:tcPr>
            <w:tcW w:w="9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432"/>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N/A</w:t>
            </w:r>
          </w:p>
        </w:tc>
      </w:tr>
      <w:tr>
        <w:trPr>
          <w:trHeight w:val="414"/>
        </w:trPr>
        <w:tc>
          <w:tcPr>
            <w:tcW w:w="94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w w:val="96"/>
              </w:rPr>
              <w:t>Identification and Classification of the Subsidiary Which Acquired the Security Being Reported on by the Parent Holding</w:t>
            </w:r>
          </w:p>
        </w:tc>
      </w:tr>
      <w:tr>
        <w:trPr>
          <w:trHeight w:val="234"/>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Company or Control Person:</w:t>
            </w:r>
          </w:p>
        </w:tc>
      </w:tr>
      <w:tr>
        <w:trPr>
          <w:trHeight w:val="432"/>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The information in Item 4 is incorporated herein by reference.</w:t>
            </w: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432"/>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N/A</w:t>
            </w: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Notice of Dissolution of Group:</w:t>
            </w:r>
          </w:p>
        </w:tc>
      </w:tr>
      <w:tr>
        <w:trPr>
          <w:trHeight w:val="432"/>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N/A</w:t>
            </w: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Certification:</w:t>
            </w:r>
          </w:p>
        </w:tc>
      </w:tr>
      <w:tr>
        <w:trPr>
          <w:trHeight w:val="418"/>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1"/>
              </w:rPr>
              <w:t>By signing below I certify that, to the best of my knowledge and belief, the securities referred to above were acquired and are held in the</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3"/>
              </w:rPr>
              <w:t>ordinary course of business and were not acquired and are not held for the purpose of or with the effect of changing or influencing the</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4"/>
              </w:rPr>
              <w:t>control of the issuer of the securities and were not acquired and are not held in connection with or as a participant in any transaction</w:t>
            </w:r>
          </w:p>
        </w:tc>
      </w:tr>
      <w:tr>
        <w:trPr>
          <w:trHeight w:val="230"/>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having that purpose or effect.</w:t>
            </w:r>
          </w:p>
        </w:tc>
      </w:tr>
      <w:tr>
        <w:trPr>
          <w:trHeight w:val="675"/>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9" w:name="page10"/>
    <w:bookmarkEnd w:id="9"/>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February 14, 2023</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BAKER BROS. ADVISORS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Baker Bros. Advisors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Scott L. Lessing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BAKER BROS. ADVISORS (GP)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Scott L. Lessing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Julian C. Baker</w:t>
      </w:r>
    </w:p>
    <w:p>
      <w:pPr>
        <w:spacing w:after="0" w:line="22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60"/>
      </w:cols>
      <w:pgMar w:left="320" w:top="90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2023-02-14T15:27:51Z</dcterms:created>
  <dcterms:modified xsi:type="dcterms:W3CDTF">2023-02-14T15:27:51Z</dcterms:modified>
</cp:coreProperties>
</file>