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333-249341</w:t>
      </w:r>
    </w:p>
    <w:p>
      <w:pPr>
        <w:spacing w:after="0" w:line="1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October 21, 2020)</w:t>
      </w:r>
    </w:p>
    <w:p>
      <w:pPr>
        <w:spacing w:after="0" w:line="1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34,500,000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122555</wp:posOffset>
            </wp:positionV>
            <wp:extent cx="246888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Representing 172,500,000 Ordinary Shares</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$2.90 per ADS</w:t>
      </w:r>
    </w:p>
    <w:p>
      <w:pPr>
        <w:spacing w:after="0" w:line="174" w:lineRule="exact"/>
        <w:rPr>
          <w:sz w:val="24"/>
          <w:szCs w:val="24"/>
          <w:color w:val="auto"/>
        </w:rPr>
      </w:pPr>
    </w:p>
    <w:p>
      <w:pPr>
        <w:ind w:left="120"/>
        <w:spacing w:after="0"/>
        <w:rPr>
          <w:sz w:val="20"/>
          <w:szCs w:val="20"/>
          <w:color w:val="auto"/>
        </w:rPr>
      </w:pPr>
      <w:r>
        <w:rPr>
          <w:rFonts w:ascii="Arial" w:cs="Arial" w:eastAsia="Arial" w:hAnsi="Arial"/>
          <w:sz w:val="16"/>
          <w:szCs w:val="16"/>
          <w:color w:val="auto"/>
        </w:rPr>
        <w:t>We are selling 172,500,000 ordinary shares in the form of American Depositary Shares (“ADSs”). Each ADS represents five ordinary shares.</w:t>
      </w:r>
    </w:p>
    <w:p>
      <w:pPr>
        <w:spacing w:after="0" w:line="140" w:lineRule="exact"/>
        <w:rPr>
          <w:sz w:val="24"/>
          <w:szCs w:val="24"/>
          <w:color w:val="auto"/>
        </w:rPr>
      </w:pPr>
    </w:p>
    <w:p>
      <w:pPr>
        <w:ind w:left="120"/>
        <w:spacing w:after="0"/>
        <w:rPr>
          <w:sz w:val="20"/>
          <w:szCs w:val="20"/>
          <w:color w:val="auto"/>
        </w:rPr>
      </w:pPr>
      <w:r>
        <w:rPr>
          <w:rFonts w:ascii="Arial" w:cs="Arial" w:eastAsia="Arial" w:hAnsi="Arial"/>
          <w:sz w:val="16"/>
          <w:szCs w:val="16"/>
          <w:color w:val="auto"/>
        </w:rPr>
        <w:t>We have granted the underwriters an option to purchase up to additional 5,175,000 ADSs.</w:t>
      </w:r>
    </w:p>
    <w:p>
      <w:pPr>
        <w:spacing w:after="0" w:line="154" w:lineRule="exact"/>
        <w:rPr>
          <w:sz w:val="24"/>
          <w:szCs w:val="24"/>
          <w:color w:val="auto"/>
        </w:rPr>
      </w:pPr>
    </w:p>
    <w:p>
      <w:pPr>
        <w:ind w:left="120" w:right="80"/>
        <w:spacing w:after="0" w:line="291" w:lineRule="auto"/>
        <w:rPr>
          <w:sz w:val="20"/>
          <w:szCs w:val="20"/>
          <w:color w:val="auto"/>
        </w:rPr>
      </w:pPr>
      <w:r>
        <w:rPr>
          <w:rFonts w:ascii="Arial" w:cs="Arial" w:eastAsia="Arial" w:hAnsi="Arial"/>
          <w:sz w:val="16"/>
          <w:szCs w:val="16"/>
          <w:color w:val="auto"/>
        </w:rPr>
        <w:t>The ADSs are listed on The Nasdaq Global Market, or Nasdaq, under the symbol “MREO.” On February 8, 2021, the last reported sale price of the ADSs on Nasdaq was $3.02 per ADS.</w:t>
      </w:r>
    </w:p>
    <w:p>
      <w:pPr>
        <w:spacing w:after="0" w:line="80" w:lineRule="exact"/>
        <w:rPr>
          <w:sz w:val="24"/>
          <w:szCs w:val="24"/>
          <w:color w:val="auto"/>
        </w:rPr>
      </w:pPr>
    </w:p>
    <w:p>
      <w:pPr>
        <w:ind w:left="120" w:right="20"/>
        <w:spacing w:after="0" w:line="291"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and, as such,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130810</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5" w:lineRule="exact"/>
        <w:rPr>
          <w:sz w:val="24"/>
          <w:szCs w:val="24"/>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ADSs involves risks. See “</w:t>
      </w:r>
      <w:hyperlink w:anchor="page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S-5.</w:t>
      </w:r>
    </w:p>
    <w:p>
      <w:pPr>
        <w:spacing w:after="0" w:line="154" w:lineRule="exact"/>
        <w:rPr>
          <w:sz w:val="24"/>
          <w:szCs w:val="24"/>
          <w:color w:val="auto"/>
        </w:rPr>
      </w:pPr>
    </w:p>
    <w:p>
      <w:pPr>
        <w:jc w:val="both"/>
        <w:ind w:left="120" w:right="360"/>
        <w:spacing w:after="0" w:line="27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133985</wp:posOffset>
            </wp:positionV>
            <wp:extent cx="181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74" w:lineRule="exact"/>
        <w:rPr>
          <w:sz w:val="24"/>
          <w:szCs w:val="24"/>
          <w:color w:val="auto"/>
        </w:rPr>
      </w:pPr>
    </w:p>
    <w:tbl>
      <w:tblPr>
        <w:tblLayout w:type="fixed"/>
        <w:tblInd w:w="12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668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r>
      <w:tr>
        <w:trPr>
          <w:trHeight w:val="183"/>
        </w:trPr>
        <w:tc>
          <w:tcPr>
            <w:tcW w:w="6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Public Offering Price</w:t>
            </w:r>
          </w:p>
        </w:tc>
        <w:tc>
          <w:tcPr>
            <w:tcW w:w="5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rPr>
              <w:t>$ 2.900</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100,050,000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680" w:type="dxa"/>
            <w:vAlign w:val="bottom"/>
          </w:tcPr>
          <w:p>
            <w:pPr>
              <w:spacing w:after="0" w:line="189" w:lineRule="exact"/>
              <w:rPr>
                <w:sz w:val="20"/>
                <w:szCs w:val="20"/>
                <w:color w:val="auto"/>
              </w:rPr>
            </w:pPr>
            <w:r>
              <w:rPr>
                <w:rFonts w:ascii="Arial" w:cs="Arial" w:eastAsia="Arial" w:hAnsi="Arial"/>
                <w:sz w:val="13"/>
                <w:szCs w:val="13"/>
                <w:color w:val="auto"/>
              </w:rPr>
              <w:t>Underwriting Discount</w:t>
            </w:r>
            <w:r>
              <w:rPr>
                <w:rFonts w:ascii="Arial" w:cs="Arial" w:eastAsia="Arial" w:hAnsi="Arial"/>
                <w:sz w:val="21"/>
                <w:szCs w:val="21"/>
                <w:color w:val="auto"/>
                <w:vertAlign w:val="superscript"/>
              </w:rPr>
              <w:t>(1)</w:t>
            </w:r>
          </w:p>
        </w:tc>
        <w:tc>
          <w:tcPr>
            <w:tcW w:w="740" w:type="dxa"/>
            <w:vAlign w:val="bottom"/>
            <w:gridSpan w:val="2"/>
          </w:tcPr>
          <w:p>
            <w:pPr>
              <w:jc w:val="center"/>
              <w:ind w:right="200"/>
              <w:spacing w:after="0"/>
              <w:rPr>
                <w:sz w:val="20"/>
                <w:szCs w:val="20"/>
                <w:color w:val="auto"/>
              </w:rPr>
            </w:pPr>
            <w:r>
              <w:rPr>
                <w:rFonts w:ascii="Arial" w:cs="Arial" w:eastAsia="Arial" w:hAnsi="Arial"/>
                <w:sz w:val="16"/>
                <w:szCs w:val="16"/>
                <w:color w:val="auto"/>
              </w:rPr>
              <w:t>$ 0.174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6,003,000</w:t>
            </w: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$ 2.726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94,047,000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4" w:lineRule="exact"/>
        <w:rPr>
          <w:sz w:val="24"/>
          <w:szCs w:val="24"/>
          <w:color w:val="auto"/>
        </w:rPr>
      </w:pPr>
    </w:p>
    <w:p>
      <w:pPr>
        <w:ind w:left="540" w:hanging="424"/>
        <w:spacing w:after="0"/>
        <w:tabs>
          <w:tab w:leader="none" w:pos="540" w:val="left"/>
        </w:tabs>
        <w:numPr>
          <w:ilvl w:val="0"/>
          <w:numId w:val="1"/>
        </w:numPr>
        <w:rPr>
          <w:rFonts w:ascii="Arial" w:cs="Arial" w:eastAsia="Arial" w:hAnsi="Arial"/>
          <w:sz w:val="28"/>
          <w:szCs w:val="28"/>
          <w:color w:val="auto"/>
          <w:vertAlign w:val="superscript"/>
        </w:rPr>
      </w:pPr>
      <w:r>
        <w:rPr>
          <w:rFonts w:ascii="Arial" w:cs="Arial" w:eastAsia="Arial" w:hAnsi="Arial"/>
          <w:sz w:val="16"/>
          <w:szCs w:val="16"/>
          <w:color w:val="auto"/>
        </w:rPr>
        <w:t>We have agreed to reimburse the underwriters for certain expenses incurred with this offering. See “Underwriting.”</w:t>
      </w:r>
    </w:p>
    <w:p>
      <w:pPr>
        <w:spacing w:after="0" w:line="139" w:lineRule="exact"/>
        <w:rPr>
          <w:sz w:val="24"/>
          <w:szCs w:val="24"/>
          <w:color w:val="auto"/>
        </w:rPr>
      </w:pPr>
    </w:p>
    <w:p>
      <w:pPr>
        <w:ind w:left="120" w:right="560"/>
        <w:spacing w:after="0" w:line="265" w:lineRule="auto"/>
        <w:rPr>
          <w:sz w:val="20"/>
          <w:szCs w:val="20"/>
          <w:color w:val="auto"/>
        </w:rPr>
      </w:pPr>
      <w:r>
        <w:rPr>
          <w:rFonts w:ascii="Arial" w:cs="Arial" w:eastAsia="Arial" w:hAnsi="Arial"/>
          <w:sz w:val="16"/>
          <w:szCs w:val="16"/>
          <w:color w:val="auto"/>
        </w:rPr>
        <w:t>The underwriters expect to deliver the ADSs to purchasers on or about February 12, 2021 through the book-entry facilities of The Depositary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1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SVB Leerink</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Co-Lead Managers</w:t>
      </w:r>
    </w:p>
    <w:p>
      <w:pPr>
        <w:spacing w:after="0" w:line="143" w:lineRule="exact"/>
        <w:rPr>
          <w:sz w:val="24"/>
          <w:szCs w:val="24"/>
          <w:color w:val="auto"/>
        </w:rPr>
      </w:pPr>
    </w:p>
    <w:p>
      <w:pPr>
        <w:ind w:left="2600"/>
        <w:spacing w:after="0"/>
        <w:tabs>
          <w:tab w:leader="none" w:pos="7200" w:val="left"/>
        </w:tabs>
        <w:rPr>
          <w:sz w:val="20"/>
          <w:szCs w:val="20"/>
          <w:color w:val="auto"/>
        </w:rPr>
      </w:pPr>
      <w:r>
        <w:rPr>
          <w:rFonts w:ascii="Arial" w:cs="Arial" w:eastAsia="Arial" w:hAnsi="Arial"/>
          <w:sz w:val="23"/>
          <w:szCs w:val="23"/>
          <w:b w:val="1"/>
          <w:bCs w:val="1"/>
          <w:color w:val="auto"/>
        </w:rPr>
        <w:t>BTIG</w:t>
      </w:r>
      <w:r>
        <w:rPr>
          <w:sz w:val="20"/>
          <w:szCs w:val="20"/>
          <w:color w:val="auto"/>
        </w:rPr>
        <w:tab/>
      </w:r>
      <w:r>
        <w:rPr>
          <w:rFonts w:ascii="Arial" w:cs="Arial" w:eastAsia="Arial" w:hAnsi="Arial"/>
          <w:sz w:val="23"/>
          <w:szCs w:val="23"/>
          <w:b w:val="1"/>
          <w:bCs w:val="1"/>
          <w:color w:val="auto"/>
        </w:rPr>
        <w:t>Needham &amp;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192405</wp:posOffset>
            </wp:positionV>
            <wp:extent cx="181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February 9, 2021</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6540" w:type="dxa"/>
            <w:vAlign w:val="bottom"/>
            <w:gridSpan w:val="2"/>
          </w:tcPr>
          <w:p>
            <w:pPr>
              <w:jc w:val="right"/>
              <w:ind w:right="439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01"/>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606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4400" w:type="dxa"/>
            <w:vAlign w:val="bottom"/>
            <w:vMerge w:val="continue"/>
          </w:tcPr>
          <w:p>
            <w:pPr>
              <w:spacing w:after="0"/>
              <w:rPr>
                <w:sz w:val="13"/>
                <w:szCs w:val="13"/>
                <w:color w:val="auto"/>
              </w:rPr>
            </w:pPr>
          </w:p>
        </w:tc>
        <w:tc>
          <w:tcPr>
            <w:tcW w:w="6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About This Prospectus Supplement</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S-i</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Offering</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Use of Proceeds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Taxation</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Underwriting</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Matters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Service of Process and Enforcement of Liabilities</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202"/>
        </w:trPr>
        <w:tc>
          <w:tcPr>
            <w:tcW w:w="4400" w:type="dxa"/>
            <w:vAlign w:val="bottom"/>
          </w:tcPr>
          <w:p>
            <w:pPr>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Where You Can Find More Information</w:t>
              </w:r>
            </w:hyperlink>
          </w:p>
        </w:tc>
        <w:tc>
          <w:tcPr>
            <w:tcW w:w="6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243"/>
        </w:trPr>
        <w:tc>
          <w:tcPr>
            <w:tcW w:w="44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Incorporation by Reference</w:t>
              </w:r>
            </w:hyperlink>
          </w:p>
        </w:tc>
        <w:tc>
          <w:tcPr>
            <w:tcW w:w="6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211455</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1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This document is in two parts. The first part is the prospectus supplement, including the documents incorporated by reference herein, which describes the specific terms of this offering. The second part, the accompanying prospectus, including the documents incorporated by reference therein,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These documents contain information you should consider when making your investment decision.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80"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 this prospectus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offering to sell, and seeking offers to buy, ADSs only in jurisdictions where offers and sales are permitted. The distribution of this prospectus supplement and the offering of the ADSs in certain jurisdictions may be restricted by law. Persons outside the United States (“U.S.”) who come into possession of this prospectus supplement must inform themselves about, and observe any restrictions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relating to, the offering of the ADSs and the distribution of this prospectus supplement outside the U.S.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64"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Unless otherwise indicated or the context otherwise requires,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This prospectus supplement, the accompanying prospectus and the financial statements and other documents incorporated by reference in this prospectus supplement may contain forward-looking statements that are based on our current expectations, assumptions, estimates and projections about us and our industry. All statements other than statements of historical fact in this prospectus supplement, the accompanying prospectus and the financial statements and other documents that we incorporate by reference in this prospectus supplement are forward-looking statements.</w:t>
      </w:r>
    </w:p>
    <w:p>
      <w:pPr>
        <w:spacing w:after="0" w:line="172" w:lineRule="exact"/>
        <w:rPr>
          <w:sz w:val="20"/>
          <w:szCs w:val="20"/>
          <w:color w:val="auto"/>
        </w:rPr>
      </w:pPr>
    </w:p>
    <w:p>
      <w:pPr>
        <w:ind w:left="120" w:right="160" w:firstLine="440"/>
        <w:spacing w:after="0" w:line="243" w:lineRule="auto"/>
        <w:rPr>
          <w:sz w:val="20"/>
          <w:szCs w:val="20"/>
          <w:color w:val="auto"/>
        </w:rPr>
      </w:pPr>
      <w:r>
        <w:rPr>
          <w:rFonts w:ascii="Arial" w:cs="Arial" w:eastAsia="Arial" w:hAnsi="Arial"/>
          <w:sz w:val="18"/>
          <w:szCs w:val="18"/>
          <w:color w:val="auto"/>
        </w:rPr>
        <w:t>These forward-looking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intend to serve, to differ materially from those expressed in, or suggested by, these forward-looking statements. These forward-looking statements are based on assumptions regarding our present and future business strategies and the environment in which we expect to operate in the future. Important factors that could cause those differences include, but are not limited to:</w:t>
      </w:r>
    </w:p>
    <w:p>
      <w:pPr>
        <w:spacing w:after="0" w:line="79" w:lineRule="exact"/>
        <w:rPr>
          <w:sz w:val="20"/>
          <w:szCs w:val="20"/>
          <w:color w:val="auto"/>
        </w:rPr>
      </w:pPr>
    </w:p>
    <w:p>
      <w:pPr>
        <w:ind w:left="980" w:right="600" w:hanging="432"/>
        <w:spacing w:after="0" w:line="232"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71"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103"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82" w:lineRule="exact"/>
        <w:rPr>
          <w:rFonts w:ascii="MS PGothic" w:cs="MS PGothic" w:eastAsia="MS PGothic" w:hAnsi="MS PGothic"/>
          <w:sz w:val="25"/>
          <w:szCs w:val="25"/>
          <w:color w:val="auto"/>
          <w:vertAlign w:val="superscript"/>
        </w:rPr>
      </w:pPr>
    </w:p>
    <w:p>
      <w:pPr>
        <w:ind w:left="980" w:right="320" w:hanging="432"/>
        <w:spacing w:after="0" w:line="232"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71"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103" w:lineRule="exact"/>
        <w:rPr>
          <w:rFonts w:ascii="MS PGothic" w:cs="MS PGothic" w:eastAsia="MS PGothic" w:hAnsi="MS PGothic"/>
          <w:sz w:val="25"/>
          <w:szCs w:val="25"/>
          <w:color w:val="auto"/>
          <w:vertAlign w:val="superscript"/>
        </w:rPr>
      </w:pPr>
    </w:p>
    <w:p>
      <w:pPr>
        <w:ind w:left="980" w:right="80" w:hanging="432"/>
        <w:spacing w:after="0" w:line="220"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103" w:lineRule="exact"/>
        <w:rPr>
          <w:rFonts w:ascii="MS PGothic" w:cs="MS PGothic" w:eastAsia="MS PGothic" w:hAnsi="MS PGothic"/>
          <w:sz w:val="25"/>
          <w:szCs w:val="25"/>
          <w:color w:val="auto"/>
          <w:vertAlign w:val="superscript"/>
        </w:rPr>
      </w:pPr>
    </w:p>
    <w:p>
      <w:pPr>
        <w:ind w:left="980" w:right="880" w:hanging="432"/>
        <w:spacing w:after="0" w:line="220"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72"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980" w:hanging="432"/>
        <w:spacing w:after="0"/>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03"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103" w:lineRule="exact"/>
        <w:rPr>
          <w:rFonts w:ascii="MS PGothic" w:cs="MS PGothic" w:eastAsia="MS PGothic" w:hAnsi="MS PGothic"/>
          <w:sz w:val="25"/>
          <w:szCs w:val="25"/>
          <w:color w:val="auto"/>
          <w:vertAlign w:val="superscript"/>
        </w:rPr>
      </w:pPr>
    </w:p>
    <w:p>
      <w:pPr>
        <w:ind w:left="980" w:right="360" w:hanging="432"/>
        <w:spacing w:after="0" w:line="220"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82" w:lineRule="exact"/>
        <w:rPr>
          <w:rFonts w:ascii="MS PGothic" w:cs="MS PGothic" w:eastAsia="MS PGothic" w:hAnsi="MS PGothic"/>
          <w:sz w:val="25"/>
          <w:szCs w:val="25"/>
          <w:color w:val="auto"/>
          <w:vertAlign w:val="superscript"/>
        </w:rPr>
      </w:pPr>
    </w:p>
    <w:p>
      <w:pPr>
        <w:ind w:left="980" w:right="420" w:hanging="432"/>
        <w:spacing w:after="0" w:line="232"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(“U.K.”) recent withdrawal from the European Union could lead to increased market volatility, make it more difficult for us to do business in Europe or have other adverse effects on our business;</w:t>
      </w:r>
    </w:p>
    <w:p>
      <w:pPr>
        <w:spacing w:after="0" w:line="71" w:lineRule="exact"/>
        <w:rPr>
          <w:rFonts w:ascii="MS PGothic" w:cs="MS PGothic" w:eastAsia="MS PGothic" w:hAnsi="MS PGothic"/>
          <w:sz w:val="25"/>
          <w:szCs w:val="25"/>
          <w:color w:val="auto"/>
          <w:vertAlign w:val="superscript"/>
        </w:rPr>
      </w:pPr>
    </w:p>
    <w:p>
      <w:pPr>
        <w:ind w:left="980" w:hanging="432"/>
        <w:spacing w:after="0"/>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103"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103"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103"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Additional risks that we may currently deem immaterial or that are not presently known to us could also cause the forward-looking events discussed in this prospectus supplement, the accompanying prospectus and the documents incorporated by reference not to occur. The words “believe,” “may,” “will,” “estimate,” “continue,” “anticipate,” “intend,” “expect” and similar words are intended to identify estimates and forward-looking statements. Estimates and forward-looking statements speak only as of the date they were made, and we undertake no obligation to update or to review any estimate and/or forward-looking statement because of new information, future events or other factors. Estimates and forward-looking statements involve risks and uncertainties and are not guarantees of future performance. Our future results may differ materially from those expressed in these estimates and forward-looking statements. In light of the risks and uncertainties described above, the estimates and forward-looking statements discussed in this prospectus supplement, the accompanying prospectus and the documents that we incorporate by reference in this prospectus supplement and the accompanying prospectus might not occur, and our future results and our performance may differ materially from those expressed in such forward-looking statements due to, inclusive of, but not limited to, the factors mentioned above. Because of these uncertainties, you should not make any investment decision based on these estimates and forward-looking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firstLine="426"/>
        <w:spacing w:after="0" w:line="242"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the accompanying prospectus and in the documents we incorporate by reference herein and therein. This summary does not contain all of the information you should consider before making an investment decision. You should read this entire prospectus supplement and accompanying prospectus carefully, especially the risks of investing in our ADSs discussed under “Risk Factors” beginning on page S-5 of this prospectus supplement, along with our consolidated financial statements and notes to those consolidated financial statements and the other information incorporated by reference in this prospectus supplement and the accompanying prospectus.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left="300" w:right="20" w:firstLine="426"/>
        <w:spacing w:after="0" w:line="237"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and endometrial carcinomas. Our second oncology product, navicixizumab, for the treatment of late line ovarian cancer, has completed a Phase 1 study and has been partnered with OncXerna Therapeutics, Inc., formerly Oncologie, Inc. We have two rare disease product candidates: alvelestat for the treatment of severe Alpha-1 antitrypsin deficiency (AATD), which is being investigated in an ongoing Phase 2 proof-of-concept study in the U.S. and Europe, for which the Company expects to report top line data in the second half of 2021, and setrusumab for the treatment of osteogenesis imperfecta (OI). In December 2020, we entered into a license and collaboration for setrusumab in OI with Ultragenyx Pharmaceutical Inc. (“Ultragenyx”) and received an upfront payment of $50 million in January 2021. In September 2020, the U.S. Food and Drug Administration (the “FDA”) granted Rare Pediatric Disease designation to setrusumab for the treatment of OI. Following the completion of our Phase 2b ASTEROID study, the company met with both the FDA and the European Medicines Agency (“EMA”) to discuss the principles of a design of a single Phase 2/3 registrational pediatric study in OI. We plan to develop our product candidates for oncology and rare diseases through the next key clinical milestone and then partner, or in selected cases,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182" w:lineRule="exact"/>
        <w:rPr>
          <w:sz w:val="20"/>
          <w:szCs w:val="20"/>
          <w:color w:val="auto"/>
        </w:rPr>
      </w:pPr>
    </w:p>
    <w:p>
      <w:pPr>
        <w:ind w:left="300" w:right="40" w:firstLine="426"/>
        <w:spacing w:after="0"/>
        <w:rPr>
          <w:sz w:val="20"/>
          <w:szCs w:val="20"/>
          <w:color w:val="auto"/>
        </w:rPr>
      </w:pPr>
      <w:r>
        <w:rPr>
          <w:rFonts w:ascii="Arial" w:cs="Arial" w:eastAsia="Arial" w:hAnsi="Arial"/>
          <w:sz w:val="18"/>
          <w:szCs w:val="18"/>
          <w:color w:val="auto"/>
        </w:rPr>
        <w:t>Our strategy is to selectively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with OncoMed Pharmaceuticals Inc. in 2019. We aim to efficiently develop our product candidates through the clinic and have commenced or completed large, randomized Phase 2 clinical trials for four of our product candidates.</w:t>
      </w:r>
    </w:p>
    <w:p>
      <w:pPr>
        <w:spacing w:after="0" w:line="180" w:lineRule="exact"/>
        <w:rPr>
          <w:sz w:val="20"/>
          <w:szCs w:val="20"/>
          <w:color w:val="auto"/>
        </w:rPr>
      </w:pPr>
    </w:p>
    <w:p>
      <w:pPr>
        <w:ind w:left="300" w:firstLine="426"/>
        <w:spacing w:after="0" w:line="276"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w:t>
      </w:r>
    </w:p>
    <w:p>
      <w:pPr>
        <w:spacing w:after="0" w:line="200" w:lineRule="exact"/>
        <w:rPr>
          <w:sz w:val="20"/>
          <w:szCs w:val="20"/>
          <w:color w:val="auto"/>
        </w:rPr>
      </w:pP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70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3701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regulatory pathways that facilitate acceleration to approval and to the potential market. Development of products for oncology and rare diseases involves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153" w:lineRule="exact"/>
        <w:rPr>
          <w:sz w:val="20"/>
          <w:szCs w:val="20"/>
          <w:color w:val="auto"/>
        </w:rPr>
      </w:pPr>
    </w:p>
    <w:p>
      <w:pPr>
        <w:ind w:left="300" w:right="60" w:firstLine="426"/>
        <w:spacing w:after="0" w:line="268"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Unaudited Cash Position</w:t>
      </w:r>
    </w:p>
    <w:p>
      <w:pPr>
        <w:spacing w:after="0" w:line="106" w:lineRule="exact"/>
        <w:rPr>
          <w:sz w:val="20"/>
          <w:szCs w:val="20"/>
          <w:color w:val="auto"/>
        </w:rPr>
      </w:pPr>
    </w:p>
    <w:p>
      <w:pPr>
        <w:ind w:left="300" w:right="200" w:firstLine="426"/>
        <w:spacing w:after="0" w:line="263" w:lineRule="auto"/>
        <w:rPr>
          <w:sz w:val="20"/>
          <w:szCs w:val="20"/>
          <w:color w:val="auto"/>
        </w:rPr>
      </w:pPr>
      <w:r>
        <w:rPr>
          <w:rFonts w:ascii="Arial" w:cs="Arial" w:eastAsia="Arial" w:hAnsi="Arial"/>
          <w:sz w:val="17"/>
          <w:szCs w:val="17"/>
          <w:color w:val="auto"/>
        </w:rPr>
        <w:t>As of January 31, 2021, we had cash and short-term investments of $74 million. This cash position is unaudited and is not a comprehensive statement of our financial position or operating results and is based on information available as of the date of this prospectus supplement, and is subject to material change. Accordingly, you should not place undue reliance upon this information. This unaudited information has been prepared by, and is the responsibility of, our management. Ernst &amp; Young LLP has not audited this information. Accordingly, Ernst &amp; Young LLP does not express an opinion or any other form of assurance with respect thereto.</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License and Collaboration Agreement with Ultragenyx</w:t>
      </w:r>
    </w:p>
    <w:p>
      <w:pPr>
        <w:spacing w:after="0" w:line="104"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On December 17, 2020, we announced that we entered into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where we retain commercial rights. Under the terms of the agreement, Ultragenyx made an upfront payment of $50 million, will fund global development of the program until approval, and has agreed to pay a total of up to $254 million in contingent payments upon achievement of certain clinical, regulatory, and commercial milestones. Ultragenyx will pay tiered double digit percentage royalties to Mereo on net sales outside of Europe and Mereo will pay a fixed double digit percentage royalty to Ultragenyx on net sales in Europe.</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AIM Delisting</w:t>
      </w:r>
    </w:p>
    <w:p>
      <w:pPr>
        <w:spacing w:after="0" w:line="104"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On November 11, 2020 we announced our planned cancellation of admission of our ordinary shares to trading on the AIM market of the London Stock Exchange plc (the “AIM Delisting”). The AIM Delisting was completed on December 18, 2020. Following the AIM Delisting, we became a single listed company with ADSs trading only on Nasdaq.</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Silicon Valley Bank and Kreos Capital V (UK) Limited Loan Repayment</w:t>
      </w:r>
    </w:p>
    <w:p>
      <w:pPr>
        <w:spacing w:after="0" w:line="104" w:lineRule="exact"/>
        <w:rPr>
          <w:sz w:val="20"/>
          <w:szCs w:val="20"/>
          <w:color w:val="auto"/>
        </w:rPr>
      </w:pPr>
    </w:p>
    <w:p>
      <w:pPr>
        <w:ind w:left="300" w:firstLine="426"/>
        <w:spacing w:after="0" w:line="276" w:lineRule="auto"/>
        <w:rPr>
          <w:sz w:val="20"/>
          <w:szCs w:val="20"/>
          <w:color w:val="auto"/>
        </w:rPr>
      </w:pPr>
      <w:r>
        <w:rPr>
          <w:rFonts w:ascii="Arial" w:cs="Arial" w:eastAsia="Arial" w:hAnsi="Arial"/>
          <w:sz w:val="18"/>
          <w:szCs w:val="18"/>
          <w:color w:val="auto"/>
        </w:rPr>
        <w:t>The loan agreement we entered into with Silicon Valley Bank and Kreos Capital V (UK) Limited in September 2018 was repaid in full in December 2020.</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5" w:right="6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69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8699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color w:val="auto"/>
        </w:rPr>
        <w:t>Our registered office address is Fourth Floor, One Cavendish Place, London, W1G 0QF, United Kingdom and our telephone number is +44 (0)33 3023 7300. Our website address is www.mereobiopharma.com. The information contained on, or that can be accessed from, our website does not form part of this prospectus supplement.</w:t>
      </w:r>
    </w:p>
    <w:p>
      <w:pPr>
        <w:spacing w:after="0" w:line="200" w:lineRule="exact"/>
        <w:rPr>
          <w:sz w:val="20"/>
          <w:szCs w:val="20"/>
          <w:color w:val="auto"/>
        </w:rPr>
      </w:pPr>
    </w:p>
    <w:p>
      <w:pPr>
        <w:spacing w:after="0" w:line="39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600"/>
          </w:cols>
          <w:pgMar w:left="320" w:top="455" w:right="9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9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1390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ADSs offered by 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34,500,000 ADSs (with each ADS representing five ordinary shares).</w:t>
      </w:r>
    </w:p>
    <w:p>
      <w:pPr>
        <w:spacing w:after="0" w:line="172"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ADSs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102,967,781 ADSs</w:t>
      </w:r>
    </w:p>
    <w:p>
      <w:pPr>
        <w:spacing w:after="0" w:line="200"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spacing w:after="0" w:line="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Ordinary shares outstanding after the offering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515,351,308 ordinary shares</w:t>
      </w:r>
    </w:p>
    <w:p>
      <w:pPr>
        <w:spacing w:after="0" w:line="200"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spacing w:after="0" w:line="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Underwriters’ option to purchase additional ADSs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granted the underwriters an option to purchase up to an additional 5,175,000 ADSs from us within 30 days of the date of this prospectus supplement.</w:t>
      </w:r>
    </w:p>
    <w:p>
      <w:pPr>
        <w:spacing w:after="0" w:line="191"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Depositary</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7"/>
          <w:szCs w:val="17"/>
          <w:color w:val="auto"/>
        </w:rPr>
        <w:t>Citibank, N.A.</w:t>
      </w:r>
    </w:p>
    <w:p>
      <w:pPr>
        <w:spacing w:after="0" w:line="200"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We intend to use the net proceeds from this offering to fund ongoing clinical development of product candidates and for working capital and other general corporate purposes. See “Use of Proceeds.”</w:t>
      </w:r>
    </w:p>
    <w:p>
      <w:pPr>
        <w:spacing w:after="0" w:line="174"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40"/>
        <w:spacing w:after="0" w:line="245" w:lineRule="auto"/>
        <w:rPr>
          <w:sz w:val="20"/>
          <w:szCs w:val="20"/>
          <w:color w:val="auto"/>
        </w:rPr>
      </w:pPr>
      <w:r>
        <w:rPr>
          <w:rFonts w:ascii="Arial" w:cs="Arial" w:eastAsia="Arial" w:hAnsi="Arial"/>
          <w:sz w:val="18"/>
          <w:szCs w:val="18"/>
          <w:color w:val="auto"/>
        </w:rPr>
        <w:t>You should read the “Risk Factors” section beginning on page S-5 of this prospectus supplement and in other documents incorporated by reference into this prospectus supplement and the accompanying prospectus for a discussion of factors to consider carefully before deciding to purchase our ADSs.</w:t>
      </w:r>
    </w:p>
    <w:p>
      <w:pPr>
        <w:spacing w:after="0" w:line="199"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MREO</w:t>
      </w:r>
    </w:p>
    <w:p>
      <w:pPr>
        <w:spacing w:after="0" w:line="200" w:lineRule="exact"/>
        <w:rPr>
          <w:sz w:val="20"/>
          <w:szCs w:val="20"/>
          <w:color w:val="auto"/>
        </w:rPr>
      </w:pPr>
    </w:p>
    <w:p>
      <w:pPr>
        <w:sectPr>
          <w:pgSz w:w="11900" w:h="16838" w:orient="portrait"/>
          <w:cols w:equalWidth="0" w:num="2">
            <w:col w:w="4780" w:space="720"/>
            <w:col w:w="5420"/>
          </w:cols>
          <w:pgMar w:left="320" w:top="455" w:right="659" w:bottom="1440" w:gutter="0" w:footer="0" w:header="0"/>
          <w:type w:val="continuous"/>
        </w:sectPr>
      </w:pPr>
    </w:p>
    <w:p>
      <w:pPr>
        <w:spacing w:after="0" w:line="25" w:lineRule="exact"/>
        <w:rPr>
          <w:sz w:val="20"/>
          <w:szCs w:val="20"/>
          <w:color w:val="auto"/>
        </w:rPr>
      </w:pPr>
    </w:p>
    <w:p>
      <w:pPr>
        <w:ind w:left="300" w:right="660" w:firstLine="426"/>
        <w:spacing w:after="0" w:line="276" w:lineRule="auto"/>
        <w:rPr>
          <w:sz w:val="20"/>
          <w:szCs w:val="20"/>
          <w:color w:val="auto"/>
        </w:rPr>
      </w:pPr>
      <w:r>
        <w:rPr>
          <w:rFonts w:ascii="Arial" w:cs="Arial" w:eastAsia="Arial" w:hAnsi="Arial"/>
          <w:sz w:val="18"/>
          <w:szCs w:val="18"/>
          <w:color w:val="auto"/>
        </w:rPr>
        <w:t>Unless otherwise indicated, all information in this prospectus supplement, including information relating to the number of ordinary shares to be outstanding immediately after the completion of this offering:</w:t>
      </w:r>
    </w:p>
    <w:p>
      <w:pPr>
        <w:spacing w:after="0" w:line="50" w:lineRule="exact"/>
        <w:rPr>
          <w:sz w:val="20"/>
          <w:szCs w:val="20"/>
          <w:color w:val="auto"/>
        </w:rPr>
      </w:pPr>
    </w:p>
    <w:p>
      <w:pPr>
        <w:ind w:left="1120" w:hanging="407"/>
        <w:spacing w:after="0" w:line="232"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excludes 22,374,958 ordinary shares issuable upon the exercise of options granted and outstanding under employee share schemes, subject to vesting conditions as of December 31, 2020;</w:t>
      </w:r>
    </w:p>
    <w:p>
      <w:pPr>
        <w:spacing w:after="0" w:line="81" w:lineRule="exact"/>
        <w:rPr>
          <w:rFonts w:ascii="MS PGothic" w:cs="MS PGothic" w:eastAsia="MS PGothic" w:hAnsi="MS PGothic"/>
          <w:sz w:val="25"/>
          <w:szCs w:val="25"/>
          <w:color w:val="auto"/>
          <w:vertAlign w:val="superscript"/>
        </w:rPr>
      </w:pPr>
    </w:p>
    <w:p>
      <w:pPr>
        <w:ind w:left="1120" w:right="480" w:hanging="407"/>
        <w:spacing w:after="0" w:line="232"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excludes 307,930,613 ordinary shares issuable upon the exercise of warrants, convertible notes and other committed equity outstanding as of December 31, 2020; and</w:t>
      </w:r>
    </w:p>
    <w:p>
      <w:pPr>
        <w:spacing w:after="0" w:line="71" w:lineRule="exact"/>
        <w:rPr>
          <w:rFonts w:ascii="MS PGothic" w:cs="MS PGothic" w:eastAsia="MS PGothic" w:hAnsi="MS PGothic"/>
          <w:sz w:val="25"/>
          <w:szCs w:val="25"/>
          <w:color w:val="auto"/>
          <w:vertAlign w:val="superscript"/>
        </w:rPr>
      </w:pPr>
    </w:p>
    <w:p>
      <w:pPr>
        <w:ind w:left="1120" w:hanging="407"/>
        <w:spacing w:after="0"/>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assumes no exercise by the underwriters of their option to purchase up to an additional 5,175,000 ADSs.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5" w:right="65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Our business, and an investment in the securities, is subject to uncertainties and risks. You should carefully consider and evaluate all of the information included and incorporated by reference in this prospectus supplement and the accompanying prospectus, including the risk factors incorporated by reference from our most recent Annual Report on Form 20-F, and any updates in our Reports on Form 6-K.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w:t>
      </w:r>
      <w:r>
        <w:rPr>
          <w:rFonts w:ascii="Arial" w:cs="Arial" w:eastAsia="Arial" w:hAnsi="Arial"/>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6"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b w:val="1"/>
          <w:bCs w:val="1"/>
          <w:i w:val="1"/>
          <w:iCs w:val="1"/>
          <w:color w:val="auto"/>
        </w:rPr>
        <w:t>If our partners do not satisfy their obligations under our agreements with them, or if they terminate our licenses, partnerships or collaborations with them, we may not be able to develop or commercialize our licensed or partnered product candidates as planned.</w:t>
      </w:r>
    </w:p>
    <w:p>
      <w:pPr>
        <w:spacing w:after="0" w:line="4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have announced two out-licensing collaborations. On December 17, 2020, we announced that we entered into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where we retain commercial rights. Under the terms of the agreement, Ultragenyx will pay up to $254 million in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OncXerna (formerly Oncologie) for development and commercialization of navicixizumab. Under the terms of the agreement OncXerna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Our future plans may include entering into out-licensing collaboration agreements on our other development programs including leflutrozole, acumapimod, etigilimab and alvelestat.</w:t>
      </w:r>
    </w:p>
    <w:p>
      <w:pPr>
        <w:spacing w:after="0" w:line="18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partners might not fulfill all of their obligations under these agreements, and, in certain circumstances,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with us,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06"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The market price for our ADSs may be volatile and may decline regardless of our operating performance, and the value of your investment could materially decline.</w:t>
      </w:r>
    </w:p>
    <w:p>
      <w:pPr>
        <w:spacing w:after="0" w:line="21" w:lineRule="exact"/>
        <w:rPr>
          <w:sz w:val="20"/>
          <w:szCs w:val="20"/>
          <w:color w:val="auto"/>
        </w:rPr>
      </w:pPr>
    </w:p>
    <w:p>
      <w:pPr>
        <w:ind w:left="120" w:right="260" w:firstLine="440"/>
        <w:spacing w:after="0" w:line="276" w:lineRule="auto"/>
        <w:rPr>
          <w:sz w:val="20"/>
          <w:szCs w:val="20"/>
          <w:color w:val="auto"/>
        </w:rPr>
      </w:pPr>
      <w:r>
        <w:rPr>
          <w:rFonts w:ascii="Arial" w:cs="Arial" w:eastAsia="Arial" w:hAnsi="Arial"/>
          <w:sz w:val="18"/>
          <w:szCs w:val="18"/>
          <w:color w:val="auto"/>
        </w:rPr>
        <w:t>The trading price of our ADSs may fluctuate significantly in response to numerous factors, many of which are beyond our control, including:</w:t>
      </w:r>
    </w:p>
    <w:p>
      <w:pPr>
        <w:spacing w:after="0" w:line="162"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us or our competitors;</w:t>
      </w:r>
    </w:p>
    <w:p>
      <w:pPr>
        <w:spacing w:after="0" w:line="22" w:lineRule="exact"/>
        <w:rPr>
          <w:rFonts w:ascii="MS PGothic" w:cs="MS PGothic" w:eastAsia="MS PGothic" w:hAnsi="MS PGothic"/>
          <w:sz w:val="25"/>
          <w:szCs w:val="25"/>
          <w:color w:val="auto"/>
          <w:vertAlign w:val="superscript"/>
        </w:rPr>
      </w:pPr>
    </w:p>
    <w:p>
      <w:pPr>
        <w:ind w:left="980" w:right="260" w:hanging="432"/>
        <w:spacing w:after="0" w:line="22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timelines in existing strategic relationships;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our competitors;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public health epidemics, such as the ongoing COVID-19 pandemic, and government efforts to slow their spread;</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public health, financial or geopolitical events that affect us or the financial markets generally, including the duration and severity of the impact of the ongoing COVID-19 pandemic;</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2" w:lineRule="exact"/>
        <w:rPr>
          <w:rFonts w:ascii="MS PGothic" w:cs="MS PGothic" w:eastAsia="MS PGothic" w:hAnsi="MS PGothic"/>
          <w:sz w:val="25"/>
          <w:szCs w:val="25"/>
          <w:color w:val="auto"/>
          <w:vertAlign w:val="superscript"/>
        </w:rPr>
      </w:pPr>
    </w:p>
    <w:p>
      <w:pPr>
        <w:ind w:left="980" w:right="740" w:hanging="432"/>
        <w:spacing w:after="0" w:line="22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2" w:lineRule="exact"/>
        <w:rPr>
          <w:rFonts w:ascii="MS PGothic" w:cs="MS PGothic" w:eastAsia="MS PGothic" w:hAnsi="MS PGothic"/>
          <w:sz w:val="25"/>
          <w:szCs w:val="25"/>
          <w:color w:val="auto"/>
          <w:vertAlign w:val="superscript"/>
        </w:rPr>
      </w:pPr>
    </w:p>
    <w:p>
      <w:pPr>
        <w:ind w:left="980" w:right="320" w:hanging="432"/>
        <w:spacing w:after="0" w:line="22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by us, our senior management and board members, holders of ADSs or our other security holders in the future;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176" w:lineRule="exact"/>
        <w:rPr>
          <w:sz w:val="20"/>
          <w:szCs w:val="20"/>
          <w:color w:val="auto"/>
        </w:rPr>
      </w:pPr>
    </w:p>
    <w:p>
      <w:pPr>
        <w:jc w:val="both"/>
        <w:ind w:left="120" w:right="580" w:firstLine="440"/>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ADSs and may otherwise negatively affect the liquidity of the ADSs.</w:t>
      </w:r>
    </w:p>
    <w:p>
      <w:pPr>
        <w:spacing w:after="0" w:line="16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the ADSs regardless of our operating performance.</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5" w:right="5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8"/>
          <w:szCs w:val="18"/>
          <w:color w:val="auto"/>
        </w:rPr>
        <w:t>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ADSs by us or our existing holders of ADSs could cause the market price of our ADSs to decline.</w:t>
      </w:r>
    </w:p>
    <w:p>
      <w:pPr>
        <w:spacing w:after="0" w:line="10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Sales of a substantial number of our ADSs in the public market could occur at any time. These sales, or the perception in the market that such sales may occur, could reduce the market price of our ADSs. We, our executive officers and directors have entered</w:t>
      </w:r>
    </w:p>
    <w:p>
      <w:pPr>
        <w:spacing w:after="0" w:line="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into lock-up agreements with the underwriters under which we and they have agreed, subject to certain exceptions, not to sell, directly or indirectly, any ordinary shares or ADSs without the permission of the underwriters for a period of 90 days following the date of this prospectus supplement. We refer to such period as the lock-up period. When the lock-up period expires, we, our executive officers and directors will be able to sell ADSs in the public market, subject to compliance with applicable securities laws restrictions. In addition, the underwriters may, in their sole discretion, release all or some portion of the ordinary shares or ADSs subject to lock-up agreements at any time and for any reason. Sales of a substantial number of such shares or ADSs upon expiration of the lock-up or otherwise, the perception that such sales may occur, or early release of these agreements, could cause the market price of our ADSs to fall or make it more difficult for you to sell your ADSs at a time and price that you deem appropriate.</w:t>
      </w:r>
    </w:p>
    <w:p>
      <w:pPr>
        <w:spacing w:after="0" w:line="179"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We do not anticipate paying dividends, and accordingly, holders of our ADSs must rely on appreciation in the price of the ADSs for any return on their investment.</w:t>
      </w:r>
    </w:p>
    <w:p>
      <w:pPr>
        <w:spacing w:after="0" w:line="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We currently intend to retain our future earnings, if any, to fund the development and growth of our businesses. As a result, capital appreciation, if any, of our ADSs will be your sole source of gain on your investment for the foreseeable future. Investors seeking cash dividends should not invest in our ADSs.</w:t>
      </w:r>
    </w:p>
    <w:p>
      <w:pPr>
        <w:spacing w:after="0" w:line="16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ADS price and trading volume could decline.</w:t>
      </w:r>
    </w:p>
    <w:p>
      <w:pPr>
        <w:spacing w:after="0" w:line="21" w:lineRule="exact"/>
        <w:rPr>
          <w:sz w:val="20"/>
          <w:szCs w:val="20"/>
          <w:color w:val="auto"/>
        </w:rPr>
      </w:pPr>
    </w:p>
    <w:p>
      <w:pPr>
        <w:ind w:left="120" w:right="320" w:firstLine="440"/>
        <w:spacing w:after="0" w:line="245" w:lineRule="auto"/>
        <w:rPr>
          <w:sz w:val="20"/>
          <w:szCs w:val="20"/>
          <w:color w:val="auto"/>
        </w:rPr>
      </w:pPr>
      <w:r>
        <w:rPr>
          <w:rFonts w:ascii="Arial" w:cs="Arial" w:eastAsia="Arial" w:hAnsi="Arial"/>
          <w:sz w:val="18"/>
          <w:szCs w:val="18"/>
          <w:color w:val="auto"/>
        </w:rPr>
        <w:t>The trading market for our ADSs depends on the research and reports that securities or industry analysts publish about us or our business. We do not have any control over these analysts. We cannot assure you that analysts will cover us or provide favorable coverage. If one or more of the analysts who cover us downgrade our ADSs or change their opinion of our ADSs, our ADS price would likely decline. If one or more of these analysts cease coverage of our company or fail to regularly publish reports on us, we could lose visibility in the financial markets, which could cause our ADS price or trading volume to decline.</w:t>
      </w:r>
    </w:p>
    <w:p>
      <w:pPr>
        <w:spacing w:after="0" w:line="172"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unlawful or impracticable to make such distributions available to holders of ADSs.</w:t>
      </w:r>
    </w:p>
    <w:p>
      <w:pPr>
        <w:spacing w:after="0" w:line="21"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that your ADSs represent. However, in accordance with the limitations set forth in the deposit agreement, it may be unlawful or impracticable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impracticable to make them available to you. These restrictions may have a material adverse effect on the value of your ADSs.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180"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10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U.K. stamp duty or stamp duty reserve tax arising upon the issuance or transfer of ADSs. For a discussion of the U.K. stamp duty and stamp duty reserve tax consequences of the issuance and transfer of ADSs, see “Material Tax Considerations—Material United Kingdom Tax Considerations—Stamp Duty and Stamp Duty Reserve Tax”.</w:t>
      </w:r>
    </w:p>
    <w:p>
      <w:pPr>
        <w:spacing w:after="0" w:line="180" w:lineRule="exact"/>
        <w:rPr>
          <w:sz w:val="20"/>
          <w:szCs w:val="20"/>
          <w:color w:val="auto"/>
        </w:rPr>
      </w:pPr>
    </w:p>
    <w:p>
      <w:pPr>
        <w:ind w:left="120" w:right="480"/>
        <w:spacing w:after="0" w:line="285"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21"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72"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79"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U.S. against us or members of our Board, which may limit the remedies otherwise available to us.</w:t>
      </w:r>
    </w:p>
    <w:p>
      <w:pPr>
        <w:spacing w:after="0" w:line="21"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We are incorporated as a public limited company in England and Wales, and the majority of our assets are located outside the U.S. In addition, the majority of the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 K. court may prevent you from enforcing a judgment of a U.S. court against us or these individuals based on the securities laws of the U.S. or any state thereof. A U. K. court may not allow you to bring an action against us or our directors based on the securities laws of the U.S. or any state thereof.</w:t>
      </w:r>
    </w:p>
    <w:p>
      <w:pPr>
        <w:spacing w:after="0" w:line="179" w:lineRule="exact"/>
        <w:rPr>
          <w:sz w:val="20"/>
          <w:szCs w:val="20"/>
          <w:color w:val="auto"/>
        </w:rPr>
      </w:pPr>
    </w:p>
    <w:p>
      <w:pPr>
        <w:ind w:left="120" w:right="420"/>
        <w:spacing w:after="0" w:line="285" w:lineRule="auto"/>
        <w:rPr>
          <w:sz w:val="20"/>
          <w:szCs w:val="20"/>
          <w:color w:val="auto"/>
        </w:rPr>
      </w:pPr>
      <w:r>
        <w:rPr>
          <w:rFonts w:ascii="Arial" w:cs="Arial" w:eastAsia="Arial" w:hAnsi="Arial"/>
          <w:sz w:val="18"/>
          <w:szCs w:val="18"/>
          <w:b w:val="1"/>
          <w:bCs w:val="1"/>
          <w:i w:val="1"/>
          <w:iCs w:val="1"/>
          <w:color w:val="auto"/>
        </w:rPr>
        <w:t>Shareholders in countries other than the U.K. will suffer dilution if they are unable to participate in future pre-emptive equity offerings.</w:t>
      </w:r>
    </w:p>
    <w:p>
      <w:pPr>
        <w:spacing w:after="0" w:line="2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21"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7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U.S.</w:t>
      </w:r>
    </w:p>
    <w:p>
      <w:pPr>
        <w:spacing w:after="0" w:line="43"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U.S., including:</w:t>
      </w:r>
    </w:p>
    <w:p>
      <w:pPr>
        <w:spacing w:after="0" w:line="191" w:lineRule="exact"/>
        <w:rPr>
          <w:sz w:val="20"/>
          <w:szCs w:val="20"/>
          <w:color w:val="auto"/>
        </w:rPr>
      </w:pPr>
    </w:p>
    <w:p>
      <w:pPr>
        <w:ind w:left="980" w:right="200" w:hanging="432"/>
        <w:spacing w:after="0" w:line="232"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U.S. companies with securities registered under the Exchange Act;</w:t>
      </w: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2" w:lineRule="exact"/>
        <w:rPr>
          <w:rFonts w:ascii="MS PGothic" w:cs="MS PGothic" w:eastAsia="MS PGothic" w:hAnsi="MS PGothic"/>
          <w:sz w:val="25"/>
          <w:szCs w:val="25"/>
          <w:color w:val="auto"/>
          <w:vertAlign w:val="superscript"/>
        </w:rPr>
      </w:pPr>
    </w:p>
    <w:p>
      <w:pPr>
        <w:ind w:left="980" w:right="720" w:hanging="432"/>
        <w:spacing w:after="0" w:line="22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Fair Disclosure, or Regulation FD, which imposes certain restrictions on the selective disclosure of material information.</w:t>
      </w:r>
    </w:p>
    <w:p>
      <w:pPr>
        <w:spacing w:after="0" w:line="177" w:lineRule="exact"/>
        <w:rPr>
          <w:sz w:val="20"/>
          <w:szCs w:val="20"/>
          <w:color w:val="auto"/>
        </w:rPr>
      </w:pPr>
    </w:p>
    <w:p>
      <w:pPr>
        <w:ind w:left="120" w:right="740" w:firstLine="440"/>
        <w:spacing w:after="0" w:line="306" w:lineRule="auto"/>
        <w:rPr>
          <w:sz w:val="20"/>
          <w:szCs w:val="20"/>
          <w:color w:val="auto"/>
        </w:rPr>
      </w:pPr>
      <w:r>
        <w:rPr>
          <w:rFonts w:ascii="Arial" w:cs="Arial" w:eastAsia="Arial" w:hAnsi="Arial"/>
          <w:sz w:val="17"/>
          <w:szCs w:val="17"/>
          <w:color w:val="auto"/>
        </w:rPr>
        <w:t>In addition, our officers, directors and principal shareholders are exempt from the reporting and “short-swing” profit recovery provisions of Section 16 of the Exchange Act and the related rules with respect to their purchases and sales of our ADSs.</w:t>
      </w:r>
    </w:p>
    <w:p>
      <w:pPr>
        <w:spacing w:after="0" w:line="123" w:lineRule="exact"/>
        <w:rPr>
          <w:sz w:val="20"/>
          <w:szCs w:val="20"/>
          <w:color w:val="auto"/>
        </w:rPr>
      </w:pPr>
    </w:p>
    <w:p>
      <w:pPr>
        <w:ind w:left="120" w:right="860"/>
        <w:spacing w:after="0" w:line="285"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U.S.</w:t>
      </w:r>
    </w:p>
    <w:p>
      <w:pPr>
        <w:spacing w:after="0" w:line="21"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follow UK requirements with respect to shareholder meetings including shareholder meetings required to disapply preemption rights and issue ordinary shares to investors in connection with private placements of our securities. As a result, holders of our ADSs may not be afforded the benefits of the corporate governance standards of Nasdaq to the same extent applicable to companies incorporated in the U.S.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10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U.S. The costs incurred in fulfilling these additional regulatory requirements could be substantial.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U.S., our costs of complying with our SEC reporting requirements are significant, and our management is required to devote substantial time to complying with SEC regulations.</w:t>
      </w:r>
    </w:p>
    <w:p>
      <w:pPr>
        <w:spacing w:after="0" w:line="4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company with securities listed in the U.S.,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3" w:lineRule="exact"/>
        <w:rPr>
          <w:sz w:val="20"/>
          <w:szCs w:val="20"/>
          <w:color w:val="auto"/>
        </w:rPr>
      </w:pPr>
    </w:p>
    <w:p>
      <w:pPr>
        <w:ind w:left="120" w:right="36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21" w:lineRule="exact"/>
        <w:rPr>
          <w:sz w:val="20"/>
          <w:szCs w:val="20"/>
          <w:color w:val="auto"/>
        </w:rPr>
      </w:pPr>
    </w:p>
    <w:p>
      <w:pPr>
        <w:ind w:left="120" w:right="40" w:firstLine="440"/>
        <w:spacing w:after="0" w:line="24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197" w:lineRule="exact"/>
        <w:rPr>
          <w:sz w:val="20"/>
          <w:szCs w:val="20"/>
          <w:color w:val="auto"/>
        </w:rPr>
      </w:pPr>
    </w:p>
    <w:p>
      <w:pPr>
        <w:ind w:left="980" w:right="260" w:hanging="432"/>
        <w:spacing w:after="0" w:line="232"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ind w:left="980" w:right="160" w:hanging="432"/>
        <w:spacing w:after="0" w:line="23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2" w:lineRule="exact"/>
        <w:rPr>
          <w:rFonts w:ascii="MS PGothic" w:cs="MS PGothic" w:eastAsia="MS PGothic" w:hAnsi="MS PGothic"/>
          <w:sz w:val="25"/>
          <w:szCs w:val="25"/>
          <w:color w:val="auto"/>
          <w:vertAlign w:val="superscript"/>
        </w:rPr>
      </w:pPr>
    </w:p>
    <w:p>
      <w:pPr>
        <w:ind w:left="980" w:right="60" w:hanging="432"/>
        <w:spacing w:after="0" w:line="22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164"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 passive foreign investment company (“PFIC”) for any taxable year, which could result in material adverse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 if you are a U.S. investor.</w:t>
      </w:r>
    </w:p>
    <w:p>
      <w:pPr>
        <w:spacing w:after="0" w:line="8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17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Whether we will be a PFIC in 2021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2021 or for any future taxable year. In addition, we may, directly or indirectly, hold equity interests in other entities, including certain of our subsidiaries that are PFICs, or “Lower-tier PFICs”. Accordingly, U.S. investors should invest in our ADSs only if they are willing to bear the U.S. federal income tax consequences associated with investments in PFICs.</w:t>
      </w:r>
    </w:p>
    <w:p>
      <w:pPr>
        <w:spacing w:after="0" w:line="176" w:lineRule="exact"/>
        <w:rPr>
          <w:sz w:val="20"/>
          <w:szCs w:val="20"/>
          <w:color w:val="auto"/>
        </w:rPr>
      </w:pPr>
    </w:p>
    <w:p>
      <w:pPr>
        <w:ind w:left="120" w:right="40" w:firstLine="440"/>
        <w:spacing w:after="0" w:line="243" w:lineRule="auto"/>
        <w:rPr>
          <w:sz w:val="20"/>
          <w:szCs w:val="20"/>
          <w:color w:val="auto"/>
        </w:rPr>
      </w:pPr>
      <w:r>
        <w:rPr>
          <w:rFonts w:ascii="Arial" w:cs="Arial" w:eastAsia="Arial" w:hAnsi="Arial"/>
          <w:sz w:val="18"/>
          <w:szCs w:val="18"/>
          <w:color w:val="auto"/>
        </w:rPr>
        <w:t>If we were a PFIC for any taxable year during which a U.S. investor owns ADSs, certain adverse U.S. federal income tax consequences could apply to such U.S. investor. We will provide the information necessary for a U.S. investor to make a qualifying electing fund election with respect to us and we will also use our best efforts to cause each lower-tier PFIC that we control to provide such information. See “Material Tax Considerations—Material U.S. Federal Income Tax Considerations—Passive Foreign Investment Company Rules” for further information. U.S. investors should consult their tax advisers regarding our PFIC status for any taxable year and the potential application of the PFIC rules to an investment in our ADSs.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as to the use of the proceeds from this offering, and we may not use the proceeds effectively.</w:t>
      </w:r>
    </w:p>
    <w:p>
      <w:pPr>
        <w:spacing w:after="0" w:line="104"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We have not designated the amount of net proceeds we will use for any particular purpose. Accordingly, our management will have broad discretion as to the application of the net proceeds and could use them for purposes other than those contemplated at the time of this offering. Our shareholders may not agree with the manner in which our management chooses to allocate and spend the net proceeds. Moreover, our management may use the net proceeds for corporate purposes that may not positively impact our profitability or our market value. See “Use of Proceeds” for a description of our management’s intended use of the proceeds from this offering.</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estimate that we will receive total estimated net proceeds from this offering of approximately $93.5 million, or $107.7 million if the underwriters exercise their option to purchase additional ADSs in full, after deducting underwriting discounts and commissions and estimated offering expenses payable by us.</w:t>
      </w:r>
    </w:p>
    <w:p>
      <w:pPr>
        <w:spacing w:after="0" w:line="164" w:lineRule="exact"/>
        <w:rPr>
          <w:sz w:val="20"/>
          <w:szCs w:val="20"/>
          <w:color w:val="auto"/>
        </w:rPr>
      </w:pPr>
    </w:p>
    <w:p>
      <w:pPr>
        <w:ind w:left="120" w:right="540" w:firstLine="440"/>
        <w:spacing w:after="0" w:line="276" w:lineRule="auto"/>
        <w:rPr>
          <w:sz w:val="20"/>
          <w:szCs w:val="20"/>
          <w:color w:val="auto"/>
        </w:rPr>
      </w:pPr>
      <w:r>
        <w:rPr>
          <w:rFonts w:ascii="Arial" w:cs="Arial" w:eastAsia="Arial" w:hAnsi="Arial"/>
          <w:sz w:val="18"/>
          <w:szCs w:val="18"/>
          <w:color w:val="auto"/>
        </w:rPr>
        <w:t>We currently intend to use the net proceeds of this offering to fund ongoing clinical development of product candidates and for working capital and other general corporate purposes.</w:t>
      </w:r>
    </w:p>
    <w:p>
      <w:pPr>
        <w:spacing w:after="0" w:line="145" w:lineRule="exact"/>
        <w:rPr>
          <w:sz w:val="20"/>
          <w:szCs w:val="20"/>
          <w:color w:val="auto"/>
        </w:rPr>
      </w:pPr>
    </w:p>
    <w:p>
      <w:pPr>
        <w:ind w:left="120" w:right="120" w:firstLine="440"/>
        <w:spacing w:after="0" w:line="245"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As a result, management will have broad discretion in the application of the net proceeds, and investors will be relying on our judgment regarding the application of the net proceeds of this offering.</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0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spacing w:after="0" w:line="195"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U.S.;</w:t>
      </w:r>
    </w:p>
    <w:p>
      <w:pPr>
        <w:spacing w:after="0" w:line="22" w:lineRule="exact"/>
        <w:rPr>
          <w:rFonts w:ascii="MS PGothic" w:cs="MS PGothic" w:eastAsia="MS PGothic" w:hAnsi="MS PGothic"/>
          <w:sz w:val="25"/>
          <w:szCs w:val="25"/>
          <w:color w:val="auto"/>
          <w:vertAlign w:val="superscript"/>
        </w:rPr>
      </w:pPr>
    </w:p>
    <w:p>
      <w:pPr>
        <w:ind w:left="980" w:right="380" w:hanging="432"/>
        <w:spacing w:after="0" w:line="22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U.S.</w:t>
      </w:r>
    </w:p>
    <w:p>
      <w:pPr>
        <w:spacing w:after="0" w:line="176"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170" w:lineRule="exact"/>
        <w:rPr>
          <w:sz w:val="20"/>
          <w:szCs w:val="20"/>
          <w:color w:val="auto"/>
        </w:rPr>
      </w:pPr>
    </w:p>
    <w:p>
      <w:pPr>
        <w:ind w:left="120" w:right="280" w:firstLine="440"/>
        <w:spacing w:after="0" w:line="27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45" w:lineRule="exact"/>
        <w:rPr>
          <w:sz w:val="20"/>
          <w:szCs w:val="20"/>
          <w:color w:val="auto"/>
        </w:rPr>
      </w:pPr>
    </w:p>
    <w:p>
      <w:pPr>
        <w:ind w:left="120" w:right="100" w:firstLine="440"/>
        <w:spacing w:after="0" w:line="24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 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70"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62" w:lineRule="exact"/>
        <w:rPr>
          <w:sz w:val="20"/>
          <w:szCs w:val="20"/>
          <w:color w:val="auto"/>
        </w:rPr>
      </w:pPr>
    </w:p>
    <w:p>
      <w:pPr>
        <w:ind w:left="980" w:hanging="432"/>
        <w:spacing w:after="0"/>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hanging="432"/>
        <w:spacing w:after="0" w:line="232"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U.S., any state therein or the District of Columbia;</w:t>
      </w:r>
    </w:p>
    <w:p>
      <w:pPr>
        <w:ind w:left="980" w:hanging="432"/>
        <w:spacing w:after="0" w:line="230"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2" w:lineRule="exact"/>
        <w:rPr>
          <w:rFonts w:ascii="MS PGothic" w:cs="MS PGothic" w:eastAsia="MS PGothic" w:hAnsi="MS PGothic"/>
          <w:sz w:val="25"/>
          <w:szCs w:val="25"/>
          <w:color w:val="auto"/>
          <w:vertAlign w:val="superscript"/>
        </w:rPr>
      </w:pPr>
    </w:p>
    <w:p>
      <w:pPr>
        <w:ind w:left="980" w:right="60" w:hanging="432"/>
        <w:spacing w:after="0" w:line="225"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U.S. and subject to the control of one or more U.S. persons for all substantial decisions or (ii) has a valid election in effect under applicable U.S. Treasury regulations to be treated as a U.S. person.</w:t>
      </w:r>
    </w:p>
    <w:p>
      <w:pPr>
        <w:spacing w:after="0" w:line="176" w:lineRule="exact"/>
        <w:rPr>
          <w:sz w:val="20"/>
          <w:szCs w:val="20"/>
          <w:color w:val="auto"/>
        </w:rPr>
      </w:pPr>
    </w:p>
    <w:p>
      <w:pPr>
        <w:ind w:left="120" w:right="320" w:firstLine="440"/>
        <w:spacing w:after="0" w:line="27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45" w:lineRule="exact"/>
        <w:rPr>
          <w:sz w:val="20"/>
          <w:szCs w:val="20"/>
          <w:color w:val="auto"/>
        </w:rPr>
      </w:pPr>
    </w:p>
    <w:p>
      <w:pPr>
        <w:ind w:left="120" w:right="480" w:firstLine="440"/>
        <w:spacing w:after="0" w:line="255" w:lineRule="auto"/>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04"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180"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Whether we will be a PFIC in 2021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2021 or for any future taxable year. U.S. Holders should invest in our ADSs only if they are willing to bear the U.S. federal income tax consequences associated with investments in PFICs.</w:t>
      </w:r>
    </w:p>
    <w:p>
      <w:pPr>
        <w:spacing w:after="0" w:line="180"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50"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7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To avoid the foregoing rules, a U.S. Holder can make a qualifying electing fund election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0"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7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qualified electing fund rules for any year that we are not a PFIC.</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8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182" w:lineRule="exact"/>
        <w:rPr>
          <w:sz w:val="20"/>
          <w:szCs w:val="20"/>
          <w:color w:val="auto"/>
        </w:rPr>
      </w:pPr>
    </w:p>
    <w:p>
      <w:pPr>
        <w:ind w:left="120" w:right="40" w:firstLine="440"/>
        <w:spacing w:after="0" w:line="24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172"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U.S. for foreign tax credit limitation purposes. U.S. Holders are urged to consult their tax advisers regarding the tax consequences of receiving, converting or disposing of any non-U.S. currency, received or deemed received as dividends on our ADSs or ordinary shares or on the sale or retirement of an ADS or an ordinary share.</w:t>
      </w:r>
    </w:p>
    <w:p>
      <w:pPr>
        <w:spacing w:after="0" w:line="180"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advisers to determine whether and to what extent such U.S. Holder will be entitled to a foreign tax credit.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ADSs or ordinary shares will generally equal the cost of such ADSs or ordinary shares. If a U.S. Holder used foreign currency to purchase the ADSs or ordinary shares, the cost of the ADSs or ordinary shares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the ADSs or ordinary shares will generally be treated as U.S.-source income for foreign tax credit limitation purposes. U.S. Holders should consult their tax advisers regarding the proper treatment of gain or loss, the availability of a</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tax credit, and, for U.S. Holders that sell the ADSs or ordinary shares for an amount denominated in a currency other than the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dollar, any potential foreign currency gain or loss that may have to be recognized.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04"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04"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179"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It assumes that DTC has not made an election under section 97A(1) of the Finance Act 1986. It assumes that we do not (and will not at any time) derive 75% or more of our qualifying asset value, directly or indirectly, from U.K. land.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residence</w:t>
      </w:r>
    </w:p>
    <w:p>
      <w:pPr>
        <w:spacing w:after="0" w:line="10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The company is resident in the U.K. for U.K tax purposes and intends to conduct its affairs such that the central management and control of its business is carried on in the U.K. and accordingly it intends to continue to be treated as resident in the U.K. for U.K tax purposes.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04" w:lineRule="exact"/>
        <w:rPr>
          <w:sz w:val="20"/>
          <w:szCs w:val="20"/>
          <w:color w:val="auto"/>
        </w:rPr>
      </w:pPr>
    </w:p>
    <w:p>
      <w:pPr>
        <w:ind w:left="120" w:right="580" w:firstLine="440"/>
        <w:spacing w:after="0" w:line="27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4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will generally not be subject to U.K. tax in respect of any dividends on our ordinary shares.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0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 individual holder who is not resident in the U.K. for U.K. tax purposes will not be liable to U.K. capital gains tax on capital gains realized on the disposal of their ADSs unless such holder carries on a trade, profession or vocation in the U.K. through a branch or agency in the U.K. to which ADSs are attributable.</w:t>
      </w:r>
    </w:p>
    <w:p>
      <w:pPr>
        <w:spacing w:after="0" w:line="164"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45" w:lineRule="exact"/>
        <w:rPr>
          <w:sz w:val="20"/>
          <w:szCs w:val="20"/>
          <w:color w:val="auto"/>
        </w:rPr>
      </w:pPr>
    </w:p>
    <w:p>
      <w:pPr>
        <w:jc w:val="both"/>
        <w:ind w:left="120" w:right="260" w:firstLine="440"/>
        <w:spacing w:after="0" w:line="255" w:lineRule="auto"/>
        <w:rPr>
          <w:sz w:val="20"/>
          <w:szCs w:val="20"/>
          <w:color w:val="auto"/>
        </w:rPr>
      </w:pPr>
      <w:r>
        <w:rPr>
          <w:rFonts w:ascii="Arial" w:cs="Arial" w:eastAsia="Arial" w:hAnsi="Arial"/>
          <w:sz w:val="18"/>
          <w:szCs w:val="18"/>
          <w:color w:val="auto"/>
        </w:rPr>
        <w:t>A corporate holder of our ADSs which is not resident in the U.K. for U.K. tax purposes will not be liable for U.K. corporation tax on chargeable gains realized on the disposal of our ADSs unless it carries on a trade in the U.K. through a permanent establishment in the U.K. to which our ADSs are attributable.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Inheritance Tax</w:t>
      </w:r>
    </w:p>
    <w:p>
      <w:pPr>
        <w:spacing w:after="0" w:line="104"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If, for the purposes of the Taxes on Estates of Deceased Persons and on Gifts Treaty 1978 between the U.S. and the U.K, an individual holder of ADSs is domiciled in the U.S. and is not a national of the U.K, any ADSs beneficially owned by that holder will not generally be subject to U.K. inheritance tax on that holder’s death or on a gift made by that holder during his/her lifetime, provided that any applicable U.S. federal gift or estate tax liability is paid, except where (i) the ADSs are part of the business property of a U.K. permanent establishment or pertain to a U.K. fixed base used for the performance of independent personal services or (ii) the ADSs are comprised in a settlement unless, at the time the settlement was made, the settlor was domiciled in the U.S. and not a national of the U.K. (in which case no charge to U.K. inheritance tax will apply).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right="100" w:firstLine="440"/>
        <w:spacing w:after="0" w:line="24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that operated by Citibank) or a clearance service (such as DTC). Based on current published HMRC practice and case law, no stamp duty reserve tax (“SDRT”) is payable on the issue of our ordinary shares into a depositary receipt system or a clearance service. Accordingly, no stamp duty or SDRT will generally be payable on the creation and issue of our ADSs pursuant to the issue of our ordinary shares to Citibank’s custodian.</w:t>
      </w:r>
    </w:p>
    <w:p>
      <w:pPr>
        <w:spacing w:after="0" w:line="170"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is generally payable on paperless transfers of, or agreements to transfer, our ADSs through the facilities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w:t>
      </w:r>
    </w:p>
    <w:p>
      <w:pPr>
        <w:spacing w:after="0" w:line="190" w:lineRule="exact"/>
        <w:rPr>
          <w:sz w:val="20"/>
          <w:szCs w:val="20"/>
          <w:color w:val="auto"/>
        </w:rPr>
      </w:pPr>
    </w:p>
    <w:p>
      <w:pPr>
        <w:ind w:left="120" w:right="300" w:firstLine="440"/>
        <w:spacing w:after="0" w:line="276" w:lineRule="auto"/>
        <w:rPr>
          <w:sz w:val="20"/>
          <w:szCs w:val="20"/>
          <w:color w:val="auto"/>
        </w:rPr>
      </w:pPr>
      <w:r>
        <w:rPr>
          <w:rFonts w:ascii="Arial" w:cs="Arial" w:eastAsia="Arial" w:hAnsi="Arial"/>
          <w:sz w:val="18"/>
          <w:szCs w:val="18"/>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145"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72"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We do not expect that HMRC will consider any liability to U.K. stamp duty or SDRT to have arisen in relation to the deposit with the custodian or the depositary of the ordinary shares underlying the ADSs offered by us pursuant to this offering. However, a liability to U.K. stamp duty or SDRT may, depending on the circumstances, arise in respect of the deposit with the custodian or the depositary of ordinary shares where ordinary shares are transferred to the custodian or the depositary otherwise than as an integral part of an issue of share capital.</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455" w:right="5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8"/>
          <w:szCs w:val="18"/>
          <w:color w:val="auto"/>
        </w:rPr>
        <w:t>Subject to the terms and conditions set forth in the underwriting agreement, dated February 9, 2021, between us and SVB Leerink LLC, as the representative of the underwriters named below and as the sole book-running manager of this offering, we have agreed to sell to the underwriters, and each of the underwriters has agreed, severally and not jointly, to purchase from us, the respective number of ADSs shown opposite its name below:</w:t>
      </w:r>
    </w:p>
    <w:p>
      <w:pPr>
        <w:spacing w:after="0" w:line="205" w:lineRule="exact"/>
        <w:rPr>
          <w:sz w:val="20"/>
          <w:szCs w:val="20"/>
          <w:color w:val="auto"/>
        </w:rPr>
      </w:pPr>
    </w:p>
    <w:tbl>
      <w:tblPr>
        <w:tblLayout w:type="fixed"/>
        <w:tblInd w:w="1660" w:type="dxa"/>
        <w:tblCellMar>
          <w:top w:w="0" w:type="dxa"/>
          <w:left w:w="0" w:type="dxa"/>
          <w:bottom w:w="0" w:type="dxa"/>
          <w:right w:w="0" w:type="dxa"/>
        </w:tblCellMar>
      </w:tblPr>
      <w:tr>
        <w:trPr>
          <w:trHeight w:val="197"/>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57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ADS</w:t>
            </w:r>
          </w:p>
        </w:tc>
      </w:tr>
      <w:tr>
        <w:trPr>
          <w:trHeight w:val="190"/>
        </w:trPr>
        <w:tc>
          <w:tcPr>
            <w:tcW w:w="6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SVB Leerink LLC</w:t>
            </w: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25,875,000</w:t>
            </w: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BTIG LLC</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4,312,500</w:t>
            </w:r>
          </w:p>
        </w:tc>
        <w:tc>
          <w:tcPr>
            <w:tcW w:w="80" w:type="dxa"/>
            <w:vAlign w:val="bottom"/>
          </w:tcPr>
          <w:p>
            <w:pPr>
              <w:spacing w:after="0"/>
              <w:rPr>
                <w:sz w:val="17"/>
                <w:szCs w:val="17"/>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Needham &amp; Company, LLC</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4,312,500</w:t>
            </w:r>
          </w:p>
        </w:tc>
        <w:tc>
          <w:tcPr>
            <w:tcW w:w="80" w:type="dxa"/>
            <w:vAlign w:val="bottom"/>
            <w:shd w:val="clear" w:color="auto" w:fill="CCEEFF"/>
          </w:tcPr>
          <w:p>
            <w:pPr>
              <w:spacing w:after="0"/>
              <w:rPr>
                <w:sz w:val="17"/>
                <w:szCs w:val="17"/>
                <w:color w:val="auto"/>
              </w:rPr>
            </w:pPr>
          </w:p>
        </w:tc>
      </w:tr>
      <w:tr>
        <w:trPr>
          <w:trHeight w:val="209"/>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34,500,000</w:t>
            </w:r>
          </w:p>
        </w:tc>
        <w:tc>
          <w:tcPr>
            <w:tcW w:w="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9"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ADSs, that you will be able to sell any of the ADSs held by you at a particular time or that the prices that you receive when you sell will be favorable.</w:t>
      </w:r>
    </w:p>
    <w:p>
      <w:pPr>
        <w:spacing w:after="0" w:line="172"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The underwriters are offering the ADSs subject to their acceptance of the ADSs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The following table shows the per ADS and total underwriting discounts and commissions to be paid by us to the underwriters assuming both no exercise and full exercise of the underwriters’ option to purchase additional ADSs.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Commission and Expenses</w:t>
      </w:r>
    </w:p>
    <w:p>
      <w:pPr>
        <w:spacing w:after="0" w:line="104"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8"/>
          <w:szCs w:val="18"/>
          <w:color w:val="auto"/>
        </w:rPr>
        <w:t>The underwriters have advised us that they propose to offer the ADSs to the public at the public offering price set forth on the cover page of this prospectus and to certain dealers, which may include the underwriters, at that price less a concession not in excess of $0.1044 per ADS. After the offering, the initial public offering price and concession to dealers may be reduced by the representative. No such reduction will change the amount of proceeds to be received by us as set forth on the cover page of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ADS</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r>
      <w:tr>
        <w:trPr>
          <w:trHeight w:val="140"/>
        </w:trPr>
        <w:tc>
          <w:tcPr>
            <w:tcW w:w="498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rPr>
              <w:t>WITHOUT</w:t>
            </w:r>
          </w:p>
        </w:tc>
        <w:tc>
          <w:tcPr>
            <w:tcW w:w="4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rPr>
              <w:t>WITHOUT</w:t>
            </w:r>
          </w:p>
        </w:tc>
        <w:tc>
          <w:tcPr>
            <w:tcW w:w="5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9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c>
          <w:tcPr>
            <w:tcW w:w="48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WITH OPTION TO</w:t>
            </w: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 TO</w:t>
            </w:r>
          </w:p>
        </w:tc>
        <w:tc>
          <w:tcPr>
            <w:tcW w:w="5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 OPTION TO</w:t>
            </w:r>
          </w:p>
        </w:tc>
      </w:tr>
      <w:tr>
        <w:trPr>
          <w:trHeight w:val="162"/>
        </w:trPr>
        <w:tc>
          <w:tcPr>
            <w:tcW w:w="49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48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PURCHASE</w:t>
            </w: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PURCHASE</w:t>
            </w:r>
          </w:p>
        </w:tc>
        <w:tc>
          <w:tcPr>
            <w:tcW w:w="5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49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48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ADDITIONAL</w:t>
            </w:r>
          </w:p>
        </w:tc>
        <w:tc>
          <w:tcPr>
            <w:tcW w:w="5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7"/>
        </w:trPr>
        <w:tc>
          <w:tcPr>
            <w:tcW w:w="498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ADSs</w:t>
            </w:r>
          </w:p>
        </w:tc>
        <w:tc>
          <w:tcPr>
            <w:tcW w:w="480" w:type="dxa"/>
            <w:vAlign w:val="bottom"/>
          </w:tcPr>
          <w:p>
            <w:pPr>
              <w:spacing w:after="0"/>
              <w:rPr>
                <w:sz w:val="15"/>
                <w:szCs w:val="15"/>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ADSs</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ADSs</w:t>
            </w:r>
          </w:p>
        </w:tc>
        <w:tc>
          <w:tcPr>
            <w:tcW w:w="5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ADSs</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880" w:type="dxa"/>
            <w:vAlign w:val="bottom"/>
            <w:tcBorders>
              <w:top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w w:val="93"/>
              </w:rPr>
              <w:t>2.900</w:t>
            </w: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760"/>
              <w:spacing w:after="0" w:line="196" w:lineRule="exact"/>
              <w:rPr>
                <w:sz w:val="20"/>
                <w:szCs w:val="20"/>
                <w:color w:val="auto"/>
              </w:rPr>
            </w:pPr>
            <w:r>
              <w:rPr>
                <w:rFonts w:ascii="Arial" w:cs="Arial" w:eastAsia="Arial" w:hAnsi="Arial"/>
                <w:sz w:val="18"/>
                <w:szCs w:val="18"/>
                <w:color w:val="auto"/>
                <w:w w:val="93"/>
              </w:rPr>
              <w:t>2.900</w:t>
            </w:r>
          </w:p>
        </w:tc>
        <w:tc>
          <w:tcPr>
            <w:tcW w:w="5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100,050,000</w:t>
            </w: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115,057,500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0.174</w:t>
            </w:r>
          </w:p>
        </w:tc>
        <w:tc>
          <w:tcPr>
            <w:tcW w:w="222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0.174</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6,003,000</w:t>
            </w:r>
          </w:p>
        </w:tc>
        <w:tc>
          <w:tcPr>
            <w:tcW w:w="1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6,903,450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2.726</w:t>
            </w:r>
          </w:p>
        </w:tc>
        <w:tc>
          <w:tcPr>
            <w:tcW w:w="2220" w:type="dxa"/>
            <w:vAlign w:val="bottom"/>
            <w:gridSpan w:val="3"/>
            <w:shd w:val="clear" w:color="auto" w:fill="CCEEFF"/>
          </w:tcPr>
          <w:p>
            <w:pPr>
              <w:ind w:left="1240"/>
              <w:spacing w:after="0" w:line="202" w:lineRule="exact"/>
              <w:rPr>
                <w:sz w:val="20"/>
                <w:szCs w:val="20"/>
                <w:color w:val="auto"/>
              </w:rPr>
            </w:pPr>
            <w:r>
              <w:rPr>
                <w:rFonts w:ascii="Arial" w:cs="Arial" w:eastAsia="Arial" w:hAnsi="Arial"/>
                <w:sz w:val="18"/>
                <w:szCs w:val="18"/>
                <w:color w:val="auto"/>
              </w:rPr>
              <w:t>2.726</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94,047,000</w:t>
            </w:r>
          </w:p>
        </w:tc>
        <w:tc>
          <w:tcPr>
            <w:tcW w:w="1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108,154,050</w:t>
            </w:r>
          </w:p>
        </w:tc>
      </w:tr>
    </w:tbl>
    <w:p>
      <w:pPr>
        <w:spacing w:after="0" w:line="193"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$500,000. We also have agreed to reimburse the underwriters for up to $25,000 for their FINRA counsel fee. In accordance with FINRA Rule 5110, this reimbursed fee is deemed underwriting compensation for this offering.</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ADSs are listed on The Nasdaq Global Market under the trading symbol “MREO.”</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Stamp Taxes</w:t>
      </w:r>
    </w:p>
    <w:p>
      <w:pPr>
        <w:spacing w:after="0" w:line="104" w:lineRule="exact"/>
        <w:rPr>
          <w:sz w:val="20"/>
          <w:szCs w:val="20"/>
          <w:color w:val="auto"/>
        </w:rPr>
      </w:pPr>
    </w:p>
    <w:p>
      <w:pPr>
        <w:ind w:left="120" w:right="420" w:firstLine="440"/>
        <w:spacing w:after="0" w:line="276" w:lineRule="auto"/>
        <w:rPr>
          <w:sz w:val="20"/>
          <w:szCs w:val="20"/>
          <w:color w:val="auto"/>
        </w:rPr>
      </w:pPr>
      <w:r>
        <w:rPr>
          <w:rFonts w:ascii="Arial" w:cs="Arial" w:eastAsia="Arial" w:hAnsi="Arial"/>
          <w:sz w:val="18"/>
          <w:szCs w:val="18"/>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to Purchase Additional ADSs</w:t>
      </w:r>
    </w:p>
    <w:p>
      <w:pPr>
        <w:spacing w:after="0" w:line="104" w:lineRule="exact"/>
        <w:rPr>
          <w:sz w:val="20"/>
          <w:szCs w:val="20"/>
          <w:color w:val="auto"/>
        </w:rPr>
      </w:pPr>
    </w:p>
    <w:p>
      <w:pPr>
        <w:ind w:left="120" w:right="160" w:firstLine="440"/>
        <w:spacing w:after="0" w:line="243"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from time to time, in whole or in part, up to an aggregate of 5,175,000 of our ADSs from us at the public offering price set forth on the cover page of this prospectus,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Sales of Similar Securities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our officers and directors have agreed, subject to specified exceptions, not to directly or indirectly:</w:t>
      </w:r>
    </w:p>
    <w:p>
      <w:pPr>
        <w:spacing w:after="0" w:line="239" w:lineRule="exact"/>
        <w:rPr>
          <w:sz w:val="20"/>
          <w:szCs w:val="20"/>
          <w:color w:val="auto"/>
        </w:rPr>
      </w:pPr>
    </w:p>
    <w:p>
      <w:pPr>
        <w:ind w:left="980" w:right="500" w:hanging="432"/>
        <w:spacing w:after="0" w:line="232"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w:t>
      </w:r>
    </w:p>
    <w:p>
      <w:pPr>
        <w:ind w:left="980" w:right="160" w:hanging="432"/>
        <w:spacing w:after="0" w:line="232"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otherwise dispose of any share capital, options or warrants to acquire share capital, or securities exchangeable or exercisable for or convertible into share capital currently or hereafter owned either of record or beneficially, or</w:t>
      </w:r>
    </w:p>
    <w:p>
      <w:pPr>
        <w:ind w:left="980" w:right="320" w:hanging="432"/>
        <w:spacing w:after="0" w:line="232"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publicly announce an intention to do any of the foregoing for a period of 90 days after the date of this prospectus without the prior written consent of SVB Leerink LLC.</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This restriction terminates after the close of trading of the ADSs on and including the 90</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The restrictions described above do not apply to sales of our shares pursuant to any existing or future ATM sales agreement following the earlier of (x) the underwriters’ exercise in full of their option to purchase additional shares from us as described herein and (y) the date that is 30 days after the date of this prospectus.</w:t>
      </w:r>
    </w:p>
    <w:p>
      <w:pPr>
        <w:spacing w:after="0" w:line="171"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8"/>
          <w:szCs w:val="18"/>
          <w:color w:val="auto"/>
        </w:rPr>
        <w:t>SVB Leerink LLC may, in its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 capital prior to the expiration of the lock-up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Stabilization</w:t>
      </w:r>
    </w:p>
    <w:p>
      <w:pPr>
        <w:spacing w:after="0" w:line="104"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ADSs at a level above that which might otherwise prevail in the open market. Establishing short sales positions may involve either “covered” short sales or “naked” short sales.</w:t>
      </w:r>
    </w:p>
    <w:p>
      <w:pPr>
        <w:spacing w:after="0" w:line="172"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172"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8"/>
          <w:szCs w:val="18"/>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170"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A stabilizing bid is a bid for the purchase of ADSs on behalf of the underwriters for the purpose of fixing or maintaining the price of the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A penalty bid is an arrangement permitting the underwriters to reclaim the selling concession otherwise accruing to a syndicate member in connection with the offering if the ADSs originally sold by such syndicate member are purchased in a syndicate covering transaction and therefore have not been effectively placed by such syndicate member.</w:t>
      </w:r>
    </w:p>
    <w:p>
      <w:pPr>
        <w:spacing w:after="0" w:line="180" w:lineRule="exact"/>
        <w:rPr>
          <w:sz w:val="20"/>
          <w:szCs w:val="20"/>
          <w:color w:val="auto"/>
        </w:rPr>
      </w:pPr>
    </w:p>
    <w:p>
      <w:pPr>
        <w:jc w:val="both"/>
        <w:ind w:left="120" w:right="140" w:firstLine="440"/>
        <w:spacing w:after="0" w:line="255"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ADSs. The underwriters are not obligated to engage in these activities and, if commenced, any of the activities may be discontinued at any time.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Electronic Distribution</w:t>
      </w:r>
    </w:p>
    <w:p>
      <w:pPr>
        <w:spacing w:after="0" w:line="104" w:lineRule="exact"/>
        <w:rPr>
          <w:sz w:val="20"/>
          <w:szCs w:val="20"/>
          <w:color w:val="auto"/>
        </w:rPr>
      </w:pPr>
    </w:p>
    <w:p>
      <w:pPr>
        <w:ind w:left="120" w:right="40" w:firstLine="440"/>
        <w:spacing w:after="0" w:line="241" w:lineRule="auto"/>
        <w:rPr>
          <w:sz w:val="20"/>
          <w:szCs w:val="20"/>
          <w:color w:val="auto"/>
        </w:rPr>
      </w:pPr>
      <w:r>
        <w:rPr>
          <w:rFonts w:ascii="Arial" w:cs="Arial" w:eastAsia="Arial" w:hAnsi="Arial"/>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Activities and Relationships</w:t>
      </w:r>
    </w:p>
    <w:p>
      <w:pPr>
        <w:spacing w:after="0" w:line="104" w:lineRule="exact"/>
        <w:rPr>
          <w:sz w:val="20"/>
          <w:szCs w:val="20"/>
          <w:color w:val="auto"/>
        </w:rPr>
      </w:pPr>
    </w:p>
    <w:p>
      <w:pPr>
        <w:ind w:left="120" w:right="100" w:firstLine="440"/>
        <w:spacing w:after="0" w:line="24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72"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offered hereby. Any such short positions could adversely affect future 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jc w:val="center"/>
        <w:ind w:right="9300"/>
        <w:spacing w:after="0"/>
        <w:rPr>
          <w:sz w:val="20"/>
          <w:szCs w:val="20"/>
          <w:color w:val="auto"/>
        </w:rPr>
      </w:pPr>
      <w:r>
        <w:rPr>
          <w:rFonts w:ascii="Arial" w:cs="Arial" w:eastAsia="Arial" w:hAnsi="Arial"/>
          <w:sz w:val="18"/>
          <w:szCs w:val="18"/>
          <w:b w:val="1"/>
          <w:bCs w:val="1"/>
          <w:color w:val="auto"/>
        </w:rPr>
        <w:t>Notice to Investors</w:t>
      </w:r>
    </w:p>
    <w:p>
      <w:pPr>
        <w:spacing w:after="0" w:line="106" w:lineRule="exact"/>
        <w:rPr>
          <w:sz w:val="20"/>
          <w:szCs w:val="20"/>
          <w:color w:val="auto"/>
        </w:rPr>
      </w:pPr>
    </w:p>
    <w:p>
      <w:pPr>
        <w:jc w:val="center"/>
        <w:ind w:right="9260"/>
        <w:spacing w:after="0"/>
        <w:rPr>
          <w:sz w:val="20"/>
          <w:szCs w:val="20"/>
          <w:color w:val="auto"/>
        </w:rPr>
      </w:pPr>
      <w:r>
        <w:rPr>
          <w:rFonts w:ascii="Arial" w:cs="Arial" w:eastAsia="Arial" w:hAnsi="Arial"/>
          <w:sz w:val="18"/>
          <w:szCs w:val="18"/>
          <w:b w:val="1"/>
          <w:bCs w:val="1"/>
          <w:i w:val="1"/>
          <w:iCs w:val="1"/>
          <w:color w:val="auto"/>
        </w:rPr>
        <w:t>Australia</w:t>
      </w:r>
    </w:p>
    <w:p>
      <w:pPr>
        <w:spacing w:after="0" w:line="10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confirm and warrant that you are either:</w:t>
      </w:r>
    </w:p>
    <w:p>
      <w:pPr>
        <w:spacing w:after="0" w:line="228"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“sophisticated investor” under section 708(8)(a) or (b) of the Corporations Act;</w:t>
      </w:r>
    </w:p>
    <w:p>
      <w:pPr>
        <w:spacing w:after="0" w:line="22" w:lineRule="exact"/>
        <w:rPr>
          <w:rFonts w:ascii="MS PGothic" w:cs="MS PGothic" w:eastAsia="MS PGothic" w:hAnsi="MS PGothic"/>
          <w:sz w:val="25"/>
          <w:szCs w:val="25"/>
          <w:color w:val="auto"/>
          <w:vertAlign w:val="superscript"/>
        </w:rPr>
      </w:pPr>
    </w:p>
    <w:p>
      <w:pPr>
        <w:ind w:left="980" w:hanging="432"/>
        <w:spacing w:after="0" w:line="22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“professional investor” within the meaning of section 708(11)(a) or (b) of the Corporations Act.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76"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4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04"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94"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520" w:firstLine="440"/>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4"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In relation to each member state of the European Economic Area (each referred to as a “Relevant State”) no securities which are the subject of the offering contemplated by this prospectus have been offered or will be offered to the public in that Relevant State prior to the publication of a prospectus in relation to the securities which has been approved by the competent authority in that Relevant State, all in accordance with the Prospectus Regulation, except that an offer to the public in that Relevant State of any securities may be made at any time under the following exemptions under the Prospectus Regulation:</w:t>
      </w:r>
    </w:p>
    <w:p>
      <w:pPr>
        <w:spacing w:after="0" w:line="189"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Prospectus Regulation;</w:t>
      </w:r>
    </w:p>
    <w:p>
      <w:pPr>
        <w:spacing w:after="0" w:line="22" w:lineRule="exact"/>
        <w:rPr>
          <w:rFonts w:ascii="MS PGothic" w:cs="MS PGothic" w:eastAsia="MS PGothic" w:hAnsi="MS PGothic"/>
          <w:sz w:val="25"/>
          <w:szCs w:val="25"/>
          <w:color w:val="auto"/>
          <w:vertAlign w:val="superscript"/>
        </w:rPr>
      </w:pPr>
    </w:p>
    <w:p>
      <w:pPr>
        <w:ind w:left="980" w:right="40" w:hanging="432"/>
        <w:spacing w:after="0" w:line="22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150 natural or legal persons (other than qualified investors as defined in the Prospectus Regulation) per Relevant Member State, subject to obtaining the prior consent of the underwriters for any such offer;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1(4) of the Prospectus Regulation,</w:t>
      </w:r>
    </w:p>
    <w:p>
      <w:pPr>
        <w:spacing w:after="0" w:line="176"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color w:val="auto"/>
        </w:rPr>
        <w:t>provided that no such offer of securities shall require us or any of the underwriters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80"/>
        <w:spacing w:after="0" w:line="276" w:lineRule="auto"/>
        <w:rPr>
          <w:sz w:val="20"/>
          <w:szCs w:val="20"/>
          <w:color w:val="auto"/>
        </w:rPr>
      </w:pPr>
      <w:r>
        <w:rPr>
          <w:rFonts w:ascii="Arial" w:cs="Arial" w:eastAsia="Arial" w:hAnsi="Arial"/>
          <w:sz w:val="18"/>
          <w:szCs w:val="18"/>
          <w:color w:val="auto"/>
        </w:rPr>
        <w:t>decide to purchase any securities, and the expression “Prospectus Regulation” means Regulation (EU) 2017/1129 and includes any relevant delegated regulations.</w:t>
      </w:r>
    </w:p>
    <w:p>
      <w:pPr>
        <w:spacing w:after="0" w:line="14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This prospectus has been prepared on the basis that any offer of ADSs in any Relevant State or the United Kingdom will be made pursuant to an exemption under the Prospectus Regulation from the requirement to publish a prospectus for offers of securities. Accordingly any person making or intending to make an offer in any Relevant State or the United Kingdom of securities which are the subject of the offering contemplated in this prospectus may only do so in circumstances in which no obligation arises for us or any of the underwriters to publish a prospectus pursuant to Article 3 of the Prospectus Regulation in relation to such offer. Neither we nor the underwriters have authorized, nor do they authorize, the making of any offer of ADSs in circumstances in which an obligation arises for us or the underwriters to publish a prospectus for such offer.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MIFID II Product Governance</w:t>
      </w:r>
    </w:p>
    <w:p>
      <w:pPr>
        <w:spacing w:after="0" w:line="104"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Solely for the purposes of the manufacturer’s product approval process, the target market assessment in respect of the ADSs led to the conclusion that: (i) the target market for the ADSs is eligible counterparties and professional clients only, each as defined in MiFID II; and (ii) all channels for distribution of the ADSs to eligible counterparties and professional clients are appropriate. Any person subsequently offering, selling or recommending the ADSs (a “distributor”) should take into consideration the manufacturer’s target market assessment; however, a distributor subject to MiFID II is responsible for undertaking its own target market assessment in respect of the ADSs (by either adopting or refining the manufacturer’s target market assessment) and determining appropriate distribution channels.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80"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04" w:lineRule="exact"/>
        <w:rPr>
          <w:sz w:val="20"/>
          <w:szCs w:val="20"/>
          <w:color w:val="auto"/>
        </w:rPr>
      </w:pPr>
    </w:p>
    <w:p>
      <w:pPr>
        <w:ind w:left="120" w:right="60" w:firstLine="440"/>
        <w:spacing w:after="0" w:line="276" w:lineRule="auto"/>
        <w:rPr>
          <w:sz w:val="20"/>
          <w:szCs w:val="20"/>
          <w:color w:val="auto"/>
        </w:rPr>
      </w:pPr>
      <w:r>
        <w:rPr>
          <w:rFonts w:ascii="Arial" w:cs="Arial" w:eastAsia="Arial" w:hAnsi="Arial"/>
          <w:sz w:val="18"/>
          <w:szCs w:val="18"/>
          <w:color w:val="auto"/>
        </w:rPr>
        <w:t>The offering has have not been and will not be registered under the Financial Instruments and Exchange Law of Japan, or Financial Instruments Exchange Law (Law No. 25 of 1948 of Japan, as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5"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5" w:lineRule="auto"/>
        <w:rPr>
          <w:sz w:val="20"/>
          <w:szCs w:val="20"/>
          <w:color w:val="auto"/>
        </w:rPr>
      </w:pPr>
      <w:r>
        <w:rPr>
          <w:rFonts w:ascii="Arial" w:cs="Arial" w:eastAsia="Arial" w:hAnsi="Arial"/>
          <w:sz w:val="18"/>
          <w:szCs w:val="18"/>
          <w:color w:val="auto"/>
        </w:rPr>
        <w:t>amended), or FIEL, and each underwriter has agreed that it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0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39" w:lineRule="exact"/>
        <w:rPr>
          <w:sz w:val="20"/>
          <w:szCs w:val="20"/>
          <w:color w:val="auto"/>
        </w:rPr>
      </w:pPr>
    </w:p>
    <w:p>
      <w:pPr>
        <w:ind w:left="540" w:right="300" w:hanging="424"/>
        <w:spacing w:after="0" w:line="232" w:lineRule="auto"/>
        <w:tabs>
          <w:tab w:leader="none" w:pos="54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ind w:left="540" w:hanging="424"/>
        <w:spacing w:after="0" w:line="233" w:lineRule="auto"/>
        <w:tabs>
          <w:tab w:leader="none" w:pos="54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 w:lineRule="exact"/>
        <w:rPr>
          <w:rFonts w:ascii="MS PGothic" w:cs="MS PGothic" w:eastAsia="MS PGothic" w:hAnsi="MS PGothic"/>
          <w:sz w:val="25"/>
          <w:szCs w:val="25"/>
          <w:color w:val="auto"/>
          <w:vertAlign w:val="superscript"/>
        </w:rPr>
      </w:pPr>
    </w:p>
    <w:p>
      <w:pPr>
        <w:ind w:left="980" w:right="280" w:hanging="432"/>
        <w:spacing w:after="0" w:line="232"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ind w:left="980" w:hanging="432"/>
        <w:spacing w:after="0" w:line="230"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no consideration is or will be given for the transfer;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by operation of law;</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Section 276(7) of the SFA; or</w:t>
      </w:r>
    </w:p>
    <w:p>
      <w:pPr>
        <w:spacing w:after="0" w:line="22" w:lineRule="exact"/>
        <w:rPr>
          <w:rFonts w:ascii="MS PGothic" w:cs="MS PGothic" w:eastAsia="MS PGothic" w:hAnsi="MS PGothic"/>
          <w:sz w:val="25"/>
          <w:szCs w:val="25"/>
          <w:color w:val="auto"/>
          <w:vertAlign w:val="superscript"/>
        </w:rPr>
      </w:pPr>
    </w:p>
    <w:p>
      <w:pPr>
        <w:ind w:left="980" w:right="100" w:hanging="432"/>
        <w:spacing w:after="0" w:line="220" w:lineRule="auto"/>
        <w:tabs>
          <w:tab w:leader="none" w:pos="980" w:val="left"/>
        </w:tabs>
        <w:numPr>
          <w:ilvl w:val="1"/>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04" w:lineRule="exact"/>
        <w:rPr>
          <w:sz w:val="20"/>
          <w:szCs w:val="20"/>
          <w:color w:val="auto"/>
        </w:rPr>
      </w:pPr>
    </w:p>
    <w:p>
      <w:pPr>
        <w:ind w:left="120" w:right="100" w:firstLine="440"/>
        <w:spacing w:after="0" w:line="245"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relating to the securities or the offering may be publicly distributed or otherwise made publicly available in Switzerland.</w:t>
      </w:r>
    </w:p>
    <w:p>
      <w:pPr>
        <w:spacing w:after="0" w:line="212"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No ADSs have been offered or will be offered pursuant to the offering to the public in the U.K. prior to the publication of a prospectus in relation to the Shares which has been approved by the Financial Conduct Authority, except that the ADSs may be offered to the public in the U.K. at any time:</w:t>
      </w:r>
    </w:p>
    <w:p>
      <w:pPr>
        <w:spacing w:after="0" w:line="6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540" w:right="880" w:hanging="424"/>
        <w:spacing w:after="0" w:line="27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underwiters for any such offer; or</w:t>
      </w:r>
    </w:p>
    <w:p>
      <w:pPr>
        <w:spacing w:after="0" w:line="50"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provided that no such offer of the ADSs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ADSs in the U.K. means the communication in any form and by any means of sufficient information on the terms of the offer and any ADSs to be offered so as to enable an investor to decide to purchase any ADSs, and the expression “U.K. Prospectus Regulation” means Regulation (EU) 2017/1129 as it forms part of domestic law by virtue of the European Union (Withdrawal) Act 2018 and “FSMA” means the Financial Services and Markets Act 2000.</w:t>
      </w:r>
    </w:p>
    <w:p>
      <w:pPr>
        <w:spacing w:after="0" w:line="174"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In addition, in the U.K., this prospectus is only being distributed to, and is only directed at, persons in the U.K. that are “qualified investors” within the meaning of the U.K. Prospectus Regulation and that are also (i)investment professionals falling within Article 19(5) of the Financial Services and Markets Act 2000 (Financial Promotion) Order 2005, as amended, referred to herein as the “Order”, and/or (ii)high net worth entities falling within Article49(2)(a) to (d)of the Order and/or (iii) other persons to whom it may lawfully be communicated. Each such person is referred to herein as a “Relevant Person”.</w:t>
      </w:r>
    </w:p>
    <w:p>
      <w:pPr>
        <w:spacing w:after="0" w:line="172"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(inwhole or in part) or disclosed by recipients to any other persons in the U.K. Any person in the U.K. that is not a Relevant Person should not act or rely on this document or any of its contents, or use it as a basis for taking any action. In the U.K., any investment or investment activity to which this prospectus relates may be made or taken only by a Relevant Person.</w:t>
      </w: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Certain legal matters of U.S. federal law and New York State law will be passed upon for us by Mayer Brown LLP. The validity of the ordinary shares represented by ADSs and certain other matters as to English law will be passed upon for us by Mayer Brown International LLP. Kirkland &amp; Ellis LLP, New York, New York, is counsel to the underwriters in connection with this offering.</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on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business address of Ernst &amp; Young LLP is Apex Plaza, Forbury Road, Reading, RG1 1YE, United Kingdom.</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14"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U.S. As a result, it may be difficult for investors to effect service of process in the U.S. on us or those persons or to enforce in the U.S. judgments obtained in U.S. courts against us or those persons based on the civil liability or other provisions of the U.S. securities laws or other laws.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32"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U.S. or any state in the U.S.; or</w:t>
      </w:r>
    </w:p>
    <w:p>
      <w:pPr>
        <w:ind w:left="980" w:right="320" w:hanging="432"/>
        <w:spacing w:after="0" w:line="232"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U.S. or any state in the U.S.</w:t>
      </w:r>
    </w:p>
    <w:p>
      <w:pPr>
        <w:spacing w:after="0" w:line="176"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8"/>
          <w:szCs w:val="18"/>
          <w:color w:val="auto"/>
        </w:rPr>
        <w:t>There is currently no treaty between (i) the U.S. and (ii) England and Wales providing for reciprocal recognition and enforcement of judgments of U.S. courts in civil and commercial matters, although the U.S. and the U.K. are both parties to the New York Convention on the Recognition and Enforcement of Foreign Arbitral Awards. A final judgment for the payment of money rendered by any general or state court in the U.S. based on civil liability, whether or not predicated solely upon the U.S. securities laws, will not be automatically enforceable in England and Wales. Any final and conclusive monetary judgment for a definite sum obtained against us in U.S. courts will be treated by the courts of England and Wales as a cause of action in itself and sued upon as a debt at common law so that no retrial of the issues will be necessary, provided that:</w:t>
      </w:r>
    </w:p>
    <w:p>
      <w:pPr>
        <w:spacing w:after="0" w:line="206" w:lineRule="exact"/>
        <w:rPr>
          <w:sz w:val="20"/>
          <w:szCs w:val="20"/>
          <w:color w:val="auto"/>
        </w:rPr>
      </w:pPr>
    </w:p>
    <w:p>
      <w:pPr>
        <w:ind w:left="980" w:right="60" w:hanging="432"/>
        <w:spacing w:after="0" w:line="233"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ind w:left="980" w:right="60" w:hanging="432"/>
        <w:spacing w:after="0" w:line="232"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U.S.;</w:t>
      </w:r>
    </w:p>
    <w:p>
      <w:pPr>
        <w:ind w:left="980" w:right="680" w:hanging="432"/>
        <w:spacing w:after="0" w:line="232"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2"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1" w:lineRule="exact"/>
        <w:rPr>
          <w:rFonts w:ascii="MS PGothic" w:cs="MS PGothic" w:eastAsia="MS PGothic" w:hAnsi="MS PGothic"/>
          <w:sz w:val="25"/>
          <w:szCs w:val="25"/>
          <w:color w:val="auto"/>
          <w:vertAlign w:val="superscript"/>
        </w:rPr>
      </w:pPr>
    </w:p>
    <w:p>
      <w:pPr>
        <w:ind w:left="980" w:right="220" w:hanging="432"/>
        <w:spacing w:after="0" w:line="232"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right="100" w:hanging="432"/>
        <w:spacing w:after="0" w:line="233"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2" w:lineRule="exact"/>
        <w:rPr>
          <w:rFonts w:ascii="MS PGothic" w:cs="MS PGothic" w:eastAsia="MS PGothic" w:hAnsi="MS PGothic"/>
          <w:sz w:val="25"/>
          <w:szCs w:val="25"/>
          <w:color w:val="auto"/>
          <w:vertAlign w:val="superscript"/>
        </w:rPr>
      </w:pPr>
    </w:p>
    <w:p>
      <w:pPr>
        <w:ind w:left="980" w:right="140" w:hanging="432"/>
        <w:spacing w:after="0" w:line="232"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17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U.S. securities laws, including whether the award of monetary damages under such laws would constitute a penalty, is an issue for the English court making such decision.</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64"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F-3 under the Securities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174"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170"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14" w:lineRule="exact"/>
        <w:rPr>
          <w:sz w:val="20"/>
          <w:szCs w:val="20"/>
          <w:color w:val="auto"/>
        </w:rPr>
      </w:pPr>
    </w:p>
    <w:p>
      <w:pPr>
        <w:ind w:left="120" w:right="200" w:firstLine="440"/>
        <w:spacing w:after="0" w:line="245"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8"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4">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2" w:lineRule="exact"/>
        <w:rPr>
          <w:rFonts w:ascii="Arial" w:cs="Arial" w:eastAsia="Arial" w:hAnsi="Arial"/>
          <w:sz w:val="18"/>
          <w:szCs w:val="18"/>
          <w:color w:val="auto"/>
        </w:rPr>
      </w:pPr>
    </w:p>
    <w:p>
      <w:pPr>
        <w:ind w:left="980" w:right="20" w:hanging="432"/>
        <w:spacing w:after="0" w:line="22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55">
        <w:r>
          <w:rPr>
            <w:rFonts w:ascii="Arial" w:cs="Arial" w:eastAsia="Arial" w:hAnsi="Arial"/>
            <w:sz w:val="18"/>
            <w:szCs w:val="18"/>
            <w:u w:val="single" w:color="auto"/>
            <w:color w:val="0000EE"/>
          </w:rPr>
          <w:t>September 29,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October 1, 2020</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October 19, 2020</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October 20, 2020</w:t>
        </w:r>
      </w:hyperlink>
      <w:r>
        <w:rPr>
          <w:rFonts w:ascii="Arial" w:cs="Arial" w:eastAsia="Arial" w:hAnsi="Arial"/>
          <w:sz w:val="18"/>
          <w:szCs w:val="18"/>
          <w:color w:val="auto"/>
        </w:rPr>
        <w:t xml:space="preserve">, and </w:t>
      </w:r>
      <w:hyperlink r:id="rId59">
        <w:r>
          <w:rPr>
            <w:rFonts w:ascii="Arial" w:cs="Arial" w:eastAsia="Arial" w:hAnsi="Arial"/>
            <w:sz w:val="18"/>
            <w:szCs w:val="18"/>
            <w:u w:val="single" w:color="auto"/>
            <w:color w:val="0000EE"/>
          </w:rPr>
          <w:t>December 17, 2020</w:t>
        </w:r>
      </w:hyperlink>
      <w:r>
        <w:rPr>
          <w:rFonts w:ascii="Arial" w:cs="Arial" w:eastAsia="Arial" w:hAnsi="Arial"/>
          <w:sz w:val="18"/>
          <w:szCs w:val="18"/>
          <w:color w:val="auto"/>
        </w:rPr>
        <w:t>, that we incorporate by reference into this prospectus supplement; and</w:t>
      </w:r>
    </w:p>
    <w:p>
      <w:pPr>
        <w:spacing w:after="0" w:line="1" w:lineRule="exact"/>
        <w:rPr>
          <w:rFonts w:ascii="Arial" w:cs="Arial" w:eastAsia="Arial" w:hAnsi="Arial"/>
          <w:sz w:val="18"/>
          <w:szCs w:val="18"/>
          <w:color w:val="auto"/>
        </w:rPr>
      </w:pPr>
    </w:p>
    <w:p>
      <w:pPr>
        <w:ind w:left="980" w:hanging="432"/>
        <w:spacing w:after="0" w:line="23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60">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61">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178" w:lineRule="exact"/>
        <w:rPr>
          <w:rFonts w:ascii="MS PGothic" w:cs="MS PGothic" w:eastAsia="MS PGothic" w:hAnsi="MS PGothic"/>
          <w:sz w:val="25"/>
          <w:szCs w:val="25"/>
          <w:color w:val="auto"/>
          <w:vertAlign w:val="superscript"/>
        </w:rPr>
      </w:pPr>
    </w:p>
    <w:p>
      <w:pPr>
        <w:ind w:left="120" w:firstLine="440"/>
        <w:spacing w:after="0"/>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w:t>
      </w:r>
    </w:p>
    <w:p>
      <w:pPr>
        <w:spacing w:after="0" w:line="180" w:lineRule="exact"/>
        <w:rPr>
          <w:rFonts w:ascii="MS PGothic" w:cs="MS PGothic" w:eastAsia="MS PGothic" w:hAnsi="MS PGothic"/>
          <w:sz w:val="25"/>
          <w:szCs w:val="25"/>
          <w:color w:val="auto"/>
          <w:vertAlign w:val="superscript"/>
        </w:rPr>
      </w:pPr>
    </w:p>
    <w:p>
      <w:pPr>
        <w:ind w:left="120" w:right="180" w:firstLine="440"/>
        <w:spacing w:after="0" w:line="24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w:t>
      </w:r>
    </w:p>
    <w:p>
      <w:pPr>
        <w:spacing w:after="0" w:line="170" w:lineRule="exact"/>
        <w:rPr>
          <w:rFonts w:ascii="MS PGothic" w:cs="MS PGothic" w:eastAsia="MS PGothic" w:hAnsi="MS PGothic"/>
          <w:sz w:val="25"/>
          <w:szCs w:val="25"/>
          <w:color w:val="auto"/>
          <w:vertAlign w:val="superscript"/>
        </w:rPr>
      </w:pPr>
    </w:p>
    <w:p>
      <w:pPr>
        <w:ind w:left="120" w:right="280" w:firstLine="440"/>
        <w:spacing w:after="0" w:line="276"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these filings, at no cost, upon written or oral request to us at the following address:</w:t>
      </w:r>
    </w:p>
    <w:p>
      <w:pPr>
        <w:spacing w:after="0" w:line="37"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Mereo BioPharma Group plc</w:t>
      </w:r>
    </w:p>
    <w:p>
      <w:pPr>
        <w:spacing w:after="0" w:line="13"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1 Cavendish Place</w:t>
      </w:r>
    </w:p>
    <w:p>
      <w:pPr>
        <w:jc w:val="center"/>
        <w:ind w:right="-159"/>
        <w:spacing w:after="0" w:line="234" w:lineRule="auto"/>
        <w:rPr>
          <w:sz w:val="20"/>
          <w:szCs w:val="20"/>
          <w:color w:val="auto"/>
        </w:rPr>
      </w:pPr>
      <w:r>
        <w:rPr>
          <w:rFonts w:ascii="Arial" w:cs="Arial" w:eastAsia="Arial" w:hAnsi="Arial"/>
          <w:sz w:val="18"/>
          <w:szCs w:val="18"/>
          <w:color w:val="auto"/>
        </w:rPr>
        <w:t>4th Floor</w:t>
      </w:r>
    </w:p>
    <w:p>
      <w:pPr>
        <w:jc w:val="center"/>
        <w:ind w:right="-159"/>
        <w:spacing w:after="0" w:line="235" w:lineRule="auto"/>
        <w:rPr>
          <w:sz w:val="20"/>
          <w:szCs w:val="20"/>
          <w:color w:val="auto"/>
        </w:rPr>
      </w:pPr>
      <w:r>
        <w:rPr>
          <w:rFonts w:ascii="Arial" w:cs="Arial" w:eastAsia="Arial" w:hAnsi="Arial"/>
          <w:sz w:val="18"/>
          <w:szCs w:val="18"/>
          <w:color w:val="auto"/>
        </w:rPr>
        <w:t>London, W1G 0QF</w:t>
      </w:r>
    </w:p>
    <w:p>
      <w:pPr>
        <w:jc w:val="center"/>
        <w:ind w:right="-159"/>
        <w:spacing w:after="0" w:line="235" w:lineRule="auto"/>
        <w:rPr>
          <w:sz w:val="20"/>
          <w:szCs w:val="20"/>
          <w:color w:val="auto"/>
        </w:rPr>
      </w:pPr>
      <w:r>
        <w:rPr>
          <w:rFonts w:ascii="Arial" w:cs="Arial" w:eastAsia="Arial" w:hAnsi="Arial"/>
          <w:sz w:val="18"/>
          <w:szCs w:val="18"/>
          <w:color w:val="auto"/>
        </w:rPr>
        <w:t>United Kingdom</w:t>
      </w:r>
    </w:p>
    <w:p>
      <w:pPr>
        <w:jc w:val="center"/>
        <w:ind w:right="-159"/>
        <w:spacing w:after="0" w:line="235" w:lineRule="auto"/>
        <w:rPr>
          <w:sz w:val="20"/>
          <w:szCs w:val="20"/>
          <w:color w:val="auto"/>
        </w:rPr>
      </w:pPr>
      <w:r>
        <w:rPr>
          <w:rFonts w:ascii="Arial" w:cs="Arial" w:eastAsia="Arial" w:hAnsi="Arial"/>
          <w:sz w:val="18"/>
          <w:szCs w:val="18"/>
          <w:color w:val="auto"/>
        </w:rPr>
        <w:t>Tel: +44-333-023-7300</w:t>
      </w: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365"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080"/>
          </w:cols>
          <w:pgMar w:left="320" w:top="455"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 this prospectus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20"/>
          </w:cols>
          <w:pgMar w:left="320" w:top="455" w:right="5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98425</wp:posOffset>
            </wp:positionV>
            <wp:extent cx="699516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345440</wp:posOffset>
            </wp:positionV>
            <wp:extent cx="2554605" cy="951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55460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 from time to time, the ADSs described in this prospectus, for an aggregate offering price of up to $200,000,000.</w:t>
      </w:r>
    </w:p>
    <w:p>
      <w:pPr>
        <w:spacing w:after="0" w:line="32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w:t>
      </w:r>
    </w:p>
    <w:p>
      <w:pPr>
        <w:spacing w:after="0" w:line="27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w:t>
      </w:r>
    </w:p>
    <w:p>
      <w:pPr>
        <w:spacing w:after="0" w:line="27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ADSs trade on the Nasdaq Global Market (“Nasdaq”) under the symbol “MREO.” In addition, our ordinary shares trade on AIM, a market of the London Stock Exchange, under the symbol “MPH.” On October 5, 2020, the last reported sale price of our ADSs on Nasdaq was $2.44 per ADS.</w:t>
      </w:r>
    </w:p>
    <w:p>
      <w:pPr>
        <w:spacing w:after="0" w:line="272"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w:t>
      </w:r>
    </w:p>
    <w:p>
      <w:pPr>
        <w:spacing w:after="0" w:line="270" w:lineRule="exact"/>
        <w:rPr>
          <w:sz w:val="20"/>
          <w:szCs w:val="20"/>
          <w:color w:val="auto"/>
        </w:rPr>
      </w:pPr>
    </w:p>
    <w:p>
      <w:pPr>
        <w:ind w:left="120" w:right="920"/>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Our business and an investment in our ADSs involve significant risks. See “</w:t>
      </w:r>
      <w:hyperlink w:anchor="page4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5 of this prospectus.</w:t>
      </w:r>
    </w:p>
    <w:p>
      <w:pPr>
        <w:spacing w:after="0" w:line="236"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269240</wp:posOffset>
            </wp:positionV>
            <wp:extent cx="18173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Prospectus dated October 21, 2020</w:t>
      </w:r>
    </w:p>
    <w:p>
      <w:pPr>
        <w:sectPr>
          <w:pgSz w:w="11900" w:h="16838" w:orient="portrait"/>
          <w:cols w:equalWidth="0" w:num="1">
            <w:col w:w="11100"/>
          </w:cols>
          <w:pgMar w:left="320" w:top="455" w:right="4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87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2320" w:type="dxa"/>
            <w:vAlign w:val="bottom"/>
          </w:tcPr>
          <w:p>
            <w:pPr>
              <w:spacing w:after="0"/>
              <w:rPr>
                <w:sz w:val="20"/>
                <w:szCs w:val="20"/>
                <w:color w:val="auto"/>
              </w:rPr>
            </w:pPr>
          </w:p>
        </w:tc>
      </w:tr>
      <w:tr>
        <w:trPr>
          <w:trHeight w:val="525"/>
        </w:trPr>
        <w:tc>
          <w:tcPr>
            <w:tcW w:w="8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546"/>
        </w:trPr>
        <w:tc>
          <w:tcPr>
            <w:tcW w:w="876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ABOUT THIS PROSPECTUS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PROSPECTUS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CAUTIONARY STATEMENT REGARDING FORWARD-LOOKING STATEMENTS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CAPITALIZATION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MATERIAL TAX CONSIDERATIONS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SHARE CAPITAL</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AMERICAN DEPOSITARY SHARES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PLAN OF DISTRIBUTION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SERVICE OF PROCESS AND ENFORCEMENT OF LIABILITIES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WHERE YOU CAN FIND MORE INFORMATION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8760" w:type="dxa"/>
            <w:vAlign w:val="bottom"/>
          </w:tcPr>
          <w:p>
            <w:pPr>
              <w:ind w:left="1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INCORPORATION BY REFERENCE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bl>
    <w:p>
      <w:pPr>
        <w:jc w:val="right"/>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27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998970" cy="44278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14" w:lineRule="exact"/>
        <w:rPr>
          <w:sz w:val="20"/>
          <w:szCs w:val="20"/>
          <w:color w:val="auto"/>
        </w:rPr>
      </w:pPr>
    </w:p>
    <w:p>
      <w:pPr>
        <w:ind w:left="300" w:right="20" w:firstLine="426"/>
        <w:spacing w:after="0" w:line="239"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$200,000,000, as described in this prospectus. This prospectus provides you with a general description of the securities that may be offered. Each time we offer securities under this prospectus, we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w:t>
      </w:r>
    </w:p>
    <w:p>
      <w:pPr>
        <w:spacing w:after="0" w:line="176" w:lineRule="exact"/>
        <w:rPr>
          <w:sz w:val="20"/>
          <w:szCs w:val="20"/>
          <w:color w:val="auto"/>
        </w:rPr>
      </w:pPr>
    </w:p>
    <w:p>
      <w:pPr>
        <w:ind w:left="300" w:right="20" w:firstLine="426"/>
        <w:spacing w:after="0" w:line="241"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179" w:lineRule="exact"/>
        <w:rPr>
          <w:sz w:val="20"/>
          <w:szCs w:val="20"/>
          <w:color w:val="auto"/>
        </w:rPr>
      </w:pPr>
    </w:p>
    <w:p>
      <w:pPr>
        <w:ind w:left="300" w:firstLine="426"/>
        <w:spacing w:after="0" w:line="239"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0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100" w:firstLine="426"/>
        <w:spacing w:after="0" w:line="244"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ordinary shares, that we describe under “Risk Factors” and our consolidated financial statements, including the notes thereto, included and incorporated by reference in this prospectus, before deciding to invest in our ADSs.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06"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OncXerna Therapeutics, Inc., formerly Oncologie, Inc. Our rare disease product candidates are setrusumab for the treatment of OI and alvelestat for the treatment of severe AATD. Alvelestat is being investigated in an ongoing Phase 2 proof-of-concept study in the U.S. and Europe and expect to report top line data from this study in the second half of 2021. The FDA recently granted Rare Pediatric Disease designation to setrusumab for the treatment of OI. Following the completion of our Phase 2b ASTEROID study, both the FDA and the European Medicines Agency (“EMA”) have agreed on the principles of a design of a single Phase 3 pivotal pediatric study in OI and we plan to form a strategic partnership for the development of setrusumab prior to the initiation of a Phase 3 study.</w:t>
      </w:r>
    </w:p>
    <w:p>
      <w:pPr>
        <w:spacing w:after="0" w:line="183" w:lineRule="exact"/>
        <w:rPr>
          <w:sz w:val="20"/>
          <w:szCs w:val="20"/>
          <w:color w:val="auto"/>
        </w:rPr>
      </w:pPr>
    </w:p>
    <w:p>
      <w:pPr>
        <w:ind w:left="300" w:right="340" w:firstLine="426"/>
        <w:spacing w:after="0" w:line="245"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172" w:lineRule="exact"/>
        <w:rPr>
          <w:sz w:val="20"/>
          <w:szCs w:val="20"/>
          <w:color w:val="auto"/>
        </w:rPr>
      </w:pPr>
    </w:p>
    <w:p>
      <w:pPr>
        <w:ind w:left="300" w:right="40" w:firstLine="426"/>
        <w:spacing w:after="0" w:line="241" w:lineRule="auto"/>
        <w:rPr>
          <w:sz w:val="20"/>
          <w:szCs w:val="20"/>
          <w:color w:val="auto"/>
        </w:rPr>
      </w:pPr>
      <w:r>
        <w:rPr>
          <w:rFonts w:ascii="Arial" w:cs="Arial" w:eastAsia="Arial" w:hAnsi="Arial"/>
          <w:sz w:val="18"/>
          <w:szCs w:val="18"/>
          <w:color w:val="auto"/>
        </w:rPr>
        <w:t>Our strategy is to selectively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We aim to efficiently develop our product candidates through the clinic and have commenced or completed large, randomized Phase 2 clinical trials for four of our product candidates.</w:t>
      </w:r>
    </w:p>
    <w:p>
      <w:pPr>
        <w:spacing w:after="0" w:line="179" w:lineRule="exact"/>
        <w:rPr>
          <w:sz w:val="20"/>
          <w:szCs w:val="20"/>
          <w:color w:val="auto"/>
        </w:rPr>
      </w:pPr>
    </w:p>
    <w:p>
      <w:pPr>
        <w:ind w:left="300" w:firstLine="426"/>
        <w:spacing w:after="0" w:line="245"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identification of the patient population and enables a small targeted sales infrastructure to commercialize the products in key markets.</w:t>
      </w:r>
    </w:p>
    <w:p>
      <w:pPr>
        <w:spacing w:after="0" w:line="223" w:lineRule="exact"/>
        <w:rPr>
          <w:sz w:val="20"/>
          <w:szCs w:val="20"/>
          <w:color w:val="auto"/>
        </w:rPr>
      </w:pPr>
    </w:p>
    <w:p>
      <w:pPr>
        <w:ind w:left="300" w:right="20" w:firstLine="426"/>
        <w:spacing w:after="0" w:line="268"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51" w:lineRule="exact"/>
        <w:rPr>
          <w:sz w:val="20"/>
          <w:szCs w:val="20"/>
          <w:color w:val="auto"/>
        </w:rPr>
      </w:pPr>
    </w:p>
    <w:p>
      <w:pPr>
        <w:ind w:left="300" w:right="3640"/>
        <w:spacing w:after="0" w:line="361" w:lineRule="auto"/>
        <w:rPr>
          <w:sz w:val="20"/>
          <w:szCs w:val="20"/>
          <w:color w:val="auto"/>
        </w:rPr>
      </w:pPr>
      <w:r>
        <w:rPr>
          <w:rFonts w:ascii="Arial" w:cs="Arial" w:eastAsia="Arial" w:hAnsi="Arial"/>
          <w:sz w:val="18"/>
          <w:szCs w:val="18"/>
          <w:b w:val="1"/>
          <w:bCs w:val="1"/>
          <w:color w:val="auto"/>
        </w:rPr>
        <w:t>Implications of Being an Emerging Growth Company and a Foreign Private Issuer Emerging Growth Company</w:t>
      </w:r>
    </w:p>
    <w:p>
      <w:pPr>
        <w:ind w:left="300" w:right="120" w:firstLine="426"/>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81" w:lineRule="exact"/>
        <w:rPr>
          <w:sz w:val="20"/>
          <w:szCs w:val="20"/>
          <w:color w:val="auto"/>
        </w:rPr>
      </w:pPr>
    </w:p>
    <w:p>
      <w:pPr>
        <w:ind w:left="1120" w:hanging="407"/>
        <w:spacing w:after="0"/>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2" w:lineRule="exact"/>
        <w:rPr>
          <w:rFonts w:ascii="MS PGothic" w:cs="MS PGothic" w:eastAsia="MS PGothic" w:hAnsi="MS PGothic"/>
          <w:sz w:val="25"/>
          <w:szCs w:val="25"/>
          <w:color w:val="auto"/>
          <w:vertAlign w:val="superscript"/>
        </w:rPr>
      </w:pPr>
    </w:p>
    <w:p>
      <w:pPr>
        <w:ind w:left="1120" w:right="20" w:hanging="407"/>
        <w:spacing w:after="0" w:line="225" w:lineRule="auto"/>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ind w:left="1120" w:right="120" w:hanging="407"/>
        <w:spacing w:after="0" w:line="232" w:lineRule="auto"/>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ind w:left="1120" w:right="380" w:hanging="407"/>
        <w:spacing w:after="0" w:line="233" w:lineRule="auto"/>
        <w:tabs>
          <w:tab w:leader="none" w:pos="112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76" w:lineRule="exact"/>
        <w:rPr>
          <w:sz w:val="20"/>
          <w:szCs w:val="20"/>
          <w:color w:val="auto"/>
        </w:rPr>
      </w:pPr>
    </w:p>
    <w:p>
      <w:pPr>
        <w:ind w:left="300" w:right="160" w:firstLine="426"/>
        <w:spacing w:after="0" w:line="243"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1" w:lineRule="exact"/>
        <w:rPr>
          <w:sz w:val="20"/>
          <w:szCs w:val="20"/>
          <w:color w:val="auto"/>
        </w:rPr>
      </w:pPr>
    </w:p>
    <w:p>
      <w:pPr>
        <w:ind w:left="300" w:right="520"/>
        <w:spacing w:after="0" w:line="250"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68" w:lineRule="exact"/>
        <w:rPr>
          <w:sz w:val="20"/>
          <w:szCs w:val="20"/>
          <w:color w:val="auto"/>
        </w:rPr>
      </w:pPr>
    </w:p>
    <w:p>
      <w:pPr>
        <w:ind w:left="300" w:right="180" w:firstLine="426"/>
        <w:spacing w:after="0" w:line="27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06" w:lineRule="exact"/>
        <w:rPr>
          <w:sz w:val="20"/>
          <w:szCs w:val="20"/>
          <w:color w:val="auto"/>
        </w:rPr>
      </w:pPr>
    </w:p>
    <w:p>
      <w:pPr>
        <w:ind w:left="300" w:right="60" w:firstLine="426"/>
        <w:spacing w:after="0" w:line="255" w:lineRule="auto"/>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91" w:lineRule="exact"/>
        <w:rPr>
          <w:sz w:val="20"/>
          <w:szCs w:val="20"/>
          <w:color w:val="auto"/>
        </w:rPr>
      </w:pPr>
    </w:p>
    <w:p>
      <w:pPr>
        <w:ind w:left="1120" w:right="260" w:hanging="407"/>
        <w:spacing w:after="0" w:line="232" w:lineRule="auto"/>
        <w:tabs>
          <w:tab w:leader="none" w:pos="112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5" w:right="6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07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20" w:right="140" w:hanging="407"/>
        <w:spacing w:after="0" w:line="232" w:lineRule="auto"/>
        <w:tabs>
          <w:tab w:leader="none" w:pos="112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ind w:left="1120" w:hanging="407"/>
        <w:spacing w:after="0" w:line="249" w:lineRule="auto"/>
        <w:tabs>
          <w:tab w:leader="none" w:pos="1120" w:val="left"/>
        </w:tabs>
        <w:numPr>
          <w:ilvl w:val="0"/>
          <w:numId w:val="2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67" w:lineRule="exact"/>
        <w:rPr>
          <w:sz w:val="20"/>
          <w:szCs w:val="20"/>
          <w:color w:val="auto"/>
        </w:rPr>
      </w:pPr>
    </w:p>
    <w:p>
      <w:pPr>
        <w:ind w:left="300" w:right="300" w:firstLine="426"/>
        <w:spacing w:after="0" w:line="24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170"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left="300" w:right="220" w:firstLine="426"/>
        <w:spacing w:after="0" w:line="243"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5" w:right="6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76" w:lineRule="exact"/>
        <w:rPr>
          <w:sz w:val="20"/>
          <w:szCs w:val="20"/>
          <w:color w:val="auto"/>
        </w:rPr>
      </w:pPr>
    </w:p>
    <w:p>
      <w:pPr>
        <w:ind w:left="120" w:right="240"/>
        <w:spacing w:after="0" w:line="25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that may cause us to fail to meet our reporting obligations or result in material misstatements of our financial statements. If we fail to remediate our material weakness or if we fail to establish and maintain an effective system of internal control over financial reporting, we may not be able to report our financial results accurately or to prevent fraud.</w:t>
      </w:r>
    </w:p>
    <w:p>
      <w:pPr>
        <w:spacing w:after="0" w:line="160" w:lineRule="exact"/>
        <w:rPr>
          <w:sz w:val="20"/>
          <w:szCs w:val="20"/>
          <w:color w:val="auto"/>
        </w:rPr>
      </w:pPr>
    </w:p>
    <w:p>
      <w:pPr>
        <w:ind w:left="120" w:right="120" w:firstLine="440"/>
        <w:spacing w:after="0" w:line="241"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of 2002 requires management of public companies to develop and implement internal controls over financial reporting and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9" w:lineRule="exact"/>
        <w:rPr>
          <w:sz w:val="20"/>
          <w:szCs w:val="20"/>
          <w:color w:val="auto"/>
        </w:rPr>
      </w:pPr>
    </w:p>
    <w:p>
      <w:pPr>
        <w:ind w:left="120" w:right="100" w:firstLine="440"/>
        <w:spacing w:after="0" w:line="241" w:lineRule="auto"/>
        <w:rPr>
          <w:sz w:val="20"/>
          <w:szCs w:val="20"/>
          <w:color w:val="auto"/>
        </w:rPr>
      </w:pPr>
      <w:r>
        <w:rPr>
          <w:rFonts w:ascii="Arial" w:cs="Arial" w:eastAsia="Arial" w:hAnsi="Arial"/>
          <w:sz w:val="18"/>
          <w:szCs w:val="18"/>
          <w:color w:val="auto"/>
        </w:rPr>
        <w:t>During the six months ended June 30, 2020 the understaffing of our accounting department was driven primarily by the departure of several members of our accounting department following the departure of our former chief financial officer which was announced on March 27, 2020 and occurred on July 31, 2020. As a result. in connection with the preparation of our unaudited interim condensed consolidated financial statements as of and for the six month period ended June 30, 2020, we identified a material weakness in our internal controls related to the lack of IFRS technical accounting skills due to an understaffed accounting department and a lack of effective management review controls, including controls over complex accounting transactions as part of our overall financial statement close process.</w:t>
      </w:r>
    </w:p>
    <w:p>
      <w:pPr>
        <w:spacing w:after="0" w:line="179"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In response to such material weakness, we are in the process hiring a full-time chief financial officer and will then expand our accounting and financial department to include professionals with the experience and knowledge necessary to review technical IFRS accounting matters and perform appropriate review procedures over future financial statement close processes to address the material weakness identified. Although we are working to remediate the material weakness as quickly and efficiently as possible, we cannot at this time estimate how long it will take, and our initiatives may not prove to be successful in remediating the material weakness. If we are unable to successfully remediate our identified material weakness, if we discover additional material weaknesses or if we otherwise are unable to report our financial statements accurately or in a timely manner, we would be required to continue disclosing such material weaknesses in future filings with the SEC, which could adversely affect our business, investor confidence in our company and the market price of our ordinary shares and ADSs and could subject us to litigation or regulatory enforcement actions. As a result, shareholders could lose confidence in our financial and other public reporting, which would harm our business and the market value of our ordinary shares and ADSs.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164"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32"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2" w:lineRule="exact"/>
        <w:rPr>
          <w:rFonts w:ascii="MS PGothic" w:cs="MS PGothic" w:eastAsia="MS PGothic" w:hAnsi="MS PGothic"/>
          <w:sz w:val="25"/>
          <w:szCs w:val="25"/>
          <w:color w:val="auto"/>
          <w:vertAlign w:val="superscript"/>
        </w:rPr>
      </w:pPr>
    </w:p>
    <w:p>
      <w:pPr>
        <w:ind w:left="980" w:right="440" w:hanging="432"/>
        <w:spacing w:after="0" w:line="22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1" w:lineRule="exact"/>
        <w:rPr>
          <w:rFonts w:ascii="MS PGothic" w:cs="MS PGothic" w:eastAsia="MS PGothic" w:hAnsi="MS PGothic"/>
          <w:sz w:val="25"/>
          <w:szCs w:val="25"/>
          <w:color w:val="auto"/>
          <w:vertAlign w:val="superscript"/>
        </w:rPr>
      </w:pPr>
    </w:p>
    <w:p>
      <w:pPr>
        <w:ind w:left="980" w:right="300" w:hanging="432"/>
        <w:spacing w:after="0" w:line="232"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2" w:lineRule="exact"/>
        <w:rPr>
          <w:rFonts w:ascii="MS PGothic" w:cs="MS PGothic" w:eastAsia="MS PGothic" w:hAnsi="MS PGothic"/>
          <w:sz w:val="25"/>
          <w:szCs w:val="25"/>
          <w:color w:val="auto"/>
          <w:vertAlign w:val="superscript"/>
        </w:rPr>
      </w:pPr>
    </w:p>
    <w:p>
      <w:pPr>
        <w:ind w:left="980" w:right="60" w:hanging="432"/>
        <w:spacing w:after="0" w:line="22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2" w:lineRule="exact"/>
        <w:rPr>
          <w:rFonts w:ascii="MS PGothic" w:cs="MS PGothic" w:eastAsia="MS PGothic" w:hAnsi="MS PGothic"/>
          <w:sz w:val="25"/>
          <w:szCs w:val="25"/>
          <w:color w:val="auto"/>
          <w:vertAlign w:val="superscript"/>
        </w:rPr>
      </w:pPr>
    </w:p>
    <w:p>
      <w:pPr>
        <w:ind w:left="980" w:right="860" w:hanging="432"/>
        <w:spacing w:after="0" w:line="22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2" w:lineRule="exact"/>
        <w:rPr>
          <w:rFonts w:ascii="MS PGothic" w:cs="MS PGothic" w:eastAsia="MS PGothic" w:hAnsi="MS PGothic"/>
          <w:sz w:val="25"/>
          <w:szCs w:val="25"/>
          <w:color w:val="auto"/>
          <w:vertAlign w:val="superscript"/>
        </w:rPr>
      </w:pPr>
    </w:p>
    <w:p>
      <w:pPr>
        <w:ind w:left="980" w:right="340" w:hanging="432"/>
        <w:spacing w:after="0" w:line="22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1" w:lineRule="exact"/>
        <w:rPr>
          <w:rFonts w:ascii="MS PGothic" w:cs="MS PGothic" w:eastAsia="MS PGothic" w:hAnsi="MS PGothic"/>
          <w:sz w:val="25"/>
          <w:szCs w:val="25"/>
          <w:color w:val="auto"/>
          <w:vertAlign w:val="superscript"/>
        </w:rPr>
      </w:pPr>
    </w:p>
    <w:p>
      <w:pPr>
        <w:ind w:left="980" w:right="20" w:hanging="432"/>
        <w:spacing w:after="0" w:line="232"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ind w:left="980" w:hanging="432"/>
        <w:spacing w:after="0" w:line="230"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64" w:lineRule="exact"/>
        <w:rPr>
          <w:sz w:val="20"/>
          <w:szCs w:val="20"/>
          <w:color w:val="auto"/>
        </w:rPr>
      </w:pPr>
    </w:p>
    <w:p>
      <w:pPr>
        <w:jc w:val="both"/>
        <w:ind w:left="120" w:right="40" w:firstLine="440"/>
        <w:spacing w:after="0" w:line="255" w:lineRule="auto"/>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5"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The table below sets forth our capitalization, cash and short-term deposits as of June 30, 2020, the latest date for which we have unaudited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172"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£0.811 to US$1.00, the exchange rate for pound sterling on June 30, 2020. These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56,821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interest bearing loans and borrowings</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14,506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17,880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35,757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44,074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199,417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127,727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157,437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(270,681)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(333,643)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4,875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74,505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color w:val="auto"/>
        </w:rPr>
        <w:t>The number of ordinary shares indicated as issued and outstanding above is based on 338,713,962 ordinary shares outstanding as of June 30, 2020. As of June 30, 2020, our net tangible book value was negative £7.6 million.</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5" w:right="5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Unless otherwise indicated in a prospectus supplement, the net proceeds from our sale of the ADSs will be used for advancing our clinical development programs, general corporate purposes and other business opportunities.</w:t>
      </w:r>
    </w:p>
    <w:p>
      <w:pPr>
        <w:spacing w:after="0" w:line="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0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state, local or non-U.S. tax considerations, and any tax consequences applicable to U.S. Holders subject to special rules, such as:</w:t>
      </w:r>
    </w:p>
    <w:p>
      <w:pPr>
        <w:spacing w:after="0" w:line="195"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2" w:lineRule="exact"/>
        <w:rPr>
          <w:rFonts w:ascii="MS PGothic" w:cs="MS PGothic" w:eastAsia="MS PGothic" w:hAnsi="MS PGothic"/>
          <w:sz w:val="25"/>
          <w:szCs w:val="25"/>
          <w:color w:val="auto"/>
          <w:vertAlign w:val="superscript"/>
        </w:rPr>
      </w:pPr>
    </w:p>
    <w:p>
      <w:pPr>
        <w:ind w:left="980" w:right="380" w:hanging="432"/>
        <w:spacing w:after="0" w:line="22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176"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170" w:lineRule="exact"/>
        <w:rPr>
          <w:sz w:val="20"/>
          <w:szCs w:val="20"/>
          <w:color w:val="auto"/>
        </w:rPr>
      </w:pPr>
    </w:p>
    <w:p>
      <w:pPr>
        <w:ind w:left="120" w:right="280" w:firstLine="440"/>
        <w:spacing w:after="0" w:line="27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45" w:lineRule="exact"/>
        <w:rPr>
          <w:sz w:val="20"/>
          <w:szCs w:val="20"/>
          <w:color w:val="auto"/>
        </w:rPr>
      </w:pPr>
    </w:p>
    <w:p>
      <w:pPr>
        <w:ind w:left="120" w:right="100" w:firstLine="440"/>
        <w:spacing w:after="0" w:line="24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 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62"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176" w:lineRule="exact"/>
        <w:rPr>
          <w:sz w:val="20"/>
          <w:szCs w:val="20"/>
          <w:color w:val="auto"/>
        </w:rPr>
      </w:pPr>
    </w:p>
    <w:p>
      <w:pPr>
        <w:ind w:left="120" w:right="320" w:firstLine="440"/>
        <w:spacing w:after="0" w:line="27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45" w:lineRule="exact"/>
        <w:rPr>
          <w:sz w:val="20"/>
          <w:szCs w:val="20"/>
          <w:color w:val="auto"/>
        </w:rPr>
      </w:pPr>
    </w:p>
    <w:p>
      <w:pPr>
        <w:ind w:left="120" w:right="480" w:firstLine="440"/>
        <w:spacing w:after="0" w:line="255" w:lineRule="auto"/>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04"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180"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believe we were a PFIC for the taxable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174" w:lineRule="exact"/>
        <w:rPr>
          <w:sz w:val="20"/>
          <w:szCs w:val="20"/>
          <w:color w:val="auto"/>
        </w:rPr>
      </w:pPr>
    </w:p>
    <w:p>
      <w:pPr>
        <w:ind w:left="120" w:right="80" w:firstLine="440"/>
        <w:spacing w:after="0" w:line="243" w:lineRule="auto"/>
        <w:rPr>
          <w:sz w:val="20"/>
          <w:szCs w:val="20"/>
          <w:color w:val="auto"/>
        </w:rPr>
      </w:pPr>
      <w:r>
        <w:rPr>
          <w:rFonts w:ascii="Arial" w:cs="Arial" w:eastAsia="Arial" w:hAnsi="Arial"/>
          <w:sz w:val="18"/>
          <w:szCs w:val="18"/>
          <w:color w:val="auto"/>
        </w:rPr>
        <w:t>We will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website. If we are a PFIC for any taxable year, the consequences to any U.S. Holder will depend in part on whether the U.S. Holder makes a valid QEF Election or mark-to-market election as described below.</w:t>
      </w:r>
    </w:p>
    <w:p>
      <w:pPr>
        <w:spacing w:after="0" w:line="14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5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6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77"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79"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340"/>
        <w:spacing w:after="0" w:line="255" w:lineRule="auto"/>
        <w:rPr>
          <w:sz w:val="20"/>
          <w:szCs w:val="20"/>
          <w:color w:val="auto"/>
        </w:rPr>
      </w:pPr>
      <w:r>
        <w:rPr>
          <w:rFonts w:ascii="Arial" w:cs="Arial" w:eastAsia="Arial" w:hAnsi="Arial"/>
          <w:sz w:val="18"/>
          <w:szCs w:val="18"/>
          <w:color w:val="auto"/>
        </w:rPr>
        <w:t>the difference between the amount realized and the U.S. Holder’s adjusted tax basis in the ADSs or ordinary shares, as determined in U.S. dollars. A. U.S. Holder will not be taxed on the ordinary income and net capital gain under the qualified electing fund rules for any year that we are not a PFIC.</w:t>
      </w:r>
    </w:p>
    <w:p>
      <w:pPr>
        <w:spacing w:after="0" w:line="164"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8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182" w:lineRule="exact"/>
        <w:rPr>
          <w:sz w:val="20"/>
          <w:szCs w:val="20"/>
          <w:color w:val="auto"/>
        </w:rPr>
      </w:pPr>
    </w:p>
    <w:p>
      <w:pPr>
        <w:ind w:left="120" w:right="40" w:firstLine="440"/>
        <w:spacing w:after="0" w:line="24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0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their particular circumstances.</w:t>
      </w:r>
    </w:p>
    <w:p>
      <w:pPr>
        <w:spacing w:after="0" w:line="176"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ordinary shares or on the sale or retirement of an ADS or an ordinary share.</w:t>
      </w:r>
    </w:p>
    <w:p>
      <w:pPr>
        <w:spacing w:after="0" w:line="180"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advisers to determine whether and to what extent such U.S. Holder will be entitled to a foreign tax credit.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0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ADSs or ordinary shares will generally equal the cost of such ADSs or ordinary shares. If a U.S. Holder used foreign currency to purchase the ADSs or ordinary shares, the cost of the ADSs or ordinary shares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capital gains recognized by non-corporate U.S. Holders may be subject to a tax rate that is lower than the applicable ordinary income rate. The deductibility of capital losses is subject to limitations. Any capital gain or loss recognized upon the sale or disposition of the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any potential foreign currency gain or loss that may have to be recognized.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04"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04"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or ordinary shares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or ordinary shares for the purposes of a trade, profession or vocation that you carry on in the U.K. through a branch, agency or permanent establishment in the U.K. and if you hold our ADSs or ordinary shares as an investment for U.K. tax purposes and are not subject to special rules.</w:t>
      </w:r>
    </w:p>
    <w:p>
      <w:pPr>
        <w:spacing w:after="0" w:line="179"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This summary does not address all possible tax consequences relating to an investment in our ADSs or ordinary shares. In particular it does not cover the U.K. inheritance tax consequences of holding our ADSs or ordinary shares.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or ordinary shares are strongly urged to consult their tax advisers in connection with the U.K. tax consequences of their investment in our ADSs.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04" w:lineRule="exact"/>
        <w:rPr>
          <w:sz w:val="20"/>
          <w:szCs w:val="20"/>
          <w:color w:val="auto"/>
        </w:rPr>
      </w:pPr>
    </w:p>
    <w:p>
      <w:pPr>
        <w:ind w:left="120" w:right="60" w:firstLine="440"/>
        <w:spacing w:after="0" w:line="27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ADSs or ordinary shares.</w:t>
      </w:r>
    </w:p>
    <w:p>
      <w:pPr>
        <w:spacing w:after="0" w:line="145" w:lineRule="exact"/>
        <w:rPr>
          <w:sz w:val="20"/>
          <w:szCs w:val="20"/>
          <w:color w:val="auto"/>
        </w:rPr>
      </w:pPr>
    </w:p>
    <w:p>
      <w:pPr>
        <w:ind w:left="120" w:right="100" w:firstLine="440"/>
        <w:spacing w:after="0" w:line="248" w:lineRule="auto"/>
        <w:rPr>
          <w:sz w:val="20"/>
          <w:szCs w:val="20"/>
          <w:color w:val="auto"/>
        </w:rPr>
      </w:pPr>
      <w:r>
        <w:rPr>
          <w:rFonts w:ascii="Arial" w:cs="Arial" w:eastAsia="Arial" w:hAnsi="Arial"/>
          <w:sz w:val="18"/>
          <w:szCs w:val="18"/>
          <w:color w:val="auto"/>
        </w:rPr>
        <w:t>Holders who hold our ADSs or ordinary shares as an investment, who are not resident in the U.K. for U.K. tax purposes and who do not hold their ADSs or ordinary shares in connection with any trade, profession or vocation carried on by them in the U.K. through a branch, agency or permanent establishment in the U.K. should not be subject to U.K. tax in respect of any dividends on our ADSs or ordinary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0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or ordinary shares unless such holder carries on a trade, profession or vocation in the U.K. through a branch or agency in the U.K. to which ADSs or ordinary shares are attributable.</w:t>
      </w:r>
    </w:p>
    <w:p>
      <w:pPr>
        <w:spacing w:after="0" w:line="164" w:lineRule="exact"/>
        <w:rPr>
          <w:sz w:val="20"/>
          <w:szCs w:val="20"/>
          <w:color w:val="auto"/>
        </w:rPr>
      </w:pPr>
    </w:p>
    <w:p>
      <w:pPr>
        <w:ind w:left="120" w:right="540" w:firstLine="440"/>
        <w:spacing w:after="0" w:line="306" w:lineRule="auto"/>
        <w:rPr>
          <w:sz w:val="20"/>
          <w:szCs w:val="20"/>
          <w:color w:val="auto"/>
        </w:rPr>
      </w:pPr>
      <w:r>
        <w:rPr>
          <w:rFonts w:ascii="Arial" w:cs="Arial" w:eastAsia="Arial" w:hAnsi="Arial"/>
          <w:sz w:val="17"/>
          <w:szCs w:val="17"/>
          <w:color w:val="auto"/>
        </w:rPr>
        <w:t>Any such individual holder of our ADSs or ordinary shares who is temporarily non-resident for U.K. tax purposes will, in certain circumstances, become liable to U.K. tax on capital gains in respect of gains realized while they were not resident in the U.K.</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corporate holder of our ADSs or ordinary shares which is not resident in the U.K. for U.K. tax purposes should not be liable for U.K.</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 tax on chargeable gains realized on the disposal of our ADSs or ordinary shares unless it carries on a trade in the U.K.</w:t>
      </w:r>
    </w:p>
    <w:p>
      <w:pPr>
        <w:ind w:left="120"/>
        <w:spacing w:after="0"/>
        <w:rPr>
          <w:sz w:val="20"/>
          <w:szCs w:val="20"/>
          <w:color w:val="auto"/>
        </w:rPr>
      </w:pPr>
      <w:r>
        <w:rPr>
          <w:rFonts w:ascii="Arial" w:cs="Arial" w:eastAsia="Arial" w:hAnsi="Arial"/>
          <w:sz w:val="18"/>
          <w:szCs w:val="18"/>
          <w:color w:val="auto"/>
        </w:rPr>
        <w:t>through a permanent establishment in the U.K. to which our ADSs or ordinary shares are attributable.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acquire ordinary shares upon cancelling their ADSs and then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179" w:lineRule="exact"/>
        <w:rPr>
          <w:sz w:val="20"/>
          <w:szCs w:val="20"/>
          <w:color w:val="auto"/>
        </w:rPr>
      </w:pPr>
    </w:p>
    <w:p>
      <w:pPr>
        <w:ind w:left="120" w:right="100" w:firstLine="440"/>
        <w:spacing w:after="0" w:line="245"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172" w:lineRule="exact"/>
        <w:rPr>
          <w:sz w:val="20"/>
          <w:szCs w:val="20"/>
          <w:color w:val="auto"/>
        </w:rPr>
      </w:pPr>
    </w:p>
    <w:p>
      <w:pPr>
        <w:ind w:left="120" w:right="220" w:firstLine="440"/>
        <w:spacing w:after="0" w:line="27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164"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5" w:right="6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16" w:lineRule="exact"/>
        <w:rPr>
          <w:sz w:val="20"/>
          <w:szCs w:val="20"/>
          <w:color w:val="auto"/>
        </w:rPr>
      </w:pPr>
    </w:p>
    <w:p>
      <w:pPr>
        <w:ind w:left="120" w:right="100" w:firstLine="440"/>
        <w:spacing w:after="0" w:line="241" w:lineRule="auto"/>
        <w:rPr>
          <w:sz w:val="20"/>
          <w:szCs w:val="20"/>
          <w:color w:val="auto"/>
        </w:rPr>
      </w:pPr>
      <w:r>
        <w:rPr>
          <w:rFonts w:ascii="Arial" w:cs="Arial" w:eastAsia="Arial" w:hAnsi="Arial"/>
          <w:sz w:val="18"/>
          <w:szCs w:val="18"/>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2019. We encourage you to read the articles and the applicable provisions of English law for additional information.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6"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06" w:lineRule="exact"/>
        <w:rPr>
          <w:sz w:val="20"/>
          <w:szCs w:val="20"/>
          <w:color w:val="auto"/>
        </w:rPr>
      </w:pPr>
    </w:p>
    <w:p>
      <w:pPr>
        <w:jc w:val="both"/>
        <w:ind w:left="120" w:right="140" w:firstLine="440"/>
        <w:spacing w:after="0" w:line="255" w:lineRule="auto"/>
        <w:rPr>
          <w:sz w:val="20"/>
          <w:szCs w:val="20"/>
          <w:color w:val="auto"/>
        </w:rPr>
      </w:pPr>
      <w:r>
        <w:rPr>
          <w:rFonts w:ascii="Arial" w:cs="Arial" w:eastAsia="Arial" w:hAnsi="Arial"/>
          <w:sz w:val="18"/>
          <w:szCs w:val="18"/>
          <w:color w:val="auto"/>
        </w:rPr>
        <w:t>As of August 1, 2020, our issued share capital was £1,016,141.89 equivalent to 338,713,962 ordinary shares. The nominal value of our ordinary shares, including ordinary shares in the form of ADSs, is £0.003 per ordinary share. Each issued ordinary share is fully paid. As of July 31, 2020, 48,160,620 of our ordinary shares were represented by 9,632,124 ADSs.</w:t>
      </w:r>
    </w:p>
    <w:p>
      <w:pPr>
        <w:spacing w:after="0" w:line="16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Following the passing of resolutions at in our annual general meeting held on June 29, 2020, our Board was authorized to (i) allot new shares or grant rights to subscribe for, or convert other securities into, shares up to an amount equal to 77% of our total issued ordinary share capital as at May 26, 2020,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As of August 1, 2020, the Board has authorization to allot new ordinary shares with an aggregate nominal value of £288,078.78 and authorization to allot equity securities for cash on a non-pre-emptive basis up to a nominal value of £ 288,078.78. To the extent that this authorization and disapplication do not remain unutilized in a sufficient amount for the purpose of an offering of the securities described in this prospectus, our Board will require a further authorization to allot new shares and disapplication of statutory preemption rights to be granted by our shareholders in general meeting prior to proceeding with that offering.</w:t>
      </w:r>
    </w:p>
    <w:p>
      <w:pPr>
        <w:spacing w:after="0" w:line="17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Following the passing of resolutions at our general meeting held on June 30, 2020, the unsecured convertible loan notes due 2023 of the Company constituted pursuant to the loan note instrument dated June 3, 2020 (the “Tranche 1 Notes”) automatically converted into ordinary shares of £0.003 each in the capital of the Company except that no new ordinary shares were issued which would result in any person holding in excess of 9.9% of the aggregate voting rights in the Company as a result of the relevant conversion. As a result of automatic conversion, Tranche 1 Notes in an aggregate principal amount of £ 21,660,999 (together with accrued interest) converted into 125,061,475 new ordinary shares. Tranche 1 Notes in an aggregate principal amount of £18,872,672 remained outstanding after the conversion and are convertible into new ordinary shares in accordance with their terms.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06" w:lineRule="exact"/>
        <w:rPr>
          <w:sz w:val="20"/>
          <w:szCs w:val="20"/>
          <w:color w:val="auto"/>
        </w:rPr>
      </w:pPr>
    </w:p>
    <w:p>
      <w:pPr>
        <w:jc w:val="both"/>
        <w:ind w:left="120" w:right="120" w:firstLine="440"/>
        <w:spacing w:after="0" w:line="306" w:lineRule="auto"/>
        <w:rPr>
          <w:sz w:val="20"/>
          <w:szCs w:val="20"/>
          <w:color w:val="auto"/>
        </w:rPr>
      </w:pPr>
      <w:r>
        <w:rPr>
          <w:rFonts w:ascii="Arial" w:cs="Arial" w:eastAsia="Arial" w:hAnsi="Arial"/>
          <w:sz w:val="17"/>
          <w:szCs w:val="17"/>
          <w:color w:val="auto"/>
        </w:rPr>
        <w:t>As of December 31, 2019, there were options to purchase 11,357,738 ordinary shares outstanding under our equity incentive plans with a weighted average exercise price of £1.45 per ordinary share. The options generally lapse after 10 years from the date of the grant.</w:t>
      </w:r>
    </w:p>
    <w:p>
      <w:pPr>
        <w:spacing w:after="0" w:line="123" w:lineRule="exact"/>
        <w:rPr>
          <w:sz w:val="20"/>
          <w:szCs w:val="20"/>
          <w:color w:val="auto"/>
        </w:rPr>
      </w:pPr>
    </w:p>
    <w:p>
      <w:pPr>
        <w:ind w:left="120" w:right="660" w:firstLine="440"/>
        <w:spacing w:after="0" w:line="276" w:lineRule="auto"/>
        <w:rPr>
          <w:sz w:val="20"/>
          <w:szCs w:val="20"/>
          <w:color w:val="auto"/>
        </w:rPr>
      </w:pPr>
      <w:r>
        <w:rPr>
          <w:rFonts w:ascii="Arial" w:cs="Arial" w:eastAsia="Arial" w:hAnsi="Arial"/>
          <w:sz w:val="18"/>
          <w:szCs w:val="18"/>
          <w:color w:val="auto"/>
        </w:rPr>
        <w:t>As of December 31, 2019, there were options to purchase 875,050 ADSs outstanding under our equity incentive plans with a weighted average exercise price of $4.29 per ADS. The options generally lapse after 4 years from the date of grant.</w:t>
      </w:r>
    </w:p>
    <w:p>
      <w:pPr>
        <w:spacing w:after="0" w:line="145" w:lineRule="exact"/>
        <w:rPr>
          <w:sz w:val="20"/>
          <w:szCs w:val="20"/>
          <w:color w:val="auto"/>
        </w:rPr>
      </w:pPr>
    </w:p>
    <w:p>
      <w:pPr>
        <w:ind w:left="120" w:right="580" w:firstLine="440"/>
        <w:spacing w:after="0" w:line="27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4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February 20, 2020, we issued options to purchase 962,836 ADSs with an exercise price of $1.84 per ADS to employees pursuant to the 2019 EIP. One quarter of the options become exercisable on the first anniversary of their grant date and, thereafter, vest in equal monthly installments over three years.</w:t>
      </w:r>
    </w:p>
    <w:p>
      <w:pPr>
        <w:spacing w:after="0" w:line="164"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8"/>
          <w:szCs w:val="18"/>
          <w:color w:val="auto"/>
        </w:rPr>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45"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8"/>
          <w:szCs w:val="18"/>
          <w:color w:val="auto"/>
        </w:rPr>
        <w:t>On August 12, 2020, we issued options to purchase 200,000 ADSs under Mereo’s 2019 EIP with a weighted average exercise price of $2.77 per ordinary share.</w:t>
      </w:r>
    </w:p>
    <w:p>
      <w:pPr>
        <w:spacing w:after="0" w:line="145" w:lineRule="exact"/>
        <w:rPr>
          <w:sz w:val="20"/>
          <w:szCs w:val="20"/>
          <w:color w:val="auto"/>
        </w:rPr>
      </w:pPr>
    </w:p>
    <w:p>
      <w:pPr>
        <w:ind w:left="120" w:right="560" w:firstLine="440"/>
        <w:spacing w:after="0" w:line="27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106"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45" w:lineRule="exact"/>
        <w:rPr>
          <w:sz w:val="20"/>
          <w:szCs w:val="20"/>
          <w:color w:val="auto"/>
        </w:rPr>
      </w:pPr>
    </w:p>
    <w:p>
      <w:pPr>
        <w:jc w:val="both"/>
        <w:ind w:left="120" w:right="180" w:firstLine="440"/>
        <w:spacing w:after="0" w:line="255"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164"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17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0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The Company, Silicon Valley Bank and Kreos Capital V (UK) Limited have yet to reach an agreement on the number of warrants to be issued to them as a result of the anti-dilution protections in our agreements with them following the various private placements by the Company in 2020. See note 7 to our unaudited condensed consolidated financial statements for the six months ended June 30, 2020 incorporated by reference herein.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totalling 321,444 were issued in 2019 (2018: 41,286) that could potentially dilute basic earnings per share if converted.</w:t>
      </w:r>
    </w:p>
    <w:p>
      <w:pPr>
        <w:spacing w:after="0" w:line="212"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170" w:lineRule="exact"/>
        <w:rPr>
          <w:sz w:val="20"/>
          <w:szCs w:val="20"/>
          <w:color w:val="auto"/>
        </w:rPr>
      </w:pPr>
    </w:p>
    <w:p>
      <w:pPr>
        <w:ind w:left="120" w:right="120" w:firstLine="440"/>
        <w:spacing w:after="0" w:line="245" w:lineRule="auto"/>
        <w:rPr>
          <w:sz w:val="20"/>
          <w:szCs w:val="20"/>
          <w:color w:val="auto"/>
        </w:rPr>
      </w:pPr>
      <w:r>
        <w:rPr>
          <w:rFonts w:ascii="Arial" w:cs="Arial" w:eastAsia="Arial" w:hAnsi="Arial"/>
          <w:sz w:val="18"/>
          <w:szCs w:val="18"/>
          <w:color w:val="auto"/>
        </w:rPr>
        <w:t>On June 4, 2020, we announced the completion of a private placement (the “June 2020 Private Placement”), in connection with which the investors in the private placement received conditional warrants entitling the holders to subscribe for an aggregate of 161,048,366 new ordinary shares. As of August 1, 2020, there were 161,048,366 warrants outstanding to purchase ordinary shares at an exercise price of 34.8 pence per ordinary share, subject to the terms of the warrants. As of September 29, 2020, none of these warrants have been exercised to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80" w:hanging="432"/>
        <w:spacing w:after="0" w:line="233"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vote taken by poll, 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2" w:lineRule="exact"/>
        <w:rPr>
          <w:rFonts w:ascii="MS PGothic" w:cs="MS PGothic" w:eastAsia="MS PGothic" w:hAnsi="MS PGothic"/>
          <w:sz w:val="25"/>
          <w:szCs w:val="25"/>
          <w:color w:val="auto"/>
          <w:vertAlign w:val="superscript"/>
        </w:rPr>
      </w:pPr>
    </w:p>
    <w:p>
      <w:pPr>
        <w:ind w:left="980" w:right="60" w:hanging="432"/>
        <w:spacing w:after="0" w:line="220"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06"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4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170"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28"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2" w:lineRule="exact"/>
        <w:rPr>
          <w:rFonts w:ascii="MS PGothic" w:cs="MS PGothic" w:eastAsia="MS PGothic" w:hAnsi="MS PGothic"/>
          <w:sz w:val="25"/>
          <w:szCs w:val="25"/>
          <w:color w:val="auto"/>
          <w:vertAlign w:val="superscript"/>
        </w:rPr>
      </w:pPr>
    </w:p>
    <w:p>
      <w:pPr>
        <w:ind w:left="980" w:hanging="432"/>
        <w:spacing w:after="0" w:line="225"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0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172"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On June 29, 2020, our shareholders authorized our Board to exclude pre-emptive rights for a period until the end of our next annual general meeting or, if earlier, 15 months from June 29, 2020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w:t>
      </w:r>
    </w:p>
    <w:p>
      <w:pPr>
        <w:spacing w:after="0" w:line="172" w:lineRule="exact"/>
        <w:rPr>
          <w:sz w:val="20"/>
          <w:szCs w:val="20"/>
          <w:color w:val="auto"/>
        </w:rPr>
      </w:pPr>
    </w:p>
    <w:p>
      <w:pPr>
        <w:ind w:left="120" w:right="740" w:firstLine="440"/>
        <w:spacing w:after="0" w:line="276" w:lineRule="auto"/>
        <w:rPr>
          <w:sz w:val="20"/>
          <w:szCs w:val="20"/>
          <w:color w:val="auto"/>
        </w:rPr>
      </w:pPr>
      <w:r>
        <w:rPr>
          <w:rFonts w:ascii="Arial" w:cs="Arial" w:eastAsia="Arial" w:hAnsi="Arial"/>
          <w:sz w:val="18"/>
          <w:szCs w:val="18"/>
          <w:color w:val="auto"/>
        </w:rPr>
        <w:t>As of August 1, 2020, non pre-emptive authorization up to a maximum aggregate nominal amount of £288,070.78 remained available to the Company.</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02"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left="120" w:right="180" w:firstLine="440"/>
        <w:spacing w:after="0" w:line="27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172" w:lineRule="exact"/>
        <w:rPr>
          <w:sz w:val="20"/>
          <w:szCs w:val="20"/>
          <w:color w:val="auto"/>
        </w:rPr>
      </w:pPr>
    </w:p>
    <w:p>
      <w:pPr>
        <w:ind w:left="980" w:right="80" w:hanging="432"/>
        <w:spacing w:after="0" w:line="232"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ind w:left="980" w:hanging="432"/>
        <w:spacing w:after="0" w:line="233"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ind w:left="980" w:hanging="432"/>
        <w:spacing w:after="0" w:line="233"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5" w:lineRule="exact"/>
        <w:rPr>
          <w:rFonts w:ascii="MS PGothic" w:cs="MS PGothic" w:eastAsia="MS PGothic" w:hAnsi="MS PGothic"/>
          <w:sz w:val="25"/>
          <w:szCs w:val="25"/>
          <w:color w:val="auto"/>
          <w:vertAlign w:val="superscript"/>
        </w:rPr>
      </w:pPr>
    </w:p>
    <w:p>
      <w:pPr>
        <w:ind w:left="980" w:right="60" w:hanging="432"/>
        <w:spacing w:after="0" w:line="233"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78"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81"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0"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02" w:lineRule="exact"/>
        <w:rPr>
          <w:sz w:val="20"/>
          <w:szCs w:val="20"/>
          <w:color w:val="auto"/>
        </w:rPr>
      </w:pPr>
    </w:p>
    <w:p>
      <w:pPr>
        <w:ind w:left="120" w:right="240" w:firstLine="440"/>
        <w:spacing w:after="0" w:line="27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45" w:lineRule="exact"/>
        <w:rPr>
          <w:sz w:val="20"/>
          <w:szCs w:val="20"/>
          <w:color w:val="auto"/>
        </w:rPr>
      </w:pPr>
    </w:p>
    <w:p>
      <w:pPr>
        <w:ind w:left="120" w:right="400" w:firstLine="440"/>
        <w:spacing w:after="0" w:line="255"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left="120" w:right="20" w:firstLine="440"/>
        <w:spacing w:after="0" w:line="243"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7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64"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4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64" w:lineRule="exact"/>
        <w:rPr>
          <w:sz w:val="20"/>
          <w:szCs w:val="20"/>
          <w:color w:val="auto"/>
        </w:rPr>
      </w:pPr>
    </w:p>
    <w:p>
      <w:pPr>
        <w:ind w:left="120" w:right="280" w:firstLine="440"/>
        <w:spacing w:after="0" w:line="27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02"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02" w:lineRule="exact"/>
        <w:rPr>
          <w:sz w:val="20"/>
          <w:szCs w:val="20"/>
          <w:color w:val="auto"/>
        </w:rPr>
      </w:pPr>
    </w:p>
    <w:p>
      <w:pPr>
        <w:ind w:left="120" w:right="200" w:firstLine="440"/>
        <w:spacing w:after="0" w:line="245"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02"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0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164" w:lineRule="exact"/>
        <w:rPr>
          <w:sz w:val="20"/>
          <w:szCs w:val="20"/>
          <w:color w:val="auto"/>
        </w:rPr>
      </w:pPr>
    </w:p>
    <w:p>
      <w:pPr>
        <w:jc w:val="both"/>
        <w:ind w:left="120" w:right="540" w:firstLine="440"/>
        <w:spacing w:after="0" w:line="255" w:lineRule="auto"/>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28"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2" w:lineRule="exact"/>
        <w:rPr>
          <w:rFonts w:ascii="MS PGothic" w:cs="MS PGothic" w:eastAsia="MS PGothic" w:hAnsi="MS PGothic"/>
          <w:sz w:val="25"/>
          <w:szCs w:val="25"/>
          <w:color w:val="auto"/>
          <w:vertAlign w:val="superscript"/>
        </w:rPr>
      </w:pPr>
    </w:p>
    <w:p>
      <w:pPr>
        <w:ind w:left="980" w:right="420" w:hanging="432"/>
        <w:spacing w:after="0" w:line="225"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176" w:lineRule="exact"/>
        <w:rPr>
          <w:sz w:val="20"/>
          <w:szCs w:val="20"/>
          <w:color w:val="auto"/>
        </w:rPr>
      </w:pPr>
    </w:p>
    <w:p>
      <w:pPr>
        <w:ind w:left="120" w:right="620" w:firstLine="440"/>
        <w:spacing w:after="0" w:line="27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Shareholder </w:t>
      </w:r>
      <w:r>
        <w:rPr>
          <w:rFonts w:ascii="Arial" w:cs="Arial" w:eastAsia="Arial" w:hAnsi="Arial"/>
          <w:sz w:val="18"/>
          <w:szCs w:val="18"/>
          <w:b w:val="1"/>
          <w:bCs w:val="1"/>
          <w:color w:val="auto"/>
        </w:rPr>
        <w:t>Meetings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02"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02" w:lineRule="exact"/>
        <w:rPr>
          <w:sz w:val="20"/>
          <w:szCs w:val="20"/>
          <w:color w:val="auto"/>
        </w:rPr>
      </w:pPr>
    </w:p>
    <w:p>
      <w:pPr>
        <w:ind w:left="120" w:right="760" w:firstLine="440"/>
        <w:spacing w:after="0" w:line="27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02"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02" w:lineRule="exact"/>
        <w:rPr>
          <w:sz w:val="20"/>
          <w:szCs w:val="20"/>
          <w:color w:val="auto"/>
        </w:rPr>
      </w:pPr>
    </w:p>
    <w:p>
      <w:pPr>
        <w:ind w:left="120" w:right="520" w:firstLine="440"/>
        <w:spacing w:after="0" w:line="27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02"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02"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17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5" w:right="5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right"/>
        <w:ind w:right="8360"/>
        <w:spacing w:after="0"/>
        <w:rPr>
          <w:sz w:val="20"/>
          <w:szCs w:val="20"/>
          <w:color w:val="auto"/>
        </w:rPr>
      </w:pPr>
      <w:r>
        <w:rPr>
          <w:rFonts w:ascii="Arial" w:cs="Arial" w:eastAsia="Arial" w:hAnsi="Arial"/>
          <w:sz w:val="18"/>
          <w:szCs w:val="18"/>
          <w:b w:val="1"/>
          <w:bCs w:val="1"/>
          <w:i w:val="1"/>
          <w:iCs w:val="1"/>
          <w:color w:val="auto"/>
        </w:rPr>
        <w:t xml:space="preserve">Other U.K. Law </w:t>
      </w:r>
      <w:r>
        <w:rPr>
          <w:rFonts w:ascii="Arial" w:cs="Arial" w:eastAsia="Arial" w:hAnsi="Arial"/>
          <w:sz w:val="18"/>
          <w:szCs w:val="18"/>
          <w:b w:val="1"/>
          <w:bCs w:val="1"/>
          <w:color w:val="auto"/>
        </w:rPr>
        <w:t>Considerations</w:t>
      </w:r>
    </w:p>
    <w:p>
      <w:pPr>
        <w:spacing w:after="0" w:line="108"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102"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02"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02"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firstLine="440"/>
        <w:spacing w:after="0" w:line="27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172" w:lineRule="exact"/>
        <w:rPr>
          <w:sz w:val="20"/>
          <w:szCs w:val="20"/>
          <w:color w:val="auto"/>
        </w:rPr>
      </w:pPr>
    </w:p>
    <w:p>
      <w:pPr>
        <w:ind w:left="980" w:right="560" w:hanging="432"/>
        <w:spacing w:after="0" w:line="232"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ind w:left="980" w:right="120" w:hanging="432"/>
        <w:spacing w:after="0" w:line="23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3" w:lineRule="exact"/>
        <w:rPr>
          <w:rFonts w:ascii="MS PGothic" w:cs="MS PGothic" w:eastAsia="MS PGothic" w:hAnsi="MS PGothic"/>
          <w:sz w:val="25"/>
          <w:szCs w:val="25"/>
          <w:color w:val="auto"/>
          <w:vertAlign w:val="superscript"/>
        </w:rPr>
      </w:pPr>
    </w:p>
    <w:p>
      <w:pPr>
        <w:ind w:left="980" w:hanging="432"/>
        <w:spacing w:after="0" w:line="23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02"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72" w:lineRule="exact"/>
        <w:rPr>
          <w:sz w:val="20"/>
          <w:szCs w:val="20"/>
          <w:color w:val="auto"/>
        </w:rPr>
      </w:pPr>
    </w:p>
    <w:p>
      <w:pPr>
        <w:ind w:left="120" w:right="280" w:firstLine="440"/>
        <w:spacing w:after="0" w:line="27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62" w:lineRule="exact"/>
        <w:rPr>
          <w:sz w:val="20"/>
          <w:szCs w:val="20"/>
          <w:color w:val="auto"/>
        </w:rPr>
      </w:pPr>
    </w:p>
    <w:p>
      <w:pPr>
        <w:ind w:left="980" w:hanging="432"/>
        <w:spacing w:after="0"/>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176"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02" w:lineRule="exact"/>
        <w:rPr>
          <w:sz w:val="20"/>
          <w:szCs w:val="20"/>
          <w:color w:val="auto"/>
        </w:rPr>
      </w:pPr>
    </w:p>
    <w:p>
      <w:pPr>
        <w:ind w:left="120" w:right="540" w:firstLine="440"/>
        <w:spacing w:after="0" w:line="248"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requirement to have sufficient distributable reserves before a distribution or dividend can be paid applies to us and to each of our subsidiaries that has been incorporated under English law.</w:t>
      </w:r>
    </w:p>
    <w:p>
      <w:pPr>
        <w:spacing w:after="0" w:line="14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191" w:lineRule="exact"/>
        <w:rPr>
          <w:sz w:val="20"/>
          <w:szCs w:val="20"/>
          <w:color w:val="auto"/>
        </w:rPr>
      </w:pPr>
    </w:p>
    <w:p>
      <w:pPr>
        <w:ind w:left="980" w:right="180" w:hanging="432"/>
        <w:spacing w:after="0" w:line="232"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ind w:left="980" w:right="180" w:hanging="432"/>
        <w:spacing w:after="0" w:line="232"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0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180" w:lineRule="exact"/>
        <w:rPr>
          <w:sz w:val="20"/>
          <w:szCs w:val="20"/>
          <w:color w:val="auto"/>
        </w:rPr>
      </w:pPr>
    </w:p>
    <w:p>
      <w:pPr>
        <w:ind w:left="980" w:right="140" w:hanging="432"/>
        <w:spacing w:after="0" w:line="232"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ind w:left="980" w:right="80" w:hanging="432"/>
        <w:spacing w:after="0" w:line="233"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17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02" w:lineRule="exact"/>
        <w:rPr>
          <w:sz w:val="20"/>
          <w:szCs w:val="20"/>
          <w:color w:val="auto"/>
        </w:rPr>
      </w:pPr>
    </w:p>
    <w:p>
      <w:pPr>
        <w:ind w:left="120" w:right="80" w:firstLine="440"/>
        <w:spacing w:after="0" w:line="24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8"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40"/>
          </w:cols>
          <w:pgMar w:left="320" w:top="455"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620" w:type="dxa"/>
            <w:vAlign w:val="bottom"/>
          </w:tcPr>
          <w:p>
            <w:pPr>
              <w:spacing w:after="0" w:line="173"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nine in</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nine members.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ordinary resolution of shareholders (which is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passed by a simple majority of those voting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person or by proxy at a general meeting),</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irrespective of any provision of any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agreement or service contract between the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 and the company, provided that 28</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clear days’ notice of the proposed resolution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to remove the director is given and certain</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other procedural requirements under the U.K.</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Companies Act 2006 are followed (such as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allowing the director to make representations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against his or her removal either at the</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or in writing).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60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1" w:lineRule="exact"/>
        <w:rPr>
          <w:sz w:val="20"/>
          <w:szCs w:val="20"/>
          <w:color w:val="auto"/>
        </w:rPr>
      </w:pPr>
    </w:p>
    <w:p>
      <w:pPr>
        <w:ind w:left="10" w:right="8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
        <w:spacing w:after="0" w:line="251"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1" w:lineRule="exact"/>
        <w:rPr>
          <w:sz w:val="20"/>
          <w:szCs w:val="20"/>
          <w:color w:val="auto"/>
        </w:rPr>
      </w:pPr>
    </w:p>
    <w:p>
      <w:pPr>
        <w:ind w:left="10" w:right="60" w:hanging="10"/>
        <w:spacing w:after="0" w:line="236"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ectPr>
          <w:pgSz w:w="11900" w:h="16838" w:orient="portrait"/>
          <w:cols w:equalWidth="0" w:num="2">
            <w:col w:w="7620" w:space="110"/>
            <w:col w:w="3410"/>
          </w:cols>
          <w:pgMar w:left="320" w:top="455" w:right="4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ind w:right="138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19050</wp:posOffset>
            </wp:positionV>
            <wp:extent cx="45345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ind w:left="4000"/>
        <w:spacing w:after="0" w:line="234" w:lineRule="auto"/>
        <w:rPr>
          <w:sz w:val="20"/>
          <w:szCs w:val="20"/>
          <w:color w:val="auto"/>
        </w:rPr>
      </w:pPr>
      <w:r>
        <w:rPr>
          <w:rFonts w:ascii="Arial" w:cs="Arial" w:eastAsia="Arial" w:hAnsi="Arial"/>
          <w:sz w:val="18"/>
          <w:szCs w:val="18"/>
          <w:color w:val="auto"/>
        </w:rPr>
        <w:t>U.K. Companies Act 2006, under our Articles,</w:t>
      </w:r>
    </w:p>
    <w:p>
      <w:pPr>
        <w:ind w:left="4000"/>
        <w:spacing w:after="0" w:line="235" w:lineRule="auto"/>
        <w:rPr>
          <w:sz w:val="20"/>
          <w:szCs w:val="20"/>
          <w:color w:val="auto"/>
        </w:rPr>
      </w:pPr>
      <w:r>
        <w:rPr>
          <w:rFonts w:ascii="Arial" w:cs="Arial" w:eastAsia="Arial" w:hAnsi="Arial"/>
          <w:sz w:val="18"/>
          <w:szCs w:val="18"/>
          <w:color w:val="auto"/>
        </w:rPr>
        <w:t>we may, by special resolution or ordinary</w:t>
      </w:r>
    </w:p>
    <w:p>
      <w:pPr>
        <w:ind w:left="4000"/>
        <w:spacing w:after="0" w:line="235"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4"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5"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ectPr>
          <w:pgSz w:w="11900" w:h="16838" w:orient="portrait"/>
          <w:cols w:equalWidth="0" w:num="1">
            <w:col w:w="11120"/>
          </w:cols>
          <w:pgMar w:left="320" w:top="455" w:right="459" w:bottom="1440" w:gutter="0" w:footer="0" w:header="0"/>
        </w:sectPr>
      </w:pPr>
    </w:p>
    <w:p>
      <w:pPr>
        <w:spacing w:after="0" w:line="82"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resolution appoint a person who is willing to</w:t>
      </w:r>
    </w:p>
    <w:p>
      <w:pPr>
        <w:ind w:left="4000"/>
        <w:spacing w:after="0" w:line="234"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line="235" w:lineRule="auto"/>
        <w:rPr>
          <w:sz w:val="20"/>
          <w:szCs w:val="20"/>
          <w:color w:val="auto"/>
        </w:rPr>
      </w:pPr>
      <w:r>
        <w:rPr>
          <w:rFonts w:ascii="Arial" w:cs="Arial" w:eastAsia="Arial" w:hAnsi="Arial"/>
          <w:sz w:val="18"/>
          <w:szCs w:val="18"/>
          <w:color w:val="auto"/>
        </w:rPr>
        <w:t>to act to be a director, either to fill a vacancy</w:t>
      </w:r>
    </w:p>
    <w:p>
      <w:pPr>
        <w:ind w:left="4000"/>
        <w:spacing w:after="0" w:line="235" w:lineRule="auto"/>
        <w:rPr>
          <w:sz w:val="20"/>
          <w:szCs w:val="20"/>
          <w:color w:val="auto"/>
        </w:rPr>
      </w:pPr>
      <w:r>
        <w:rPr>
          <w:rFonts w:ascii="Arial" w:cs="Arial" w:eastAsia="Arial" w:hAnsi="Arial"/>
          <w:sz w:val="18"/>
          <w:szCs w:val="18"/>
          <w:color w:val="auto"/>
        </w:rPr>
        <w:t>or as an additional director, provided in each</w:t>
      </w:r>
    </w:p>
    <w:p>
      <w:pPr>
        <w:ind w:left="4000"/>
        <w:spacing w:after="0" w:line="234" w:lineRule="auto"/>
        <w:rPr>
          <w:sz w:val="20"/>
          <w:szCs w:val="20"/>
          <w:color w:val="auto"/>
        </w:rPr>
      </w:pPr>
      <w:r>
        <w:rPr>
          <w:rFonts w:ascii="Arial" w:cs="Arial" w:eastAsia="Arial" w:hAnsi="Arial"/>
          <w:sz w:val="18"/>
          <w:szCs w:val="18"/>
          <w:color w:val="auto"/>
        </w:rPr>
        <w:t>case that the appointment does not cause</w:t>
      </w:r>
    </w:p>
    <w:p>
      <w:pPr>
        <w:ind w:left="4000"/>
        <w:spacing w:after="0" w:line="235" w:lineRule="auto"/>
        <w:rPr>
          <w:sz w:val="20"/>
          <w:szCs w:val="20"/>
          <w:color w:val="auto"/>
        </w:rPr>
      </w:pPr>
      <w:r>
        <w:rPr>
          <w:rFonts w:ascii="Arial" w:cs="Arial" w:eastAsia="Arial" w:hAnsi="Arial"/>
          <w:sz w:val="18"/>
          <w:szCs w:val="18"/>
          <w:color w:val="auto"/>
        </w:rPr>
        <w:t>the number of directors to exceed the</w:t>
      </w:r>
    </w:p>
    <w:p>
      <w:pPr>
        <w:ind w:left="4000"/>
        <w:spacing w:after="0" w:line="235" w:lineRule="auto"/>
        <w:rPr>
          <w:sz w:val="20"/>
          <w:szCs w:val="20"/>
          <w:color w:val="auto"/>
        </w:rPr>
      </w:pPr>
      <w:r>
        <w:rPr>
          <w:rFonts w:ascii="Arial" w:cs="Arial" w:eastAsia="Arial" w:hAnsi="Arial"/>
          <w:sz w:val="18"/>
          <w:szCs w:val="18"/>
          <w:color w:val="auto"/>
        </w:rPr>
        <w:t>number fixed by or in accordance with our</w:t>
      </w:r>
    </w:p>
    <w:p>
      <w:pPr>
        <w:ind w:left="4000"/>
        <w:spacing w:after="0"/>
        <w:rPr>
          <w:sz w:val="20"/>
          <w:szCs w:val="20"/>
          <w:color w:val="auto"/>
        </w:rPr>
      </w:pPr>
      <w:r>
        <w:rPr>
          <w:rFonts w:ascii="Arial" w:cs="Arial" w:eastAsia="Arial" w:hAnsi="Arial"/>
          <w:sz w:val="18"/>
          <w:szCs w:val="18"/>
          <w:color w:val="auto"/>
        </w:rPr>
        <w:t>Articles as the maximum number of directors.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7"/>
          <w:szCs w:val="17"/>
          <w:color w:val="auto"/>
        </w:rPr>
        <w:t>Under the U.K. Companies Act 2006, a public</w:t>
      </w:r>
    </w:p>
    <w:p>
      <w:pPr>
        <w:spacing w:after="0" w:line="18"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limited company must hold an annual general</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meeting in each six-month period following</w:t>
      </w:r>
    </w:p>
    <w:p>
      <w:pPr>
        <w:ind w:left="4000"/>
        <w:spacing w:after="0" w:line="234" w:lineRule="auto"/>
        <w:rPr>
          <w:sz w:val="20"/>
          <w:szCs w:val="20"/>
          <w:color w:val="auto"/>
        </w:rPr>
      </w:pPr>
      <w:r>
        <w:rPr>
          <w:rFonts w:ascii="Arial" w:cs="Arial" w:eastAsia="Arial" w:hAnsi="Arial"/>
          <w:sz w:val="18"/>
          <w:szCs w:val="18"/>
          <w:color w:val="auto"/>
        </w:rPr>
        <w:t>the company’s annual accounting reference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7"/>
          <w:szCs w:val="17"/>
          <w:color w:val="auto"/>
        </w:rPr>
        <w:t>Under the U.K. Companies Act 2006, a</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general meeting of the shareholders of a</w:t>
      </w:r>
    </w:p>
    <w:p>
      <w:pPr>
        <w:ind w:left="4000"/>
        <w:spacing w:after="0" w:line="234" w:lineRule="auto"/>
        <w:rPr>
          <w:sz w:val="20"/>
          <w:szCs w:val="20"/>
          <w:color w:val="auto"/>
        </w:rPr>
      </w:pPr>
      <w:r>
        <w:rPr>
          <w:rFonts w:ascii="Arial" w:cs="Arial" w:eastAsia="Arial" w:hAnsi="Arial"/>
          <w:sz w:val="18"/>
          <w:szCs w:val="18"/>
          <w:color w:val="auto"/>
        </w:rPr>
        <w:t>public limited company may be called by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10" w:right="20"/>
        <w:spacing w:after="0" w:line="239"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w:t>
      </w:r>
    </w:p>
    <w:p>
      <w:pPr>
        <w:spacing w:after="0" w:line="4" w:lineRule="exact"/>
        <w:rPr>
          <w:sz w:val="20"/>
          <w:szCs w:val="20"/>
          <w:color w:val="auto"/>
        </w:rPr>
      </w:pPr>
    </w:p>
    <w:p>
      <w:pPr>
        <w:ind w:left="10" w:right="20" w:hanging="10"/>
        <w:spacing w:after="0" w:line="237"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69" w:lineRule="exact"/>
        <w:rPr>
          <w:sz w:val="20"/>
          <w:szCs w:val="20"/>
          <w:color w:val="auto"/>
        </w:rPr>
      </w:pPr>
    </w:p>
    <w:p>
      <w:pPr>
        <w:ind w:left="10"/>
        <w:spacing w:after="0" w:line="241"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71" w:lineRule="exact"/>
        <w:rPr>
          <w:sz w:val="20"/>
          <w:szCs w:val="20"/>
          <w:color w:val="auto"/>
        </w:rPr>
      </w:pPr>
    </w:p>
    <w:p>
      <w:pPr>
        <w:ind w:left="10" w:right="140"/>
        <w:spacing w:after="0" w:line="243"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10"/>
            <w:col w:w="3390"/>
          </w:cols>
          <w:pgMar w:left="320" w:top="455" w:right="459" w:bottom="1440" w:gutter="0" w:footer="0" w:header="0"/>
          <w:type w:val="continuous"/>
        </w:sectPr>
      </w:pPr>
    </w:p>
    <w:bookmarkStart w:id="69" w:name="page70"/>
    <w:bookmarkEnd w:id="6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080"/>
          </w:cols>
          <w:pgMar w:left="320" w:top="455" w:right="49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3"/>
        </w:trPr>
        <w:tc>
          <w:tcPr>
            <w:tcW w:w="3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20" w:type="dxa"/>
            <w:vAlign w:val="bottom"/>
          </w:tcPr>
          <w:p>
            <w:pPr>
              <w:spacing w:after="0" w:line="173" w:lineRule="exact"/>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2"/>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43"/>
        </w:trPr>
        <w:tc>
          <w:tcPr>
            <w:tcW w:w="3020" w:type="dxa"/>
            <w:vAlign w:val="bottom"/>
          </w:tcPr>
          <w:p>
            <w:pPr>
              <w:spacing w:after="0"/>
              <w:rPr>
                <w:sz w:val="21"/>
                <w:szCs w:val="21"/>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places as it shall determine.</w:t>
            </w:r>
          </w:p>
        </w:tc>
      </w:tr>
      <w:tr>
        <w:trPr>
          <w:trHeight w:val="270"/>
        </w:trPr>
        <w:tc>
          <w:tcPr>
            <w:tcW w:w="3020" w:type="dxa"/>
            <w:vAlign w:val="bottom"/>
          </w:tcPr>
          <w:p>
            <w:pPr>
              <w:spacing w:after="0"/>
              <w:rPr>
                <w:sz w:val="23"/>
                <w:szCs w:val="23"/>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43"/>
        </w:trPr>
        <w:tc>
          <w:tcPr>
            <w:tcW w:w="3020" w:type="dxa"/>
            <w:vAlign w:val="bottom"/>
          </w:tcPr>
          <w:p>
            <w:pPr>
              <w:spacing w:after="0"/>
              <w:rPr>
                <w:sz w:val="21"/>
                <w:szCs w:val="21"/>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least 5% of our voting share capital.</w:t>
            </w:r>
          </w:p>
        </w:tc>
      </w:tr>
      <w:tr>
        <w:trPr>
          <w:trHeight w:val="270"/>
        </w:trPr>
        <w:tc>
          <w:tcPr>
            <w:tcW w:w="3020" w:type="dxa"/>
            <w:vAlign w:val="bottom"/>
          </w:tcPr>
          <w:p>
            <w:pPr>
              <w:spacing w:after="0"/>
              <w:rPr>
                <w:sz w:val="23"/>
                <w:szCs w:val="23"/>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meetings at which special</w:t>
            </w:r>
          </w:p>
        </w:tc>
      </w:tr>
      <w:tr>
        <w:trPr>
          <w:trHeight w:val="202"/>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shareholders’ pre-emptive right, amend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43"/>
        </w:trPr>
        <w:tc>
          <w:tcPr>
            <w:tcW w:w="3020" w:type="dxa"/>
            <w:vAlign w:val="bottom"/>
          </w:tcPr>
          <w:p>
            <w:pPr>
              <w:spacing w:after="0"/>
              <w:rPr>
                <w:sz w:val="21"/>
                <w:szCs w:val="21"/>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required.</w:t>
            </w:r>
          </w:p>
        </w:tc>
      </w:tr>
      <w:tr>
        <w:trPr>
          <w:trHeight w:val="270"/>
        </w:trPr>
        <w:tc>
          <w:tcPr>
            <w:tcW w:w="3020" w:type="dxa"/>
            <w:vAlign w:val="bottom"/>
          </w:tcPr>
          <w:p>
            <w:pPr>
              <w:spacing w:after="0"/>
              <w:rPr>
                <w:sz w:val="23"/>
                <w:szCs w:val="23"/>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Other proposals relating to the ordinary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course of the company’s business, such as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election of directors, would generally be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subject of an ordinary resolution and</w:t>
            </w:r>
          </w:p>
        </w:tc>
      </w:tr>
      <w:tr>
        <w:trPr>
          <w:trHeight w:val="243"/>
        </w:trPr>
        <w:tc>
          <w:tcPr>
            <w:tcW w:w="3020" w:type="dxa"/>
            <w:vAlign w:val="bottom"/>
          </w:tcPr>
          <w:p>
            <w:pPr>
              <w:spacing w:after="0"/>
              <w:rPr>
                <w:sz w:val="21"/>
                <w:szCs w:val="21"/>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subject to our Articles.</w:t>
            </w: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Under the U.K. Companies Act 2006, at least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21 clear days’ notice must be given for an</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annual general meeting and any resolutions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to be proposed at that meeting. At least 14</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clear days’ notice is required for any other</w:t>
            </w:r>
          </w:p>
        </w:tc>
      </w:tr>
      <w:tr>
        <w:trPr>
          <w:trHeight w:val="243"/>
        </w:trPr>
        <w:tc>
          <w:tcPr>
            <w:tcW w:w="3020" w:type="dxa"/>
            <w:vAlign w:val="bottom"/>
          </w:tcPr>
          <w:p>
            <w:pPr>
              <w:spacing w:after="0"/>
              <w:rPr>
                <w:sz w:val="21"/>
                <w:szCs w:val="21"/>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w:t>
            </w:r>
          </w:p>
        </w:tc>
      </w:tr>
      <w:tr>
        <w:trPr>
          <w:trHeight w:val="958"/>
        </w:trPr>
        <w:tc>
          <w:tcPr>
            <w:tcW w:w="3020" w:type="dxa"/>
            <w:vAlign w:val="bottom"/>
          </w:tcPr>
          <w:p>
            <w:pPr>
              <w:spacing w:after="0"/>
              <w:rPr>
                <w:sz w:val="24"/>
                <w:szCs w:val="24"/>
                <w:color w:val="auto"/>
              </w:rPr>
            </w:pPr>
          </w:p>
        </w:tc>
        <w:tc>
          <w:tcPr>
            <w:tcW w:w="4480" w:type="dxa"/>
            <w:vAlign w:val="bottom"/>
            <w:gridSpan w:val="2"/>
          </w:tcPr>
          <w:p>
            <w:pPr>
              <w:ind w:left="238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2160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7620" w:space="120"/>
            <w:col w:w="3340"/>
          </w:cols>
          <w:pgMar w:left="320" w:top="455" w:right="49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ind w:right="14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19050</wp:posOffset>
            </wp:positionV>
            <wp:extent cx="45345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certain matters, such as the</w:t>
      </w:r>
    </w:p>
    <w:p>
      <w:pPr>
        <w:ind w:left="4000"/>
        <w:spacing w:after="0" w:line="234" w:lineRule="auto"/>
        <w:rPr>
          <w:sz w:val="20"/>
          <w:szCs w:val="20"/>
          <w:color w:val="auto"/>
        </w:rPr>
      </w:pPr>
      <w:r>
        <w:rPr>
          <w:rFonts w:ascii="Arial" w:cs="Arial" w:eastAsia="Arial" w:hAnsi="Arial"/>
          <w:sz w:val="18"/>
          <w:szCs w:val="18"/>
          <w:color w:val="auto"/>
        </w:rPr>
        <w:t>removal of directors or auditors, require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special notice, which is 28 clear days’ notice.</w:t>
      </w:r>
    </w:p>
    <w:p>
      <w:pPr>
        <w:sectPr>
          <w:pgSz w:w="11900" w:h="16838" w:orient="portrait"/>
          <w:cols w:equalWidth="0" w:num="1">
            <w:col w:w="11140"/>
          </w:cols>
          <w:pgMar w:left="320" w:top="455" w:right="439" w:bottom="1440" w:gutter="0" w:footer="0" w:header="0"/>
        </w:sectPr>
      </w:pPr>
    </w:p>
    <w:p>
      <w:pPr>
        <w:spacing w:after="0" w:line="82"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 be</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transacted at any general meeting unless a</w:t>
      </w:r>
    </w:p>
    <w:p>
      <w:pPr>
        <w:ind w:left="4000"/>
        <w:spacing w:after="0" w:line="234" w:lineRule="auto"/>
        <w:rPr>
          <w:sz w:val="20"/>
          <w:szCs w:val="20"/>
          <w:color w:val="auto"/>
        </w:rPr>
      </w:pPr>
      <w:r>
        <w:rPr>
          <w:rFonts w:ascii="Arial" w:cs="Arial" w:eastAsia="Arial" w:hAnsi="Arial"/>
          <w:sz w:val="18"/>
          <w:szCs w:val="18"/>
          <w:color w:val="auto"/>
        </w:rPr>
        <w:t>quorum is present. Two qualifying persons</w:t>
      </w:r>
    </w:p>
    <w:p>
      <w:pPr>
        <w:ind w:left="4000"/>
        <w:spacing w:after="0" w:line="235" w:lineRule="auto"/>
        <w:rPr>
          <w:sz w:val="20"/>
          <w:szCs w:val="20"/>
          <w:color w:val="auto"/>
        </w:rPr>
      </w:pPr>
      <w:r>
        <w:rPr>
          <w:rFonts w:ascii="Arial" w:cs="Arial" w:eastAsia="Arial" w:hAnsi="Arial"/>
          <w:sz w:val="18"/>
          <w:szCs w:val="18"/>
          <w:color w:val="auto"/>
        </w:rPr>
        <w:t>present at a meeting and entitled to vote on</w:t>
      </w:r>
    </w:p>
    <w:p>
      <w:pPr>
        <w:ind w:left="4000"/>
        <w:spacing w:after="0" w:line="235" w:lineRule="auto"/>
        <w:rPr>
          <w:sz w:val="20"/>
          <w:szCs w:val="20"/>
          <w:color w:val="auto"/>
        </w:rPr>
      </w:pPr>
      <w:r>
        <w:rPr>
          <w:rFonts w:ascii="Arial" w:cs="Arial" w:eastAsia="Arial" w:hAnsi="Arial"/>
          <w:sz w:val="18"/>
          <w:szCs w:val="18"/>
          <w:color w:val="auto"/>
        </w:rPr>
        <w:t>the business to be transacted shall be a</w:t>
      </w:r>
    </w:p>
    <w:p>
      <w:pPr>
        <w:ind w:left="4000"/>
        <w:spacing w:after="0" w:line="235" w:lineRule="auto"/>
        <w:rPr>
          <w:sz w:val="20"/>
          <w:szCs w:val="20"/>
          <w:color w:val="auto"/>
        </w:rPr>
      </w:pPr>
      <w:r>
        <w:rPr>
          <w:rFonts w:ascii="Arial" w:cs="Arial" w:eastAsia="Arial" w:hAnsi="Arial"/>
          <w:sz w:val="18"/>
          <w:szCs w:val="18"/>
          <w:color w:val="auto"/>
        </w:rPr>
        <w:t>quorum, unless (1) each is a qualifying</w:t>
      </w:r>
    </w:p>
    <w:p>
      <w:pPr>
        <w:ind w:left="4000"/>
        <w:spacing w:after="0" w:line="235" w:lineRule="auto"/>
        <w:rPr>
          <w:sz w:val="20"/>
          <w:szCs w:val="20"/>
          <w:color w:val="auto"/>
        </w:rPr>
      </w:pPr>
      <w:r>
        <w:rPr>
          <w:rFonts w:ascii="Arial" w:cs="Arial" w:eastAsia="Arial" w:hAnsi="Arial"/>
          <w:sz w:val="18"/>
          <w:szCs w:val="18"/>
          <w:color w:val="auto"/>
        </w:rPr>
        <w:t>person only because he or she is authorized</w:t>
      </w:r>
    </w:p>
    <w:p>
      <w:pPr>
        <w:ind w:left="4000"/>
        <w:spacing w:after="0" w:line="234" w:lineRule="auto"/>
        <w:rPr>
          <w:sz w:val="20"/>
          <w:szCs w:val="20"/>
          <w:color w:val="auto"/>
        </w:rPr>
      </w:pPr>
      <w:r>
        <w:rPr>
          <w:rFonts w:ascii="Arial" w:cs="Arial" w:eastAsia="Arial" w:hAnsi="Arial"/>
          <w:sz w:val="18"/>
          <w:szCs w:val="18"/>
          <w:color w:val="auto"/>
        </w:rPr>
        <w:t>under the U.K. Companies Act 2006 to act as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 representative of a corporation in relation to</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meeting, and they are representatives of</w:t>
      </w:r>
    </w:p>
    <w:p>
      <w:pPr>
        <w:ind w:left="4000"/>
        <w:spacing w:after="0" w:line="234" w:lineRule="auto"/>
        <w:rPr>
          <w:sz w:val="20"/>
          <w:szCs w:val="20"/>
          <w:color w:val="auto"/>
        </w:rPr>
      </w:pPr>
      <w:r>
        <w:rPr>
          <w:rFonts w:ascii="Arial" w:cs="Arial" w:eastAsia="Arial" w:hAnsi="Arial"/>
          <w:sz w:val="18"/>
          <w:szCs w:val="18"/>
          <w:color w:val="auto"/>
        </w:rPr>
        <w:t>the same corporation, or (2) each is a</w:t>
      </w:r>
    </w:p>
    <w:p>
      <w:pPr>
        <w:ind w:left="4000"/>
        <w:spacing w:after="0" w:line="235" w:lineRule="auto"/>
        <w:rPr>
          <w:sz w:val="20"/>
          <w:szCs w:val="20"/>
          <w:color w:val="auto"/>
        </w:rPr>
      </w:pPr>
      <w:r>
        <w:rPr>
          <w:rFonts w:ascii="Arial" w:cs="Arial" w:eastAsia="Arial" w:hAnsi="Arial"/>
          <w:sz w:val="18"/>
          <w:szCs w:val="18"/>
          <w:color w:val="auto"/>
        </w:rPr>
        <w:t>qualifying person only because he or she is</w:t>
      </w:r>
    </w:p>
    <w:p>
      <w:pPr>
        <w:ind w:left="4000"/>
        <w:spacing w:after="0" w:line="235" w:lineRule="auto"/>
        <w:rPr>
          <w:sz w:val="20"/>
          <w:szCs w:val="20"/>
          <w:color w:val="auto"/>
        </w:rPr>
      </w:pPr>
      <w:r>
        <w:rPr>
          <w:rFonts w:ascii="Arial" w:cs="Arial" w:eastAsia="Arial" w:hAnsi="Arial"/>
          <w:sz w:val="18"/>
          <w:szCs w:val="18"/>
          <w:color w:val="auto"/>
        </w:rPr>
        <w:t>appointed as proxy of a shareholder in</w:t>
      </w:r>
    </w:p>
    <w:p>
      <w:pPr>
        <w:ind w:left="4000"/>
        <w:spacing w:after="0" w:line="235" w:lineRule="auto"/>
        <w:rPr>
          <w:sz w:val="20"/>
          <w:szCs w:val="20"/>
          <w:color w:val="auto"/>
        </w:rPr>
      </w:pPr>
      <w:r>
        <w:rPr>
          <w:rFonts w:ascii="Arial" w:cs="Arial" w:eastAsia="Arial" w:hAnsi="Arial"/>
          <w:sz w:val="18"/>
          <w:szCs w:val="18"/>
          <w:color w:val="auto"/>
        </w:rPr>
        <w:t>relation to the meeting, and they are proxies</w:t>
      </w:r>
    </w:p>
    <w:p>
      <w:pPr>
        <w:ind w:left="4000"/>
        <w:spacing w:after="0"/>
        <w:rPr>
          <w:sz w:val="20"/>
          <w:szCs w:val="20"/>
          <w:color w:val="auto"/>
        </w:rPr>
      </w:pPr>
      <w:r>
        <w:rPr>
          <w:rFonts w:ascii="Arial" w:cs="Arial" w:eastAsia="Arial" w:hAnsi="Arial"/>
          <w:sz w:val="18"/>
          <w:szCs w:val="18"/>
          <w:color w:val="auto"/>
        </w:rPr>
        <w:t>of the same shareholder.</w:t>
      </w:r>
    </w:p>
    <w:p>
      <w:pPr>
        <w:spacing w:after="0" w:line="8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 “qualifying person” means (1) a person</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who is one of our shareholders, (2) a person</w:t>
      </w:r>
    </w:p>
    <w:p>
      <w:pPr>
        <w:ind w:left="4000"/>
        <w:spacing w:after="0" w:line="234" w:lineRule="auto"/>
        <w:rPr>
          <w:sz w:val="20"/>
          <w:szCs w:val="20"/>
          <w:color w:val="auto"/>
        </w:rPr>
      </w:pPr>
      <w:r>
        <w:rPr>
          <w:rFonts w:ascii="Arial" w:cs="Arial" w:eastAsia="Arial" w:hAnsi="Arial"/>
          <w:sz w:val="18"/>
          <w:szCs w:val="18"/>
          <w:color w:val="auto"/>
        </w:rPr>
        <w:t>authorized under the U.K. Companies Act</w:t>
      </w:r>
    </w:p>
    <w:p>
      <w:pPr>
        <w:ind w:left="4000"/>
        <w:spacing w:after="0" w:line="235" w:lineRule="auto"/>
        <w:rPr>
          <w:sz w:val="20"/>
          <w:szCs w:val="20"/>
          <w:color w:val="auto"/>
        </w:rPr>
      </w:pPr>
      <w:r>
        <w:rPr>
          <w:rFonts w:ascii="Arial" w:cs="Arial" w:eastAsia="Arial" w:hAnsi="Arial"/>
          <w:sz w:val="18"/>
          <w:szCs w:val="18"/>
          <w:color w:val="auto"/>
        </w:rPr>
        <w:t>2006 to act as a representative of the</w:t>
      </w:r>
    </w:p>
    <w:p>
      <w:pPr>
        <w:ind w:left="4000"/>
        <w:spacing w:after="0" w:line="235" w:lineRule="auto"/>
        <w:rPr>
          <w:sz w:val="20"/>
          <w:szCs w:val="20"/>
          <w:color w:val="auto"/>
        </w:rPr>
      </w:pPr>
      <w:r>
        <w:rPr>
          <w:rFonts w:ascii="Arial" w:cs="Arial" w:eastAsia="Arial" w:hAnsi="Arial"/>
          <w:sz w:val="18"/>
          <w:szCs w:val="18"/>
          <w:color w:val="auto"/>
        </w:rPr>
        <w:t>corporation in relation to the meeting, or (3) a</w:t>
      </w:r>
    </w:p>
    <w:p>
      <w:pPr>
        <w:ind w:left="4000"/>
        <w:spacing w:after="0" w:line="235" w:lineRule="auto"/>
        <w:rPr>
          <w:sz w:val="20"/>
          <w:szCs w:val="20"/>
          <w:color w:val="auto"/>
        </w:rPr>
      </w:pPr>
      <w:r>
        <w:rPr>
          <w:rFonts w:ascii="Arial" w:cs="Arial" w:eastAsia="Arial" w:hAnsi="Arial"/>
          <w:sz w:val="18"/>
          <w:szCs w:val="18"/>
          <w:color w:val="auto"/>
        </w:rPr>
        <w:t>person appointed as proxy of a shareholder</w:t>
      </w:r>
    </w:p>
    <w:p>
      <w:pPr>
        <w:ind w:left="4000"/>
        <w:spacing w:after="0"/>
        <w:rPr>
          <w:sz w:val="20"/>
          <w:szCs w:val="20"/>
          <w:color w:val="auto"/>
        </w:rPr>
      </w:pPr>
      <w:r>
        <w:rPr>
          <w:rFonts w:ascii="Arial" w:cs="Arial" w:eastAsia="Arial" w:hAnsi="Arial"/>
          <w:sz w:val="18"/>
          <w:szCs w:val="18"/>
          <w:color w:val="auto"/>
        </w:rPr>
        <w:t>in relation to the meeting.</w:t>
      </w:r>
    </w:p>
    <w:p>
      <w:pPr>
        <w:spacing w:after="0" w:line="82"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U.K. Companies Act 2006, at any</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meeting of shareholders, a shareholder may</w:t>
      </w:r>
    </w:p>
    <w:p>
      <w:pPr>
        <w:ind w:left="4000"/>
        <w:spacing w:after="0" w:line="234" w:lineRule="auto"/>
        <w:rPr>
          <w:sz w:val="20"/>
          <w:szCs w:val="20"/>
          <w:color w:val="auto"/>
        </w:rPr>
      </w:pPr>
      <w:r>
        <w:rPr>
          <w:rFonts w:ascii="Arial" w:cs="Arial" w:eastAsia="Arial" w:hAnsi="Arial"/>
          <w:sz w:val="18"/>
          <w:szCs w:val="18"/>
          <w:color w:val="auto"/>
        </w:rPr>
        <w:t>designate another person to attend, speak</w:t>
      </w:r>
    </w:p>
    <w:p>
      <w:pPr>
        <w:ind w:left="4000"/>
        <w:spacing w:after="0" w:line="235" w:lineRule="auto"/>
        <w:rPr>
          <w:sz w:val="20"/>
          <w:szCs w:val="20"/>
          <w:color w:val="auto"/>
        </w:rPr>
      </w:pPr>
      <w:r>
        <w:rPr>
          <w:rFonts w:ascii="Arial" w:cs="Arial" w:eastAsia="Arial" w:hAnsi="Arial"/>
          <w:sz w:val="18"/>
          <w:szCs w:val="18"/>
          <w:color w:val="auto"/>
        </w:rPr>
        <w:t>and vote at the meeting on their behalf by</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620" w:space="120"/>
            <w:col w:w="3400"/>
          </w:cols>
          <w:pgMar w:left="320" w:top="455" w:right="439" w:bottom="1440" w:gutter="0" w:footer="0" w:header="0"/>
          <w:type w:val="continuous"/>
        </w:sectPr>
      </w:pPr>
    </w:p>
    <w:bookmarkStart w:id="71" w:name="page72"/>
    <w:bookmarkEnd w:id="7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40"/>
          </w:cols>
          <w:pgMar w:left="320" w:top="455"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760" w:type="dxa"/>
            <w:vAlign w:val="bottom"/>
            <w:vMerge w:val="restart"/>
          </w:tcPr>
          <w:p>
            <w:pPr>
              <w:spacing w:after="0"/>
              <w:rPr>
                <w:sz w:val="20"/>
                <w:szCs w:val="20"/>
                <w:color w:val="auto"/>
              </w:rPr>
            </w:pPr>
            <w:r>
              <w:rPr>
                <w:rFonts w:ascii="Arial" w:cs="Arial" w:eastAsia="Arial" w:hAnsi="Arial"/>
                <w:sz w:val="18"/>
                <w:szCs w:val="18"/>
                <w:color w:val="auto"/>
              </w:rPr>
              <w:t>Issue of New Shares</w:t>
            </w: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3"/>
        </w:trPr>
        <w:tc>
          <w:tcPr>
            <w:tcW w:w="27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3620" w:type="dxa"/>
            <w:vAlign w:val="bottom"/>
          </w:tcPr>
          <w:p>
            <w:pPr>
              <w:spacing w:after="0" w:line="173"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directors of a company must not exercise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power to allot shares or grant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any security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shares unless they are authorized to do so by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the company’s articles of association or by an</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resolution of the shareholders.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authorization given must state the maximum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amount of shares that may be allotted under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it and specify the date on which it will expire,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which must be not more than five years from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date the authorization was given.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authority can be renewed by a further</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resolution of the shareholders.</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Pre-emptive Rights</w:t>
            </w: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Under the U.K. Companies Act 2006, “equity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securities,” being (i) shares in the company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 than shares that, with respect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dividends and capital, carry a right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participate only up to a specified amount in a</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distribution (“ordinary shares”) or (ii)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securities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shares, proposed to be allotted for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cash, must be offered first to the existing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equity shareholders in the company in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proportion to the respective nominal value of</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their holdings, unless an exception applies or</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 special resolution to the contrary has been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passed by shareholders in a general meeting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 the articles of association provide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otherwise, in each case in accordance with</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provisions of the U.K. Companies Act</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351"/>
        </w:trPr>
        <w:tc>
          <w:tcPr>
            <w:tcW w:w="2760" w:type="dxa"/>
            <w:vAlign w:val="bottom"/>
          </w:tcPr>
          <w:p>
            <w:pPr>
              <w:spacing w:after="0"/>
              <w:rPr>
                <w:sz w:val="24"/>
                <w:szCs w:val="24"/>
                <w:color w:val="auto"/>
              </w:rPr>
            </w:pPr>
          </w:p>
        </w:tc>
        <w:tc>
          <w:tcPr>
            <w:tcW w:w="4740" w:type="dxa"/>
            <w:vAlign w:val="bottom"/>
            <w:gridSpan w:val="2"/>
          </w:tcPr>
          <w:p>
            <w:pPr>
              <w:ind w:left="26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2160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620" w:space="120"/>
            <w:col w:w="3400"/>
          </w:cols>
          <w:pgMar w:left="320" w:top="455" w:right="439" w:bottom="1440" w:gutter="0" w:footer="0" w:header="0"/>
          <w:type w:val="continuous"/>
        </w:sectPr>
      </w:pPr>
    </w:p>
    <w:bookmarkStart w:id="72" w:name="page73"/>
    <w:bookmarkEnd w:id="7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40"/>
          </w:cols>
          <w:pgMar w:left="320" w:top="455"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20" w:type="dxa"/>
            <w:vAlign w:val="bottom"/>
            <w:vMerge w:val="restart"/>
          </w:tcPr>
          <w:p>
            <w:pPr>
              <w:spacing w:after="0"/>
              <w:rPr>
                <w:sz w:val="20"/>
                <w:szCs w:val="20"/>
                <w:color w:val="auto"/>
              </w:rPr>
            </w:pPr>
            <w:r>
              <w:rPr>
                <w:rFonts w:ascii="Arial" w:cs="Arial" w:eastAsia="Arial" w:hAnsi="Arial"/>
                <w:sz w:val="18"/>
                <w:szCs w:val="18"/>
                <w:color w:val="auto"/>
              </w:rPr>
              <w:t>Authority to Allot</w:t>
            </w:r>
          </w:p>
        </w:tc>
        <w:tc>
          <w:tcPr>
            <w:tcW w:w="6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73"/>
        </w:trPr>
        <w:tc>
          <w:tcPr>
            <w:tcW w:w="32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620" w:type="dxa"/>
            <w:vAlign w:val="bottom"/>
          </w:tcPr>
          <w:p>
            <w:pPr>
              <w:spacing w:after="0" w:line="173"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directors of a company must not allot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or grant rights to subscribe for or to convert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any security into shares unless those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are allotted, or those rights to subscribe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convert any security into shares are granted</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 applicable) pursuant to an employee</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share scheme, an ordinary resolution to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contrary has been passed by shareholders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general meeting, or the articles of</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association provide otherwise, in each case,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 accordance with the provisions of the U.K.</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Companies Act 2006.</w:t>
            </w:r>
          </w:p>
        </w:tc>
        <w:tc>
          <w:tcPr>
            <w:tcW w:w="0" w:type="dxa"/>
            <w:vAlign w:val="bottom"/>
          </w:tcPr>
          <w:p>
            <w:pPr>
              <w:spacing w:after="0"/>
              <w:rPr>
                <w:sz w:val="1"/>
                <w:szCs w:val="1"/>
                <w:color w:val="auto"/>
              </w:rPr>
            </w:pPr>
          </w:p>
        </w:tc>
      </w:tr>
      <w:tr>
        <w:trPr>
          <w:trHeight w:val="675"/>
        </w:trPr>
        <w:tc>
          <w:tcPr>
            <w:tcW w:w="3220" w:type="dxa"/>
            <w:vAlign w:val="bottom"/>
          </w:tcPr>
          <w:p>
            <w:pPr>
              <w:spacing w:after="0"/>
              <w:rPr>
                <w:sz w:val="20"/>
                <w:szCs w:val="20"/>
                <w:color w:val="auto"/>
              </w:rPr>
            </w:pPr>
            <w:r>
              <w:rPr>
                <w:rFonts w:ascii="Arial" w:cs="Arial" w:eastAsia="Arial" w:hAnsi="Arial"/>
                <w:sz w:val="18"/>
                <w:szCs w:val="18"/>
                <w:color w:val="auto"/>
              </w:rPr>
              <w:t>Liability of Directors and Officers</w:t>
            </w: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Under the U.K. Companies Act 2006, any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provision (whether contained in a company’s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articles of association or any contract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otherwise) that purports to exempt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of a company (to any extent) from any liability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that would otherwise attach to him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the company is void.</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Any provision by which we directly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indirectly provide an indemnity (to any extent)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for a director of the company or of an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“associated company” (i.e., a company that is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parent, subsidiary or sister company of us)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against any liability attaching to him or her in</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the company of which he or she is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is void except as permitted by the U.K.</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Companies Act 2006, which provides</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exceptions for us to:</w:t>
            </w:r>
          </w:p>
        </w:tc>
        <w:tc>
          <w:tcPr>
            <w:tcW w:w="0" w:type="dxa"/>
            <w:vAlign w:val="bottom"/>
          </w:tcPr>
          <w:p>
            <w:pPr>
              <w:spacing w:after="0"/>
              <w:rPr>
                <w:sz w:val="1"/>
                <w:szCs w:val="1"/>
                <w:color w:val="auto"/>
              </w:rPr>
            </w:pPr>
          </w:p>
        </w:tc>
      </w:tr>
      <w:tr>
        <w:trPr>
          <w:trHeight w:val="729"/>
        </w:trPr>
        <w:tc>
          <w:tcPr>
            <w:tcW w:w="3220" w:type="dxa"/>
            <w:vAlign w:val="bottom"/>
          </w:tcPr>
          <w:p>
            <w:pPr>
              <w:spacing w:after="0"/>
              <w:rPr>
                <w:sz w:val="24"/>
                <w:szCs w:val="24"/>
                <w:color w:val="auto"/>
              </w:rPr>
            </w:pPr>
          </w:p>
        </w:tc>
        <w:tc>
          <w:tcPr>
            <w:tcW w:w="4280" w:type="dxa"/>
            <w:vAlign w:val="bottom"/>
            <w:gridSpan w:val="2"/>
          </w:tcPr>
          <w:p>
            <w:pPr>
              <w:ind w:left="2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60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1" w:lineRule="exact"/>
        <w:rPr>
          <w:sz w:val="20"/>
          <w:szCs w:val="20"/>
          <w:color w:val="auto"/>
        </w:rPr>
      </w:pPr>
    </w:p>
    <w:p>
      <w:pPr>
        <w:ind w:left="10" w:right="20"/>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72" w:lineRule="exact"/>
        <w:rPr>
          <w:sz w:val="20"/>
          <w:szCs w:val="20"/>
          <w:color w:val="auto"/>
        </w:rPr>
      </w:pPr>
    </w:p>
    <w:p>
      <w:pPr>
        <w:ind w:left="10"/>
        <w:spacing w:after="0" w:line="256"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62" w:lineRule="exact"/>
        <w:rPr>
          <w:sz w:val="20"/>
          <w:szCs w:val="20"/>
          <w:color w:val="auto"/>
        </w:rPr>
      </w:pPr>
    </w:p>
    <w:p>
      <w:pPr>
        <w:ind w:left="350" w:right="280" w:hanging="350"/>
        <w:spacing w:after="0" w:line="255" w:lineRule="auto"/>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69" w:lineRule="exact"/>
        <w:rPr>
          <w:rFonts w:ascii="MS PGothic" w:cs="MS PGothic" w:eastAsia="MS PGothic" w:hAnsi="MS PGothic"/>
          <w:sz w:val="13"/>
          <w:szCs w:val="13"/>
          <w:color w:val="auto"/>
        </w:rPr>
      </w:pPr>
    </w:p>
    <w:p>
      <w:pPr>
        <w:jc w:val="both"/>
        <w:ind w:left="350" w:right="100" w:hanging="350"/>
        <w:spacing w:after="0" w:line="255" w:lineRule="auto"/>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69" w:lineRule="exact"/>
        <w:rPr>
          <w:rFonts w:ascii="MS PGothic" w:cs="MS PGothic" w:eastAsia="MS PGothic" w:hAnsi="MS PGothic"/>
          <w:sz w:val="13"/>
          <w:szCs w:val="13"/>
          <w:color w:val="auto"/>
        </w:rPr>
      </w:pPr>
    </w:p>
    <w:p>
      <w:pPr>
        <w:ind w:left="350" w:right="20" w:hanging="350"/>
        <w:spacing w:after="0" w:line="255" w:lineRule="auto"/>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69" w:lineRule="exact"/>
        <w:rPr>
          <w:rFonts w:ascii="MS PGothic" w:cs="MS PGothic" w:eastAsia="MS PGothic" w:hAnsi="MS PGothic"/>
          <w:sz w:val="13"/>
          <w:szCs w:val="13"/>
          <w:color w:val="auto"/>
        </w:rPr>
      </w:pPr>
    </w:p>
    <w:p>
      <w:pPr>
        <w:ind w:left="350" w:right="60" w:hanging="350"/>
        <w:spacing w:after="0" w:line="255" w:lineRule="auto"/>
        <w:tabs>
          <w:tab w:leader="none" w:pos="352" w:val="left"/>
        </w:tabs>
        <w:numPr>
          <w:ilvl w:val="0"/>
          <w:numId w:val="39"/>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620" w:space="110"/>
            <w:col w:w="3410"/>
          </w:cols>
          <w:pgMar w:left="320" w:top="455" w:right="4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right"/>
        <w:ind w:right="39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19050</wp:posOffset>
            </wp:positionV>
            <wp:extent cx="45345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1" w:lineRule="exact"/>
        <w:rPr>
          <w:sz w:val="20"/>
          <w:szCs w:val="20"/>
          <w:color w:val="auto"/>
        </w:rPr>
      </w:pPr>
    </w:p>
    <w:p>
      <w:pPr>
        <w:ind w:left="4360" w:right="2539" w:hanging="370"/>
        <w:spacing w:after="0" w:line="237"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71" w:lineRule="exact"/>
        <w:rPr>
          <w:rFonts w:ascii="MS PGothic" w:cs="MS PGothic" w:eastAsia="MS PGothic" w:hAnsi="MS PGothic"/>
          <w:sz w:val="13"/>
          <w:szCs w:val="13"/>
          <w:color w:val="auto"/>
        </w:rPr>
      </w:pPr>
    </w:p>
    <w:p>
      <w:pPr>
        <w:ind w:left="4360" w:right="2539" w:hanging="370"/>
        <w:spacing w:after="0" w:line="237"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77" w:lineRule="exact"/>
        <w:rPr>
          <w:rFonts w:ascii="MS PGothic" w:cs="MS PGothic" w:eastAsia="MS PGothic" w:hAnsi="MS PGothic"/>
          <w:sz w:val="13"/>
          <w:szCs w:val="13"/>
          <w:color w:val="auto"/>
        </w:rPr>
      </w:pPr>
    </w:p>
    <w:p>
      <w:pPr>
        <w:ind w:left="4360" w:right="2539" w:hanging="370"/>
        <w:spacing w:after="0" w:line="255"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55" w:lineRule="exact"/>
        <w:rPr>
          <w:rFonts w:ascii="MS PGothic" w:cs="MS PGothic" w:eastAsia="MS PGothic" w:hAnsi="MS PGothic"/>
          <w:sz w:val="13"/>
          <w:szCs w:val="13"/>
          <w:color w:val="auto"/>
        </w:rPr>
      </w:pPr>
    </w:p>
    <w:p>
      <w:pPr>
        <w:ind w:left="4360" w:right="2559" w:hanging="370"/>
        <w:spacing w:after="0" w:line="243" w:lineRule="auto"/>
        <w:tabs>
          <w:tab w:leader="none" w:pos="4362" w:val="left"/>
        </w:tabs>
        <w:numPr>
          <w:ilvl w:val="0"/>
          <w:numId w:val="40"/>
        </w:numPr>
        <w:rPr>
          <w:rFonts w:ascii="MS PGothic" w:cs="MS PGothic" w:eastAsia="MS PGothic" w:hAnsi="MS PGothic"/>
          <w:sz w:val="13"/>
          <w:szCs w:val="13"/>
          <w:color w:val="auto"/>
        </w:rPr>
      </w:pPr>
      <w:r>
        <w:rPr>
          <w:rFonts w:ascii="Arial" w:cs="Arial" w:eastAsia="Arial" w:hAnsi="Arial"/>
          <w:sz w:val="18"/>
          <w:szCs w:val="18"/>
          <w:color w:val="auto"/>
        </w:rPr>
        <w:t>with the company’s activities as trustee of an occupational pension plan. Such indemnity must not cover a fine imposed in criminal proceedings, or sum payable to a regulatory authority by way of a penalty in respect of</w:t>
      </w:r>
    </w:p>
    <w:p>
      <w:pPr>
        <w:spacing w:after="0" w:line="1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39"/>
          </w:cols>
          <w:pgMar w:left="320" w:top="455" w:right="1440" w:bottom="1440" w:gutter="0" w:footer="0" w:header="0"/>
        </w:sectPr>
      </w:pPr>
    </w:p>
    <w:bookmarkStart w:id="74" w:name="page75"/>
    <w:bookmarkEnd w:id="7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20"/>
          </w:cols>
          <w:pgMar w:left="320" w:top="455" w:right="45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3"/>
        </w:trPr>
        <w:tc>
          <w:tcPr>
            <w:tcW w:w="3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20" w:type="dxa"/>
            <w:vAlign w:val="bottom"/>
          </w:tcPr>
          <w:p>
            <w:pPr>
              <w:ind w:left="360"/>
              <w:spacing w:after="0" w:line="173" w:lineRule="exact"/>
              <w:rPr>
                <w:sz w:val="20"/>
                <w:szCs w:val="20"/>
                <w:color w:val="auto"/>
              </w:rPr>
            </w:pPr>
            <w:r>
              <w:rPr>
                <w:rFonts w:ascii="Arial" w:cs="Arial" w:eastAsia="Arial" w:hAnsi="Arial"/>
                <w:sz w:val="18"/>
                <w:szCs w:val="18"/>
                <w:color w:val="auto"/>
              </w:rPr>
              <w:t>non-compliance with any requirement of</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 regulatory nature (however arising), or</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any liability incurred by the director in</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defending criminal proceedings in which</w:t>
            </w:r>
          </w:p>
        </w:tc>
      </w:tr>
      <w:tr>
        <w:trPr>
          <w:trHeight w:val="243"/>
        </w:trPr>
        <w:tc>
          <w:tcPr>
            <w:tcW w:w="3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he or she is convicted.</w:t>
            </w:r>
          </w:p>
        </w:tc>
      </w:tr>
      <w:tr>
        <w:trPr>
          <w:trHeight w:val="270"/>
        </w:trPr>
        <w:tc>
          <w:tcPr>
            <w:tcW w:w="3600" w:type="dxa"/>
            <w:vAlign w:val="bottom"/>
          </w:tcPr>
          <w:p>
            <w:pPr>
              <w:spacing w:after="0"/>
              <w:rPr>
                <w:sz w:val="23"/>
                <w:szCs w:val="23"/>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Our Articles provide that it may indemnify</w:t>
            </w:r>
          </w:p>
        </w:tc>
      </w:tr>
      <w:tr>
        <w:trPr>
          <w:trHeight w:val="243"/>
        </w:trPr>
        <w:tc>
          <w:tcPr>
            <w:tcW w:w="3600" w:type="dxa"/>
            <w:vAlign w:val="bottom"/>
          </w:tcPr>
          <w:p>
            <w:pPr>
              <w:spacing w:after="0"/>
              <w:rPr>
                <w:sz w:val="21"/>
                <w:szCs w:val="21"/>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each of our directors against:</w:t>
            </w:r>
          </w:p>
        </w:tc>
      </w:tr>
      <w:tr>
        <w:trPr>
          <w:trHeight w:val="270"/>
        </w:trPr>
        <w:tc>
          <w:tcPr>
            <w:tcW w:w="3600" w:type="dxa"/>
            <w:vAlign w:val="bottom"/>
          </w:tcPr>
          <w:p>
            <w:pPr>
              <w:spacing w:after="0"/>
              <w:rPr>
                <w:sz w:val="23"/>
                <w:szCs w:val="23"/>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43"/>
        </w:trPr>
        <w:tc>
          <w:tcPr>
            <w:tcW w:w="3600" w:type="dxa"/>
            <w:vAlign w:val="bottom"/>
          </w:tcPr>
          <w:p>
            <w:pPr>
              <w:spacing w:after="0"/>
              <w:rPr>
                <w:sz w:val="21"/>
                <w:szCs w:val="21"/>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43"/>
        </w:trPr>
        <w:tc>
          <w:tcPr>
            <w:tcW w:w="3600" w:type="dxa"/>
            <w:vAlign w:val="bottom"/>
          </w:tcPr>
          <w:p>
            <w:pPr>
              <w:spacing w:after="0"/>
              <w:rPr>
                <w:sz w:val="21"/>
                <w:szCs w:val="21"/>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creditors and used in certain types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reconstructions, amalgamations, capital</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reorganizations or takeovers. These</w:t>
            </w:r>
          </w:p>
        </w:tc>
      </w:tr>
      <w:tr>
        <w:trPr>
          <w:trHeight w:val="243"/>
        </w:trPr>
        <w:tc>
          <w:tcPr>
            <w:tcW w:w="3600" w:type="dxa"/>
            <w:vAlign w:val="bottom"/>
          </w:tcPr>
          <w:p>
            <w:pPr>
              <w:spacing w:after="0"/>
              <w:rPr>
                <w:sz w:val="21"/>
                <w:szCs w:val="21"/>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arrangements require:</w:t>
            </w:r>
          </w:p>
        </w:tc>
      </w:tr>
      <w:tr>
        <w:trPr>
          <w:trHeight w:val="810"/>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60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 w:right="60"/>
        <w:spacing w:after="0" w:line="245"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67" w:lineRule="exact"/>
        <w:rPr>
          <w:sz w:val="20"/>
          <w:szCs w:val="20"/>
          <w:color w:val="auto"/>
        </w:rPr>
      </w:pPr>
    </w:p>
    <w:p>
      <w:pPr>
        <w:ind w:left="10"/>
        <w:spacing w:after="0" w:line="241"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84" w:lineRule="exact"/>
        <w:rPr>
          <w:sz w:val="20"/>
          <w:szCs w:val="20"/>
          <w:color w:val="auto"/>
        </w:rPr>
      </w:pPr>
    </w:p>
    <w:p>
      <w:pPr>
        <w:ind w:left="350" w:right="40" w:hanging="350"/>
        <w:spacing w:after="0" w:line="276" w:lineRule="auto"/>
        <w:tabs>
          <w:tab w:leader="none" w:pos="352" w:val="left"/>
        </w:tabs>
        <w:numPr>
          <w:ilvl w:val="0"/>
          <w:numId w:val="41"/>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ectPr>
          <w:pgSz w:w="11900" w:h="16838" w:orient="portrait"/>
          <w:cols w:equalWidth="0" w:num="2">
            <w:col w:w="7620" w:space="110"/>
            <w:col w:w="3390"/>
          </w:cols>
          <w:pgMar w:left="320" w:top="455" w:right="459" w:bottom="1440" w:gutter="0" w:footer="0" w:header="0"/>
          <w:type w:val="continuous"/>
        </w:sectPr>
      </w:pPr>
    </w:p>
    <w:bookmarkStart w:id="75" w:name="page76"/>
    <w:bookmarkEnd w:id="7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40"/>
          </w:cols>
          <w:pgMar w:left="320" w:top="455"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73"/>
        </w:trPr>
        <w:tc>
          <w:tcPr>
            <w:tcW w:w="2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20" w:type="dxa"/>
            <w:vAlign w:val="bottom"/>
          </w:tcPr>
          <w:p>
            <w:pPr>
              <w:spacing w:after="0" w:line="173" w:lineRule="exact"/>
              <w:rPr>
                <w:sz w:val="20"/>
                <w:szCs w:val="20"/>
                <w:color w:val="auto"/>
              </w:rPr>
            </w:pPr>
            <w:r>
              <w:rPr>
                <w:rFonts w:ascii="Arial" w:cs="Arial" w:eastAsia="Arial" w:hAnsi="Arial"/>
                <w:sz w:val="18"/>
                <w:szCs w:val="18"/>
                <w:color w:val="auto"/>
              </w:rPr>
              <w:t>(1) the approval, at a shareholders’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or by proxy; and (2) the approval of a court of</w:t>
            </w:r>
          </w:p>
        </w:tc>
      </w:tr>
      <w:tr>
        <w:trPr>
          <w:trHeight w:val="243"/>
        </w:trPr>
        <w:tc>
          <w:tcPr>
            <w:tcW w:w="2760" w:type="dxa"/>
            <w:vAlign w:val="bottom"/>
          </w:tcPr>
          <w:p>
            <w:pPr>
              <w:spacing w:after="0"/>
              <w:rPr>
                <w:sz w:val="21"/>
                <w:szCs w:val="21"/>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England and Wales.</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Standard of Conduct</w:t>
            </w: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for Directors</w:t>
            </w: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43"/>
        </w:trPr>
        <w:tc>
          <w:tcPr>
            <w:tcW w:w="2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company, including:</w:t>
            </w:r>
          </w:p>
        </w:tc>
      </w:tr>
      <w:tr>
        <w:trPr>
          <w:trHeight w:val="28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43"/>
        </w:trPr>
        <w:tc>
          <w:tcPr>
            <w:tcW w:w="2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28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43"/>
        </w:trPr>
        <w:tc>
          <w:tcPr>
            <w:tcW w:w="2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28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43"/>
        </w:trPr>
        <w:tc>
          <w:tcPr>
            <w:tcW w:w="2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8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43"/>
        </w:trPr>
        <w:tc>
          <w:tcPr>
            <w:tcW w:w="2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60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1" w:lineRule="exact"/>
        <w:rPr>
          <w:sz w:val="20"/>
          <w:szCs w:val="20"/>
          <w:color w:val="auto"/>
        </w:rPr>
      </w:pPr>
    </w:p>
    <w:p>
      <w:pPr>
        <w:ind w:left="350" w:right="140" w:hanging="350"/>
        <w:spacing w:after="0" w:line="237" w:lineRule="auto"/>
        <w:tabs>
          <w:tab w:leader="none" w:pos="352" w:val="left"/>
        </w:tabs>
        <w:numPr>
          <w:ilvl w:val="0"/>
          <w:numId w:val="42"/>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74" w:lineRule="exact"/>
        <w:rPr>
          <w:sz w:val="20"/>
          <w:szCs w:val="20"/>
          <w:color w:val="auto"/>
        </w:rPr>
      </w:pPr>
    </w:p>
    <w:p>
      <w:pPr>
        <w:ind w:left="10" w:right="100"/>
        <w:spacing w:after="0" w:line="239"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5"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w:t>
      </w:r>
    </w:p>
    <w:p>
      <w:pPr>
        <w:sectPr>
          <w:pgSz w:w="11900" w:h="16838" w:orient="portrait"/>
          <w:cols w:equalWidth="0" w:num="2">
            <w:col w:w="7620" w:space="110"/>
            <w:col w:w="3410"/>
          </w:cols>
          <w:pgMar w:left="320" w:top="455" w:right="439" w:bottom="1440" w:gutter="0" w:footer="0" w:header="0"/>
          <w:type w:val="continuous"/>
        </w:sectPr>
      </w:pPr>
    </w:p>
    <w:bookmarkStart w:id="76" w:name="page77"/>
    <w:bookmarkEnd w:id="7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20"/>
          </w:cols>
          <w:pgMar w:left="320" w:top="455" w:right="459"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19050</wp:posOffset>
            </wp:positionV>
            <wp:extent cx="23056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8"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not to accept benefits from a third party</w:t>
      </w:r>
    </w:p>
    <w:p>
      <w:pPr>
        <w:ind w:left="4360"/>
        <w:spacing w:after="0"/>
        <w:rPr>
          <w:sz w:val="20"/>
          <w:szCs w:val="20"/>
          <w:color w:val="auto"/>
        </w:rPr>
      </w:pPr>
      <w:r>
        <w:rPr>
          <w:rFonts w:ascii="Arial" w:cs="Arial" w:eastAsia="Arial" w:hAnsi="Arial"/>
          <w:sz w:val="18"/>
          <w:szCs w:val="18"/>
          <w:color w:val="auto"/>
        </w:rPr>
        <w:t>conferred by reason of his or</w:t>
      </w:r>
    </w:p>
    <w:p>
      <w:pPr>
        <w:spacing w:after="0" w:line="95"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her being a director or doing, or not</w:t>
      </w:r>
    </w:p>
    <w:p>
      <w:pPr>
        <w:spacing w:after="0" w:line="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doing, anything as a director; and</w:t>
      </w:r>
    </w:p>
    <w:p>
      <w:pPr>
        <w:spacing w:after="0" w:line="95"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a duty to declare any interest that he or</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she has, whether directly or indirectly, in</w:t>
      </w:r>
    </w:p>
    <w:p>
      <w:pPr>
        <w:ind w:left="4360"/>
        <w:spacing w:after="0" w:line="234" w:lineRule="auto"/>
        <w:rPr>
          <w:sz w:val="20"/>
          <w:szCs w:val="20"/>
          <w:color w:val="auto"/>
        </w:rPr>
      </w:pPr>
      <w:r>
        <w:rPr>
          <w:rFonts w:ascii="Arial" w:cs="Arial" w:eastAsia="Arial" w:hAnsi="Arial"/>
          <w:sz w:val="18"/>
          <w:szCs w:val="18"/>
          <w:color w:val="auto"/>
        </w:rPr>
        <w:t>a proposed or existing transaction 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rather than its shareholders, is the proper</w:t>
      </w:r>
    </w:p>
    <w:p>
      <w:pPr>
        <w:ind w:left="4000"/>
        <w:spacing w:after="0" w:line="234"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5" w:lineRule="auto"/>
        <w:rPr>
          <w:sz w:val="20"/>
          <w:szCs w:val="20"/>
          <w:color w:val="auto"/>
        </w:rPr>
      </w:pPr>
      <w:r>
        <w:rPr>
          <w:rFonts w:ascii="Arial" w:cs="Arial" w:eastAsia="Arial" w:hAnsi="Arial"/>
          <w:sz w:val="18"/>
          <w:szCs w:val="18"/>
          <w:color w:val="auto"/>
        </w:rPr>
        <w:t>position, the U.K. Companies Act 2006</w:t>
      </w:r>
    </w:p>
    <w:p>
      <w:pPr>
        <w:ind w:left="4000"/>
        <w:spacing w:after="0" w:line="234"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rPr>
          <w:sz w:val="20"/>
          <w:szCs w:val="20"/>
          <w:color w:val="auto"/>
        </w:rPr>
      </w:pPr>
      <w:r>
        <w:rPr>
          <w:rFonts w:ascii="Arial" w:cs="Arial" w:eastAsia="Arial" w:hAnsi="Arial"/>
          <w:sz w:val="18"/>
          <w:szCs w:val="18"/>
          <w:color w:val="auto"/>
        </w:rPr>
        <w:t>manner that is unfairly prejudicial</w:t>
      </w:r>
    </w:p>
    <w:p>
      <w:pPr>
        <w:spacing w:after="0" w:line="200" w:lineRule="exact"/>
        <w:rPr>
          <w:sz w:val="20"/>
          <w:szCs w:val="20"/>
          <w:color w:val="auto"/>
        </w:rPr>
      </w:pP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60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1" w:lineRule="exact"/>
        <w:rPr>
          <w:sz w:val="20"/>
          <w:szCs w:val="20"/>
          <w:color w:val="auto"/>
        </w:rPr>
      </w:pPr>
    </w:p>
    <w:p>
      <w:pPr>
        <w:ind w:left="10" w:right="20"/>
        <w:spacing w:after="0" w:line="236" w:lineRule="auto"/>
        <w:rPr>
          <w:sz w:val="20"/>
          <w:szCs w:val="20"/>
          <w:color w:val="auto"/>
        </w:rPr>
      </w:pPr>
      <w:r>
        <w:rPr>
          <w:rFonts w:ascii="Arial" w:cs="Arial" w:eastAsia="Arial" w:hAnsi="Arial"/>
          <w:sz w:val="18"/>
          <w:szCs w:val="18"/>
          <w:color w:val="auto"/>
        </w:rPr>
        <w:t>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87" w:lineRule="exact"/>
        <w:rPr>
          <w:sz w:val="20"/>
          <w:szCs w:val="20"/>
          <w:color w:val="auto"/>
        </w:rPr>
      </w:pPr>
    </w:p>
    <w:p>
      <w:pPr>
        <w:ind w:left="10"/>
        <w:spacing w:after="0" w:line="241"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84" w:lineRule="exact"/>
        <w:rPr>
          <w:sz w:val="20"/>
          <w:szCs w:val="20"/>
          <w:color w:val="auto"/>
        </w:rPr>
      </w:pPr>
    </w:p>
    <w:p>
      <w:pPr>
        <w:ind w:left="10" w:right="220"/>
        <w:spacing w:after="0" w:line="245"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78" w:lineRule="exact"/>
        <w:rPr>
          <w:sz w:val="20"/>
          <w:szCs w:val="20"/>
          <w:color w:val="auto"/>
        </w:rPr>
      </w:pPr>
    </w:p>
    <w:p>
      <w:pPr>
        <w:ind w:left="350" w:right="60" w:hanging="350"/>
        <w:spacing w:after="0" w:line="243" w:lineRule="auto"/>
        <w:tabs>
          <w:tab w:leader="none" w:pos="352" w:val="left"/>
        </w:tabs>
        <w:numPr>
          <w:ilvl w:val="0"/>
          <w:numId w:val="43"/>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79" w:lineRule="exact"/>
        <w:rPr>
          <w:rFonts w:ascii="MS PGothic" w:cs="MS PGothic" w:eastAsia="MS PGothic" w:hAnsi="MS PGothic"/>
          <w:sz w:val="13"/>
          <w:szCs w:val="13"/>
          <w:color w:val="auto"/>
        </w:rPr>
      </w:pPr>
    </w:p>
    <w:p>
      <w:pPr>
        <w:ind w:left="350" w:right="180" w:hanging="350"/>
        <w:spacing w:after="0" w:line="243" w:lineRule="auto"/>
        <w:tabs>
          <w:tab w:leader="none" w:pos="352" w:val="left"/>
        </w:tabs>
        <w:numPr>
          <w:ilvl w:val="0"/>
          <w:numId w:val="43"/>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ectPr>
          <w:pgSz w:w="11900" w:h="16838" w:orient="portrait"/>
          <w:cols w:equalWidth="0" w:num="2">
            <w:col w:w="7620" w:space="110"/>
            <w:col w:w="3390"/>
          </w:cols>
          <w:pgMar w:left="320" w:top="455" w:right="459" w:bottom="1440" w:gutter="0" w:footer="0" w:header="0"/>
          <w:type w:val="continuous"/>
        </w:sectPr>
      </w:pPr>
    </w:p>
    <w:bookmarkStart w:id="77" w:name="page78"/>
    <w:bookmarkEnd w:id="7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960"/>
          </w:cols>
          <w:pgMar w:left="320" w:top="455" w:right="619"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19050</wp:posOffset>
            </wp:positionV>
            <wp:extent cx="23056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the interests of its shareholders generally</w:t>
      </w:r>
    </w:p>
    <w:p>
      <w:pPr>
        <w:ind w:left="4000"/>
        <w:spacing w:after="0" w:line="234" w:lineRule="auto"/>
        <w:rPr>
          <w:sz w:val="20"/>
          <w:szCs w:val="20"/>
          <w:color w:val="auto"/>
        </w:rPr>
      </w:pPr>
      <w:r>
        <w:rPr>
          <w:rFonts w:ascii="Arial" w:cs="Arial" w:eastAsia="Arial" w:hAnsi="Arial"/>
          <w:sz w:val="18"/>
          <w:szCs w:val="18"/>
          <w:color w:val="auto"/>
        </w:rPr>
        <w:t>or of some of its shareholders, or that an</w:t>
      </w:r>
    </w:p>
    <w:p>
      <w:pPr>
        <w:ind w:left="4000"/>
        <w:spacing w:after="0" w:line="235" w:lineRule="auto"/>
        <w:rPr>
          <w:sz w:val="20"/>
          <w:szCs w:val="20"/>
          <w:color w:val="auto"/>
        </w:rPr>
      </w:pPr>
      <w:r>
        <w:rPr>
          <w:rFonts w:ascii="Arial" w:cs="Arial" w:eastAsia="Arial" w:hAnsi="Arial"/>
          <w:sz w:val="18"/>
          <w:szCs w:val="18"/>
          <w:color w:val="auto"/>
        </w:rPr>
        <w:t>actual or proposed act or omission of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is or would be so prejudicial.</w:t>
      </w:r>
    </w:p>
    <w:p>
      <w:pPr>
        <w:spacing w:after="0" w:line="9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limitation period, with certain exceptions, in</w:t>
      </w:r>
    </w:p>
    <w:p>
      <w:pPr>
        <w:ind w:left="4000"/>
        <w:spacing w:after="0" w:line="234" w:lineRule="auto"/>
        <w:rPr>
          <w:sz w:val="20"/>
          <w:szCs w:val="20"/>
          <w:color w:val="auto"/>
        </w:rPr>
      </w:pPr>
      <w:r>
        <w:rPr>
          <w:rFonts w:ascii="Arial" w:cs="Arial" w:eastAsia="Arial" w:hAnsi="Arial"/>
          <w:sz w:val="18"/>
          <w:szCs w:val="18"/>
          <w:color w:val="auto"/>
        </w:rPr>
        <w:t>respect of civil claims. The period is six years</w:t>
      </w:r>
    </w:p>
    <w:p>
      <w:pPr>
        <w:ind w:left="4000"/>
        <w:spacing w:after="0" w:line="235" w:lineRule="auto"/>
        <w:rPr>
          <w:sz w:val="20"/>
          <w:szCs w:val="20"/>
          <w:color w:val="auto"/>
        </w:rPr>
      </w:pPr>
      <w:r>
        <w:rPr>
          <w:rFonts w:ascii="Arial" w:cs="Arial" w:eastAsia="Arial" w:hAnsi="Arial"/>
          <w:sz w:val="18"/>
          <w:szCs w:val="18"/>
          <w:color w:val="auto"/>
        </w:rPr>
        <w:t>in respect of actions in contract and tort, and</w:t>
      </w:r>
    </w:p>
    <w:p>
      <w:pPr>
        <w:ind w:left="4000"/>
        <w:spacing w:after="0" w:line="235" w:lineRule="auto"/>
        <w:rPr>
          <w:sz w:val="20"/>
          <w:szCs w:val="20"/>
          <w:color w:val="auto"/>
        </w:rPr>
      </w:pPr>
      <w:r>
        <w:rPr>
          <w:rFonts w:ascii="Arial" w:cs="Arial" w:eastAsia="Arial" w:hAnsi="Arial"/>
          <w:sz w:val="18"/>
          <w:szCs w:val="18"/>
          <w:color w:val="auto"/>
        </w:rPr>
        <w:t>12 years for “actions on a specialty,” such as</w:t>
      </w:r>
    </w:p>
    <w:p>
      <w:pPr>
        <w:ind w:left="4000"/>
        <w:spacing w:after="0" w:line="235" w:lineRule="auto"/>
        <w:rPr>
          <w:sz w:val="20"/>
          <w:szCs w:val="20"/>
          <w:color w:val="auto"/>
        </w:rPr>
      </w:pPr>
      <w:r>
        <w:rPr>
          <w:rFonts w:ascii="Arial" w:cs="Arial" w:eastAsia="Arial" w:hAnsi="Arial"/>
          <w:sz w:val="18"/>
          <w:szCs w:val="18"/>
          <w:color w:val="auto"/>
        </w:rPr>
        <w:t>a breach of any obligation contained in a</w:t>
      </w:r>
    </w:p>
    <w:p>
      <w:pPr>
        <w:ind w:left="4000"/>
        <w:spacing w:after="0"/>
        <w:rPr>
          <w:sz w:val="20"/>
          <w:szCs w:val="20"/>
          <w:color w:val="auto"/>
        </w:rPr>
      </w:pPr>
      <w:r>
        <w:rPr>
          <w:rFonts w:ascii="Arial" w:cs="Arial" w:eastAsia="Arial" w:hAnsi="Arial"/>
          <w:sz w:val="17"/>
          <w:szCs w:val="17"/>
          <w:color w:val="auto"/>
        </w:rPr>
        <w:t>deed. The limitation period begins to run from</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action accrued. In the</w:t>
      </w:r>
    </w:p>
    <w:p>
      <w:pPr>
        <w:ind w:left="4000"/>
        <w:spacing w:after="0" w:line="234" w:lineRule="auto"/>
        <w:rPr>
          <w:sz w:val="20"/>
          <w:szCs w:val="20"/>
          <w:color w:val="auto"/>
        </w:rPr>
      </w:pPr>
      <w:r>
        <w:rPr>
          <w:rFonts w:ascii="Arial" w:cs="Arial" w:eastAsia="Arial" w:hAnsi="Arial"/>
          <w:sz w:val="18"/>
          <w:szCs w:val="18"/>
          <w:color w:val="auto"/>
        </w:rPr>
        <w:t>case of contract, this is the date on which the</w:t>
      </w:r>
    </w:p>
    <w:p>
      <w:pPr>
        <w:ind w:left="4000"/>
        <w:spacing w:after="0" w:line="235" w:lineRule="auto"/>
        <w:rPr>
          <w:sz w:val="20"/>
          <w:szCs w:val="20"/>
          <w:color w:val="auto"/>
        </w:rPr>
      </w:pPr>
      <w:r>
        <w:rPr>
          <w:rFonts w:ascii="Arial" w:cs="Arial" w:eastAsia="Arial" w:hAnsi="Arial"/>
          <w:sz w:val="18"/>
          <w:szCs w:val="18"/>
          <w:color w:val="auto"/>
        </w:rPr>
        <w:t>breach of contract occurred, and in tort this is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damage is suffered.</w:t>
      </w:r>
    </w:p>
    <w:p>
      <w:pPr>
        <w:spacing w:after="0" w:line="1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39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602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1" w:lineRule="exact"/>
        <w:rPr>
          <w:sz w:val="20"/>
          <w:szCs w:val="20"/>
          <w:color w:val="auto"/>
        </w:rPr>
      </w:pPr>
    </w:p>
    <w:p>
      <w:pPr>
        <w:ind w:left="350" w:hanging="350"/>
        <w:spacing w:after="0" w:line="252" w:lineRule="auto"/>
        <w:tabs>
          <w:tab w:leader="none" w:pos="352" w:val="left"/>
        </w:tabs>
        <w:numPr>
          <w:ilvl w:val="0"/>
          <w:numId w:val="44"/>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71" w:lineRule="exact"/>
        <w:rPr>
          <w:sz w:val="20"/>
          <w:szCs w:val="20"/>
          <w:color w:val="auto"/>
        </w:rPr>
      </w:pPr>
    </w:p>
    <w:p>
      <w:pPr>
        <w:ind w:left="10" w:right="140"/>
        <w:spacing w:after="0" w:line="243"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10"/>
            <w:col w:w="3230"/>
          </w:cols>
          <w:pgMar w:left="320" w:top="455" w:right="61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06" w:lineRule="exact"/>
        <w:rPr>
          <w:sz w:val="20"/>
          <w:szCs w:val="20"/>
          <w:color w:val="auto"/>
        </w:rPr>
      </w:pPr>
    </w:p>
    <w:p>
      <w:pPr>
        <w:ind w:left="120" w:right="200" w:firstLine="440"/>
        <w:spacing w:after="0" w:line="245"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172" w:lineRule="exact"/>
        <w:rPr>
          <w:sz w:val="20"/>
          <w:szCs w:val="20"/>
          <w:color w:val="auto"/>
        </w:rPr>
      </w:pPr>
    </w:p>
    <w:p>
      <w:pPr>
        <w:ind w:left="120" w:right="240" w:firstLine="440"/>
        <w:spacing w:after="0" w:line="248"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333-223890 when retrieving such copy. “Holder” means the person or persons in whose name an ADS is registered on the register maintained by the depository for such purpose.</w:t>
      </w:r>
    </w:p>
    <w:p>
      <w:pPr>
        <w:spacing w:after="0" w:line="170"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7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4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0" w:lineRule="exact"/>
        <w:rPr>
          <w:sz w:val="20"/>
          <w:szCs w:val="20"/>
          <w:color w:val="auto"/>
        </w:rPr>
      </w:pPr>
    </w:p>
    <w:p>
      <w:pPr>
        <w:ind w:left="120" w:right="40" w:firstLine="440"/>
        <w:spacing w:after="0" w:line="241"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7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17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06"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04" w:lineRule="exact"/>
        <w:rPr>
          <w:sz w:val="20"/>
          <w:szCs w:val="20"/>
          <w:color w:val="auto"/>
        </w:rPr>
      </w:pPr>
    </w:p>
    <w:p>
      <w:pPr>
        <w:ind w:left="120" w:right="140" w:firstLine="440"/>
        <w:spacing w:after="0" w:line="27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80"/>
        <w:spacing w:after="0" w:line="27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45" w:lineRule="exact"/>
        <w:rPr>
          <w:sz w:val="20"/>
          <w:szCs w:val="20"/>
          <w:color w:val="auto"/>
        </w:rPr>
      </w:pPr>
    </w:p>
    <w:p>
      <w:pPr>
        <w:jc w:val="both"/>
        <w:ind w:left="120" w:right="160" w:firstLine="440"/>
        <w:spacing w:after="0" w:line="255"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64" w:lineRule="exact"/>
        <w:rPr>
          <w:sz w:val="20"/>
          <w:szCs w:val="20"/>
          <w:color w:val="auto"/>
        </w:rPr>
      </w:pPr>
    </w:p>
    <w:p>
      <w:pPr>
        <w:ind w:left="120" w:right="100" w:firstLine="440"/>
        <w:spacing w:after="0" w:line="24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04"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0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164"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455" w:right="5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39" w:lineRule="exact"/>
        <w:rPr>
          <w:sz w:val="20"/>
          <w:szCs w:val="20"/>
          <w:color w:val="auto"/>
        </w:rPr>
      </w:pPr>
    </w:p>
    <w:p>
      <w:pPr>
        <w:ind w:left="980" w:right="360" w:hanging="432"/>
        <w:spacing w:after="0" w:line="232"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176"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0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164"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164" w:lineRule="exact"/>
        <w:rPr>
          <w:sz w:val="20"/>
          <w:szCs w:val="20"/>
          <w:color w:val="auto"/>
        </w:rPr>
      </w:pPr>
    </w:p>
    <w:p>
      <w:pPr>
        <w:ind w:left="120" w:right="500" w:firstLine="440"/>
        <w:spacing w:after="0" w:line="306"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0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164" w:lineRule="exact"/>
        <w:rPr>
          <w:sz w:val="20"/>
          <w:szCs w:val="20"/>
          <w:color w:val="auto"/>
        </w:rPr>
      </w:pPr>
    </w:p>
    <w:p>
      <w:pPr>
        <w:ind w:left="120" w:right="500" w:firstLine="440"/>
        <w:spacing w:after="0" w:line="306"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23"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a Holder and will sell the property if:</w:t>
      </w:r>
    </w:p>
    <w:p>
      <w:pPr>
        <w:spacing w:after="0" w:line="239" w:lineRule="exact"/>
        <w:rPr>
          <w:sz w:val="20"/>
          <w:szCs w:val="20"/>
          <w:color w:val="auto"/>
        </w:rPr>
      </w:pPr>
    </w:p>
    <w:p>
      <w:pPr>
        <w:ind w:left="980" w:right="300" w:hanging="432"/>
        <w:spacing w:after="0" w:line="232"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ind w:left="980" w:hanging="432"/>
        <w:spacing w:after="0" w:line="230"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4"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06" w:lineRule="exact"/>
        <w:rPr>
          <w:sz w:val="20"/>
          <w:szCs w:val="20"/>
          <w:color w:val="auto"/>
        </w:rPr>
      </w:pPr>
    </w:p>
    <w:p>
      <w:pPr>
        <w:jc w:val="both"/>
        <w:ind w:left="120" w:right="400" w:firstLine="440"/>
        <w:spacing w:after="0" w:line="255" w:lineRule="auto"/>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164" w:lineRule="exact"/>
        <w:rPr>
          <w:sz w:val="20"/>
          <w:szCs w:val="20"/>
          <w:color w:val="auto"/>
        </w:rPr>
      </w:pPr>
    </w:p>
    <w:p>
      <w:pPr>
        <w:ind w:left="120" w:right="80" w:firstLine="440"/>
        <w:spacing w:after="0" w:line="243"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06"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172"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64" w:lineRule="exact"/>
        <w:rPr>
          <w:sz w:val="20"/>
          <w:szCs w:val="20"/>
          <w:color w:val="auto"/>
        </w:rPr>
      </w:pPr>
    </w:p>
    <w:p>
      <w:pPr>
        <w:ind w:left="120" w:right="660" w:firstLine="440"/>
        <w:spacing w:after="0" w:line="276"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172" w:lineRule="exact"/>
        <w:rPr>
          <w:sz w:val="20"/>
          <w:szCs w:val="20"/>
          <w:color w:val="auto"/>
        </w:rPr>
      </w:pPr>
    </w:p>
    <w:p>
      <w:pPr>
        <w:ind w:left="980" w:right="160" w:hanging="432"/>
        <w:spacing w:after="0" w:line="232"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ind w:left="980" w:right="760" w:hanging="432"/>
        <w:spacing w:after="0" w:line="232"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2" w:lineRule="exact"/>
        <w:rPr>
          <w:rFonts w:ascii="MS PGothic" w:cs="MS PGothic" w:eastAsia="MS PGothic" w:hAnsi="MS PGothic"/>
          <w:sz w:val="25"/>
          <w:szCs w:val="25"/>
          <w:color w:val="auto"/>
          <w:vertAlign w:val="superscript"/>
        </w:rPr>
      </w:pPr>
    </w:p>
    <w:p>
      <w:pPr>
        <w:ind w:left="980" w:right="200" w:hanging="432"/>
        <w:spacing w:after="0" w:line="225"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ind w:left="980" w:hanging="432"/>
        <w:spacing w:after="0" w:line="230"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firstLine="440"/>
        <w:spacing w:after="0" w:line="276"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6" w:lineRule="exact"/>
        <w:rPr>
          <w:sz w:val="20"/>
          <w:szCs w:val="20"/>
          <w:color w:val="auto"/>
        </w:rPr>
      </w:pPr>
    </w:p>
    <w:p>
      <w:pPr>
        <w:ind w:left="980" w:hanging="432"/>
        <w:spacing w:after="0"/>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2" w:lineRule="exact"/>
        <w:rPr>
          <w:rFonts w:ascii="MS PGothic" w:cs="MS PGothic" w:eastAsia="MS PGothic" w:hAnsi="MS PGothic"/>
          <w:sz w:val="25"/>
          <w:szCs w:val="25"/>
          <w:color w:val="auto"/>
          <w:vertAlign w:val="superscript"/>
        </w:rPr>
      </w:pPr>
    </w:p>
    <w:p>
      <w:pPr>
        <w:ind w:left="980" w:right="440" w:hanging="432"/>
        <w:spacing w:after="0" w:line="22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0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172"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45"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32"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ind w:left="980" w:hanging="432"/>
        <w:spacing w:after="0" w:line="230"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06"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164" w:lineRule="exact"/>
        <w:rPr>
          <w:sz w:val="20"/>
          <w:szCs w:val="20"/>
          <w:color w:val="auto"/>
        </w:rPr>
      </w:pPr>
    </w:p>
    <w:p>
      <w:pPr>
        <w:ind w:left="120" w:right="920" w:firstLine="440"/>
        <w:spacing w:after="0" w:line="276"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45" w:lineRule="exact"/>
        <w:rPr>
          <w:sz w:val="20"/>
          <w:szCs w:val="20"/>
          <w:color w:val="auto"/>
        </w:rPr>
      </w:pPr>
    </w:p>
    <w:p>
      <w:pPr>
        <w:ind w:left="120" w:right="440" w:firstLine="440"/>
        <w:spacing w:after="0" w:line="27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172" w:lineRule="exact"/>
        <w:rPr>
          <w:sz w:val="20"/>
          <w:szCs w:val="20"/>
          <w:color w:val="auto"/>
        </w:rPr>
      </w:pPr>
    </w:p>
    <w:p>
      <w:pPr>
        <w:ind w:left="980" w:right="140" w:hanging="432"/>
        <w:spacing w:after="0" w:line="23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ind w:left="980" w:right="220" w:hanging="432"/>
        <w:spacing w:after="0" w:line="233"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179"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5"/>
                <w:szCs w:val="15"/>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20" w:type="dxa"/>
            <w:vAlign w:val="bottom"/>
            <w:gridSpan w:val="2"/>
          </w:tcPr>
          <w:p>
            <w:pPr>
              <w:spacing w:after="0" w:line="154" w:lineRule="exact"/>
              <w:rPr>
                <w:sz w:val="20"/>
                <w:szCs w:val="20"/>
                <w:color w:val="auto"/>
              </w:rPr>
            </w:pPr>
            <w:r>
              <w:rPr>
                <w:rFonts w:ascii="Arial" w:cs="Arial" w:eastAsia="Arial" w:hAnsi="Arial"/>
                <w:sz w:val="17"/>
                <w:szCs w:val="17"/>
                <w:color w:val="auto"/>
              </w:rPr>
              <w:t>Issuance of ADSs (e.g., an issuance of ADS upon a deposit of</w:t>
            </w:r>
          </w:p>
        </w:tc>
        <w:tc>
          <w:tcPr>
            <w:tcW w:w="120" w:type="dxa"/>
            <w:vAlign w:val="bottom"/>
            <w:vMerge w:val="continue"/>
          </w:tcPr>
          <w:p>
            <w:pPr>
              <w:spacing w:after="0"/>
              <w:rPr>
                <w:sz w:val="13"/>
                <w:szCs w:val="13"/>
                <w:color w:val="auto"/>
              </w:rPr>
            </w:pPr>
          </w:p>
        </w:tc>
        <w:tc>
          <w:tcPr>
            <w:tcW w:w="5180" w:type="dxa"/>
            <w:vAlign w:val="bottom"/>
          </w:tcPr>
          <w:p>
            <w:pPr>
              <w:spacing w:after="0" w:line="154" w:lineRule="exact"/>
              <w:rPr>
                <w:sz w:val="20"/>
                <w:szCs w:val="20"/>
                <w:color w:val="auto"/>
              </w:rPr>
            </w:pPr>
            <w:r>
              <w:rPr>
                <w:rFonts w:ascii="Arial" w:cs="Arial" w:eastAsia="Arial" w:hAnsi="Arial"/>
                <w:sz w:val="17"/>
                <w:szCs w:val="17"/>
                <w:color w:val="auto"/>
              </w:rPr>
              <w:t>Up to U.S. 5¢ per ADS issued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c>
          <w:tcPr>
            <w:tcW w:w="0" w:type="dxa"/>
            <w:vAlign w:val="bottom"/>
          </w:tcPr>
          <w:p>
            <w:pPr>
              <w:spacing w:after="0"/>
              <w:rPr>
                <w:sz w:val="1"/>
                <w:szCs w:val="1"/>
                <w:color w:val="auto"/>
              </w:rPr>
            </w:pPr>
          </w:p>
        </w:tc>
      </w:tr>
      <w:tr>
        <w:trPr>
          <w:trHeight w:val="243"/>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w:t>
            </w:r>
          </w:p>
        </w:tc>
        <w:tc>
          <w:tcPr>
            <w:tcW w:w="140" w:type="dxa"/>
            <w:vAlign w:val="bottom"/>
          </w:tcPr>
          <w:p>
            <w:pPr>
              <w:spacing w:after="0"/>
              <w:rPr>
                <w:sz w:val="16"/>
                <w:szCs w:val="16"/>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Fees</w:t>
            </w:r>
          </w:p>
        </w:tc>
      </w:tr>
      <w:tr>
        <w:trPr>
          <w:trHeight w:val="274"/>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43"/>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378"/>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43"/>
        </w:trPr>
        <w:tc>
          <w:tcPr>
            <w:tcW w:w="570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378"/>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43"/>
        </w:trPr>
        <w:tc>
          <w:tcPr>
            <w:tcW w:w="5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378"/>
        </w:trPr>
        <w:tc>
          <w:tcPr>
            <w:tcW w:w="5700" w:type="dxa"/>
            <w:vAlign w:val="bottom"/>
            <w:gridSpan w:val="2"/>
          </w:tcPr>
          <w:p>
            <w:pPr>
              <w:spacing w:after="0"/>
              <w:rPr>
                <w:sz w:val="20"/>
                <w:szCs w:val="20"/>
                <w:color w:val="auto"/>
              </w:rPr>
            </w:pPr>
            <w:r>
              <w:rPr>
                <w:rFonts w:ascii="Arial" w:cs="Arial" w:eastAsia="Arial" w:hAnsi="Arial"/>
                <w:sz w:val="18"/>
                <w:szCs w:val="18"/>
                <w:color w:val="auto"/>
              </w:rPr>
              <w:t>Registration of ADS transfers (e.g., upon a registration of the transfer</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of registered ownership of ADSs, upon a transfer of ADSs into DTC</w:t>
            </w:r>
          </w:p>
        </w:tc>
        <w:tc>
          <w:tcPr>
            <w:tcW w:w="14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43"/>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14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378"/>
        </w:trPr>
        <w:tc>
          <w:tcPr>
            <w:tcW w:w="570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4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ADSs, or upon conversion of Restricted ADSs (each as defined in the</w:t>
            </w:r>
          </w:p>
        </w:tc>
        <w:tc>
          <w:tcPr>
            <w:tcW w:w="14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43"/>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Deposit 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180" w:type="dxa"/>
            <w:vAlign w:val="bottom"/>
          </w:tcPr>
          <w:p>
            <w:pPr>
              <w:spacing w:after="0"/>
              <w:rPr>
                <w:sz w:val="21"/>
                <w:szCs w:val="21"/>
                <w:color w:val="auto"/>
              </w:rPr>
            </w:pPr>
          </w:p>
        </w:tc>
      </w:tr>
    </w:tbl>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28"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2" w:lineRule="exact"/>
        <w:rPr>
          <w:rFonts w:ascii="MS PGothic" w:cs="MS PGothic" w:eastAsia="MS PGothic" w:hAnsi="MS PGothic"/>
          <w:sz w:val="25"/>
          <w:szCs w:val="25"/>
          <w:color w:val="auto"/>
          <w:vertAlign w:val="superscript"/>
        </w:rPr>
      </w:pPr>
    </w:p>
    <w:p>
      <w:pPr>
        <w:jc w:val="both"/>
        <w:ind w:left="980" w:right="580" w:hanging="432"/>
        <w:spacing w:after="0" w:line="225"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ind w:left="980" w:hanging="432"/>
        <w:spacing w:after="0" w:line="230"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2" w:lineRule="exact"/>
        <w:rPr>
          <w:rFonts w:ascii="MS PGothic" w:cs="MS PGothic" w:eastAsia="MS PGothic" w:hAnsi="MS PGothic"/>
          <w:sz w:val="25"/>
          <w:szCs w:val="25"/>
          <w:color w:val="auto"/>
          <w:vertAlign w:val="superscript"/>
        </w:rPr>
      </w:pPr>
    </w:p>
    <w:p>
      <w:pPr>
        <w:ind w:left="980" w:right="260" w:hanging="432"/>
        <w:spacing w:after="0" w:line="220"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1" w:lineRule="exact"/>
        <w:rPr>
          <w:rFonts w:ascii="MS PGothic" w:cs="MS PGothic" w:eastAsia="MS PGothic" w:hAnsi="MS PGothic"/>
          <w:sz w:val="25"/>
          <w:szCs w:val="25"/>
          <w:color w:val="auto"/>
          <w:vertAlign w:val="superscript"/>
        </w:rPr>
      </w:pPr>
    </w:p>
    <w:p>
      <w:pPr>
        <w:ind w:left="980" w:right="260" w:hanging="432"/>
        <w:spacing w:after="0" w:line="232"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7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0"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06" w:lineRule="exact"/>
        <w:rPr>
          <w:sz w:val="20"/>
          <w:szCs w:val="20"/>
          <w:color w:val="auto"/>
        </w:rPr>
      </w:pPr>
    </w:p>
    <w:p>
      <w:pPr>
        <w:ind w:left="120" w:right="200" w:firstLine="440"/>
        <w:spacing w:after="0" w:line="243"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17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06"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164" w:lineRule="exact"/>
        <w:rPr>
          <w:sz w:val="20"/>
          <w:szCs w:val="20"/>
          <w:color w:val="auto"/>
        </w:rPr>
      </w:pPr>
    </w:p>
    <w:p>
      <w:pPr>
        <w:ind w:left="120" w:right="240" w:firstLine="440"/>
        <w:spacing w:after="0" w:line="245"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0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164" w:lineRule="exact"/>
        <w:rPr>
          <w:sz w:val="20"/>
          <w:szCs w:val="20"/>
          <w:color w:val="auto"/>
        </w:rPr>
      </w:pPr>
    </w:p>
    <w:p>
      <w:pPr>
        <w:ind w:left="120" w:right="600" w:firstLine="440"/>
        <w:spacing w:after="0" w:line="27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20" w:hanging="432"/>
        <w:spacing w:after="0" w:line="232"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ind w:left="980" w:right="60" w:hanging="432"/>
        <w:spacing w:after="0" w:line="232"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ind w:left="980" w:right="40" w:hanging="432"/>
        <w:spacing w:after="0" w:line="233"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3"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2" w:lineRule="exact"/>
        <w:rPr>
          <w:rFonts w:ascii="MS PGothic" w:cs="MS PGothic" w:eastAsia="MS PGothic" w:hAnsi="MS PGothic"/>
          <w:sz w:val="25"/>
          <w:szCs w:val="25"/>
          <w:color w:val="auto"/>
          <w:vertAlign w:val="superscript"/>
        </w:rPr>
      </w:pPr>
    </w:p>
    <w:p>
      <w:pPr>
        <w:ind w:left="980" w:right="220" w:hanging="432"/>
        <w:spacing w:after="0" w:line="228"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4" w:lineRule="exact"/>
        <w:rPr>
          <w:rFonts w:ascii="MS PGothic" w:cs="MS PGothic" w:eastAsia="MS PGothic" w:hAnsi="MS PGothic"/>
          <w:sz w:val="25"/>
          <w:szCs w:val="25"/>
          <w:color w:val="auto"/>
          <w:vertAlign w:val="superscript"/>
        </w:rPr>
      </w:pPr>
    </w:p>
    <w:p>
      <w:pPr>
        <w:ind w:left="980" w:hanging="432"/>
        <w:spacing w:after="0" w:line="232"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ind w:left="980" w:right="180" w:hanging="432"/>
        <w:spacing w:after="0" w:line="233" w:lineRule="auto"/>
        <w:tabs>
          <w:tab w:leader="none" w:pos="9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hanging="432"/>
        <w:spacing w:after="0" w:line="233"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ind w:left="980" w:right="120" w:hanging="432"/>
        <w:spacing w:after="0" w:line="232"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ind w:left="980" w:right="560" w:hanging="432"/>
        <w:spacing w:after="0" w:line="232"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ind w:left="980" w:hanging="432"/>
        <w:spacing w:after="0" w:line="230"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2"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1" w:lineRule="exact"/>
        <w:rPr>
          <w:rFonts w:ascii="MS PGothic" w:cs="MS PGothic" w:eastAsia="MS PGothic" w:hAnsi="MS PGothic"/>
          <w:sz w:val="25"/>
          <w:szCs w:val="25"/>
          <w:color w:val="auto"/>
          <w:vertAlign w:val="superscript"/>
        </w:rPr>
      </w:pPr>
    </w:p>
    <w:p>
      <w:pPr>
        <w:ind w:left="980" w:right="120" w:hanging="432"/>
        <w:spacing w:after="0" w:line="233" w:lineRule="auto"/>
        <w:tabs>
          <w:tab w:leader="none" w:pos="9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06"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70"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06"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170" w:lineRule="exact"/>
        <w:rPr>
          <w:sz w:val="20"/>
          <w:szCs w:val="20"/>
          <w:color w:val="auto"/>
        </w:rPr>
      </w:pPr>
    </w:p>
    <w:p>
      <w:pPr>
        <w:ind w:left="120" w:right="880" w:firstLine="440"/>
        <w:spacing w:after="0" w:line="27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72" w:lineRule="exact"/>
        <w:rPr>
          <w:sz w:val="20"/>
          <w:szCs w:val="20"/>
          <w:color w:val="auto"/>
        </w:rPr>
      </w:pPr>
    </w:p>
    <w:p>
      <w:pPr>
        <w:ind w:left="980" w:right="620" w:hanging="432"/>
        <w:spacing w:after="0" w:line="232" w:lineRule="auto"/>
        <w:tabs>
          <w:tab w:leader="none" w:pos="9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ind w:left="980" w:hanging="432"/>
        <w:spacing w:after="0" w:line="230" w:lineRule="auto"/>
        <w:tabs>
          <w:tab w:leader="none" w:pos="9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06"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45"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5" w:right="5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28" w:lineRule="exact"/>
        <w:rPr>
          <w:sz w:val="20"/>
          <w:szCs w:val="20"/>
          <w:color w:val="auto"/>
        </w:rPr>
      </w:pPr>
    </w:p>
    <w:p>
      <w:pPr>
        <w:ind w:left="980" w:hanging="432"/>
        <w:spacing w:after="0"/>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0"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28"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176" w:lineRule="exact"/>
        <w:rPr>
          <w:sz w:val="20"/>
          <w:szCs w:val="20"/>
          <w:color w:val="auto"/>
        </w:rPr>
      </w:pPr>
    </w:p>
    <w:p>
      <w:pPr>
        <w:ind w:left="120" w:right="120" w:firstLine="440"/>
        <w:spacing w:after="0" w:line="276"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45"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color w:val="auto"/>
        </w:rPr>
        <w:t>If underwriters are used in the sale, the ADSs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432"/>
        <w:spacing w:after="0"/>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176" w:lineRule="exact"/>
        <w:rPr>
          <w:sz w:val="20"/>
          <w:szCs w:val="20"/>
          <w:color w:val="auto"/>
        </w:rPr>
      </w:pPr>
    </w:p>
    <w:p>
      <w:pPr>
        <w:ind w:left="120" w:firstLine="440"/>
        <w:spacing w:after="0" w:line="276"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45"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164" w:lineRule="exact"/>
        <w:rPr>
          <w:sz w:val="20"/>
          <w:szCs w:val="20"/>
          <w:color w:val="auto"/>
        </w:rPr>
      </w:pPr>
    </w:p>
    <w:p>
      <w:pPr>
        <w:ind w:left="120" w:right="40" w:firstLine="440"/>
        <w:spacing w:after="0" w:line="243"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170"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64" w:lineRule="exact"/>
        <w:rPr>
          <w:sz w:val="20"/>
          <w:szCs w:val="20"/>
          <w:color w:val="auto"/>
        </w:rPr>
      </w:pPr>
    </w:p>
    <w:p>
      <w:pPr>
        <w:jc w:val="both"/>
        <w:ind w:left="120" w:right="520" w:firstLine="440"/>
        <w:spacing w:after="0" w:line="255"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64" w:lineRule="exact"/>
        <w:rPr>
          <w:sz w:val="20"/>
          <w:szCs w:val="20"/>
          <w:color w:val="auto"/>
        </w:rPr>
      </w:pPr>
    </w:p>
    <w:p>
      <w:pPr>
        <w:ind w:left="120" w:right="540" w:firstLine="440"/>
        <w:spacing w:after="0" w:line="276"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45" w:lineRule="exact"/>
        <w:rPr>
          <w:sz w:val="20"/>
          <w:szCs w:val="20"/>
          <w:color w:val="auto"/>
        </w:rPr>
      </w:pPr>
    </w:p>
    <w:p>
      <w:pPr>
        <w:ind w:left="120" w:right="20" w:firstLine="440"/>
        <w:spacing w:after="0" w:line="276"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5" w:right="51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22" w:lineRule="exact"/>
        <w:rPr>
          <w:sz w:val="20"/>
          <w:szCs w:val="20"/>
          <w:color w:val="auto"/>
        </w:rPr>
      </w:pPr>
    </w:p>
    <w:p>
      <w:pPr>
        <w:ind w:left="120" w:right="120" w:firstLine="440"/>
        <w:spacing w:after="0" w:line="27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2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53" w:lineRule="exact"/>
        <w:rPr>
          <w:sz w:val="20"/>
          <w:szCs w:val="20"/>
          <w:color w:val="auto"/>
        </w:rPr>
      </w:pPr>
    </w:p>
    <w:p>
      <w:pPr>
        <w:jc w:val="center"/>
        <w:ind w:right="220"/>
        <w:spacing w:after="0" w:line="44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54</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14"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32" w:lineRule="auto"/>
        <w:tabs>
          <w:tab w:leader="none" w:pos="9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ind w:left="980" w:right="320" w:hanging="432"/>
        <w:spacing w:after="0" w:line="232" w:lineRule="auto"/>
        <w:tabs>
          <w:tab w:leader="none" w:pos="9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17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06" w:lineRule="exact"/>
        <w:rPr>
          <w:sz w:val="20"/>
          <w:szCs w:val="20"/>
          <w:color w:val="auto"/>
        </w:rPr>
      </w:pPr>
    </w:p>
    <w:p>
      <w:pPr>
        <w:ind w:left="980" w:right="60" w:hanging="432"/>
        <w:spacing w:after="0" w:line="233"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ind w:left="980" w:right="60" w:hanging="432"/>
        <w:spacing w:after="0" w:line="232"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ind w:left="980" w:right="680" w:hanging="432"/>
        <w:spacing w:after="0" w:line="232"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ind w:left="980" w:hanging="432"/>
        <w:spacing w:after="0" w:line="230"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2" w:lineRule="exact"/>
        <w:rPr>
          <w:rFonts w:ascii="MS PGothic" w:cs="MS PGothic" w:eastAsia="MS PGothic" w:hAnsi="MS PGothic"/>
          <w:sz w:val="25"/>
          <w:szCs w:val="25"/>
          <w:color w:val="auto"/>
          <w:vertAlign w:val="superscript"/>
        </w:rPr>
      </w:pPr>
    </w:p>
    <w:p>
      <w:pPr>
        <w:ind w:left="980" w:right="460" w:hanging="432"/>
        <w:spacing w:after="0" w:line="220"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1" w:lineRule="exact"/>
        <w:rPr>
          <w:rFonts w:ascii="MS PGothic" w:cs="MS PGothic" w:eastAsia="MS PGothic" w:hAnsi="MS PGothic"/>
          <w:sz w:val="25"/>
          <w:szCs w:val="25"/>
          <w:color w:val="auto"/>
          <w:vertAlign w:val="superscript"/>
        </w:rPr>
      </w:pPr>
    </w:p>
    <w:p>
      <w:pPr>
        <w:ind w:left="980" w:right="220" w:hanging="432"/>
        <w:spacing w:after="0" w:line="232"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ind w:left="980" w:hanging="432"/>
        <w:spacing w:after="0" w:line="230"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2" w:lineRule="exact"/>
        <w:rPr>
          <w:rFonts w:ascii="MS PGothic" w:cs="MS PGothic" w:eastAsia="MS PGothic" w:hAnsi="MS PGothic"/>
          <w:sz w:val="25"/>
          <w:szCs w:val="25"/>
          <w:color w:val="auto"/>
          <w:vertAlign w:val="superscript"/>
        </w:rPr>
      </w:pPr>
    </w:p>
    <w:p>
      <w:pPr>
        <w:ind w:left="980" w:right="80" w:hanging="432"/>
        <w:spacing w:after="0" w:line="227" w:lineRule="auto"/>
        <w:tabs>
          <w:tab w:leader="none" w:pos="98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right="140" w:hanging="432"/>
        <w:spacing w:after="0" w:line="232" w:lineRule="auto"/>
        <w:tabs>
          <w:tab w:leader="none" w:pos="9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176"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64"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4" w:lineRule="exact"/>
        <w:rPr>
          <w:sz w:val="20"/>
          <w:szCs w:val="20"/>
          <w:color w:val="auto"/>
        </w:rPr>
      </w:pPr>
    </w:p>
    <w:p>
      <w:pPr>
        <w:ind w:left="120" w:right="160" w:firstLine="440"/>
        <w:spacing w:after="0" w:line="24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170"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14" w:lineRule="exact"/>
        <w:rPr>
          <w:sz w:val="20"/>
          <w:szCs w:val="20"/>
          <w:color w:val="auto"/>
        </w:rPr>
      </w:pPr>
    </w:p>
    <w:p>
      <w:pPr>
        <w:ind w:left="120" w:right="140" w:firstLine="440"/>
        <w:spacing w:after="0" w:line="245"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89" w:lineRule="exact"/>
        <w:rPr>
          <w:sz w:val="20"/>
          <w:szCs w:val="20"/>
          <w:color w:val="auto"/>
        </w:rPr>
      </w:pPr>
    </w:p>
    <w:p>
      <w:pPr>
        <w:ind w:left="980" w:hanging="43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4">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2" w:lineRule="exact"/>
        <w:rPr>
          <w:rFonts w:ascii="Arial" w:cs="Arial" w:eastAsia="Arial" w:hAnsi="Arial"/>
          <w:sz w:val="18"/>
          <w:szCs w:val="18"/>
          <w:color w:val="auto"/>
        </w:rPr>
      </w:pPr>
    </w:p>
    <w:p>
      <w:pPr>
        <w:ind w:left="980" w:right="680" w:hanging="432"/>
        <w:spacing w:after="0" w:line="220"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55">
        <w:r>
          <w:rPr>
            <w:rFonts w:ascii="Arial" w:cs="Arial" w:eastAsia="Arial" w:hAnsi="Arial"/>
            <w:sz w:val="18"/>
            <w:szCs w:val="18"/>
            <w:u w:val="single" w:color="auto"/>
            <w:color w:val="0000EE"/>
          </w:rPr>
          <w:t>September 29,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October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7">
        <w:r>
          <w:rPr>
            <w:rFonts w:ascii="Arial" w:cs="Arial" w:eastAsia="Arial" w:hAnsi="Arial"/>
            <w:sz w:val="18"/>
            <w:szCs w:val="18"/>
            <w:u w:val="single" w:color="auto"/>
            <w:color w:val="0000EE"/>
          </w:rPr>
          <w:t>October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incorporate by reference into this prospectus; and</w:t>
      </w:r>
    </w:p>
    <w:p>
      <w:pPr>
        <w:spacing w:after="0" w:line="1" w:lineRule="exact"/>
        <w:rPr>
          <w:rFonts w:ascii="Arial" w:cs="Arial" w:eastAsia="Arial" w:hAnsi="Arial"/>
          <w:sz w:val="18"/>
          <w:szCs w:val="18"/>
          <w:color w:val="auto"/>
        </w:rPr>
      </w:pPr>
    </w:p>
    <w:p>
      <w:pPr>
        <w:ind w:left="980" w:hanging="432"/>
        <w:spacing w:after="0" w:line="23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60">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61">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178" w:lineRule="exact"/>
        <w:rPr>
          <w:rFonts w:ascii="MS PGothic" w:cs="MS PGothic" w:eastAsia="MS PGothic" w:hAnsi="MS PGothic"/>
          <w:sz w:val="25"/>
          <w:szCs w:val="25"/>
          <w:color w:val="auto"/>
          <w:vertAlign w:val="superscript"/>
        </w:rPr>
      </w:pPr>
    </w:p>
    <w:p>
      <w:pPr>
        <w:ind w:left="120" w:firstLine="440"/>
        <w:spacing w:after="0" w:line="241"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179" w:lineRule="exact"/>
        <w:rPr>
          <w:rFonts w:ascii="MS PGothic" w:cs="MS PGothic" w:eastAsia="MS PGothic" w:hAnsi="MS PGothic"/>
          <w:sz w:val="25"/>
          <w:szCs w:val="25"/>
          <w:color w:val="auto"/>
          <w:vertAlign w:val="superscript"/>
        </w:rPr>
      </w:pPr>
    </w:p>
    <w:p>
      <w:pPr>
        <w:ind w:left="120" w:right="80" w:firstLine="440"/>
        <w:spacing w:after="0" w:line="24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170" w:lineRule="exact"/>
        <w:rPr>
          <w:rFonts w:ascii="MS PGothic" w:cs="MS PGothic" w:eastAsia="MS PGothic" w:hAnsi="MS PGothic"/>
          <w:sz w:val="25"/>
          <w:szCs w:val="25"/>
          <w:color w:val="auto"/>
          <w:vertAlign w:val="superscript"/>
        </w:rPr>
      </w:pPr>
    </w:p>
    <w:p>
      <w:pPr>
        <w:ind w:left="120" w:right="260" w:firstLine="440"/>
        <w:spacing w:after="0" w:line="27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37"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Mereo BioPharma Group plc</w:t>
      </w:r>
    </w:p>
    <w:p>
      <w:pPr>
        <w:spacing w:after="0" w:line="13"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1 Cavendish Place</w:t>
      </w:r>
    </w:p>
    <w:p>
      <w:pPr>
        <w:ind w:left="3980"/>
        <w:spacing w:after="0" w:line="234"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22"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5" w:right="4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40"/>
        <w:spacing w:after="0"/>
        <w:rPr>
          <w:sz w:val="20"/>
          <w:szCs w:val="20"/>
          <w:color w:val="auto"/>
        </w:rPr>
      </w:pPr>
      <w:r>
        <w:rPr>
          <w:rFonts w:ascii="Arial" w:cs="Arial" w:eastAsia="Arial" w:hAnsi="Arial"/>
          <w:sz w:val="25"/>
          <w:szCs w:val="25"/>
          <w:b w:val="1"/>
          <w:bCs w:val="1"/>
          <w:color w:val="auto"/>
        </w:rPr>
        <w:t>34,500,000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807720</wp:posOffset>
            </wp:positionV>
            <wp:extent cx="2554605" cy="934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25546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60"/>
        <w:spacing w:after="0"/>
        <w:rPr>
          <w:sz w:val="20"/>
          <w:szCs w:val="20"/>
          <w:color w:val="auto"/>
        </w:rPr>
      </w:pPr>
      <w:r>
        <w:rPr>
          <w:rFonts w:ascii="Arial" w:cs="Arial" w:eastAsia="Arial" w:hAnsi="Arial"/>
          <w:sz w:val="25"/>
          <w:szCs w:val="25"/>
          <w:b w:val="1"/>
          <w:bCs w:val="1"/>
          <w:color w:val="auto"/>
        </w:rPr>
        <w:t>Representing 172,500,000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1073785</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February 9,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196"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419100</wp:posOffset>
            </wp:positionV>
            <wp:extent cx="18173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60"/>
        <w:spacing w:after="0"/>
        <w:rPr>
          <w:sz w:val="20"/>
          <w:szCs w:val="20"/>
          <w:color w:val="auto"/>
        </w:rPr>
      </w:pPr>
      <w:r>
        <w:rPr>
          <w:rFonts w:ascii="Arial" w:cs="Arial" w:eastAsia="Arial" w:hAnsi="Arial"/>
          <w:sz w:val="22"/>
          <w:szCs w:val="22"/>
          <w:b w:val="1"/>
          <w:bCs w:val="1"/>
          <w:i w:val="1"/>
          <w:iCs w:val="1"/>
          <w:color w:val="auto"/>
        </w:rPr>
        <w:t>Co-Lead Managers</w:t>
      </w:r>
    </w:p>
    <w:p>
      <w:pPr>
        <w:spacing w:after="0" w:line="231" w:lineRule="exact"/>
        <w:rPr>
          <w:sz w:val="20"/>
          <w:szCs w:val="20"/>
          <w:color w:val="auto"/>
        </w:rPr>
      </w:pPr>
    </w:p>
    <w:p>
      <w:pPr>
        <w:jc w:val="both"/>
        <w:ind w:left="2580"/>
        <w:spacing w:after="0"/>
        <w:tabs>
          <w:tab w:leader="none" w:pos="7120" w:val="left"/>
        </w:tabs>
        <w:rPr>
          <w:sz w:val="20"/>
          <w:szCs w:val="20"/>
          <w:color w:val="auto"/>
        </w:rPr>
      </w:pPr>
      <w:r>
        <w:rPr>
          <w:rFonts w:ascii="Arial" w:cs="Arial" w:eastAsia="Arial" w:hAnsi="Arial"/>
          <w:sz w:val="25"/>
          <w:szCs w:val="25"/>
          <w:b w:val="1"/>
          <w:bCs w:val="1"/>
          <w:color w:val="auto"/>
        </w:rPr>
        <w:t>BTIG</w:t>
      </w:r>
      <w:r>
        <w:rPr>
          <w:sz w:val="20"/>
          <w:szCs w:val="20"/>
          <w:color w:val="auto"/>
        </w:rPr>
        <w:tab/>
      </w:r>
      <w:r>
        <w:rPr>
          <w:rFonts w:ascii="Arial" w:cs="Arial" w:eastAsia="Arial" w:hAnsi="Arial"/>
          <w:sz w:val="25"/>
          <w:szCs w:val="25"/>
          <w:b w:val="1"/>
          <w:bCs w:val="1"/>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508000</wp:posOffset>
            </wp:positionV>
            <wp:extent cx="699516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lowerRoman"/>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lvl w:ilvl="1">
      <w:lvlJc w:val="left"/>
      <w:lvlText w:val="∎"/>
      <w:numFmt w:val="bullet"/>
      <w:start w:val="1"/>
    </w:lvl>
  </w:abstractNum>
  <w:abstractNum w:abstractNumId="15">
    <w:nsid w:val="2463B9EA"/>
    <w:multiLevelType w:val="hybridMultilevel"/>
    <w:lvl w:ilvl="0">
      <w:lvlJc w:val="left"/>
      <w:lvlText w:val="%1."/>
      <w:numFmt w:val="upperLetter"/>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lowerRoman"/>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jpe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54" Type="http://schemas.openxmlformats.org/officeDocument/2006/relationships/hyperlink" Target="http://www.sec.gov/Archives/edgar/data/1719714/000119312520169533/d876622d20f.htm" TargetMode="External"/><Relationship Id="rId55" Type="http://schemas.openxmlformats.org/officeDocument/2006/relationships/hyperlink" Target="http://www.sec.gov/Archives/edgar/data/1719714/000119312520257170/d72033d6k.htm" TargetMode="External"/><Relationship Id="rId56" Type="http://schemas.openxmlformats.org/officeDocument/2006/relationships/hyperlink" Target="http://www.sec.gov/Archives/edgar/data/1719714/000119312520261346/d25529d6k.htm" TargetMode="External"/><Relationship Id="rId57" Type="http://schemas.openxmlformats.org/officeDocument/2006/relationships/hyperlink" Target="http://www.sec.gov/Archives/edgar/data/1719714/000119312520271685/d72385d6k.htm" TargetMode="External"/><Relationship Id="rId58" Type="http://schemas.openxmlformats.org/officeDocument/2006/relationships/hyperlink" Target="http://www.sec.gov/Archives/edgar/data/1719714/000119312520272509/d83654d6k.htm" TargetMode="External"/><Relationship Id="rId59" Type="http://schemas.openxmlformats.org/officeDocument/2006/relationships/hyperlink" Target="http://www.sec.gov/Archives/edgar/data/1719714/000119312520320191/d28476d6k.htm" TargetMode="External"/><Relationship Id="rId60" Type="http://schemas.openxmlformats.org/officeDocument/2006/relationships/hyperlink" Target="http://www.sec.gov/Archives/edgar/data/1719714/000119312518111700/d566514d8a12b.htm" TargetMode="External"/><Relationship Id="rId61" Type="http://schemas.openxmlformats.org/officeDocument/2006/relationships/hyperlink" Target="http://www.sec.gov/Archives/edgar/data/1719714/000119312520169533/d876622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2021-02-10T15:54:22Z</dcterms:created>
  <dcterms:modified xsi:type="dcterms:W3CDTF">2021-02-10T15:54:22Z</dcterms:modified>
</cp:coreProperties>
</file>