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60" w:right="25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700" w:type="dxa"/>
        <w:tblCellMar>
          <w:top w:w="0" w:type="dxa"/>
          <w:left w:w="0" w:type="dxa"/>
          <w:bottom w:w="0" w:type="dxa"/>
          <w:right w:w="0" w:type="dxa"/>
        </w:tblCellMar>
      </w:tblPr>
      <w:tr>
        <w:trPr>
          <w:trHeight w:val="212"/>
        </w:trPr>
        <w:tc>
          <w:tcPr>
            <w:tcW w:w="552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93"/>
              </w:rPr>
              <w:t>United Kingdom</w:t>
            </w:r>
          </w:p>
        </w:tc>
        <w:tc>
          <w:tcPr>
            <w:tcW w:w="1560" w:type="dxa"/>
            <w:vAlign w:val="bottom"/>
          </w:tcPr>
          <w:p>
            <w:pPr>
              <w:spacing w:after="0"/>
              <w:rPr>
                <w:sz w:val="18"/>
                <w:szCs w:val="18"/>
                <w:color w:val="auto"/>
              </w:rPr>
            </w:pPr>
          </w:p>
        </w:tc>
        <w:tc>
          <w:tcPr>
            <w:tcW w:w="210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Not Applicable</w:t>
            </w:r>
          </w:p>
        </w:tc>
        <w:tc>
          <w:tcPr>
            <w:tcW w:w="0" w:type="dxa"/>
            <w:vAlign w:val="bottom"/>
          </w:tcPr>
          <w:p>
            <w:pPr>
              <w:spacing w:after="0"/>
              <w:rPr>
                <w:sz w:val="1"/>
                <w:szCs w:val="1"/>
                <w:color w:val="auto"/>
              </w:rPr>
            </w:pPr>
          </w:p>
        </w:tc>
      </w:tr>
      <w:tr>
        <w:trPr>
          <w:trHeight w:val="149"/>
        </w:trPr>
        <w:tc>
          <w:tcPr>
            <w:tcW w:w="5520" w:type="dxa"/>
            <w:vAlign w:val="bottom"/>
            <w:gridSpan w:val="3"/>
          </w:tcPr>
          <w:p>
            <w:pPr>
              <w:jc w:val="center"/>
              <w:ind w:right="114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560" w:type="dxa"/>
            <w:vAlign w:val="bottom"/>
          </w:tcPr>
          <w:p>
            <w:pPr>
              <w:spacing w:after="0"/>
              <w:rPr>
                <w:sz w:val="12"/>
                <w:szCs w:val="12"/>
                <w:color w:val="auto"/>
              </w:rPr>
            </w:pPr>
          </w:p>
        </w:tc>
        <w:tc>
          <w:tcPr>
            <w:tcW w:w="210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552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95"/>
              </w:rPr>
              <w:t>Incorporation or Organization)</w:t>
            </w:r>
          </w:p>
        </w:tc>
        <w:tc>
          <w:tcPr>
            <w:tcW w:w="1560" w:type="dxa"/>
            <w:vAlign w:val="bottom"/>
          </w:tcPr>
          <w:p>
            <w:pPr>
              <w:spacing w:after="0"/>
              <w:rPr>
                <w:sz w:val="16"/>
                <w:szCs w:val="16"/>
                <w:color w:val="auto"/>
              </w:rPr>
            </w:pPr>
          </w:p>
        </w:tc>
        <w:tc>
          <w:tcPr>
            <w:tcW w:w="210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439"/>
        </w:trPr>
        <w:tc>
          <w:tcPr>
            <w:tcW w:w="552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89"/>
              </w:rPr>
              <w:t>Fourth Floor, One Cavendish Place,</w:t>
            </w:r>
          </w:p>
        </w:tc>
        <w:tc>
          <w:tcPr>
            <w:tcW w:w="1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52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94"/>
              </w:rPr>
              <w:t>London, W1G 0QF, UK</w:t>
            </w:r>
          </w:p>
        </w:tc>
        <w:tc>
          <w:tcPr>
            <w:tcW w:w="1560" w:type="dxa"/>
            <w:vAlign w:val="bottom"/>
          </w:tcPr>
          <w:p>
            <w:pPr>
              <w:spacing w:after="0"/>
              <w:rPr>
                <w:sz w:val="19"/>
                <w:szCs w:val="19"/>
                <w:color w:val="auto"/>
              </w:rPr>
            </w:pPr>
          </w:p>
        </w:tc>
        <w:tc>
          <w:tcPr>
            <w:tcW w:w="210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Not Applicable</w:t>
            </w:r>
          </w:p>
        </w:tc>
        <w:tc>
          <w:tcPr>
            <w:tcW w:w="0" w:type="dxa"/>
            <w:vAlign w:val="bottom"/>
          </w:tcPr>
          <w:p>
            <w:pPr>
              <w:spacing w:after="0"/>
              <w:rPr>
                <w:sz w:val="1"/>
                <w:szCs w:val="1"/>
                <w:color w:val="auto"/>
              </w:rPr>
            </w:pPr>
          </w:p>
        </w:tc>
      </w:tr>
      <w:tr>
        <w:trPr>
          <w:trHeight w:val="186"/>
        </w:trPr>
        <w:tc>
          <w:tcPr>
            <w:tcW w:w="552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60" w:type="dxa"/>
            <w:vAlign w:val="bottom"/>
          </w:tcPr>
          <w:p>
            <w:pPr>
              <w:spacing w:after="0"/>
              <w:rPr>
                <w:sz w:val="16"/>
                <w:szCs w:val="16"/>
                <w:color w:val="auto"/>
              </w:rPr>
            </w:pPr>
          </w:p>
        </w:tc>
        <w:tc>
          <w:tcPr>
            <w:tcW w:w="210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417"/>
        </w:trPr>
        <w:tc>
          <w:tcPr>
            <w:tcW w:w="1640" w:type="dxa"/>
            <w:vAlign w:val="bottom"/>
          </w:tcPr>
          <w:p>
            <w:pPr>
              <w:spacing w:after="0"/>
              <w:rPr>
                <w:sz w:val="24"/>
                <w:szCs w:val="24"/>
                <w:color w:val="auto"/>
              </w:rPr>
            </w:pPr>
          </w:p>
        </w:tc>
        <w:tc>
          <w:tcPr>
            <w:tcW w:w="7540" w:type="dxa"/>
            <w:vAlign w:val="bottom"/>
            <w:gridSpan w:val="5"/>
          </w:tcPr>
          <w:p>
            <w:pPr>
              <w:ind w:left="96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c>
          <w:tcPr>
            <w:tcW w:w="0" w:type="dxa"/>
            <w:vAlign w:val="bottom"/>
          </w:tcPr>
          <w:p>
            <w:pPr>
              <w:spacing w:after="0"/>
              <w:rPr>
                <w:sz w:val="1"/>
                <w:szCs w:val="1"/>
                <w:color w:val="auto"/>
              </w:rPr>
            </w:pPr>
          </w:p>
        </w:tc>
      </w:tr>
      <w:tr>
        <w:trPr>
          <w:trHeight w:val="369"/>
        </w:trPr>
        <w:tc>
          <w:tcPr>
            <w:tcW w:w="1640" w:type="dxa"/>
            <w:vAlign w:val="bottom"/>
          </w:tcPr>
          <w:p>
            <w:pPr>
              <w:spacing w:after="0"/>
              <w:rPr>
                <w:sz w:val="24"/>
                <w:szCs w:val="24"/>
                <w:color w:val="auto"/>
              </w:rPr>
            </w:pPr>
          </w:p>
        </w:tc>
        <w:tc>
          <w:tcPr>
            <w:tcW w:w="3880" w:type="dxa"/>
            <w:vAlign w:val="bottom"/>
            <w:gridSpan w:val="2"/>
          </w:tcPr>
          <w:p>
            <w:pPr>
              <w:jc w:val="center"/>
              <w:ind w:right="2760"/>
              <w:spacing w:after="0"/>
              <w:rPr>
                <w:sz w:val="20"/>
                <w:szCs w:val="20"/>
                <w:color w:val="auto"/>
              </w:rPr>
            </w:pPr>
            <w:r>
              <w:rPr>
                <w:rFonts w:ascii="Arial" w:cs="Arial" w:eastAsia="Arial" w:hAnsi="Arial"/>
                <w:sz w:val="14"/>
                <w:szCs w:val="14"/>
                <w:b w:val="1"/>
                <w:bCs w:val="1"/>
                <w:color w:val="auto"/>
                <w:w w:val="89"/>
              </w:rPr>
              <w:t>Title of each class</w:t>
            </w:r>
          </w:p>
        </w:tc>
        <w:tc>
          <w:tcPr>
            <w:tcW w:w="3660" w:type="dxa"/>
            <w:vAlign w:val="bottom"/>
            <w:gridSpan w:val="3"/>
          </w:tcPr>
          <w:p>
            <w:pPr>
              <w:jc w:val="center"/>
              <w:ind w:left="1116"/>
              <w:spacing w:after="0"/>
              <w:rPr>
                <w:sz w:val="20"/>
                <w:szCs w:val="20"/>
                <w:color w:val="auto"/>
              </w:rPr>
            </w:pPr>
            <w:r>
              <w:rPr>
                <w:rFonts w:ascii="Arial" w:cs="Arial" w:eastAsia="Arial" w:hAnsi="Arial"/>
                <w:sz w:val="14"/>
                <w:szCs w:val="14"/>
                <w:b w:val="1"/>
                <w:bCs w:val="1"/>
                <w:color w:val="auto"/>
                <w:w w:val="90"/>
              </w:rPr>
              <w:t>Name of each exchange on which</w:t>
            </w:r>
          </w:p>
        </w:tc>
        <w:tc>
          <w:tcPr>
            <w:tcW w:w="0" w:type="dxa"/>
            <w:vAlign w:val="bottom"/>
          </w:tcPr>
          <w:p>
            <w:pPr>
              <w:spacing w:after="0"/>
              <w:rPr>
                <w:sz w:val="1"/>
                <w:szCs w:val="1"/>
                <w:color w:val="auto"/>
              </w:rPr>
            </w:pPr>
          </w:p>
        </w:tc>
      </w:tr>
      <w:tr>
        <w:trPr>
          <w:trHeight w:val="153"/>
        </w:trPr>
        <w:tc>
          <w:tcPr>
            <w:tcW w:w="1640" w:type="dxa"/>
            <w:vAlign w:val="bottom"/>
          </w:tcPr>
          <w:p>
            <w:pPr>
              <w:spacing w:after="0"/>
              <w:rPr>
                <w:sz w:val="13"/>
                <w:szCs w:val="13"/>
                <w:color w:val="auto"/>
              </w:rPr>
            </w:pPr>
          </w:p>
        </w:tc>
        <w:tc>
          <w:tcPr>
            <w:tcW w:w="3880" w:type="dxa"/>
            <w:vAlign w:val="bottom"/>
            <w:gridSpan w:val="2"/>
          </w:tcPr>
          <w:p>
            <w:pPr>
              <w:jc w:val="center"/>
              <w:ind w:right="2780"/>
              <w:spacing w:after="0" w:line="153" w:lineRule="exact"/>
              <w:rPr>
                <w:sz w:val="20"/>
                <w:szCs w:val="20"/>
                <w:color w:val="auto"/>
              </w:rPr>
            </w:pPr>
            <w:r>
              <w:rPr>
                <w:rFonts w:ascii="Arial" w:cs="Arial" w:eastAsia="Arial" w:hAnsi="Arial"/>
                <w:sz w:val="14"/>
                <w:szCs w:val="14"/>
                <w:b w:val="1"/>
                <w:bCs w:val="1"/>
                <w:color w:val="auto"/>
                <w:w w:val="87"/>
              </w:rPr>
              <w:t>to be so registered</w:t>
            </w:r>
          </w:p>
        </w:tc>
        <w:tc>
          <w:tcPr>
            <w:tcW w:w="1560" w:type="dxa"/>
            <w:vAlign w:val="bottom"/>
          </w:tcPr>
          <w:p>
            <w:pPr>
              <w:spacing w:after="0"/>
              <w:rPr>
                <w:sz w:val="13"/>
                <w:szCs w:val="13"/>
                <w:color w:val="auto"/>
              </w:rPr>
            </w:pPr>
          </w:p>
        </w:tc>
        <w:tc>
          <w:tcPr>
            <w:tcW w:w="2100" w:type="dxa"/>
            <w:vAlign w:val="bottom"/>
            <w:gridSpan w:val="2"/>
          </w:tcPr>
          <w:p>
            <w:pPr>
              <w:jc w:val="center"/>
              <w:ind w:right="250"/>
              <w:spacing w:after="0" w:line="153" w:lineRule="exact"/>
              <w:rPr>
                <w:sz w:val="20"/>
                <w:szCs w:val="20"/>
                <w:color w:val="auto"/>
              </w:rPr>
            </w:pPr>
            <w:r>
              <w:rPr>
                <w:rFonts w:ascii="Arial" w:cs="Arial" w:eastAsia="Arial" w:hAnsi="Arial"/>
                <w:sz w:val="14"/>
                <w:szCs w:val="14"/>
                <w:b w:val="1"/>
                <w:bCs w:val="1"/>
                <w:color w:val="auto"/>
                <w:w w:val="88"/>
              </w:rPr>
              <w:t>each class is to be registered</w:t>
            </w:r>
          </w:p>
        </w:tc>
        <w:tc>
          <w:tcPr>
            <w:tcW w:w="0" w:type="dxa"/>
            <w:vAlign w:val="bottom"/>
          </w:tcPr>
          <w:p>
            <w:pPr>
              <w:spacing w:after="0"/>
              <w:rPr>
                <w:sz w:val="1"/>
                <w:szCs w:val="1"/>
                <w:color w:val="auto"/>
              </w:rPr>
            </w:pPr>
          </w:p>
        </w:tc>
      </w:tr>
      <w:tr>
        <w:trPr>
          <w:trHeight w:val="32"/>
        </w:trPr>
        <w:tc>
          <w:tcPr>
            <w:tcW w:w="1640" w:type="dxa"/>
            <w:vAlign w:val="bottom"/>
            <w:vMerge w:val="restart"/>
          </w:tcPr>
          <w:p>
            <w:pPr>
              <w:ind w:left="860"/>
              <w:spacing w:after="0"/>
              <w:rPr>
                <w:sz w:val="20"/>
                <w:szCs w:val="20"/>
                <w:color w:val="auto"/>
              </w:rPr>
            </w:pPr>
            <w:r>
              <w:rPr>
                <w:rFonts w:ascii="Arial" w:cs="Arial" w:eastAsia="Arial" w:hAnsi="Arial"/>
                <w:sz w:val="18"/>
                <w:szCs w:val="18"/>
                <w:b w:val="1"/>
                <w:bCs w:val="1"/>
                <w:color w:val="auto"/>
                <w:w w:val="92"/>
              </w:rPr>
              <w:t>American</w:t>
            </w:r>
          </w:p>
        </w:tc>
        <w:tc>
          <w:tcPr>
            <w:tcW w:w="112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1560" w:type="dxa"/>
            <w:vAlign w:val="bottom"/>
            <w:vMerge w:val="restart"/>
          </w:tcPr>
          <w:p>
            <w:pPr>
              <w:ind w:left="1220"/>
              <w:spacing w:after="0"/>
              <w:rPr>
                <w:sz w:val="20"/>
                <w:szCs w:val="20"/>
                <w:color w:val="auto"/>
              </w:rPr>
            </w:pPr>
            <w:r>
              <w:rPr>
                <w:rFonts w:ascii="Arial" w:cs="Arial" w:eastAsia="Arial" w:hAnsi="Arial"/>
                <w:sz w:val="18"/>
                <w:szCs w:val="18"/>
                <w:b w:val="1"/>
                <w:bCs w:val="1"/>
                <w:color w:val="auto"/>
                <w:w w:val="99"/>
              </w:rPr>
              <w:t>The</w:t>
            </w:r>
          </w:p>
        </w:tc>
        <w:tc>
          <w:tcPr>
            <w:tcW w:w="1740" w:type="dxa"/>
            <w:vAlign w:val="bottom"/>
            <w:tcBorders>
              <w:bottom w:val="single" w:sz="8" w:color="auto"/>
            </w:tcBorders>
          </w:tcPr>
          <w:p>
            <w:pPr>
              <w:spacing w:after="0"/>
              <w:rPr>
                <w:sz w:val="2"/>
                <w:szCs w:val="2"/>
                <w:color w:val="auto"/>
              </w:rPr>
            </w:pPr>
          </w:p>
        </w:tc>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97"/>
              </w:rPr>
              <w:t>LLC</w:t>
            </w:r>
          </w:p>
        </w:tc>
        <w:tc>
          <w:tcPr>
            <w:tcW w:w="0" w:type="dxa"/>
            <w:vAlign w:val="bottom"/>
          </w:tcPr>
          <w:p>
            <w:pPr>
              <w:spacing w:after="0"/>
              <w:rPr>
                <w:sz w:val="1"/>
                <w:szCs w:val="1"/>
                <w:color w:val="auto"/>
              </w:rPr>
            </w:pPr>
          </w:p>
        </w:tc>
      </w:tr>
      <w:tr>
        <w:trPr>
          <w:trHeight w:val="164"/>
        </w:trPr>
        <w:tc>
          <w:tcPr>
            <w:tcW w:w="1640" w:type="dxa"/>
            <w:vAlign w:val="bottom"/>
            <w:vMerge w:val="continue"/>
          </w:tcPr>
          <w:p>
            <w:pPr>
              <w:spacing w:after="0"/>
              <w:rPr>
                <w:sz w:val="14"/>
                <w:szCs w:val="14"/>
                <w:color w:val="auto"/>
              </w:rPr>
            </w:pPr>
          </w:p>
        </w:tc>
        <w:tc>
          <w:tcPr>
            <w:tcW w:w="3880" w:type="dxa"/>
            <w:vAlign w:val="bottom"/>
            <w:gridSpan w:val="2"/>
          </w:tcPr>
          <w:p>
            <w:pPr>
              <w:ind w:left="40"/>
              <w:spacing w:after="0" w:line="164" w:lineRule="exact"/>
              <w:rPr>
                <w:sz w:val="20"/>
                <w:szCs w:val="20"/>
                <w:color w:val="auto"/>
              </w:rPr>
            </w:pPr>
            <w:r>
              <w:rPr>
                <w:rFonts w:ascii="Arial" w:cs="Arial" w:eastAsia="Arial" w:hAnsi="Arial"/>
                <w:sz w:val="18"/>
                <w:szCs w:val="18"/>
                <w:b w:val="1"/>
                <w:bCs w:val="1"/>
                <w:color w:val="auto"/>
              </w:rPr>
              <w:t>Depositary Shares, each</w:t>
            </w:r>
          </w:p>
        </w:tc>
        <w:tc>
          <w:tcPr>
            <w:tcW w:w="1560" w:type="dxa"/>
            <w:vAlign w:val="bottom"/>
            <w:vMerge w:val="continue"/>
          </w:tcPr>
          <w:p>
            <w:pPr>
              <w:spacing w:after="0"/>
              <w:rPr>
                <w:sz w:val="14"/>
                <w:szCs w:val="14"/>
                <w:color w:val="auto"/>
              </w:rPr>
            </w:pPr>
          </w:p>
        </w:tc>
        <w:tc>
          <w:tcPr>
            <w:tcW w:w="174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2"/>
              </w:rPr>
              <w:t>Nasdaq Stock Market</w:t>
            </w: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2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90"/>
              </w:rPr>
              <w:t>Representing four ordinary shares, nominal value £0.003</w:t>
            </w: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3880" w:type="dxa"/>
            <w:vAlign w:val="bottom"/>
            <w:gridSpan w:val="2"/>
          </w:tcPr>
          <w:p>
            <w:pPr>
              <w:jc w:val="center"/>
              <w:ind w:right="2760"/>
              <w:spacing w:after="0"/>
              <w:rPr>
                <w:sz w:val="20"/>
                <w:szCs w:val="20"/>
                <w:color w:val="auto"/>
              </w:rPr>
            </w:pPr>
            <w:r>
              <w:rPr>
                <w:rFonts w:ascii="Arial" w:cs="Arial" w:eastAsia="Arial" w:hAnsi="Arial"/>
                <w:sz w:val="18"/>
                <w:szCs w:val="18"/>
                <w:b w:val="1"/>
                <w:bCs w:val="1"/>
                <w:color w:val="auto"/>
                <w:w w:val="88"/>
              </w:rPr>
              <w:t>per share</w:t>
            </w:r>
          </w:p>
        </w:tc>
        <w:tc>
          <w:tcPr>
            <w:tcW w:w="1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5520" w:type="dxa"/>
            <w:vAlign w:val="bottom"/>
            <w:gridSpan w:val="3"/>
          </w:tcPr>
          <w:p>
            <w:pPr>
              <w:ind w:left="240"/>
              <w:spacing w:after="0"/>
              <w:rPr>
                <w:sz w:val="20"/>
                <w:szCs w:val="20"/>
                <w:color w:val="auto"/>
              </w:rPr>
            </w:pPr>
            <w:r>
              <w:rPr>
                <w:rFonts w:ascii="Arial" w:cs="Arial" w:eastAsia="Arial" w:hAnsi="Arial"/>
                <w:sz w:val="18"/>
                <w:szCs w:val="18"/>
                <w:b w:val="1"/>
                <w:bCs w:val="1"/>
                <w:color w:val="auto"/>
              </w:rPr>
              <w:t>Ordinary Shares, nominal value £0.003 per share*</w:t>
            </w:r>
          </w:p>
        </w:tc>
        <w:tc>
          <w:tcPr>
            <w:tcW w:w="3660" w:type="dxa"/>
            <w:vAlign w:val="bottom"/>
            <w:gridSpan w:val="3"/>
          </w:tcPr>
          <w:p>
            <w:pPr>
              <w:jc w:val="center"/>
              <w:ind w:left="1056"/>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or (e),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or (e),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8"/>
        <w:spacing w:after="0" w:line="259"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for trading, but only in connection with the listing of the American Depositary Shares on The NASDAQ Stock Market LLC. The American Depositary Shares represent the right to receive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w:t>
      </w:r>
    </w:p>
    <w:p>
      <w:pPr>
        <w:spacing w:after="0" w:line="15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or Regulation A offering statement file number to which this form relates: </w:t>
      </w:r>
      <w:r>
        <w:rPr>
          <w:rFonts w:ascii="Arial" w:cs="Arial" w:eastAsia="Arial" w:hAnsi="Arial"/>
          <w:sz w:val="18"/>
          <w:szCs w:val="18"/>
          <w:b w:val="1"/>
          <w:bCs w:val="1"/>
          <w:color w:val="auto"/>
        </w:rPr>
        <w:t>333-223883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Mereo BioPharma Group plc (the “Company”) hereby incorporates by reference (a) the description of its ordinary shares, nominal value £0.003 per share, contained under the heading “Description of Share Capital and Articles of Association,” (b) the description of its American Depositary Shares, each representing four ordinary shares, nominal value £0.003 per share, contained under the heading “Description of American Depositary Shares” and (c) the information set forth under the heading “Material Tax Considerations,” in each case, in the Company’s Registration Statement on Form F-1 (333-223883), as originally filed with the Securities and Exchange Commission (the “Commission”) on March 23, 2018, as amended from time to time (the “Registration Statement”). In addition, all of the above-referenced descriptions included in any prospectus forming a part of the Registration Statement subsequently filed with the Commission pursuant to Rule 424(b) under the Securities Act of 1933, as amended, shall be deemed to be incorporated by reference herein.</w:t>
      </w:r>
    </w:p>
    <w:p>
      <w:pPr>
        <w:spacing w:after="0" w:line="3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Pursuant to the Instructions as to Exhibits for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0"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9, 2018</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Denise Scots-Knight, Ph.D.</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7"/>
          <w:szCs w:val="17"/>
          <w:color w:val="auto"/>
        </w:rPr>
        <w:t>Chief Executive Officer and Principal Executive Officer</w:t>
      </w:r>
    </w:p>
    <w:sectPr>
      <w:pgSz w:w="11900" w:h="16838" w:orient="portrait"/>
      <w:cols w:equalWidth="0" w:num="1">
        <w:col w:w="11280"/>
      </w:cols>
      <w:pgMar w:left="240" w:top="2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2019-12-08T16:55:56Z</dcterms:created>
  <dcterms:modified xsi:type="dcterms:W3CDTF">2019-12-08T16:55:56Z</dcterms:modified>
</cp:coreProperties>
</file>